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295910</wp:posOffset>
            </wp:positionV>
            <wp:extent cx="2058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44"/>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685" w:right="2280" w:hanging="685"/>
        <w:spacing w:after="0" w:line="180" w:lineRule="auto"/>
        <w:tabs>
          <w:tab w:leader="none" w:pos="685" w:val="left"/>
        </w:tabs>
        <w:numPr>
          <w:ilvl w:val="0"/>
          <w:numId w:val="1"/>
        </w:numPr>
        <w:rPr>
          <w:rFonts w:ascii="Arial" w:cs="Arial" w:eastAsia="Arial" w:hAnsi="Arial"/>
          <w:sz w:val="43"/>
          <w:szCs w:val="43"/>
          <w:color w:val="auto"/>
          <w:vertAlign w:val="subscript"/>
        </w:rPr>
      </w:pPr>
      <w:r>
        <w:rPr>
          <w:rFonts w:ascii="Arial" w:cs="Arial" w:eastAsia="Arial" w:hAnsi="Arial"/>
          <w:sz w:val="17"/>
          <w:szCs w:val="17"/>
          <w:b w:val="1"/>
          <w:bCs w:val="1"/>
          <w:color w:val="auto"/>
        </w:rPr>
        <w:t>ANNUAL REPORT PURSUANT TO SECTION 13 OR 15(d) OF THE SECURITIES EXCHANGE ACT OF 1934 For the fiscal year ended May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-424180</wp:posOffset>
            </wp:positionV>
            <wp:extent cx="2058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 w:lineRule="exact"/>
        <w:rPr>
          <w:sz w:val="24"/>
          <w:szCs w:val="24"/>
          <w:color w:val="auto"/>
        </w:rPr>
      </w:pPr>
    </w:p>
    <w:p>
      <w:pPr>
        <w:jc w:val="center"/>
        <w:ind w:right="-44"/>
        <w:spacing w:after="0"/>
        <w:rPr>
          <w:sz w:val="20"/>
          <w:szCs w:val="20"/>
          <w:color w:val="auto"/>
        </w:rPr>
      </w:pPr>
      <w:r>
        <w:rPr>
          <w:rFonts w:ascii="Arial" w:cs="Arial" w:eastAsia="Arial" w:hAnsi="Arial"/>
          <w:sz w:val="18"/>
          <w:szCs w:val="18"/>
          <w:b w:val="1"/>
          <w:bCs w:val="1"/>
          <w:color w:val="auto"/>
        </w:rPr>
        <w:t>OR</w:t>
      </w:r>
    </w:p>
    <w:p>
      <w:pPr>
        <w:ind w:left="685" w:hanging="685"/>
        <w:spacing w:after="0" w:line="215" w:lineRule="auto"/>
        <w:tabs>
          <w:tab w:leader="none" w:pos="685"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01" w:lineRule="exact"/>
        <w:rPr>
          <w:sz w:val="24"/>
          <w:szCs w:val="24"/>
          <w:color w:val="auto"/>
        </w:rPr>
      </w:pPr>
    </w:p>
    <w:p>
      <w:pPr>
        <w:ind w:left="685"/>
        <w:spacing w:after="0"/>
        <w:tabs>
          <w:tab w:leader="none" w:pos="3325"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5" w:lineRule="exact"/>
        <w:rPr>
          <w:sz w:val="24"/>
          <w:szCs w:val="24"/>
          <w:color w:val="auto"/>
        </w:rPr>
      </w:pPr>
    </w:p>
    <w:p>
      <w:pPr>
        <w:jc w:val="center"/>
        <w:ind w:right="-44"/>
        <w:spacing w:after="0"/>
        <w:rPr>
          <w:sz w:val="20"/>
          <w:szCs w:val="20"/>
          <w:color w:val="auto"/>
        </w:rPr>
      </w:pPr>
      <w:r>
        <w:rPr>
          <w:rFonts w:ascii="Arial" w:cs="Arial" w:eastAsia="Arial" w:hAnsi="Arial"/>
          <w:sz w:val="18"/>
          <w:szCs w:val="18"/>
          <w:b w:val="1"/>
          <w:bCs w:val="1"/>
          <w:color w:val="auto"/>
        </w:rPr>
        <w:t>Commission file number 0-50761</w:t>
      </w:r>
    </w:p>
    <w:p>
      <w:pPr>
        <w:spacing w:after="0" w:line="268" w:lineRule="exact"/>
        <w:rPr>
          <w:sz w:val="24"/>
          <w:szCs w:val="24"/>
          <w:color w:val="auto"/>
        </w:rPr>
      </w:pPr>
    </w:p>
    <w:p>
      <w:pPr>
        <w:jc w:val="center"/>
        <w:ind w:right="-44"/>
        <w:spacing w:after="0"/>
        <w:rPr>
          <w:sz w:val="20"/>
          <w:szCs w:val="20"/>
          <w:color w:val="auto"/>
        </w:rPr>
      </w:pPr>
      <w:r>
        <w:rPr>
          <w:rFonts w:ascii="Arial" w:cs="Arial" w:eastAsia="Arial" w:hAnsi="Arial"/>
          <w:sz w:val="43"/>
          <w:szCs w:val="43"/>
          <w:b w:val="1"/>
          <w:bCs w:val="1"/>
          <w:color w:val="auto"/>
        </w:rPr>
        <w:t>AngioDynamics,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-302895</wp:posOffset>
            </wp:positionV>
            <wp:extent cx="2058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2" w:lineRule="exact"/>
        <w:rPr>
          <w:sz w:val="24"/>
          <w:szCs w:val="24"/>
          <w:color w:val="auto"/>
        </w:rPr>
      </w:pPr>
    </w:p>
    <w:p>
      <w:pPr>
        <w:jc w:val="center"/>
        <w:ind w:right="-44"/>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1800860</wp:posOffset>
            </wp:positionH>
            <wp:positionV relativeFrom="paragraph">
              <wp:posOffset>107950</wp:posOffset>
            </wp:positionV>
            <wp:extent cx="361886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tbl>
      <w:tblPr>
        <w:tblLayout w:type="fixed"/>
        <w:tblInd w:w="305"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880" w:type="dxa"/>
            <w:vAlign w:val="bottom"/>
            <w:gridSpan w:val="4"/>
          </w:tcPr>
          <w:p>
            <w:pPr>
              <w:jc w:val="center"/>
              <w:ind w:right="37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2"/>
          </w:tcPr>
          <w:p>
            <w:pPr>
              <w:jc w:val="right"/>
              <w:ind w:right="848"/>
              <w:spacing w:after="0"/>
              <w:rPr>
                <w:sz w:val="20"/>
                <w:szCs w:val="20"/>
                <w:color w:val="auto"/>
              </w:rPr>
            </w:pPr>
            <w:r>
              <w:rPr>
                <w:rFonts w:ascii="Arial" w:cs="Arial" w:eastAsia="Arial" w:hAnsi="Arial"/>
                <w:sz w:val="18"/>
                <w:szCs w:val="18"/>
                <w:b w:val="1"/>
                <w:bCs w:val="1"/>
                <w:color w:val="auto"/>
              </w:rPr>
              <w:t>11-3146460</w:t>
            </w:r>
          </w:p>
        </w:tc>
        <w:tc>
          <w:tcPr>
            <w:tcW w:w="0" w:type="dxa"/>
            <w:vAlign w:val="bottom"/>
          </w:tcPr>
          <w:p>
            <w:pPr>
              <w:spacing w:after="0"/>
              <w:rPr>
                <w:sz w:val="1"/>
                <w:szCs w:val="1"/>
                <w:color w:val="auto"/>
              </w:rPr>
            </w:pPr>
          </w:p>
        </w:tc>
      </w:tr>
      <w:tr>
        <w:trPr>
          <w:trHeight w:val="180"/>
        </w:trPr>
        <w:tc>
          <w:tcPr>
            <w:tcW w:w="6800" w:type="dxa"/>
            <w:vAlign w:val="bottom"/>
            <w:gridSpan w:val="5"/>
          </w:tcPr>
          <w:p>
            <w:pPr>
              <w:jc w:val="center"/>
              <w:ind w:right="1799"/>
              <w:spacing w:after="0"/>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800" w:type="dxa"/>
            <w:vAlign w:val="bottom"/>
            <w:gridSpan w:val="5"/>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6800" w:type="dxa"/>
            <w:vAlign w:val="bottom"/>
            <w:gridSpan w:val="5"/>
          </w:tcPr>
          <w:p>
            <w:pPr>
              <w:jc w:val="center"/>
              <w:ind w:right="1799"/>
              <w:spacing w:after="0"/>
              <w:rPr>
                <w:sz w:val="20"/>
                <w:szCs w:val="20"/>
                <w:color w:val="auto"/>
              </w:rPr>
            </w:pPr>
            <w:r>
              <w:rPr>
                <w:rFonts w:ascii="Arial" w:cs="Arial" w:eastAsia="Arial" w:hAnsi="Arial"/>
                <w:sz w:val="18"/>
                <w:szCs w:val="18"/>
                <w:b w:val="1"/>
                <w:bCs w:val="1"/>
                <w:color w:val="auto"/>
                <w:w w:val="93"/>
              </w:rPr>
              <w:t>14 Plaza Drive Latham, New York</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2"/>
          </w:tcPr>
          <w:p>
            <w:pPr>
              <w:jc w:val="right"/>
              <w:ind w:right="1048"/>
              <w:spacing w:after="0"/>
              <w:rPr>
                <w:sz w:val="20"/>
                <w:szCs w:val="20"/>
                <w:color w:val="auto"/>
              </w:rPr>
            </w:pPr>
            <w:r>
              <w:rPr>
                <w:rFonts w:ascii="Arial" w:cs="Arial" w:eastAsia="Arial" w:hAnsi="Arial"/>
                <w:sz w:val="18"/>
                <w:szCs w:val="18"/>
                <w:b w:val="1"/>
                <w:bCs w:val="1"/>
                <w:color w:val="auto"/>
              </w:rPr>
              <w:t>12110</w:t>
            </w:r>
          </w:p>
        </w:tc>
        <w:tc>
          <w:tcPr>
            <w:tcW w:w="0" w:type="dxa"/>
            <w:vAlign w:val="bottom"/>
          </w:tcPr>
          <w:p>
            <w:pPr>
              <w:spacing w:after="0"/>
              <w:rPr>
                <w:sz w:val="1"/>
                <w:szCs w:val="1"/>
                <w:color w:val="auto"/>
              </w:rPr>
            </w:pPr>
          </w:p>
        </w:tc>
      </w:tr>
      <w:tr>
        <w:trPr>
          <w:trHeight w:val="211"/>
        </w:trPr>
        <w:tc>
          <w:tcPr>
            <w:tcW w:w="6800" w:type="dxa"/>
            <w:vAlign w:val="bottom"/>
            <w:gridSpan w:val="5"/>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ind w:right="7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7800" w:type="dxa"/>
            <w:vAlign w:val="bottom"/>
            <w:gridSpan w:val="9"/>
          </w:tcPr>
          <w:p>
            <w:pPr>
              <w:jc w:val="center"/>
              <w:ind w:right="808"/>
              <w:spacing w:after="0"/>
              <w:rPr>
                <w:sz w:val="20"/>
                <w:szCs w:val="20"/>
                <w:color w:val="auto"/>
              </w:rPr>
            </w:pPr>
            <w:r>
              <w:rPr>
                <w:rFonts w:ascii="Arial" w:cs="Arial" w:eastAsia="Arial" w:hAnsi="Arial"/>
                <w:sz w:val="18"/>
                <w:szCs w:val="18"/>
                <w:b w:val="1"/>
                <w:bCs w:val="1"/>
                <w:color w:val="auto"/>
                <w:w w:val="89"/>
              </w:rPr>
              <w:t>Registrant’s telephone number, including area code (518) 795-1400</w:t>
            </w: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7"/>
          </w:tcPr>
          <w:p>
            <w:pPr>
              <w:jc w:val="center"/>
              <w:ind w:right="188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4"/>
                <w:szCs w:val="24"/>
                <w:color w:val="auto"/>
              </w:rPr>
            </w:pPr>
          </w:p>
        </w:tc>
        <w:tc>
          <w:tcPr>
            <w:tcW w:w="4880" w:type="dxa"/>
            <w:vAlign w:val="bottom"/>
            <w:gridSpan w:val="4"/>
          </w:tcPr>
          <w:p>
            <w:pPr>
              <w:jc w:val="center"/>
              <w:ind w:right="3719"/>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gridSpan w:val="5"/>
          </w:tcPr>
          <w:p>
            <w:pPr>
              <w:jc w:val="center"/>
              <w:ind w:right="1779"/>
              <w:spacing w:after="0"/>
              <w:rPr>
                <w:sz w:val="20"/>
                <w:szCs w:val="20"/>
                <w:color w:val="auto"/>
              </w:rPr>
            </w:pPr>
            <w:r>
              <w:rPr>
                <w:rFonts w:ascii="Arial" w:cs="Arial" w:eastAsia="Arial" w:hAnsi="Arial"/>
                <w:sz w:val="14"/>
                <w:szCs w:val="14"/>
                <w:b w:val="1"/>
                <w:bCs w:val="1"/>
                <w:color w:val="auto"/>
                <w:w w:val="92"/>
              </w:rPr>
              <w:t>Common Stock, par value $.01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6"/>
              </w:rPr>
              <w:t>NASDAQ Global Select Market</w:t>
            </w:r>
          </w:p>
        </w:tc>
        <w:tc>
          <w:tcPr>
            <w:tcW w:w="0" w:type="dxa"/>
            <w:vAlign w:val="bottom"/>
          </w:tcPr>
          <w:p>
            <w:pPr>
              <w:spacing w:after="0"/>
              <w:rPr>
                <w:sz w:val="1"/>
                <w:szCs w:val="1"/>
                <w:color w:val="auto"/>
              </w:rPr>
            </w:pPr>
          </w:p>
        </w:tc>
      </w:tr>
      <w:tr>
        <w:trPr>
          <w:trHeight w:val="534"/>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7"/>
          </w:tcPr>
          <w:p>
            <w:pPr>
              <w:jc w:val="center"/>
              <w:ind w:right="1888"/>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jc w:val="center"/>
              <w:ind w:left="119"/>
              <w:spacing w:after="0"/>
              <w:rPr>
                <w:sz w:val="20"/>
                <w:szCs w:val="20"/>
                <w:color w:val="auto"/>
              </w:rPr>
            </w:pPr>
            <w:r>
              <w:rPr>
                <w:rFonts w:ascii="Arial" w:cs="Arial" w:eastAsia="Arial" w:hAnsi="Arial"/>
                <w:sz w:val="18"/>
                <w:szCs w:val="18"/>
                <w:b w:val="1"/>
                <w:bCs w:val="1"/>
                <w:color w:val="auto"/>
                <w:w w:val="88"/>
              </w:rPr>
              <w:t>None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40" w:type="dxa"/>
            <w:vAlign w:val="bottom"/>
          </w:tcPr>
          <w:p>
            <w:pPr>
              <w:jc w:val="center"/>
              <w:ind w:left="99"/>
              <w:spacing w:after="0"/>
              <w:rPr>
                <w:sz w:val="20"/>
                <w:szCs w:val="20"/>
                <w:color w:val="auto"/>
              </w:rPr>
            </w:pPr>
            <w:r>
              <w:rPr>
                <w:rFonts w:ascii="Arial" w:cs="Arial" w:eastAsia="Arial" w:hAnsi="Arial"/>
                <w:sz w:val="14"/>
                <w:szCs w:val="14"/>
                <w:b w:val="1"/>
                <w:bCs w:val="1"/>
                <w:color w:val="auto"/>
                <w:w w:val="93"/>
              </w:rPr>
              <w:t>(Title of Class)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92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2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80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w w:val="74"/>
              </w:rPr>
              <w:t>Yes</w:t>
            </w:r>
          </w:p>
        </w:tc>
        <w:tc>
          <w:tcPr>
            <w:tcW w:w="220" w:type="dxa"/>
            <w:vAlign w:val="bottom"/>
            <w:vMerge w:val="continue"/>
          </w:tcPr>
          <w:p>
            <w:pPr>
              <w:spacing w:after="0"/>
              <w:rPr>
                <w:sz w:val="24"/>
                <w:szCs w:val="24"/>
                <w:color w:val="auto"/>
              </w:rPr>
            </w:pPr>
          </w:p>
        </w:tc>
        <w:tc>
          <w:tcPr>
            <w:tcW w:w="2400" w:type="dxa"/>
            <w:vAlign w:val="bottom"/>
            <w:gridSpan w:val="2"/>
          </w:tcPr>
          <w:p>
            <w:pPr>
              <w:ind w:left="12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r>
        <w:trPr>
          <w:trHeight w:val="226"/>
        </w:trPr>
        <w:tc>
          <w:tcPr>
            <w:tcW w:w="68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No</w:t>
            </w: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305"/>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9" w:lineRule="exact"/>
        <w:rPr>
          <w:sz w:val="24"/>
          <w:szCs w:val="24"/>
          <w:color w:val="auto"/>
        </w:rPr>
      </w:pPr>
    </w:p>
    <w:p>
      <w:pPr>
        <w:ind w:left="305" w:right="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18" w:lineRule="exact"/>
        <w:rPr>
          <w:sz w:val="24"/>
          <w:szCs w:val="24"/>
          <w:color w:val="auto"/>
        </w:rPr>
      </w:pPr>
    </w:p>
    <w:p>
      <w:pPr>
        <w:ind w:left="305" w:right="26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ind w:left="305" w:right="44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325"/>
          </w:cols>
          <w:pgMar w:left="275" w:top="67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440" w:type="dxa"/>
            <w:vAlign w:val="bottom"/>
          </w:tcPr>
          <w:p>
            <w:pPr>
              <w:ind w:left="140"/>
              <w:spacing w:after="0"/>
              <w:rPr>
                <w:sz w:val="20"/>
                <w:szCs w:val="20"/>
                <w:color w:val="auto"/>
              </w:rPr>
            </w:pPr>
            <w:r>
              <w:rPr>
                <w:rFonts w:ascii="Arial" w:cs="Arial" w:eastAsia="Arial" w:hAnsi="Arial"/>
                <w:sz w:val="14"/>
                <w:szCs w:val="14"/>
                <w:color w:val="auto"/>
                <w:w w:val="92"/>
              </w:rPr>
              <w:t>Large accelerated filer</w:t>
            </w:r>
          </w:p>
        </w:tc>
        <w:tc>
          <w:tcPr>
            <w:tcW w:w="2300" w:type="dxa"/>
            <w:vAlign w:val="bottom"/>
          </w:tcPr>
          <w:p>
            <w:pPr>
              <w:ind w:left="60"/>
              <w:spacing w:after="0"/>
              <w:rPr>
                <w:sz w:val="20"/>
                <w:szCs w:val="20"/>
                <w:color w:val="auto"/>
              </w:rPr>
            </w:pPr>
            <w:r>
              <w:rPr>
                <w:rFonts w:ascii="Arial" w:cs="Arial" w:eastAsia="Arial" w:hAnsi="Arial"/>
                <w:sz w:val="14"/>
                <w:szCs w:val="14"/>
                <w:color w:val="auto"/>
              </w:rPr>
              <w:t>x</w:t>
            </w:r>
          </w:p>
        </w:tc>
        <w:tc>
          <w:tcPr>
            <w:tcW w:w="2840" w:type="dxa"/>
            <w:vAlign w:val="bottom"/>
          </w:tcPr>
          <w:p>
            <w:pPr>
              <w:ind w:left="1840"/>
              <w:spacing w:after="0"/>
              <w:rPr>
                <w:sz w:val="20"/>
                <w:szCs w:val="20"/>
                <w:color w:val="auto"/>
              </w:rPr>
            </w:pPr>
            <w:r>
              <w:rPr>
                <w:rFonts w:ascii="Arial" w:cs="Arial" w:eastAsia="Arial" w:hAnsi="Arial"/>
                <w:sz w:val="14"/>
                <w:szCs w:val="14"/>
                <w:color w:val="auto"/>
                <w:w w:val="97"/>
              </w:rPr>
              <w:t>Accelerated filer</w:t>
            </w:r>
          </w:p>
        </w:tc>
        <w:tc>
          <w:tcPr>
            <w:tcW w:w="6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spacing w:after="0"/>
              <w:rPr>
                <w:sz w:val="19"/>
                <w:szCs w:val="19"/>
                <w:color w:val="auto"/>
              </w:rPr>
            </w:pPr>
          </w:p>
        </w:tc>
      </w:tr>
      <w:tr>
        <w:trPr>
          <w:trHeight w:val="270"/>
        </w:trPr>
        <w:tc>
          <w:tcPr>
            <w:tcW w:w="1440" w:type="dxa"/>
            <w:vAlign w:val="bottom"/>
          </w:tcPr>
          <w:p>
            <w:pPr>
              <w:ind w:left="140"/>
              <w:spacing w:after="0"/>
              <w:rPr>
                <w:sz w:val="20"/>
                <w:szCs w:val="20"/>
                <w:color w:val="auto"/>
              </w:rPr>
            </w:pPr>
            <w:r>
              <w:rPr>
                <w:rFonts w:ascii="Arial" w:cs="Arial" w:eastAsia="Arial" w:hAnsi="Arial"/>
                <w:sz w:val="14"/>
                <w:szCs w:val="14"/>
                <w:color w:val="auto"/>
                <w:w w:val="99"/>
              </w:rPr>
              <w:t>Non-accelerated filer</w:t>
            </w:r>
          </w:p>
        </w:tc>
        <w:tc>
          <w:tcPr>
            <w:tcW w:w="23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gridSpan w:val="2"/>
          </w:tcPr>
          <w:p>
            <w:pPr>
              <w:ind w:left="1840"/>
              <w:spacing w:after="0"/>
              <w:rPr>
                <w:sz w:val="20"/>
                <w:szCs w:val="20"/>
                <w:color w:val="auto"/>
              </w:rPr>
            </w:pPr>
            <w:r>
              <w:rPr>
                <w:rFonts w:ascii="Arial" w:cs="Arial" w:eastAsia="Arial" w:hAnsi="Arial"/>
                <w:sz w:val="14"/>
                <w:szCs w:val="14"/>
                <w:color w:val="auto"/>
                <w:w w:val="95"/>
              </w:rPr>
              <w:t>Smaller reporting company</w:t>
            </w:r>
          </w:p>
        </w:tc>
        <w:tc>
          <w:tcPr>
            <w:tcW w:w="3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3740" w:type="dxa"/>
            <w:vAlign w:val="bottom"/>
            <w:gridSpan w:val="2"/>
          </w:tcPr>
          <w:p>
            <w:pPr>
              <w:ind w:left="1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2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43"/>
        </w:trPr>
        <w:tc>
          <w:tcPr>
            <w:tcW w:w="6580" w:type="dxa"/>
            <w:vAlign w:val="bottom"/>
            <w:gridSpan w:val="3"/>
          </w:tcPr>
          <w:p>
            <w:pPr>
              <w:spacing w:after="0"/>
              <w:rPr>
                <w:sz w:val="20"/>
                <w:szCs w:val="20"/>
                <w:color w:val="auto"/>
              </w:rPr>
            </w:pPr>
            <w:r>
              <w:rPr>
                <w:rFonts w:ascii="Arial" w:cs="Arial" w:eastAsia="Arial" w:hAnsi="Arial"/>
                <w:sz w:val="14"/>
                <w:szCs w:val="14"/>
                <w:color w:val="auto"/>
                <w:w w:val="93"/>
              </w:rPr>
              <w:t>Indicate by check mark whether the registrant is a shell company (as defined in Rule 12b-2 of the Exchange Act).</w:t>
            </w:r>
          </w:p>
        </w:tc>
        <w:tc>
          <w:tcPr>
            <w:tcW w:w="6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40" w:type="dxa"/>
            <w:vAlign w:val="bottom"/>
          </w:tcPr>
          <w:p>
            <w:pPr>
              <w:ind w:left="20"/>
              <w:spacing w:after="0"/>
              <w:rPr>
                <w:sz w:val="20"/>
                <w:szCs w:val="20"/>
                <w:color w:val="auto"/>
              </w:rPr>
            </w:pPr>
            <w:r>
              <w:rPr>
                <w:rFonts w:ascii="Arial" w:cs="Arial" w:eastAsia="Arial" w:hAnsi="Arial"/>
                <w:sz w:val="14"/>
                <w:szCs w:val="14"/>
                <w:color w:val="auto"/>
              </w:rPr>
              <w:t>No x</w:t>
            </w:r>
          </w:p>
        </w:tc>
      </w:tr>
    </w:tbl>
    <w:p>
      <w:pPr>
        <w:spacing w:after="0" w:line="18" w:lineRule="exact"/>
        <w:rPr>
          <w:sz w:val="20"/>
          <w:szCs w:val="20"/>
          <w:color w:val="auto"/>
        </w:rPr>
      </w:pPr>
    </w:p>
    <w:p>
      <w:pPr>
        <w:ind w:right="100"/>
        <w:spacing w:after="0" w:line="303" w:lineRule="auto"/>
        <w:rPr>
          <w:sz w:val="20"/>
          <w:szCs w:val="20"/>
          <w:color w:val="auto"/>
        </w:rPr>
      </w:pPr>
      <w:r>
        <w:rPr>
          <w:rFonts w:ascii="Arial" w:cs="Arial" w:eastAsia="Arial" w:hAnsi="Arial"/>
          <w:sz w:val="13"/>
          <w:szCs w:val="13"/>
          <w:color w:val="auto"/>
        </w:rPr>
        <w:t>As of November 30, 2018, the last business day of the registrant’s most recently completed second fiscal quarter, the aggregate market value of the registrant’s common stock held by non-affiliates was approximately $723,763,752 computed by reference to the last sale price of the common stock on that date as reported by The NASDAQ Global Select Market.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of July 22, 2019 there were 37,276,981 shares of the registrant’s common stock outstanding.</w:t>
      </w: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information required for Part III of this Annual Report on Form 10-K is incorporated by reference to the registrant’s Proxy Statement for its 2019 Annual Meeting of Stockholders to be filed within 120 days of the registrant's fiscal year ended May 31, 2019.</w:t>
      </w:r>
    </w:p>
    <w:p>
      <w:pPr>
        <w:sectPr>
          <w:pgSz w:w="11900" w:h="16838" w:orient="portrait"/>
          <w:cols w:equalWidth="0" w:num="1">
            <w:col w:w="10860"/>
          </w:cols>
          <w:pgMar w:left="580" w:top="769"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0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w w:val="89"/>
              </w:rPr>
              <w:t>AngioDynamics, Inc. and Subsidiaries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20" w:type="dxa"/>
            <w:vAlign w:val="bottom"/>
            <w:gridSpan w:val="7"/>
          </w:tcPr>
          <w:p>
            <w:pPr>
              <w:jc w:val="center"/>
              <w:ind w:right="428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8"/>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480" w:type="dxa"/>
            <w:vAlign w:val="bottom"/>
          </w:tcPr>
          <w:p>
            <w:pPr>
              <w:ind w:left="460"/>
              <w:spacing w:after="0"/>
              <w:rPr>
                <w:sz w:val="20"/>
                <w:szCs w:val="20"/>
                <w:color w:val="auto"/>
              </w:rPr>
            </w:pPr>
            <w:r>
              <w:rPr>
                <w:rFonts w:ascii="Arial" w:cs="Arial" w:eastAsia="Arial" w:hAnsi="Arial"/>
                <w:sz w:val="18"/>
                <w:szCs w:val="18"/>
                <w:color w:val="auto"/>
              </w:rPr>
              <w:t>Item 1.</w:t>
            </w:r>
          </w:p>
        </w:tc>
        <w:tc>
          <w:tcPr>
            <w:tcW w:w="93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1A.</w:t>
            </w:r>
          </w:p>
        </w:tc>
        <w:tc>
          <w:tcPr>
            <w:tcW w:w="934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1B.</w:t>
            </w:r>
          </w:p>
        </w:tc>
        <w:tc>
          <w:tcPr>
            <w:tcW w:w="934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30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Legal Proceedings</w:t>
              </w:r>
            </w:hyperlink>
          </w:p>
        </w:tc>
        <w:tc>
          <w:tcPr>
            <w:tcW w:w="800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4.</w:t>
            </w:r>
          </w:p>
        </w:tc>
        <w:tc>
          <w:tcPr>
            <w:tcW w:w="934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Arial" w:cs="Arial" w:eastAsia="Arial" w:hAnsi="Arial"/>
                <w:sz w:val="18"/>
                <w:szCs w:val="18"/>
                <w:color w:val="auto"/>
              </w:rPr>
              <w:t>Item 5.</w:t>
            </w:r>
          </w:p>
        </w:tc>
        <w:tc>
          <w:tcPr>
            <w:tcW w:w="934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Market for Registrant’s Common Equity, Related Stockholder Matters and Issuer Purchases of Equity</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6.</w:t>
            </w:r>
          </w:p>
        </w:tc>
        <w:tc>
          <w:tcPr>
            <w:tcW w:w="1720" w:type="dxa"/>
            <w:vAlign w:val="bottom"/>
            <w:gridSpan w:val="5"/>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Selected Financial Data</w:t>
              </w:r>
            </w:hyperlink>
          </w:p>
        </w:tc>
        <w:tc>
          <w:tcPr>
            <w:tcW w:w="5580" w:type="dxa"/>
            <w:vAlign w:val="bottom"/>
            <w:gridSpan w:val="12"/>
          </w:tcPr>
          <w:p>
            <w:pPr>
              <w:spacing w:after="0"/>
              <w:rPr>
                <w:sz w:val="21"/>
                <w:szCs w:val="21"/>
                <w:color w:val="auto"/>
              </w:rPr>
            </w:pPr>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8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498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9.</w:t>
            </w:r>
          </w:p>
        </w:tc>
        <w:tc>
          <w:tcPr>
            <w:tcW w:w="6480" w:type="dxa"/>
            <w:vAlign w:val="bottom"/>
            <w:gridSpan w:val="16"/>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Changes in and Disagreements with Accountants on Accounting and Financial Disclosure</w:t>
              </w:r>
            </w:hyperlink>
          </w:p>
        </w:tc>
        <w:tc>
          <w:tcPr>
            <w:tcW w:w="286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Controls and Procedures</w:t>
              </w:r>
            </w:hyperlink>
          </w:p>
        </w:tc>
        <w:tc>
          <w:tcPr>
            <w:tcW w:w="4700" w:type="dxa"/>
            <w:vAlign w:val="bottom"/>
            <w:gridSpan w:val="10"/>
          </w:tcPr>
          <w:p>
            <w:pPr>
              <w:spacing w:after="0"/>
              <w:rPr>
                <w:sz w:val="21"/>
                <w:szCs w:val="21"/>
                <w:color w:val="auto"/>
              </w:rPr>
            </w:pPr>
          </w:p>
        </w:tc>
        <w:tc>
          <w:tcPr>
            <w:tcW w:w="286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756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Directors, Executive Officers and Corporate Governance</w:t>
              </w:r>
            </w:hyperlink>
          </w:p>
        </w:tc>
        <w:tc>
          <w:tcPr>
            <w:tcW w:w="5240" w:type="dxa"/>
            <w:vAlign w:val="bottom"/>
            <w:gridSpan w:val="6"/>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1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524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1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Security Ownership of Certain Beneficial Owners and Management and Related Stockholder Matters</w:t>
              </w:r>
            </w:hyperlink>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14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14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Principal Accounting Fees and Services</w:t>
              </w:r>
            </w:hyperlink>
          </w:p>
        </w:tc>
        <w:tc>
          <w:tcPr>
            <w:tcW w:w="38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Arial" w:cs="Arial" w:eastAsia="Arial" w:hAnsi="Arial"/>
                <w:sz w:val="18"/>
                <w:szCs w:val="18"/>
                <w:color w:val="auto"/>
              </w:rPr>
              <w:t>Item 15.</w:t>
            </w:r>
          </w:p>
        </w:tc>
        <w:tc>
          <w:tcPr>
            <w:tcW w:w="9340" w:type="dxa"/>
            <w:vAlign w:val="bottom"/>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 Financial Statement Schedules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723"/>
        </w:trPr>
        <w:tc>
          <w:tcPr>
            <w:tcW w:w="148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1460" w:type="dxa"/>
            <w:vAlign w:val="bottom"/>
            <w:gridSpan w:val="3"/>
          </w:tcPr>
          <w:p>
            <w:pPr>
              <w:jc w:val="center"/>
              <w:ind w:left="1030"/>
              <w:spacing w:after="0"/>
              <w:rPr>
                <w:sz w:val="20"/>
                <w:szCs w:val="20"/>
                <w:color w:val="auto"/>
              </w:rPr>
            </w:pPr>
            <w:r>
              <w:rPr>
                <w:rFonts w:ascii="Arial" w:cs="Arial" w:eastAsia="Arial" w:hAnsi="Arial"/>
                <w:sz w:val="18"/>
                <w:szCs w:val="18"/>
                <w:color w:val="auto"/>
                <w:w w:val="99"/>
              </w:rPr>
              <w:t>1</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AngioDynamics, Inc. (together with its subsidiaries, "AngioDynamics," the "Company," "we," "our" or "us") designs, manufactures and sells a wide range of medical, surgical and diagnostic devices used by professional healthcare providers for the treatment of peripheral vascular disease, vascular access and for use in oncology and surgical settings. Our devices are generally used in minimally invasive, image-guided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AngioDynamics was founded in Queensbury, N.Y., U.S., in 1988. Queensbury was chosen due to its location in the heart of "Catheter Valley," an area in New York's Adirondack Region named for its long history of catheter and other medical device manufacturing. Initially dedicated to the research and development of products used in interventional radiology, AngioDynamics began manufacturing and shipping product in the early 1990s. The Company soon became well established as a producer of diagnostic catheters for non-coronary angiography and thrombolytic delivery systems.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grew over the following years as a result of acquisitions of companies including RITA Medical Systems in January 2007, Oncobionic in May 2008, Vortex Medical, Inc. in October 2012, Clinical Devices in August 2013, the assets of Diomed in June 2008 and the assets of Microsulis Medical Limited in January 2013. These acquisitions added product lines including market-leading ablation and NanoKnife systems, vascular access products, angiographic products and accessories, dialysis products, drainage products, thrombolytic products, embolization products, venous products and targeted renal therapy products. In May 2012, AngioDynamics acquired Navilyst Medical, bringing market-leading Fluid Management systems into our portfolio. The acquisition significantly expanded the Company's scale, doubling its share of the vascular access market while building critical mass in the peripheral vascular market.</w:t>
      </w:r>
    </w:p>
    <w:p>
      <w:pPr>
        <w:spacing w:after="0" w:line="189" w:lineRule="exact"/>
        <w:rPr>
          <w:sz w:val="20"/>
          <w:szCs w:val="20"/>
          <w:color w:val="auto"/>
        </w:rPr>
      </w:pPr>
    </w:p>
    <w:p>
      <w:pPr>
        <w:ind w:right="780" w:firstLine="324"/>
        <w:spacing w:after="0" w:line="308" w:lineRule="auto"/>
        <w:rPr>
          <w:sz w:val="20"/>
          <w:szCs w:val="20"/>
          <w:color w:val="auto"/>
        </w:rPr>
      </w:pPr>
      <w:r>
        <w:rPr>
          <w:rFonts w:ascii="Arial" w:cs="Arial" w:eastAsia="Arial" w:hAnsi="Arial"/>
          <w:sz w:val="17"/>
          <w:szCs w:val="17"/>
          <w:color w:val="auto"/>
        </w:rPr>
        <w:t>In August 2018, the Company acquired the BioSentry product line from Surgical Specialties, LLC. In September 2018, the Company acquired RadiaDyne, which consisted of the OARtrac dose monitoring technology along with endorectal and vaginal balloons.</w:t>
      </w:r>
    </w:p>
    <w:p>
      <w:pPr>
        <w:spacing w:after="0" w:line="14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On May 31, 2019, the Company completed the sale of the Fluid Management business (the “Divestiture”) and all of the assets used primarily in connection with the Fluid Management business to Medline Industries, Inc. (“Medline”) pursuant to an asset purchase agreement dated April 17, 2019 (the “Asset Purchase Agreement”).</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Headquartered in Latham, N.Y., with manufacturing primarily out of the Queensbury facility, AngioDynamics is publicly traded on the NASDAQ stock exchange under the symbol ANGO.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Our product offerings fall within three Global Business Units (GBUs): Oncology/Surgery ("OS"), Vascular Interventions and Therapies ("VIT") and Vascular Access ("VA"). All products discussed below have been cleared for sale in the United States by the Food and Drug Administration ("FDA"). International regulatory clearances vary by product and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Oncology/Surgery Products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AngioDynamics offers a range of comprehensive ablation technologies, including thermal tissue ablation systems (microwave energy and radiofrequency energy), surgical resection and the NanoKnife System, an innovative alternative to thermal ablation.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IRE Ablation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NanoKnife</w:t>
      </w:r>
      <w:r>
        <w:rPr>
          <w:rFonts w:ascii="Arial" w:cs="Arial" w:eastAsia="Arial" w:hAnsi="Arial"/>
          <w:sz w:val="25"/>
          <w:szCs w:val="25"/>
          <w:i w:val="1"/>
          <w:iCs w:val="1"/>
          <w:color w:val="auto"/>
          <w:vertAlign w:val="superscript"/>
        </w:rPr>
        <w:t>®</w:t>
      </w:r>
    </w:p>
    <w:p>
      <w:pPr>
        <w:spacing w:after="0" w:line="145" w:lineRule="exact"/>
        <w:rPr>
          <w:sz w:val="20"/>
          <w:szCs w:val="20"/>
          <w:color w:val="auto"/>
        </w:rPr>
      </w:pPr>
    </w:p>
    <w:p>
      <w:pPr>
        <w:ind w:right="5860" w:firstLine="324"/>
        <w:spacing w:after="0" w:line="276" w:lineRule="auto"/>
        <w:rPr>
          <w:sz w:val="20"/>
          <w:szCs w:val="20"/>
          <w:color w:val="auto"/>
        </w:rPr>
      </w:pPr>
      <w:r>
        <w:rPr>
          <w:rFonts w:ascii="Arial" w:cs="Arial" w:eastAsia="Arial" w:hAnsi="Arial"/>
          <w:sz w:val="16"/>
          <w:szCs w:val="16"/>
          <w:color w:val="auto"/>
        </w:rPr>
        <w:t>The NanoKnife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is an alternative to traditional thermal ablation that has received 510(k) clearance from the Food and Drug Administration for the surgical ablation of soft tissue. The NanoKnife Ablation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NanoKnife Ablation System does not achieve tissue ablation using thermal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-1172845</wp:posOffset>
            </wp:positionV>
            <wp:extent cx="2821305" cy="1406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NanoKnife Ablation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The energy delivery is hyperechoic and can be monitored under real-time ultrasound.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Microwave Ablation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Solero Microwave Tissue Ablation (MTA) System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Solero MTA System features the Solero Microwave (MW)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Generator and the specially designed Solero MW Applicators. The solid 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Solero MW Generator with a 2.45 GHz operating frequency can power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140W for optimized power delivery and fast ablations. The Solero MW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Applicator’s optimized ceramic tip diffuses MW energy nearly spherically,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its patented cooling channel with thermocouple provides real-time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monitoring to help protect non-targeted tissue during the ablation.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 the Solero MTA System offers physicians scalability with a single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applicator designed for multiple, predictable ablation volumes by varying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and wattage. Solero is a single applicator system able to complete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5 cm ablation in six (6) minutes at maximum power.</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Solero MTA System and Accessories are indicated in the U.S. for the ablation of soft tissue during open procedures. The Solero MTA System is not intended for cardiac 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Radiofrequency Ablation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StarBurst Radiofrequency Ablation Devices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Radiofrequency Ablation (RFA) products use radiofrequency energy to provide a minimally invasive approach to ablating solid cancerous or benign tumors. Our StarBurst Radiofrequency Ablation devices deliver radiofrequency energy to raise the temperature of cells above 45-50°C, causing cellular death. The physician inserts the disposable needle electrode device into the targeted body tissue, typically under ultrasound, CT or Magnetic Resonance Imaging (MRI) guidance.</w:t>
      </w:r>
    </w:p>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During the procedure, our system automatically adjusts the amount of energy delivered in order to maintain the temperature necessary to ablate the</w:t>
      </w:r>
    </w:p>
    <w:p>
      <w:pPr>
        <w:spacing w:after="0" w:line="31" w:lineRule="exact"/>
        <w:rPr>
          <w:sz w:val="20"/>
          <w:szCs w:val="20"/>
          <w:color w:val="auto"/>
        </w:rPr>
      </w:pPr>
    </w:p>
    <w:p>
      <w:pPr>
        <w:ind w:right="160"/>
        <w:spacing w:after="0" w:line="211" w:lineRule="auto"/>
        <w:rPr>
          <w:sz w:val="20"/>
          <w:szCs w:val="20"/>
          <w:color w:val="auto"/>
        </w:rPr>
      </w:pPr>
      <w:r>
        <w:rPr>
          <w:rFonts w:ascii="Arial" w:cs="Arial" w:eastAsia="Arial" w:hAnsi="Arial"/>
          <w:sz w:val="18"/>
          <w:szCs w:val="18"/>
          <w:color w:val="auto"/>
        </w:rPr>
        <w:t xml:space="preserve">targeted tissue. For a typical 5 cm ablation using our StarBurst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Xli-enhanced disposable device, the ablation process takes approximately ten minutes. The RFA system consists of a radiofrequency generator and a family of disposable devices.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5" w:name="page6"/>
    <w:bookmarkEnd w:id="5"/>
    <w:p>
      <w:pPr>
        <w:jc w:val="both"/>
        <w:ind w:right="360" w:firstLine="324"/>
        <w:spacing w:after="0" w:line="312" w:lineRule="auto"/>
        <w:rPr>
          <w:sz w:val="20"/>
          <w:szCs w:val="20"/>
          <w:color w:val="auto"/>
        </w:rPr>
      </w:pPr>
      <w:r>
        <w:rPr>
          <w:rFonts w:ascii="Arial" w:cs="Arial" w:eastAsia="Arial" w:hAnsi="Arial"/>
          <w:sz w:val="16"/>
          <w:szCs w:val="16"/>
          <w:color w:val="auto"/>
        </w:rPr>
        <w:t>In addition to thermal ablation systems and NanoKnife, AngioDynamics also offers Habib 4X Surgical Resection devices that are used in minimally invasive laparoscopic surgery procedures in surgical specialties such as Hepato-Biliary, GI, Surgical Oncology, Transplant Surgery and Urology (Partial Nephrectomy Resections). It is clinically indicated to assist in coagulation of tissue during intraoperative and laparoscopic procedures.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BioSentry Tract Sealant System</w:t>
      </w:r>
    </w:p>
    <w:p>
      <w:pPr>
        <w:spacing w:after="0" w:line="252"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The BioSentry tract sealant system deploys a self-expanding hydrogel plug into the pleural space following a percutaneous lung biopsy, creating an airtight seal that closes the pleural puncture. Depth markings provide accurate and consistent placement based on CT-guided measurements, while depth adjustment wheel and locking mechanisms ensure proper plug deployment.</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hydrogel plug is made from a synthetic tissue-friendly polymer that fully reabsorbs into the body and the co-axial adapter mates with a coaxial needle to ensure a proper fit and delivery of the plug.</w:t>
      </w:r>
    </w:p>
    <w:p>
      <w:pPr>
        <w:spacing w:after="0" w:line="170"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BioSentry Tract Sealant System is indicated for sealing pleural punctures to significantly reduce the risk of pneumothoraxes (air leaks) associated with percutaneous, transthoracic needle lung biopsies and to provide accuracy in marking a biopsy location for visualization during surgical resection.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IsoLoc Endorectal Balloon</w:t>
      </w:r>
    </w:p>
    <w:p>
      <w:pPr>
        <w:spacing w:after="0" w:line="2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IsoLoc Endorectal Balloon's unique, customer-driven design is the result of collaborations with Radiation Oncologists, Therapists and Physicists with one goal in mind - to create a new standard for endorectal balloons (ERB) in the oncology space.</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design of IsoLoc not only addresses patient comfort, but also simplifies three challenging clinical scenarios that many physicians face when using radiation therapy for and/or in relation to the prostate. First, it's gas-release tip removes rectal gas and reduces prostate motion for gaseous patients. Secondly, the structure of the ERB aids in defining the anatomy for difficult planning scenarios with post-radical patients. Lastly, IsoLoc repositions and lifts the bowel in patients that have a low-lying bowel.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Alatus Vaginal Balloon Packing System</w:t>
      </w:r>
    </w:p>
    <w:p>
      <w:pPr>
        <w:spacing w:after="0" w:line="26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Alatus was developed with the patient's comfort in mind and to assist the physician to move healthy tissue away from the radiation treatment field. Prior to Alatus, the clinician would push gauze into the vagina to move the bladder and bowel away from the radiation treatment field. Inserting gauze into the vagina can be uncomfortable before treatment and unpleasant at the end of treatment as it tends to dry out before removing.</w:t>
      </w:r>
    </w:p>
    <w:p>
      <w:pPr>
        <w:spacing w:after="0" w:line="166"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Studies have shown, relative to traditional gauze packing, Alatus offers a more comfortable procedure for the patient, reduces the need for post-procedural pain medication and moves healthy tissue away from the radiation field.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OARtrac</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OARtrac system provides real-time dose data physically delivered during many cancer treatments, thus allowing physicians to know the delivered dose. The dose information obtained during the treatment is compared with the planned dose that the Radiation Oncologist expected to provide the patient. The OARtrac System itself does not stop the radiation treatment, or change the radiation delivery, but provides dose data which the Radiation Oncologist can use to adjust a patient's treatment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Vascular Interventions and Therapies Products</w:t>
      </w:r>
    </w:p>
    <w:p>
      <w:pPr>
        <w:spacing w:after="0" w:line="2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AngioDynamics’ Vascular Interventions and Therapies product offerings support the medical areas of Venous Insufficiency, Thrombus Management, Peripheral Products (Core) and Fluid Management, which was divested on May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Thrombus Management</w:t>
      </w:r>
    </w:p>
    <w:p>
      <w:pPr>
        <w:spacing w:after="0" w:line="22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Our Thrombus Management portfolio includes the proprietary AngioVac venous drainage cannula and circuit, as well as catheter directed thrombolytic devices and Uni-Fuse infusion catheters. AngioDynamics offers a range of options when treating thrombus and removing fresh, soft thrombi or emboli.</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8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AngioVac</w:t>
      </w:r>
    </w:p>
    <w:p>
      <w:pPr>
        <w:spacing w:after="0" w:line="225" w:lineRule="exact"/>
        <w:rPr>
          <w:sz w:val="20"/>
          <w:szCs w:val="20"/>
          <w:color w:val="auto"/>
        </w:rPr>
      </w:pPr>
    </w:p>
    <w:p>
      <w:pPr>
        <w:ind w:right="5900" w:firstLine="324"/>
        <w:spacing w:after="0" w:line="271" w:lineRule="auto"/>
        <w:rPr>
          <w:sz w:val="20"/>
          <w:szCs w:val="20"/>
          <w:color w:val="auto"/>
        </w:rPr>
      </w:pPr>
      <w:r>
        <w:rPr>
          <w:rFonts w:ascii="Arial" w:cs="Arial" w:eastAsia="Arial" w:hAnsi="Arial"/>
          <w:sz w:val="17"/>
          <w:szCs w:val="17"/>
          <w:color w:val="auto"/>
        </w:rPr>
        <w:t>Our AngioVac venous drainage system includes a Venous Drainage Cannula and Extracorporeal Circuit. The cannula is indicated for use as a venous drainage cannula and for removal of fresh, soft thrombi or emboli during extracorporeal bypass. The cardiopulmonary bypass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-1111250</wp:posOffset>
            </wp:positionV>
            <wp:extent cx="2204085" cy="1080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04085" cy="108077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AngioVac venous drainage cannula is a 22 French coil-reinforced cannula designed with a balloon actuated, expandable funnel shaped distal tip. The proprietary funnel shaped tip enhances venous drainage flow when the balloon is inflated, prevents clogging of the cannula with commonly encountered undesirable intravascular material, and facilitates embolic removal of such extraneous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Thrombolytic Catheters</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Thrombolytic catheters are used to deliver thrombolytic agents, which are drugs that dissolve blood clots in hemodialysis access grafts, arteries, veins and surgical bypass grafts. AngioDynamics’ Uni-Fuse infusion catheter features pressure response outlets, a patented, time-tested slit technology that provides a consistent, even distribution of fluid volume along the entire length of the infusion pattern, resulting in a 12-fold advantage over standard side-hole catheters.¹</w:t>
      </w:r>
    </w:p>
    <w:p>
      <w:pPr>
        <w:spacing w:after="0" w:line="14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also offer the Pulse-Spray infusion system for high pressure, pulsed delivery of lytic agent to shorten treatment time, and the Speed Lyser infusion system built for dialysis grafts and fistulas.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Peripheral Products (Core)</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offer a comprehensive portfolio for minimally invasive peripheral products. Product categories include an extensive line of angiographic catheters and diagnostic and interventional guidewires, percutaneous drainage catheters and coaxial micro-introducer kits.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Angiographic Products and Accessories</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Angiographic products and accessories are used during peripheral diagnostic and interventional procedures. These products permit physicians to reach targeted locations to deliver contrast media for visualization purposes and therapeutic agents and devices, such as percutaneous transluminal angioplasty (PTA) balloons. Angiographic products consist of angiographic catheters and guidewires.</w:t>
      </w:r>
    </w:p>
    <w:p>
      <w:pPr>
        <w:spacing w:after="0" w:line="199" w:lineRule="exact"/>
        <w:rPr>
          <w:sz w:val="20"/>
          <w:szCs w:val="20"/>
          <w:color w:val="auto"/>
        </w:rPr>
      </w:pPr>
    </w:p>
    <w:p>
      <w:pPr>
        <w:ind w:left="100" w:hanging="92"/>
        <w:spacing w:after="0"/>
        <w:tabs>
          <w:tab w:leader="none" w:pos="100" w:val="left"/>
        </w:tabs>
        <w:numPr>
          <w:ilvl w:val="0"/>
          <w:numId w:val="3"/>
        </w:numPr>
        <w:rPr>
          <w:rFonts w:ascii="Arial" w:cs="Arial" w:eastAsia="Arial" w:hAnsi="Arial"/>
          <w:sz w:val="17"/>
          <w:szCs w:val="17"/>
          <w:color w:val="auto"/>
        </w:rPr>
      </w:pPr>
      <w:r>
        <w:rPr>
          <w:rFonts w:ascii="Arial" w:cs="Arial" w:eastAsia="Arial" w:hAnsi="Arial"/>
          <w:sz w:val="15"/>
          <w:szCs w:val="15"/>
          <w:color w:val="auto"/>
        </w:rPr>
        <w:t>Yusuf SW, et al. Immediate and Early Follow-up Results of Pulse Spray Thrombolysis in Patients with Peripheral Ischaemia. British Journal of Surgery 1995; 82:338-340.</w:t>
      </w: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color w:val="auto"/>
        </w:rPr>
        <w:t>Our angiographic catheter line includes the following brands, all with radiopaque tips to assure excellent visibility under fluoroscopy:</w:t>
      </w:r>
    </w:p>
    <w:p>
      <w:pPr>
        <w:spacing w:after="0" w:line="225" w:lineRule="exact"/>
        <w:rPr>
          <w:sz w:val="20"/>
          <w:szCs w:val="20"/>
          <w:color w:val="auto"/>
        </w:rPr>
      </w:pPr>
    </w:p>
    <w:p>
      <w:pPr>
        <w:ind w:left="66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Soft-Vu flush catheters are available in flush and selective varieties. Flush catheters are used in procedures where a high flow of contrast is required for “big picture” diagnostics. Anomalies discovered through a flush angiogram may require further investigation into a vessel of interest. Soft-Vu selective catheters are used to gain access to smaller or more distal vessels and advance the catheter or wire into the diseased section.</w:t>
      </w:r>
    </w:p>
    <w:p>
      <w:pPr>
        <w:ind w:left="660" w:right="72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Accu-Vu sizing catheters feature radiopaque marker bands at the distal (farthest away) portion of the catheter to provide a highly accurate measurement of the patient’s anatomy. This enables precise measurement for interventional devices (stents, filters, etc.)</w:t>
      </w:r>
    </w:p>
    <w:p>
      <w:pPr>
        <w:ind w:left="660" w:right="4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AngiOptic catheters have total catheter radiopacity, ensuring tip-to-hub visibility. This catheter is also constructed with a firm tip material that enhances stability during high-flow injections, providing excellent pushability.</w:t>
      </w:r>
    </w:p>
    <w:p>
      <w:pPr>
        <w:ind w:left="660" w:right="2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Mariner catheters have a hydrophilic coating that, when combined with water, reduces friction. This makes insertion potentially easier and more comfortable for the patient, and can also be used for advancing through tortuous anatomy.</w:t>
      </w:r>
    </w:p>
    <w:p>
      <w:pPr>
        <w:spacing w:after="0" w:line="18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AngioDynamics guidewires include Nit-Vu (featuring a kink-resistant NiTi alloy core facilitating smooth navigation through tortuous vasculature and accurate wire control) and PTFE (Polytetrafluoroethylene) Coated (fixed core and movable core) diagnostic guidewires.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AngioDynamics catheters and guidewires are available in more than 500 tip configurations and lengths.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Drainage Products</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Drainage products percutaneously drain abscesses and other fluid pockets. An abscess is a tender inflamed mass that typically must be drained by a physician. AngioDynamics offers two brands of drainage catheters for multi-purpose/general, nephrostomy and biliary drainage: Total Abscession and Exodus. Each offer features and benefits depending on case presentation and physician preferences.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 Access Kits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Micro Access sets provide interventional physicians a smaller introducer system for minimally-invasive procedures. Our Micro Access product line provides physicians with the means to choose from the wide selection of configurations, including guidewire, needle and introducer options. Two lines are available in stiff/standard, 10cm or 15cm and echogenic for visibility under ultrasound guidance: Micro Introducer Kit and Ministick Max.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Fluid Management</w:t>
      </w:r>
    </w:p>
    <w:p>
      <w:pPr>
        <w:spacing w:after="0" w:line="225" w:lineRule="exact"/>
        <w:rPr>
          <w:sz w:val="20"/>
          <w:szCs w:val="20"/>
          <w:color w:val="auto"/>
        </w:rPr>
      </w:pPr>
    </w:p>
    <w:p>
      <w:pPr>
        <w:ind w:firstLine="324"/>
        <w:spacing w:after="0" w:line="250" w:lineRule="auto"/>
        <w:rPr>
          <w:sz w:val="20"/>
          <w:szCs w:val="20"/>
          <w:color w:val="auto"/>
        </w:rPr>
      </w:pPr>
      <w:r>
        <w:rPr>
          <w:rFonts w:ascii="Arial" w:cs="Arial" w:eastAsia="Arial" w:hAnsi="Arial"/>
          <w:sz w:val="17"/>
          <w:szCs w:val="17"/>
          <w:color w:val="auto"/>
        </w:rPr>
        <w:t>Our Fluid Management product offerings include the NAMIC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Fluid Management portfolio. Since 1969, the NAMIC product line has been a leader in providing clinicians high quality, dependable devices that help in the diagnosis and treatment of cardiovascular and peripheral vascular disease. The NAMIC product line includes an extensive offering of manifolds, contrast management systems, closed fluid systems, guidewires, disposable transducers and interventional accessories. These devices are utilized together and allow clinicians to aspirate or inject contrast, saline, remove waste and monitor invasive blood pressures throughout the procedure. This business was divested on May 31,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Venous Insufficiency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VenaCure EVLT laser system</w:t>
      </w:r>
    </w:p>
    <w:p>
      <w:pPr>
        <w:spacing w:after="0" w:line="225" w:lineRule="exact"/>
        <w:rPr>
          <w:sz w:val="20"/>
          <w:szCs w:val="20"/>
          <w:color w:val="auto"/>
        </w:rPr>
      </w:pPr>
    </w:p>
    <w:p>
      <w:pPr>
        <w:ind w:right="5700" w:firstLine="162"/>
        <w:spacing w:after="0" w:line="271" w:lineRule="auto"/>
        <w:rPr>
          <w:sz w:val="20"/>
          <w:szCs w:val="20"/>
          <w:color w:val="auto"/>
        </w:rPr>
      </w:pPr>
      <w:r>
        <w:rPr>
          <w:rFonts w:ascii="Arial" w:cs="Arial" w:eastAsia="Arial" w:hAnsi="Arial"/>
          <w:sz w:val="17"/>
          <w:szCs w:val="17"/>
          <w:color w:val="auto"/>
        </w:rPr>
        <w:t>Our VenaCure EVLT (endovenous laser treatment)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ulcerations. VenaCure EVLT uses laser energy to stop the reflux by ablating (collapsing and destroying) the affected vein. Blood is then re-routed to other healthy veins.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-1111250</wp:posOffset>
            </wp:positionV>
            <wp:extent cx="2761615" cy="135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161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800" w:right="359" w:bottom="1440" w:gutter="0" w:footer="0" w:header="0"/>
        </w:sectPr>
      </w:pPr>
    </w:p>
    <w:bookmarkStart w:id="8" w:name="page9"/>
    <w:bookmarkEnd w:id="8"/>
    <w:p>
      <w:pPr>
        <w:ind w:right="140" w:firstLine="324"/>
        <w:spacing w:after="0" w:line="277" w:lineRule="auto"/>
        <w:rPr>
          <w:sz w:val="20"/>
          <w:szCs w:val="20"/>
          <w:color w:val="auto"/>
        </w:rPr>
      </w:pPr>
      <w:r>
        <w:rPr>
          <w:rFonts w:ascii="Arial" w:cs="Arial" w:eastAsia="Arial" w:hAnsi="Arial"/>
          <w:sz w:val="18"/>
          <w:szCs w:val="18"/>
          <w:color w:val="auto"/>
        </w:rPr>
        <w:t>The procedure is minimally invasive and generally takes less than an hour, allowing the patient to quickly return to normal activities with minimal post-operative pain.</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VenaCure EVLT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 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VenaCure EVLT system comes with a comprehensive physician training program and extensive marketing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Asclera (polidocanol) Injection</w:t>
      </w:r>
    </w:p>
    <w:p>
      <w:pPr>
        <w:spacing w:after="0" w:line="225"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Asclera (polidocanol) injection is the only FDA-approved sclerosant with an indication to treat uncomplicated spider veins and uncomplicated reticular veins in the lower extremity. AngioDynamics distributes Asclera through a global agreement with the manufacturer and their distributor. The agreement to sell the Asclera product was terminated in April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Vascular Access Products</w:t>
      </w:r>
    </w:p>
    <w:p>
      <w:pPr>
        <w:spacing w:after="0" w:line="229"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Our portfolio of Vascular Access products includes a broad offering of peripherally inserted central catheters (PICCs), midline catheters, implantable ports, dialysis catheters and related accessories and supplies. These products are used to deliver, primarily, short-term drug therapies, such as chemotherapeutic agents and antibiotics, into the central venous system. Delivery to the circulatory system allows drugs to mix with a large volume of blood as compared to intravenous drug delivery into a superficial vessel. Our Vascular Access product family also includes the proprietary BioFlo catheter.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BioFlo</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41275</wp:posOffset>
            </wp:positionV>
            <wp:extent cx="2821305" cy="1406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1406525"/>
                    </a:xfrm>
                    <a:prstGeom prst="rect">
                      <a:avLst/>
                    </a:prstGeom>
                    <a:noFill/>
                  </pic:spPr>
                </pic:pic>
              </a:graphicData>
            </a:graphic>
          </wp:anchor>
        </w:drawing>
      </w:r>
    </w:p>
    <w:p>
      <w:pPr>
        <w:spacing w:after="0" w:line="125" w:lineRule="exact"/>
        <w:rPr>
          <w:sz w:val="20"/>
          <w:szCs w:val="20"/>
          <w:color w:val="auto"/>
        </w:rPr>
      </w:pPr>
    </w:p>
    <w:p>
      <w:pPr>
        <w:ind w:right="5940" w:firstLine="324"/>
        <w:spacing w:after="0" w:line="287" w:lineRule="auto"/>
        <w:rPr>
          <w:sz w:val="20"/>
          <w:szCs w:val="20"/>
          <w:color w:val="auto"/>
        </w:rPr>
      </w:pPr>
      <w:r>
        <w:rPr>
          <w:rFonts w:ascii="Arial" w:cs="Arial" w:eastAsia="Arial" w:hAnsi="Arial"/>
          <w:sz w:val="16"/>
          <w:szCs w:val="16"/>
          <w:color w:val="auto"/>
        </w:rPr>
        <w:t>AngioDynamics offers BioFlo, the only catheter on the market with Endexo Technology, a material more resistant to thrombus 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BioFlo’s long-term durability and efficacy is intended to provide clinicians a high degree of safety and confidence in providing better patient care and improved patient outcomes. BioFlo catheters are available across the Vascular Access family of products, including PICCs, midlines, ports and dialysis catheters.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PICCs</w:t>
      </w:r>
    </w:p>
    <w:p>
      <w:pPr>
        <w:spacing w:after="0" w:line="225"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A peripherally inserted central catheter, or PICC, is a long thin catheter that is inserted into a peripheral vein, typically in the upper arm, and advanced until the catheter tip terminates in a large vein in the chest near the heart to obtain intravenous access. PICCs can typically be used for prolonged periods of time and provide an alternative to central venous catheters. Our PICC product offerings include:</w:t>
      </w:r>
    </w:p>
    <w:p>
      <w:pPr>
        <w:spacing w:after="0" w:line="181" w:lineRule="exact"/>
        <w:rPr>
          <w:sz w:val="20"/>
          <w:szCs w:val="20"/>
          <w:color w:val="auto"/>
        </w:rPr>
      </w:pPr>
    </w:p>
    <w:p>
      <w:pPr>
        <w:ind w:left="660" w:right="60" w:hanging="328"/>
        <w:spacing w:after="0" w:line="21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BioFlo</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PICC</w:t>
      </w:r>
      <w:r>
        <w:rPr>
          <w:rFonts w:ascii="Arial" w:cs="Arial" w:eastAsia="Arial" w:hAnsi="Arial"/>
          <w:sz w:val="17"/>
          <w:szCs w:val="17"/>
          <w:color w:val="auto"/>
        </w:rPr>
        <w:t>: Our BioFlo line is the only power injectable PICC available that incorporates Endexo Technology into the manufacturing and design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catheter. Advanced features such as large lumen diameters allow the BioFlo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PICC to deliver the power injection flow rates required for contrast-enhanced Computed Tomography (CT) scans compatible with up to 325 psi CT injections.</w:t>
      </w:r>
    </w:p>
    <w:p>
      <w:pPr>
        <w:spacing w:after="0" w:line="2" w:lineRule="exact"/>
        <w:rPr>
          <w:rFonts w:ascii="Arial" w:cs="Arial" w:eastAsia="Arial" w:hAnsi="Arial"/>
          <w:sz w:val="17"/>
          <w:szCs w:val="17"/>
          <w:color w:val="auto"/>
        </w:rPr>
      </w:pPr>
    </w:p>
    <w:p>
      <w:pPr>
        <w:ind w:left="660" w:right="620" w:hanging="328"/>
        <w:spacing w:after="0" w:line="20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BioFlo</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Midline: </w:t>
      </w:r>
      <w:r>
        <w:rPr>
          <w:rFonts w:ascii="Arial" w:cs="Arial" w:eastAsia="Arial" w:hAnsi="Arial"/>
          <w:sz w:val="18"/>
          <w:szCs w:val="18"/>
          <w:color w:val="auto"/>
        </w:rPr>
        <w:t>The BioFlo Midline Catheter is an effective solution to preserving a patient’s peripheral access. It provides a cost-effective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alternative to multiple IV site rotations for patients who need short-term venous access.</w:t>
      </w:r>
    </w:p>
    <w:p>
      <w:pPr>
        <w:spacing w:after="0" w:line="1" w:lineRule="exact"/>
        <w:rPr>
          <w:rFonts w:ascii="Arial" w:cs="Arial" w:eastAsia="Arial" w:hAnsi="Arial"/>
          <w:sz w:val="18"/>
          <w:szCs w:val="18"/>
          <w:color w:val="auto"/>
        </w:rPr>
      </w:pPr>
    </w:p>
    <w:p>
      <w:pPr>
        <w:ind w:left="660" w:hanging="328"/>
        <w:spacing w:after="0" w:line="1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Xcela PICC</w:t>
      </w:r>
      <w:r>
        <w:rPr>
          <w:rFonts w:ascii="Arial" w:cs="Arial" w:eastAsia="Arial" w:hAnsi="Arial"/>
          <w:sz w:val="18"/>
          <w:szCs w:val="18"/>
          <w:color w:val="auto"/>
        </w:rPr>
        <w:t>: The Xcela</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PICC line is designed to provide a high degree of safety, ease and confidence in patient care. Advanced features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large lumen diameters allow the Xcela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PICC to deliver the power injection flow rates required for contrast-enhanced CTs compatible with up to 325 psi CT injections.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ind w:left="660" w:right="20" w:hanging="328"/>
        <w:spacing w:after="0" w:line="21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PASV</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Valve Technology: </w:t>
      </w:r>
      <w:r>
        <w:rPr>
          <w:rFonts w:ascii="Arial" w:cs="Arial" w:eastAsia="Arial" w:hAnsi="Arial"/>
          <w:sz w:val="18"/>
          <w:szCs w:val="18"/>
          <w:color w:val="auto"/>
        </w:rPr>
        <w:t>The PASV</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Valve Technology is available in both BioFlo and Xcela lines and is designed to automatically resist backflow</w:t>
      </w:r>
      <w:r>
        <w:rPr>
          <w:rFonts w:ascii="Arial" w:cs="Arial" w:eastAsia="Arial" w:hAnsi="Arial"/>
          <w:sz w:val="18"/>
          <w:szCs w:val="18"/>
          <w:i w:val="1"/>
          <w:iCs w:val="1"/>
          <w:color w:val="auto"/>
        </w:rPr>
        <w:t xml:space="preserve"> </w:t>
      </w:r>
      <w:r>
        <w:rPr>
          <w:rFonts w:ascii="Arial" w:cs="Arial" w:eastAsia="Arial" w:hAnsi="Arial"/>
          <w:sz w:val="18"/>
          <w:szCs w:val="18"/>
          <w:color w:val="auto"/>
        </w:rPr>
        <w:t>and reduce blood reflux that could lead to catheter-related complications.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spacing w:after="0" w:line="193" w:lineRule="exact"/>
        <w:rPr>
          <w:sz w:val="20"/>
          <w:szCs w:val="20"/>
          <w:color w:val="auto"/>
        </w:rPr>
      </w:pPr>
    </w:p>
    <w:p>
      <w:pPr>
        <w:ind w:left="660" w:right="140" w:hanging="328"/>
        <w:spacing w:after="0" w:line="22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BioFlo</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Port</w:t>
      </w:r>
      <w:r>
        <w:rPr>
          <w:rFonts w:ascii="Arial" w:cs="Arial" w:eastAsia="Arial" w:hAnsi="Arial"/>
          <w:sz w:val="18"/>
          <w:szCs w:val="18"/>
          <w:color w:val="auto"/>
        </w:rPr>
        <w:t>: Our BioFlo Port is the only port available that features a catheter with Endexo Technology. Advanced features of the BioFlo Port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multiple profile and catheter options, a large septum area for ease of access and the ability to administer contrast through a CT injection for purposes of imaging.</w:t>
      </w:r>
    </w:p>
    <w:p>
      <w:pPr>
        <w:spacing w:after="0" w:line="2"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SmartPort</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The Smart Port power-injectable port with Vortex technology offers the ability for a clinician to access a vein for both the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medications or fluids and for administering power-injected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 Port is available in mini and low-profiles to accommodate more patient anatomies.</w:t>
      </w:r>
    </w:p>
    <w:p>
      <w:pPr>
        <w:spacing w:after="0" w:line="2" w:lineRule="exact"/>
        <w:rPr>
          <w:rFonts w:ascii="Arial" w:cs="Arial" w:eastAsia="Arial" w:hAnsi="Arial"/>
          <w:sz w:val="16"/>
          <w:szCs w:val="16"/>
          <w:color w:val="auto"/>
        </w:rPr>
      </w:pPr>
    </w:p>
    <w:p>
      <w:pPr>
        <w:ind w:left="660" w:right="320" w:hanging="328"/>
        <w:spacing w:after="0" w:line="22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Vortex</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Vortex port technology line of ports is a clear-flow port technology that, we believe, revolutionized port design. With its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chamber, the Vortex port is designed to have no sludge-harboring corners or dead spaces. This product line consists of titanium, plastic and dual-lumen offerings.</w:t>
      </w:r>
    </w:p>
    <w:p>
      <w:pPr>
        <w:spacing w:after="0" w:line="2" w:lineRule="exact"/>
        <w:rPr>
          <w:rFonts w:ascii="Arial" w:cs="Arial" w:eastAsia="Arial" w:hAnsi="Arial"/>
          <w:sz w:val="18"/>
          <w:szCs w:val="18"/>
          <w:color w:val="auto"/>
        </w:rPr>
      </w:pPr>
    </w:p>
    <w:p>
      <w:pPr>
        <w:ind w:left="660" w:right="380" w:hanging="328"/>
        <w:spacing w:after="0" w:line="20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PASV</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Valve Technology: </w:t>
      </w:r>
      <w:r>
        <w:rPr>
          <w:rFonts w:ascii="Arial" w:cs="Arial" w:eastAsia="Arial" w:hAnsi="Arial"/>
          <w:sz w:val="18"/>
          <w:szCs w:val="18"/>
          <w:color w:val="auto"/>
        </w:rPr>
        <w:t>The PASV</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Valve Technology is designed to automatically resist backflow and reduce blood reflux that could lead to</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catheter-related complications.</w:t>
      </w:r>
    </w:p>
    <w:p>
      <w:pPr>
        <w:spacing w:after="0" w:line="1" w:lineRule="exact"/>
        <w:rPr>
          <w:rFonts w:ascii="Arial" w:cs="Arial" w:eastAsia="Arial" w:hAnsi="Arial"/>
          <w:sz w:val="18"/>
          <w:szCs w:val="18"/>
          <w:color w:val="auto"/>
        </w:rPr>
      </w:pPr>
    </w:p>
    <w:p>
      <w:pPr>
        <w:ind w:left="660" w:right="40" w:hanging="328"/>
        <w:spacing w:after="0" w:line="20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LifeGuard</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LifeGuard Safety Infusion Set and The LifeGuard Vision are used to infuse our ports and complement our port and vascular access</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catheters. The needles’ low profile design is intended to allow clinicians to easily dress the site.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Dialysis Products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market a complete line of dialysis products that provide short and long-term vascular access for dialysis patients. Dialysis, or cleaning of the blood, is necessary in conditions such as acute renal failure, chronic renal failure and end-stage renal disease (ESRD). We currently offer a variety of dialysis catheters, including:</w:t>
      </w:r>
    </w:p>
    <w:p>
      <w:pPr>
        <w:spacing w:after="0" w:line="181" w:lineRule="exact"/>
        <w:rPr>
          <w:sz w:val="20"/>
          <w:szCs w:val="20"/>
          <w:color w:val="auto"/>
        </w:rPr>
      </w:pPr>
    </w:p>
    <w:p>
      <w:pPr>
        <w:ind w:left="660" w:right="140" w:hanging="328"/>
        <w:spacing w:after="0" w:line="22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BioFlo</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DuraMax</w:t>
      </w:r>
      <w:r>
        <w:rPr>
          <w:rFonts w:ascii="Arial" w:cs="Arial" w:eastAsia="Arial" w:hAnsi="Arial"/>
          <w:sz w:val="18"/>
          <w:szCs w:val="18"/>
          <w:color w:val="auto"/>
        </w:rPr>
        <w:t>: Our BioFlo DuraMax is the only dialysis catheter with Endexo Technology. Advanced features of the BioFlo DuraMax dialysis</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 include large inner diameter lumens designed for long term patency, a proprietary guidewire lumen to facilitate catheter exchanges and Curved Tip Technology that allows the catheter to self-center in the Superior Vena Cava (SVC).</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DuraMax</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DuraMax catheter is a stepped-tip catheter designed to improve ease of use, dialysis efficiency and overall patient outcomes.</w:t>
      </w:r>
    </w:p>
    <w:p>
      <w:pPr>
        <w:spacing w:after="0" w:line="142"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 xml:space="preserve">In addition, AngioDynamics also offers other renal therapies, including </w:t>
      </w:r>
      <w:r>
        <w:rPr>
          <w:rFonts w:ascii="Arial" w:cs="Arial" w:eastAsia="Arial" w:hAnsi="Arial"/>
          <w:sz w:val="16"/>
          <w:szCs w:val="16"/>
          <w:i w:val="1"/>
          <w:iCs w:val="1"/>
          <w:color w:val="auto"/>
        </w:rPr>
        <w:t>DuraFlow™ Chronic Hemodialysis Catheter,</w:t>
      </w:r>
      <w:r>
        <w:rPr>
          <w:rFonts w:ascii="Arial" w:cs="Arial" w:eastAsia="Arial" w:hAnsi="Arial"/>
          <w:sz w:val="16"/>
          <w:szCs w:val="16"/>
          <w:color w:val="auto"/>
        </w:rPr>
        <w:t xml:space="preserve"> Schon Chronic Hemodialysis Catheter, EVENMORE Chronic Hemodialysis Catheter, EMBOSAFE™ Valved, Splitable Sheath Dilator and Perchik™ Button Suture Retention Device.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Our growth depends in large part on the continuous introduction of new and innovative products, together with ongoing enhancements to our existing products. This happens through internal product development, technology licensing and strategic alliances. We recognize the importance of, and intend to continue to make investments in, research and development (R&amp;D).</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spacing w:after="0" w:line="16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primary device competitors include: Boston Scientific Corporation; Cook Medical; Medical Components, Inc. (Medcomp); TeleFlex Medical; BD Medical Technology; Smiths Medical, a subsidiary of Smiths Group plc; Medtronic; Merit Medical; Terumo Medical Corporation; Johnson and Johnson and Total Vein Systems.</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outside parties, and maintain sufficient inventory to meet customer demand.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w:t>
      </w:r>
    </w:p>
    <w:p>
      <w:pPr>
        <w:spacing w:after="0" w:line="18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focus our sales and marketing efforts on interventional radiologists, interventional cardiologists, vascular surgeons, urologists, interventional and surgical oncologists and critical care nurses.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manufacture certain proprietary components and products and then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own two primary manufacturing properties providing capabilities which include manufacturing, service, engineering and research, distribution warehouses and offices. These facilities are registered with the FDA and have been certified to ISO 13485 standards, as well as the CMD/CAS Canadian Medical Device Regulations. ISO 13485 is a quality system standard that satisfies European Union regulatory requirements, thus allowing us to market and sell our products in European Union countries. Our manufacturing facilities are subject to periodic inspections by regulatory authorities to ensure compliance with domestic and non-U.S. regulatory requirements. See “Government Regulation” section of this report for additional information. See Item 2 "Properties" for details on each manufacturing location.</w:t>
      </w:r>
    </w:p>
    <w:p>
      <w:pPr>
        <w:spacing w:after="0" w:line="19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February 2017, we announced the consolidation of our global operations into two facilities located in New York State. Operations in our Denmead, U.K. and Manchester, GA. manufacturing facilities were consolidated into the Glens Falls and Queensbury, NY facilities during fiscal year 2018. On May 31, 2019, the Company completed the sale of the Fluid Management business which included one of the two Glens Falls, NY manufacturing facilities. As of June 1, 2019, the Company will manufacture most of its product from the Queensbury, NY facility and one small facility in Glens Falls, 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we ship the majority of products within 24-48 hours of receiving an order, and accordingly our backlog is not significant.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Patents, trademarks and other proprietary rights are very important to our business. We also rely upon trade secrets, manufacturing know-how, technological innovations and licensing opportunities to maintain and improve our competitive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0" w:right="259" w:bottom="1440" w:gutter="0" w:footer="0" w:header="0"/>
        </w:sectPr>
      </w:pPr>
    </w:p>
    <w:bookmarkStart w:id="11" w:name="page12"/>
    <w:bookmarkEnd w:id="11"/>
    <w:p>
      <w:pPr>
        <w:ind w:right="120"/>
        <w:spacing w:after="0" w:line="277" w:lineRule="auto"/>
        <w:rPr>
          <w:sz w:val="20"/>
          <w:szCs w:val="20"/>
          <w:color w:val="auto"/>
        </w:rPr>
      </w:pPr>
      <w:r>
        <w:rPr>
          <w:rFonts w:ascii="Arial" w:cs="Arial" w:eastAsia="Arial" w:hAnsi="Arial"/>
          <w:sz w:val="18"/>
          <w:szCs w:val="18"/>
          <w:color w:val="auto"/>
        </w:rPr>
        <w:t>position. We regularly monitor and review third-party proprietary rights, including patents and patent applications, as available, to aid in the development of our intellectual property strategy, avoid infringement of third-party proprietary rights, and identify licensing opportunities.</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owns an extensive portfolio of patents and patent applications in the United States and in certain foreign countries. The portfolio also includes exclusive licenses to third party patents and applications.</w:t>
      </w:r>
    </w:p>
    <w:p>
      <w:pPr>
        <w:spacing w:after="0" w:line="170"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Most of our products are sold under the AngioDynamics trade name or trademark. Additionally, products are sold under product trademarks and/or registered product trademarks owned by AngioDynamics, Inc., or an affiliate or subsidiary. Some products contain trademarks of companies other than AngioDynamics.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Part I. Item 3 of this report for additional details on litigation regarding proprietary technology.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those products.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of this report and Note 17 to the consolidated financial statements in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products we manufacture and market are subject to regulation by the Food and Drug Administration (FDA) under the Federal Food, Drug, and Cosmetic Act, or FDCA, and international regulations to our specific target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 FDA Regulation</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Before a new medical device can be introduced into the market, a manufacturer generally must obtain marketing clearance or approval from the FDA through either a 510(k) submission (a premarket notification) or a premarket approval application (PMA).</w:t>
      </w:r>
    </w:p>
    <w:p>
      <w:pPr>
        <w:spacing w:after="0" w:line="1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510(k) procedure is available only in particular circumstances. The 510(k) clearance procedure is available only if a manufacturer can establish that its device is “substantially equivalent” in intended use and in safety and effectiveness to a “predicate device,” which is a legally marketed device with 510(k) clearance in class I or II or preamendment status based upon products commercially distributed on or before May 28, 1976.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new or modified device products. If a device cannot demonstrate substantial equivalence, it may be subject to either a de novo submission or a PMA.</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PMA application procedure is more comprehensive than the 510(k) procedure and typically takes more time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a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our products have been introduced into the market using the 510(k) procedure.</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process of FDA submissions requires extensive and expensive validations and testing. The financial outlay for this is large and requires a significant amount of time. Recent changes in both regulations and FDA perspectives have increased both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84" w:right="279" w:bottom="1440" w:gutter="0" w:footer="0" w:header="0"/>
        </w:sectPr>
      </w:pPr>
    </w:p>
    <w:bookmarkStart w:id="12" w:name="page13"/>
    <w:bookmarkEnd w:id="12"/>
    <w:p>
      <w:pPr>
        <w:ind w:right="360"/>
        <w:spacing w:after="0" w:line="279" w:lineRule="auto"/>
        <w:rPr>
          <w:sz w:val="20"/>
          <w:szCs w:val="20"/>
          <w:color w:val="auto"/>
        </w:rPr>
      </w:pPr>
      <w:r>
        <w:rPr>
          <w:rFonts w:ascii="Arial" w:cs="Arial" w:eastAsia="Arial" w:hAnsi="Arial"/>
          <w:sz w:val="17"/>
          <w:szCs w:val="17"/>
          <w:color w:val="auto"/>
        </w:rPr>
        <w:t>time and testing requirements, which have caused significant delays and increased costs for approvals. The parameters for increased testing have and will continue to cause severe delays. The increased focus by the FDA on such issues as chemical identification of all colorants, non-acceptance of certain colorants (certain forms of carbon black) and other concerns, continue to cause problems and delays. In addition, changes to existing products call into question previously approved devices and result in additional costs for testing and material analysis.</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devices manufactured by us are also subject to the QSR, which imposes elaborate testing, control, documentation and other quality assurance procedures. Every phase of production, including raw materials, components and subassembly, manufacturing, testing, quality control, labeling, tracing of consignees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Penalties for failure to maintain compliance to the QSR include warning letters and potentially consent decrees. Failure to maintain the QSR appropriately could result in the development of further warning letters. In addition, non-compliance with applicable FDA requirements can result in, among other things, fines, injunctions, civil penalties, recall or seizure of products, total or partial suspension of production, failure of the FDA to grant marketing approvals, withdrawal of marketing approvals, a recommendation by the FDA to disallow us to enter into government contracts, and criminal prosecutions. The FDA also has the authority to request repair, replacement or refund of the cost of any device manufactured or distributed by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U.S. Regulatory Bodies</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and our products are subject to a variety of state and local laws in those jurisdictions where our products are, or will be, marketed. We and our products are also subject to a variety of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Regulation</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Internationally, all of our current products are considered medical devices under applicable regulatory regimes, and we anticipate that this will be true for all of our future products. Sales of medical devices are subject to regulatory requirements in many countries. The regulatory review process may vary greatly from country to country. For example, the European Union has a dedicated set of regulations regarding medical devices, specifically regulating their design, manufacturing, clinical trials, labeling and adverse event reporting. Devices that comply with those requirements are entitled to bear a Conformité Européenne, or CE Mark, indicating that the device conforms to the essential requirements of the applicable directives and can be commercially distributed in countries that are members of the European Union. Similar regulations are in place for Canada, Japan, China and most other countries.</w:t>
      </w:r>
    </w:p>
    <w:p>
      <w:pPr>
        <w:spacing w:after="0" w:line="16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170"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8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The process of obtaining approval to distribute medical products is costly and time-consuming in virtually all the major markets where we sell medical devices. We cannot assure that any new medical devices we develop will be approved in a timely or cost-effective manner or approved at all. There can be no assurance that new laws or regulations regarding the release or sale of medical devices will not delay or prevent sale of our current or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THIRD-PARTY REIMBURSEMENT AND ANTI-FRAUD AND CORRUPT PRACTICES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conjunction with the Medicare and Medicaid programs, as well as the government’s interest in regulating the quality and cost of health care. Foreign governments also impose regulations in conjunction with their health care reimbursement programs and the delivery of health care items and services.</w:t>
      </w:r>
    </w:p>
    <w:p>
      <w:pPr>
        <w:spacing w:after="0" w:line="171"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including or rewarding referrals of items or services reimbursable by a federal health care program;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w:t>
      </w:r>
    </w:p>
    <w:p>
      <w:pPr>
        <w:spacing w:after="0" w:line="229" w:lineRule="exact"/>
        <w:rPr>
          <w:sz w:val="20"/>
          <w:szCs w:val="20"/>
          <w:color w:val="auto"/>
        </w:rPr>
      </w:pPr>
    </w:p>
    <w:p>
      <w:pPr>
        <w:jc w:val="both"/>
        <w:ind w:right="240" w:firstLine="324"/>
        <w:spacing w:after="0" w:line="276" w:lineRule="auto"/>
        <w:rPr>
          <w:sz w:val="20"/>
          <w:szCs w:val="20"/>
          <w:color w:val="auto"/>
        </w:rPr>
      </w:pPr>
      <w:r>
        <w:rPr>
          <w:rFonts w:ascii="Arial" w:cs="Arial" w:eastAsia="Arial" w:hAnsi="Arial"/>
          <w:sz w:val="17"/>
          <w:szCs w:val="17"/>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U.S., we generally rely on our distributors to obtain reimbursement approval in the countries in which they will sell our products. There can be no assurance that reimbursement approvals will be received.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Our operations are also subject to laws and regulations related to occupational health and safety. We maintain safety, training and maintenance programs as part of our ongoing efforts to ensure compliance with applicable laws and regulations.</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As of May 31, 2019, we had approximately 1,050 full time employees. As a result of the Fluid Management divestiture, on June 1, 2019 we had approximately 750 full time employees. None of our employees are represented by a labor union and we have never experienced a work stoppage.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certain information with respect to our executive officers.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Age</w:t>
            </w:r>
          </w:p>
        </w:tc>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264"/>
        </w:trPr>
        <w:tc>
          <w:tcPr>
            <w:tcW w:w="2180" w:type="dxa"/>
            <w:vAlign w:val="bottom"/>
            <w:gridSpan w:val="2"/>
          </w:tcPr>
          <w:p>
            <w:pPr>
              <w:spacing w:after="0"/>
              <w:rPr>
                <w:sz w:val="20"/>
                <w:szCs w:val="20"/>
                <w:color w:val="auto"/>
              </w:rPr>
            </w:pPr>
            <w:r>
              <w:rPr>
                <w:rFonts w:ascii="Arial" w:cs="Arial" w:eastAsia="Arial" w:hAnsi="Arial"/>
                <w:sz w:val="18"/>
                <w:szCs w:val="18"/>
                <w:color w:val="auto"/>
              </w:rPr>
              <w:t>James C. Clemmer</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55</w:t>
            </w:r>
          </w:p>
        </w:tc>
        <w:tc>
          <w:tcPr>
            <w:tcW w:w="420" w:type="dxa"/>
            <w:vAlign w:val="bottom"/>
          </w:tcPr>
          <w:p>
            <w:pPr>
              <w:spacing w:after="0"/>
              <w:rPr>
                <w:sz w:val="22"/>
                <w:szCs w:val="22"/>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Michael C. Greiner</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46</w:t>
            </w:r>
          </w:p>
        </w:tc>
        <w:tc>
          <w:tcPr>
            <w:tcW w:w="42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Stephen A. Trowbridge</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45</w:t>
            </w:r>
          </w:p>
        </w:tc>
        <w:tc>
          <w:tcPr>
            <w:tcW w:w="42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Senior Vice President and General Counsel</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David D. Helsel</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55</w:t>
            </w:r>
          </w:p>
        </w:tc>
        <w:tc>
          <w:tcPr>
            <w:tcW w:w="42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Senior Vice President Global Operations</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Warren G. Nighan</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50</w:t>
            </w:r>
          </w:p>
        </w:tc>
        <w:tc>
          <w:tcPr>
            <w:tcW w:w="42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Senior Vice President Quality and Regulatory Affairs</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Benjamin H. Davis</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54</w:t>
            </w:r>
          </w:p>
        </w:tc>
        <w:tc>
          <w:tcPr>
            <w:tcW w:w="42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Senior Vice President Business Development</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Chad T. Campbell</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49</w:t>
            </w:r>
          </w:p>
        </w:tc>
        <w:tc>
          <w:tcPr>
            <w:tcW w:w="42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Senior Vice President and General Manager, Vascular Access</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Brent J. Boucher</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52</w:t>
            </w:r>
          </w:p>
        </w:tc>
        <w:tc>
          <w:tcPr>
            <w:tcW w:w="42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Senior Vice President and General Manager, Oncology/Surgery</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Robert A. Simpson</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47</w:t>
            </w:r>
          </w:p>
        </w:tc>
        <w:tc>
          <w:tcPr>
            <w:tcW w:w="42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w w:val="89"/>
              </w:rPr>
              <w:t>Senior Vice President and General Manager, Vascular Interventions and Therapies</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Kim L. Seabury</w:t>
            </w:r>
          </w:p>
        </w:tc>
        <w:tc>
          <w:tcPr>
            <w:tcW w:w="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52</w:t>
            </w:r>
          </w:p>
        </w:tc>
        <w:tc>
          <w:tcPr>
            <w:tcW w:w="42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Senior Vice President, Information Technology</w:t>
            </w:r>
          </w:p>
        </w:tc>
      </w:tr>
    </w:tbl>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James C. Clemmer </w:t>
      </w:r>
      <w:r>
        <w:rPr>
          <w:rFonts w:ascii="Arial" w:cs="Arial" w:eastAsia="Arial" w:hAnsi="Arial"/>
          <w:sz w:val="18"/>
          <w:szCs w:val="18"/>
          <w:color w:val="auto"/>
        </w:rPr>
        <w:t>became our President and Chief Executive Officer in April 2016. Prior to joining AngioDynamics, Mr. Clemmer served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$1.8 billion medical supplies segment at Covidien plc. where he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where he managed the U.S. business across five divisions and built the strategic plan for the medical supplies segment before it was spun off from Tyco. Mr. Clemmer began his career at Sage Products, Inc. Mr. Clemmer currently serves on the Board of Directors for AngioDynamics and Lantheus Medical Imaging. Mr. Clemmer is a graduate of the Massachusetts College of Liberal Arts, where he served as interim president from August 2015 until March 2016.</w:t>
      </w:r>
    </w:p>
    <w:p>
      <w:pPr>
        <w:spacing w:after="0" w:line="19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Michael C. Greiner </w:t>
      </w:r>
      <w:r>
        <w:rPr>
          <w:rFonts w:ascii="Arial" w:cs="Arial" w:eastAsia="Arial" w:hAnsi="Arial"/>
          <w:sz w:val="17"/>
          <w:szCs w:val="17"/>
          <w:color w:val="auto"/>
        </w:rPr>
        <w:t>joined AngioDynamics as the Executive Vice President and Chief Financial Officer in August 2016. Mr. Greiner most recently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Chief Financial Officer at Extreme Reach. Prior to Extreme Reach, Mr. Greiner served as Senior Vice President Corporate Finance and Chief Accounting Officer at Cimpress N.V. (Vistaprint N.V.), Global Controller for GE’s Water and Processing Technologies division and in leadership roles at Bausch &amp; Lomb and Wyeth. Mr. Greiner is also an advisor for Mirah, Inc., a measurement-based behavioral health Company, and serves as the President of the Foundation for Faces of Children. Mr. Greiner received a Bachelor and Master of Science in Accounting from Fairleigh Dickinson University and Master of Business Administration from the Columbia Business School. Mr. Greiner is also a Certified Public Accountant (inactive).</w:t>
      </w:r>
    </w:p>
    <w:p>
      <w:pPr>
        <w:spacing w:after="0" w:line="17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 xml:space="preserve">Stephen A. Trowbridge </w:t>
      </w:r>
      <w:r>
        <w:rPr>
          <w:rFonts w:ascii="Arial" w:cs="Arial" w:eastAsia="Arial" w:hAnsi="Arial"/>
          <w:sz w:val="16"/>
          <w:szCs w:val="16"/>
          <w:color w:val="auto"/>
        </w:rPr>
        <w:t>joined AngioDynamics as corporate counsel in June 2008, becoming our Vice President and General Counsel in June 2010 and</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and General Counsel in August 2013. Mr. Trowbridge manages AngioDynamics’ legal matters, including corporate governance, mergers and acquisitions, finance, securities regulation, litigation, regulatory matters, intellectual property and compliance. Mr. Trowbridge also oversees the Company’s clinical affairs and healthcare economics departments. Prior to AngioDynamics, Mr. Trowbridge served as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spacing w:after="0" w:line="16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David D. Helsel </w:t>
      </w:r>
      <w:r>
        <w:rPr>
          <w:rFonts w:ascii="Arial" w:cs="Arial" w:eastAsia="Arial" w:hAnsi="Arial"/>
          <w:sz w:val="18"/>
          <w:szCs w:val="18"/>
          <w:color w:val="auto"/>
        </w:rPr>
        <w:t>currently services as Senior Vice President of Global Operations and has been with AngioDynamics since December 2017.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AngioDynamics he was Senior Vice President, Global Supply Chain, at Hill-Rom Holdings for almost three years. Before that, Mr. Helsel worked at Haemonetics for three years where he served as Executive Vice President for Global Manufacturing and also spent almost nineteen years in various positions with increasing responsibility at Covidien, including Vice President of Operations for the Surgical Solutions Division and Medical Supplies Division. An expert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0" w:right="259" w:bottom="144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color w:val="auto"/>
        </w:rPr>
        <w:t>in Lean and Six Sigma, Mr. Helsel also served as Global Director of Operational Excellence, supporting sixty-three manufacturing facilities. Mr. Helsel holds a Bachelor of Science in Mechanical Engineering from LeTourneau University.</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Warren G. Nighan </w:t>
      </w:r>
      <w:r>
        <w:rPr>
          <w:rFonts w:ascii="Arial" w:cs="Arial" w:eastAsia="Arial" w:hAnsi="Arial"/>
          <w:sz w:val="18"/>
          <w:szCs w:val="18"/>
          <w:color w:val="auto"/>
        </w:rPr>
        <w:t>joined AngioDynamics as the Senior Vice President of Quality and Regulatory Affairs in April 2017. Before joining AngioDynamics,</w:t>
      </w:r>
      <w:r>
        <w:rPr>
          <w:rFonts w:ascii="Arial" w:cs="Arial" w:eastAsia="Arial" w:hAnsi="Arial"/>
          <w:sz w:val="18"/>
          <w:szCs w:val="18"/>
          <w:i w:val="1"/>
          <w:iCs w:val="1"/>
          <w:color w:val="auto"/>
        </w:rPr>
        <w:t xml:space="preserve"> </w:t>
      </w:r>
      <w:r>
        <w:rPr>
          <w:rFonts w:ascii="Arial" w:cs="Arial" w:eastAsia="Arial" w:hAnsi="Arial"/>
          <w:sz w:val="18"/>
          <w:szCs w:val="18"/>
          <w:color w:val="auto"/>
        </w:rPr>
        <w:t>Mr. Nighan was as a quality and regulatory consultant to clients in FDA-regulated industries, specializing in execution and management of quality systems implementation and remediation. Previously, Mr. Nighan served as the Executive Vice President of Global Clinical, Quality Affairs and Regulatory Affairs at Haemonetics Corporation, Vice President of Quality/Regulatory/Clinical/Technical Services at St. Jude Medical’s Atrial Fibrillation Division, and Corporate Vice President of Quality/Compliance at Tyco Healthcare/Covidien (Medtronic). Mr. Nighan earned a Bachelor and Master of Science in Nursing from Northeastern University’s Bouvé College of Health Sciences.</w:t>
      </w:r>
    </w:p>
    <w:p>
      <w:pPr>
        <w:spacing w:after="0" w:line="19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Benjamin H. Davis </w:t>
      </w:r>
      <w:r>
        <w:rPr>
          <w:rFonts w:ascii="Arial" w:cs="Arial" w:eastAsia="Arial" w:hAnsi="Arial"/>
          <w:sz w:val="18"/>
          <w:szCs w:val="18"/>
          <w:color w:val="auto"/>
        </w:rPr>
        <w:t>joined AngioDynamics as Senior Vice President of Business Development in March 2015. Prior to joining AngioDynamics, Mr.</w:t>
      </w:r>
      <w:r>
        <w:rPr>
          <w:rFonts w:ascii="Arial" w:cs="Arial" w:eastAsia="Arial" w:hAnsi="Arial"/>
          <w:sz w:val="18"/>
          <w:szCs w:val="18"/>
          <w:i w:val="1"/>
          <w:iCs w:val="1"/>
          <w:color w:val="auto"/>
        </w:rPr>
        <w:t xml:space="preserve"> </w:t>
      </w:r>
      <w:r>
        <w:rPr>
          <w:rFonts w:ascii="Arial" w:cs="Arial" w:eastAsia="Arial" w:hAnsi="Arial"/>
          <w:sz w:val="18"/>
          <w:szCs w:val="18"/>
          <w:color w:val="auto"/>
        </w:rPr>
        <w:t>Davis most recently was the Vice President of Business Integration at C.R. Bard, Inc. where he also served as the Divisional Head of Business Development from 2004-2013. Before joining C.R. Bard, Inc., Mr. Davis held the position of Chief Financial Officer and Treasurer at Axya Medical Inc. He holds a Bachelor of Science in Business Administration from Bryant College and Master in Business Administration in Finance from Bentley University Graduate School of Business.</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Chad T. Campbell </w:t>
      </w:r>
      <w:r>
        <w:rPr>
          <w:rFonts w:ascii="Arial" w:cs="Arial" w:eastAsia="Arial" w:hAnsi="Arial"/>
          <w:sz w:val="18"/>
          <w:szCs w:val="18"/>
          <w:color w:val="auto"/>
        </w:rPr>
        <w:t>joined AngioDynamics in May 2016 as the Senior Vice President and General Manager for the Vascular Access Global Business Unit.</w:t>
      </w:r>
      <w:r>
        <w:rPr>
          <w:rFonts w:ascii="Arial" w:cs="Arial" w:eastAsia="Arial" w:hAnsi="Arial"/>
          <w:sz w:val="18"/>
          <w:szCs w:val="18"/>
          <w:i w:val="1"/>
          <w:iCs w:val="1"/>
          <w:color w:val="auto"/>
        </w:rPr>
        <w:t xml:space="preserve"> </w:t>
      </w:r>
      <w:r>
        <w:rPr>
          <w:rFonts w:ascii="Arial" w:cs="Arial" w:eastAsia="Arial" w:hAnsi="Arial"/>
          <w:sz w:val="18"/>
          <w:szCs w:val="18"/>
          <w:color w:val="auto"/>
        </w:rPr>
        <w:t>In his role, Mr. Campbell oversees research and development and global commercialization of 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spacing w:after="0" w:line="19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Brent J. Boucher </w:t>
      </w:r>
      <w:r>
        <w:rPr>
          <w:rFonts w:ascii="Arial" w:cs="Arial" w:eastAsia="Arial" w:hAnsi="Arial"/>
          <w:sz w:val="18"/>
          <w:szCs w:val="18"/>
          <w:color w:val="auto"/>
        </w:rPr>
        <w:t>is our Senior Vice President and General Manager of our Oncology business. Prior to joining AngioDynamics in November 2017, Mr.</w:t>
      </w:r>
      <w:r>
        <w:rPr>
          <w:rFonts w:ascii="Arial" w:cs="Arial" w:eastAsia="Arial" w:hAnsi="Arial"/>
          <w:sz w:val="18"/>
          <w:szCs w:val="18"/>
          <w:i w:val="1"/>
          <w:iCs w:val="1"/>
          <w:color w:val="auto"/>
        </w:rPr>
        <w:t xml:space="preserve"> </w:t>
      </w:r>
      <w:r>
        <w:rPr>
          <w:rFonts w:ascii="Arial" w:cs="Arial" w:eastAsia="Arial" w:hAnsi="Arial"/>
          <w:sz w:val="18"/>
          <w:szCs w:val="18"/>
          <w:color w:val="auto"/>
        </w:rPr>
        <w:t>Boucher served as Executive in Residence for PDI's Infection Prevention business. Prior to that, he spent 20 years at Covidien where he served as General Manager for several global businesses, including Lung Solutions, Surgical Solutions and Respiratory Care. Mr. Boucher is a graduate of North Dakota State University.</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 xml:space="preserve">Robert A. Simpson </w:t>
      </w:r>
      <w:r>
        <w:rPr>
          <w:rFonts w:ascii="Arial" w:cs="Arial" w:eastAsia="Arial" w:hAnsi="Arial"/>
          <w:sz w:val="16"/>
          <w:szCs w:val="16"/>
          <w:color w:val="auto"/>
        </w:rPr>
        <w:t>joined AngioDynamics in February 2017 as the Senior Vice President and General Manager for the Vascular Interventions &amp;</w:t>
      </w:r>
      <w:r>
        <w:rPr>
          <w:rFonts w:ascii="Arial" w:cs="Arial" w:eastAsia="Arial" w:hAnsi="Arial"/>
          <w:sz w:val="16"/>
          <w:szCs w:val="16"/>
          <w:i w:val="1"/>
          <w:iCs w:val="1"/>
          <w:color w:val="auto"/>
        </w:rPr>
        <w:t xml:space="preserve"> </w:t>
      </w:r>
      <w:r>
        <w:rPr>
          <w:rFonts w:ascii="Arial" w:cs="Arial" w:eastAsia="Arial" w:hAnsi="Arial"/>
          <w:sz w:val="16"/>
          <w:szCs w:val="16"/>
          <w:color w:val="auto"/>
        </w:rPr>
        <w:t>Therapies Global Business Unit. In his role, Mr. Simpson oversees research and development and global commercialization of the Global Business Unit’s portfolio. Prior to AngioDynamics, Mr. Simpson served as the Vice President and General Manager of the Patient Care Global Business at Medtronic. He was responsible for leading the business strategy and operations while ensuring global execution. Prior to his role within the Patient Care business, Mr. Simpson led strategy and business development for Medtronic’s Patient Monitoring &amp; Recovery business. Mr. Simpson also held various leadership roles in Sales and Marketing during his time at Covidien (Medtronic) and Alcon (Novartis). Mr. Simpson received a Bachelor of Science in Management Science - Finance from the State University of New York at Geneseo and has completed a comprehensive, executive leadership development program at Babson College.</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Kim L. Seabury </w:t>
      </w:r>
      <w:r>
        <w:rPr>
          <w:rFonts w:ascii="Arial" w:cs="Arial" w:eastAsia="Arial" w:hAnsi="Arial"/>
          <w:sz w:val="18"/>
          <w:szCs w:val="18"/>
          <w:color w:val="auto"/>
        </w:rPr>
        <w:t>is our Senior Vice President, Information Technology and joined the Company in September 2011. Prior to joining AngioDynamics, Mrs.</w:t>
      </w:r>
      <w:r>
        <w:rPr>
          <w:rFonts w:ascii="Arial" w:cs="Arial" w:eastAsia="Arial" w:hAnsi="Arial"/>
          <w:sz w:val="18"/>
          <w:szCs w:val="18"/>
          <w:i w:val="1"/>
          <w:iCs w:val="1"/>
          <w:color w:val="auto"/>
        </w:rPr>
        <w:t xml:space="preserve"> </w:t>
      </w:r>
      <w:r>
        <w:rPr>
          <w:rFonts w:ascii="Arial" w:cs="Arial" w:eastAsia="Arial" w:hAnsi="Arial"/>
          <w:sz w:val="18"/>
          <w:szCs w:val="18"/>
          <w:color w:val="auto"/>
        </w:rPr>
        <w:t>Seabury served as Vice President of Emerging Technologies and Product Development for Pitney Bowes Software, managing global software development teams for both core products and emerging SaaS solutions. Prior to her role at Pitney Bowes, Mrs. Seabury held several key leadership positions at MapInfo Corporation, including Global Managing Director of IT, IT Business Applications Director and Director of Web Operations. Mrs. Seabury is certified in PSI, Operational Excellence, ITIL and is a Six-Sigma Green Belt. In addition, Mrs. Seabury has extensive experience in project management and has participated in a variety of leadership development programs. Mrs. Seabury holds a Bachelor of Science degree in Applied Arts and Science from Rochester Institute of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100" w:firstLine="432"/>
        <w:spacing w:after="0" w:line="277" w:lineRule="auto"/>
        <w:rPr>
          <w:sz w:val="20"/>
          <w:szCs w:val="20"/>
          <w:color w:val="auto"/>
        </w:rPr>
      </w:pPr>
      <w:r>
        <w:rPr>
          <w:rFonts w:ascii="Arial" w:cs="Arial" w:eastAsia="Arial" w:hAnsi="Arial"/>
          <w:sz w:val="18"/>
          <w:szCs w:val="18"/>
          <w:color w:val="auto"/>
        </w:rPr>
        <w:t xml:space="preserve">Our corporate headquarters is located at 14 Plaza Drive, Latham, New York 12110. Our phone number is (518) 795-1400. Our website is </w:t>
      </w:r>
      <w:r>
        <w:rPr>
          <w:rFonts w:ascii="Arial" w:cs="Arial" w:eastAsia="Arial" w:hAnsi="Arial"/>
          <w:sz w:val="18"/>
          <w:szCs w:val="18"/>
          <w:i w:val="1"/>
          <w:iCs w:val="1"/>
          <w:color w:val="auto"/>
        </w:rPr>
        <w:t>www.angiodynamics.com</w:t>
      </w:r>
      <w:r>
        <w:rPr>
          <w:rFonts w:ascii="Arial" w:cs="Arial" w:eastAsia="Arial" w:hAnsi="Arial"/>
          <w:sz w:val="18"/>
          <w:szCs w:val="18"/>
          <w:color w:val="auto"/>
        </w:rPr>
        <w:t>.</w:t>
      </w:r>
    </w:p>
    <w:p>
      <w:pPr>
        <w:spacing w:after="0" w:line="17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Securities and Exchange Commission, or SEC. In addition, our website includes, among other things, charters of the various committees of our Board of Directors and our code of business conduct and ethics applicable to all employees, officers and directors. Any stockholder also may obtain copies of these documents, free of charge, by sending a request in writing to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investor relations department: AngioDynamics, 14 Plaza Drive, Latham, N.Y. 12110, Attention: Saleem Cheeks. Information on our website or connected to our website is not incorporated by reference into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584" w:right="399" w:bottom="1440" w:gutter="0" w:footer="0" w:header="0"/>
        </w:sectPr>
      </w:pPr>
    </w:p>
    <w:bookmarkStart w:id="17" w:name="page18"/>
    <w:bookmarkEnd w:id="17"/>
    <w:p>
      <w:pPr>
        <w:ind w:left="4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the Company's business. Our financial and operating results are subject to a number of factors, many of which are not within our control. These factors include those set forth below. Our business, financial condition or results of operations could be materially and adversely affected by any of these risks. Additional risks not presently known to us or that we currently deem immaterial may also adversely affect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have an adverse effect on our revenues and results of operations.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or reductions for medical devices that incorporate components produced by us. If we are forced to reduce our prices because of consolidation in the healthcare industry, our revenues would decrease and our consolidated earnings, financial condition, or cash flow would suffer.</w:t>
      </w:r>
    </w:p>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face intense competition in the medical device industry. We may be unable to compete effectively with respect to technological innovation and price which may have an adverse effect on our revenues, financial condition or results of operations.</w:t>
      </w:r>
    </w:p>
    <w:p>
      <w:pPr>
        <w:spacing w:after="0" w:line="147"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The markets for our products are highly competitive, and we expect competition to continue to intensify. We may not be able to compete effectively, and we may lose market share to our competitors. Our primary device competitors include: Boston Scientific Corporation; Cook Medical; Medical Components, Inc. (Medcomp); TeleFlex Medical; BD Medical Technology; Smiths Medical, a subsidiary of Smiths Group plc; Medtronic; Merit Medical; Terumo Medical Corporation; Johnson and Johnson and Total Vein Systems. Many of our competitors have substantially greater:</w:t>
      </w:r>
    </w:p>
    <w:p>
      <w:pPr>
        <w:spacing w:after="0" w:line="17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and other resources to devote to product acquisitions, research and development, marketing and manufacturing;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variety of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history of developing and introducing new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 portfolios that may present an obstacle to our conduct of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recognition;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 networks and in-house sales forces.</w:t>
      </w:r>
    </w:p>
    <w:p>
      <w:pPr>
        <w:spacing w:after="0" w:line="211"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Our competitors may succeed in developing technologies and products earlier, in obtaining patent protection or regulatory clearance earlier, or in commercializing new products or technologies more rapidly than us. Our competitors may also develop products and technologies that are superior to those we are developing or that otherwise could render our products obsolete or noncompetitive. In addition, we may face competition from providers of other medical therapies, such as pharmaceutical companies, that may offer non-surgical therapies for conditions that are currently, or in the future, may be treated using our products. Our products are generally sold at higher prices than those of our competitors. However, in the current environment of managed care, which is characterized by economically motivated buyers, consolidation among healthcare providers, increased competition and declining reimbursement rates, we are increasingly being required to compete on the basis of price. If we are not able to compete effectively, our market share and revenues may decline.</w:t>
      </w:r>
    </w:p>
    <w:p>
      <w:pPr>
        <w:spacing w:after="0" w:line="19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b w:val="1"/>
          <w:bCs w:val="1"/>
          <w:i w:val="1"/>
          <w:iCs w:val="1"/>
          <w:color w:val="auto"/>
        </w:rPr>
        <w:t>We face intense competition from other companies, and our inability to continue to effectively develop, acquire and/or market new products and technologies could have a material adverse effect on our business, results of operations and/or financial condition.</w:t>
      </w:r>
    </w:p>
    <w:p>
      <w:pPr>
        <w:spacing w:after="0" w:line="14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medical device business is intensely competitive and is characterized by rapid technological change, frequent product introductions and evolving customer requirements. Our customers consider many factors when choosing among products, including features and reliability, quality, technology, clinical or economic outcomes, availability, price and services provided by the manufacturer. We face competition globally from a wide range of companies, some of which may have greater resources than us, which may enable them to adapt faster than us to customer needs or changes in customer requirements. Product introductions, alternative products or enhancements by competitors that provide better features, clinical outcomes or economic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742" w:right="279" w:bottom="1440" w:gutter="0" w:footer="0" w:header="0"/>
        </w:sectPr>
      </w:pPr>
    </w:p>
    <w:bookmarkStart w:id="18" w:name="page19"/>
    <w:bookmarkEnd w:id="18"/>
    <w:p>
      <w:pPr>
        <w:ind w:right="480"/>
        <w:spacing w:after="0" w:line="277" w:lineRule="auto"/>
        <w:rPr>
          <w:sz w:val="20"/>
          <w:szCs w:val="20"/>
          <w:color w:val="auto"/>
        </w:rPr>
      </w:pPr>
      <w:r>
        <w:rPr>
          <w:rFonts w:ascii="Arial" w:cs="Arial" w:eastAsia="Arial" w:hAnsi="Arial"/>
          <w:sz w:val="18"/>
          <w:szCs w:val="18"/>
          <w:color w:val="auto"/>
        </w:rPr>
        <w:t>value and/or offer lower pricing may make our products or proposed products obsolete or less competitive. In addition, the trend of consolidation in the medical device industry and among our customers could result in greater competition and pricing pressures.</w:t>
      </w:r>
    </w:p>
    <w:p>
      <w:pPr>
        <w:spacing w:after="0" w:line="17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As a result, we engage in product development and improvement programs to maintain and improve our competitive position. These development and improvement programs involve significant investment in research and development, clinical trials and regulatory approvals and may require more time than anticipated to bring such products to market. We may not, however, be successful in enhancing existing products or developing new products or technologies that will achieve regulatory approval, be developed or manufactured in a cost effective manner, obtain appropriate intellectual property protection or receive market acceptance and we may be unable to recover all or a meaningful part of our investment in such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w:t>
      </w:r>
    </w:p>
    <w:p>
      <w:pPr>
        <w:spacing w:after="0" w:line="17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part of our business strategy, we also pursue the acquisition of complementary businesses, technologies and products. We may not be able to identify appropriate acquisition candidates, consummate transactions or obtain agreements with favorable terms. Further, once a business is acquired, any inability to successfully integrate the business, decreases in customer loyalty or product orders, failure to retain and develop its workforce, failure to establish and maintain appropriate controls or unknown or contingent liabilities could adversely affect our ability to realize the anticipated benefits of any acquisition. The integration of an acquired business, whether or not successful, requires significant efforts which may result in additional expenses and divert the attention of our management and technical personnel from other projects. These transactions are inherently risky, and there can be no assurance that any past or future transaction will be successful. 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our business, results of operations and/or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execute our business development strategies our business and prospects could be materially impacted.</w:t>
      </w:r>
    </w:p>
    <w:p>
      <w:pPr>
        <w:spacing w:after="0" w:line="237"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We expect to continue to engage in business development activities including evaluating acquisitions, technology licensing arrangements and other opportunities. These activities may result in substantial investment of our time and financial resources. Our success developing products or expanding into new markets from such activities will depend on a number of factors, including our ability to find suitable opportunities for acquisition or investment; competition from competitors seeking similar opportunities; whether we are able to negotiate terms that are satisfactory to us or at all; and our ability to successfully integrate the acquired company, business, product, technology or research into our existing operations, including the ability to adequately fund acquired in-process R&amp;D projects and to maintain adequate controls over the combined operations. If we are unsuccessful in our business development activities, we may not be able to achieve our growth goals or we may incur significantly more expenses than we anticipate.</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maintain our reputation with interventional physicians, interventional and surgical oncologists and critical care nurses our growth will be limited and our business could be harmed.</w:t>
      </w:r>
    </w:p>
    <w:p>
      <w:pPr>
        <w:spacing w:after="0" w:line="17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Physicians typically influence the medical device purchasing decisions of the hospitals and other healthcare institutions in which they practice. Consequently, our reputation with interventional physicians, interventional and surgical oncologists and critical care nurses is crucial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and cause our growth to be limited and our business to be harmed.</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develop or market new products and enhance existing products, we could lose market share to our competitors and our results of operations could suffer.</w:t>
      </w:r>
    </w:p>
    <w:p>
      <w:pPr>
        <w:spacing w:after="0" w:line="17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market for interventional devices is characterized by rapid technological change, new product introductions, technological improvements, changes in physician requirements and evolving industry standards. To be successful, we must continue to develop and commercialize new products and to enhance versions of our existing products. Our products are technologically complex and require significant research, planning, design, development and testing before they may be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9" w:name="page20"/>
    <w:bookmarkEnd w:id="19"/>
    <w:p>
      <w:pPr>
        <w:ind w:right="40"/>
        <w:spacing w:after="0" w:line="264" w:lineRule="auto"/>
        <w:rPr>
          <w:sz w:val="20"/>
          <w:szCs w:val="20"/>
          <w:color w:val="auto"/>
        </w:rPr>
      </w:pPr>
      <w:r>
        <w:rPr>
          <w:rFonts w:ascii="Arial" w:cs="Arial" w:eastAsia="Arial" w:hAnsi="Arial"/>
          <w:sz w:val="18"/>
          <w:szCs w:val="18"/>
          <w:color w:val="auto"/>
        </w:rPr>
        <w:t>marketed. This process generally takes at least 12 to 18 months from initial concept and may take up to several years. In addition, product life cycles are relatively short because medical device manufacturers continually develop smaller, more effective and less expensive versions of existing devices in response to physician demand.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success in developing and commercializing new and enhanced versions of our products is affected by our ability to:</w:t>
      </w:r>
    </w:p>
    <w:p>
      <w:pPr>
        <w:spacing w:after="0" w:line="2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 engineers;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and accurately identify new market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accurately assess customer needs;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minimize the time and costs required to obtain regulatory clearance or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 competitive pricing;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manufacture and deliver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accurately predict and control costs associated with the development, manufacturing and support of our products;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 and compete effectively with our competitors’ efforts.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Market acceptance of our products depends in part on our ability to demonstrate that our products are cost-effective and easier to use, as well as offer technological advantages.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Development and sales of our products are dependent on a number of factors beyond our control, and our inability to make and complete research and development investments, enhance the product development process and be innovative to solve customer needs with respect to the respective products may adversely affect our business, financial condition and results of operations.</w:t>
      </w:r>
    </w:p>
    <w:p>
      <w:pPr>
        <w:spacing w:after="0" w:line="18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 significant aspect of our growth strategy is the continued market development of products including NanoKnife, AngioVac, OARtrac and BioFlo products.</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There can be no guarantee that we will be able to develop and manufacture additional next generation or updated products on commercially favorable terms, or at all. NanoKnife and AngioVac are developing technologies and the inability of either of them to achieve clinical acceptance, as well as our inability to generate meaningful clinical data to convince providers of the clinical and economic benefits of our BioFlo platform, could severely limit our ability to drive revenue growth.</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The future prospects of many of our high growth products, such as NanoKnife and AngioVac, rely on continued generation of clinical data pursuant to clinical trials conducted by us, our competitors or other third parties. If the results of these trials are not what we expect, or are perceived as unfavorable by the market, our business could be materially harmed.</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a part of the market development and regulatory process of obtaining marketing clearance for new products and new indications for existing products, we conduct and participate in numerous clinical trials with a variety of study designs, patient populations and trial endpoints. Negative, unexpected or inconsistent clinical data from existing or future clinical trials conducted by us, by our competitors or by third parties, or the market's or regulators’ negative perception of this clinical data, may adversely impact our ability to obtain product approvals and successfully market our products and our business, financial condition, results of operations or future prospects may be materially impacted.</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and prospects depend heavily on NanoKnife, which is currently approved for the surgical ablation of soft tissue. If we are unable to secure expanded specific regulatory approvals for NanoKnife, our business and prospects will be materially harmed.</w:t>
      </w:r>
    </w:p>
    <w:p>
      <w:pPr>
        <w:spacing w:after="0" w:line="17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NanoKnife System is indicated for the surgical ablation of soft tissue. The long-term prospects for our NanoKnife business may rely on securing expanded indications for specific disease states and treatments. Based on our current indication, our ability to promote NanoKnife and provide training with respect to the use of NanoKnife is limited to the surgical ablation of soft tissue. In the fourth quarter of our fiscal year ended May 31, 2019, we received approval from the FDA to initiate our DIRECT clinical trial to study the use of NanoKnife for the treatment of Stage III pancreatic cancer. If we are not able to successfully complete this trial and secure clearances or approvals for expanded indications for our NanoKnife System, including for the treatment of Stage</w:t>
      </w:r>
    </w:p>
    <w:p>
      <w:pPr>
        <w:spacing w:after="0" w:line="2" w:lineRule="exact"/>
        <w:rPr>
          <w:sz w:val="20"/>
          <w:szCs w:val="20"/>
          <w:color w:val="auto"/>
        </w:rPr>
      </w:pPr>
    </w:p>
    <w:p>
      <w:pPr>
        <w:ind w:right="140" w:firstLine="8"/>
        <w:spacing w:after="0" w:line="261" w:lineRule="auto"/>
        <w:tabs>
          <w:tab w:leader="none" w:pos="2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pancreatic cancer, or if expanded indications are significantly delayed or limited, our business and prospects may be materially harmed and we may need to delay our initiatives or even significantly curtail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20" w:name="page21"/>
    <w:bookmarkEnd w:id="20"/>
    <w:p>
      <w:pPr>
        <w:ind w:right="340"/>
        <w:spacing w:after="0" w:line="286" w:lineRule="auto"/>
        <w:rPr>
          <w:sz w:val="20"/>
          <w:szCs w:val="20"/>
          <w:color w:val="auto"/>
        </w:rPr>
      </w:pPr>
      <w:r>
        <w:rPr>
          <w:rFonts w:ascii="Arial" w:cs="Arial" w:eastAsia="Arial" w:hAnsi="Arial"/>
          <w:sz w:val="17"/>
          <w:szCs w:val="17"/>
          <w:b w:val="1"/>
          <w:bCs w:val="1"/>
          <w:i w:val="1"/>
          <w:iCs w:val="1"/>
          <w:color w:val="auto"/>
        </w:rPr>
        <w:t>Our business and prospects rely heavily upon our ability to successfully complete clinical trials, including our NanoKnife DIRECT Clinical study. We may choose to, or may be required to, suspend, repeat or terminate our clinical trials if they are not conducted in accordance with regulatory requirements, the results are negative or inconclusive or the trials are not well designed.</w:t>
      </w:r>
    </w:p>
    <w:p>
      <w:pPr>
        <w:spacing w:after="0" w:line="166" w:lineRule="exact"/>
        <w:rPr>
          <w:sz w:val="20"/>
          <w:szCs w:val="20"/>
          <w:color w:val="auto"/>
        </w:rPr>
      </w:pPr>
    </w:p>
    <w:p>
      <w:pPr>
        <w:ind w:right="240" w:firstLine="432"/>
        <w:spacing w:after="0" w:line="291" w:lineRule="auto"/>
        <w:rPr>
          <w:sz w:val="20"/>
          <w:szCs w:val="20"/>
          <w:color w:val="auto"/>
        </w:rPr>
      </w:pPr>
      <w:r>
        <w:rPr>
          <w:rFonts w:ascii="Arial" w:cs="Arial" w:eastAsia="Arial" w:hAnsi="Arial"/>
          <w:sz w:val="16"/>
          <w:szCs w:val="16"/>
          <w:color w:val="auto"/>
        </w:rPr>
        <w:t>Clinical trials must be conducted in accordance with the applicable laws and regulations in the jurisdictions in which the clinical trials are conducted, including FDA’s current Good Clinical Practices. The clinical trials are subject to oversight by the FDA, regulatory agencies in other jurisdictions, ethics committees and institutional review boards at the medical institutions where the clinical trials are conducted. Clinical trial protocols may require a large number of patients to be enrolled in the trials. Patient enrollment is a function of many factors, including the size of the patient population for the target indication, the proximity of patients to clinical sites, the eligibility criteria for the trial, the existence of competing clinical trials and the availability of alternative or new treatments. Clinical trials may be suspended by the FDA or by a regulatory agency in another jurisdiction at any time if the FDA or the regulatory agency finds deficiencies in the conduct of these trials or it is believed that these trials expose patients to unacceptable health risks.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the FDA or regulatory agencies in other jurisdictions might delay or terminate our clinical trials for various reasons,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Enrolled patients may have unforeseen adverse side effects;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therapies may become the standard of care while we are conducting our clinical trials, which may require us to revise or amend our clinical trial protocols or terminate a clinical trial;</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Fatalities may occur during a clinical trial due to medical problems that may or may not be related to clinical trial treatments;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 enrollment in the clinical trials may be insufficient or significantly delayed.</w:t>
      </w:r>
    </w:p>
    <w:p>
      <w:pPr>
        <w:spacing w:after="0" w:line="21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Patients may be discouraged from enrolling in our clinical trials if the trial protocol requires them to undergo extensive follow-up to assess the safety and effectiveness of NanoKnife treatments, or if they determine that the treatments received under the trial protocols are not attractive or involve unacceptable risks or discomforts. Patients may also not participate in our clinical trials if they choose to participate in contemporaneous clinical trials of competing products. In addition, the inclusion of critically ill patients in our clinical trials may result in deaths or other adverse medical events for reasons that may not be related to our NanoKnife System.</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In addition, we rely on contract research organizations, or CROs, with respect to conducting our clinical trials. We may experience significant cost overruns associated with, and we may encounter difficulties managing, these CROs.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Termination of our clinical trials or significant delays in completing our clinical trials could have a materially negative impact on our financial condition and prospects.</w:t>
      </w:r>
    </w:p>
    <w:p>
      <w:pPr>
        <w:spacing w:after="0" w:line="170"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our competitors or other third parties, may engage in clinical trials with respect to our products. The results of these trials may be unfavorable, or perceived as unfavorable by the market, and could have a material adverse effect on our business, financial condition or results of operations.</w:t>
      </w:r>
    </w:p>
    <w:p>
      <w:pPr>
        <w:spacing w:after="0" w:line="10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products may be the subject of clinical trials conducted by us, our competitors or third parties for the purposes of obtaining regulatory clearances or to gather market data. Unfavorable or inconsistent clinical data from existing or future clinical trials conducted by us, by our competitors or by third parties, or the FDA's or the market's perception of this clinical data, may adversely impact our ability to obtain product approvals, our position in, and share of, the markets in which we participate and our business, financial condition, results of operations or future prospects.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Undetected defects may increase our costs and impair the market acceptance of our products.</w:t>
      </w:r>
    </w:p>
    <w:p>
      <w:pPr>
        <w:spacing w:after="0" w:line="22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Our products have occasionally contained, and may in the future contain, undetected defects. When these problems occur, we must divert the attention of our engineering personnel to address them.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In addition, the occurrence of defects may result in significant customer relations problems and injury to our reputation, and may impair market acceptance of our products.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b w:val="1"/>
          <w:bCs w:val="1"/>
          <w:i w:val="1"/>
          <w:iCs w:val="1"/>
          <w:color w:val="auto"/>
        </w:rPr>
        <w:t>If we are unable to convince customers that our products can improve the cost structure of their business, our revenue growth and profitability may be materially adversely impacted.</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Worldwide initiatives to contain healthcare costs have led government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Simultaneously, hospitals are redefining their role in health care delivery as many assume much more risk and control of the total cost of patient care. To successfully make this transformation health systems are consolidating, purchasing or partnering with physicians, post-acute care providers, while also narrowing networks thus allowing greater control over outcomes. Today, many systems are becoming ‘mini’ payer/provider organizations. These newly redesigned health systems are creating mechanisms such as value analysis and centralized purchasing functions that set pricing and in some cases limit the number of vendors that can participate in the purchasing program. Hospitals are also aligning interests with physicians through employment and other arrangements, such as gainsharing, where a hospital agrees with physicians to share any realized cost savings resulting from the physicians’ collective change in practice patterns such as standardization of devices where medically appropriate. This has created an increasing level of price sensitivity among customers for our products. Some third-party payers must also approve coverage and set reimbursement levels for new or innovative devices or therapies before they will reimburse health care providers who use the medical devices or therapies. Even though a new medical device may have been cleared for commercial distribution, we may find limited demand for the device until coverage and sufficient reimbursement levels have been obtained from governmental and private third-party payers. In addition, some private third-party payers require that certain procedures or that the use of certain products be authorized in advance as a condition of reimbursement. International examples of cost containment initiatives and health care reforms advancing clinical outcomes as the key to market access are emerging in France, Germany, the Netherlands and the UK. This new criteria can severely restrict coverage, reduce reimbursement and delay access to key markets with requirements for incremental clinical benefit and coverage with evidence development.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Cost-containment efforts of group purchasing organizations could adversely affect our selling prices, financial position and results of operations.</w:t>
      </w:r>
    </w:p>
    <w:p>
      <w:pPr>
        <w:spacing w:after="0" w:line="248"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Many of our existing and potential customers have become members of group purchasing organizations, or GPOs, and integrated delivery network, or IDNs, in an effort to reduce costs.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Bids are generally solicited from multiple manufacturers with the intention of driving down pricing.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if we are unable to retain contracts with our customers, or acquire additional contracts, our financial results may be negatively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single and limited source suppliers which subjects our business and results of operations to risks of supplier business interruptions.</w:t>
      </w:r>
    </w:p>
    <w:p>
      <w:pPr>
        <w:spacing w:after="0" w:line="26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currently purchase significant amounts of several key products and product components from single and limited source suppliers and anticipate that we will do so for future products as well. Any delays in delivery of or shortages in those or other products and components could interrupt and delay manufacturing of our products and result in the cancellation of orders for our products. Any or all of these suppliers could discontinue the manufacture or supply of these products and components at any time. 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increased design and manufacturing costs and increased prices for our products.</w:t>
      </w:r>
    </w:p>
    <w:p>
      <w:pPr>
        <w:spacing w:after="0" w:line="167"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 addition, we purchase certain products as a distributor for the manufacturer of those products. Operational, quality or regulatory issues of the manufacturers of the products we distribute could constrain or interrupt the availability of those products or services. Any constraint or interruption in the supply of finished products that we distribute could have a material adverse effect on our ability to sell products, our financial condition and our results of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ind w:right="240"/>
        <w:spacing w:after="0" w:line="381" w:lineRule="auto"/>
        <w:rPr>
          <w:sz w:val="20"/>
          <w:szCs w:val="20"/>
          <w:color w:val="auto"/>
        </w:rPr>
      </w:pPr>
      <w:r>
        <w:rPr>
          <w:rFonts w:ascii="Arial" w:cs="Arial" w:eastAsia="Arial" w:hAnsi="Arial"/>
          <w:sz w:val="15"/>
          <w:szCs w:val="15"/>
          <w:b w:val="1"/>
          <w:bCs w:val="1"/>
          <w:i w:val="1"/>
          <w:iCs w:val="1"/>
          <w:color w:val="auto"/>
        </w:rPr>
        <w:t>We are heavily dependent on third-party distributors to generate a substantial portion of international revenues and are at the risk of these distributors also selling for our competitors along with being financially viable to be able to effectively distribute our products and make timely payment.</w:t>
      </w:r>
    </w:p>
    <w:p>
      <w:pPr>
        <w:spacing w:after="0" w:line="14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8"/>
          <w:szCs w:val="18"/>
          <w:color w:val="auto"/>
        </w:rPr>
        <w:t>Outside of North America we rely heavily on third party distributors, either on a country-by-country basis or on a multi-country, regional basis, to market, sell and distribute our products. International distributors accounted for approximately 81% of international revenues for the year ended May 31, 2019. In certain circumstances, distributors may also sell competing products,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results of operations, financial condition and cash flows. In addition, there is a risk that our distributors will not be financially viable due to current economic and/or regulatory events in their respective countries.</w:t>
      </w:r>
    </w:p>
    <w:p>
      <w:pPr>
        <w:spacing w:after="0" w:line="1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distributors for the commercialization of our products in countries in which we do not have a direct sales and marketing presence. If we are unable to maintain our relationships or establish direct sales capabilities, our sales may significantly decline, materially impacting our financial position and results of operations.</w:t>
      </w:r>
    </w:p>
    <w:p>
      <w:pPr>
        <w:spacing w:after="0" w:line="181"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We have no or limited direct sales or marketing capabilities in some of the regions and countries in which our products are sold, including, among others, China, Japan, Brazil, the Middle East and many European countries. We have entered into distribution agreements with third parties to market and sell our products in those countries in which we do not have a direct sales force. If we are unable to maintain or enter into such distribution arrangements on acceptable terms, or at all, we lose significant revenue or be unable to achieve our growth aspirations. Moreover, to the extent that we enter into distribution arrangements with other companies, our revenues, if any, will depend on the terms of any such arrangements and the efforts of others. These efforts may turn out not to be sufficient and our third-party distributors may not effectively sell our products. In addition, although our contract terms require our distributors to comply with all applicable laws regarding the sale of our products, including anti-competition, anti-corruption, anti-money laundering and sanctions laws, we may not be able to ensure proper compliance. If our distributors fail to effectively market and sell our products in full compliance with applicable laws, our financial position and results of operations could be materially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secure adequate reimbursement for our products could materially impair our ability to grow revenue and drive profitability.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products are used in medical procedures generally covered by government or private health plans.</w:t>
      </w:r>
    </w:p>
    <w:p>
      <w:pPr>
        <w:spacing w:after="0" w:line="225" w:lineRule="exact"/>
        <w:rPr>
          <w:sz w:val="20"/>
          <w:szCs w:val="20"/>
          <w:color w:val="auto"/>
        </w:rPr>
      </w:pPr>
    </w:p>
    <w:p>
      <w:pPr>
        <w:jc w:val="both"/>
        <w:ind w:right="520" w:firstLine="432"/>
        <w:spacing w:after="0" w:line="312" w:lineRule="auto"/>
        <w:rPr>
          <w:sz w:val="20"/>
          <w:szCs w:val="20"/>
          <w:color w:val="auto"/>
        </w:rPr>
      </w:pPr>
      <w:r>
        <w:rPr>
          <w:rFonts w:ascii="Arial" w:cs="Arial" w:eastAsia="Arial" w:hAnsi="Arial"/>
          <w:sz w:val="16"/>
          <w:szCs w:val="16"/>
          <w:color w:val="auto"/>
        </w:rPr>
        <w:t>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will cover the cost of the device and related procedures.</w:t>
      </w:r>
    </w:p>
    <w:p>
      <w:pPr>
        <w:spacing w:after="0" w:line="14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In many instances, third-party payors use price schedules that do not vary to reflect the cost of the products and equipment used in performing those procedures. In other instances, payment or reimbursement is separately available for the products and equipment used, in addition to payment or reimbursement for the procedure itself. Even if coverage is available, third-party payors may place restrictions on the circumstances where they provide coverage or may offer reimbursement that is not sufficient to cover the cost of our products.</w:t>
      </w:r>
    </w:p>
    <w:p>
      <w:pPr>
        <w:spacing w:after="0" w:line="18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Third-party payors who cover the cost of medical products or equipment, in addition to allowing a general charge for the procedure, often maintain lists of exclusive suppliers or approved lists of products deemed to be cost-effective. Authorization from those third-party payors is required prior to using products that are not on these lists as a condition of reimbursement. If our products are not on the approved lists, healthcare providers must determine if the additional cost and effort required in obtaining prior authorization, and the uncertainty of actually obtaining coverage, is justified by any perceived clinical benefits from using our products.</w:t>
      </w:r>
    </w:p>
    <w:p>
      <w:pPr>
        <w:spacing w:after="0" w:line="18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4" w:right="279" w:bottom="1440" w:gutter="0" w:footer="0" w:header="0"/>
        </w:sectPr>
      </w:pPr>
    </w:p>
    <w:bookmarkStart w:id="23" w:name="page24"/>
    <w:bookmarkEnd w:id="23"/>
    <w:p>
      <w:pPr>
        <w:ind w:right="100"/>
        <w:spacing w:after="0" w:line="259" w:lineRule="auto"/>
        <w:rPr>
          <w:sz w:val="20"/>
          <w:szCs w:val="20"/>
          <w:color w:val="auto"/>
        </w:rPr>
      </w:pPr>
      <w:r>
        <w:rPr>
          <w:rFonts w:ascii="Arial" w:cs="Arial" w:eastAsia="Arial" w:hAnsi="Arial"/>
          <w:sz w:val="18"/>
          <w:szCs w:val="18"/>
          <w:color w:val="auto"/>
        </w:rPr>
        <w:t>our products will be incorporated into the overall cost of a procedure and not be separately reimbursed. As a result, we cannot be certain that hospital administrators and physicians will purchase our products, despite the clinical benefits and opportunity for cost savings that we believe can be derived from their use. If hospitals and physicians cannot obtain adequate reimbursement for our products or the procedures in which they are used, our business, financial condition, results of operations, and cash flows could suffer a material adverse impact.</w:t>
      </w:r>
    </w:p>
    <w:p>
      <w:pPr>
        <w:spacing w:after="0" w:line="187" w:lineRule="exact"/>
        <w:rPr>
          <w:sz w:val="20"/>
          <w:szCs w:val="20"/>
          <w:color w:val="auto"/>
        </w:rPr>
      </w:pPr>
    </w:p>
    <w:p>
      <w:pPr>
        <w:ind w:right="180" w:firstLine="392"/>
        <w:spacing w:after="0" w:line="273" w:lineRule="auto"/>
        <w:rPr>
          <w:sz w:val="20"/>
          <w:szCs w:val="20"/>
          <w:color w:val="auto"/>
        </w:rPr>
      </w:pPr>
      <w:r>
        <w:rPr>
          <w:rFonts w:ascii="Arial" w:cs="Arial" w:eastAsia="Arial" w:hAnsi="Arial"/>
          <w:sz w:val="17"/>
          <w:szCs w:val="17"/>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United States, we generally rely on our distributors to obtain reimbursement approval in the countries in which they will sell our products. There can be no assurance that reimbursement approvals will be received. The failure to secure reimbursement approvals in international markets could materially impact our financial position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a product liability claim is brought against us or our product liability insurance coverage is inadequate, our business could be harmed.</w:t>
      </w:r>
    </w:p>
    <w:p>
      <w:pPr>
        <w:spacing w:after="0" w:line="23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 including if our products were misused, if a component of our product fails, if our manufacture or design was flawed, if the product produced unsatisfactory results or if the instructions for use and operating manuals and disclosure of product related risks for our products were found to be inadequate. In addition, individuals or groups seeking to represent a class may file suit against us. The outcome of litigation, particularly class action lawsuits,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192"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carry a product liability policy with a limit of $10.0 million per product liability claim and an aggregate policy limit of $10.0 million, subject to a self-insured retention of $0.5 million per occurrence and $2.0 million in the aggregate. We believe, based on claims made against us in the past, our existing product liability insurance coverage is reasonably adequate to protect us 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and results of operations could be negatively impacted. Further, such claims may require us to recall some of our products, which could result in significant costs to us and could divert management’s attention from our business.</w:t>
      </w:r>
    </w:p>
    <w:p>
      <w:pPr>
        <w:spacing w:after="0" w:line="166"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We may be exposed to risks associated with acquisitions, including integration risks and risks associated with methods of financing. Accordingly, completed acquisitions may not enhance our financial position or results of operations or create value for our shareholders as they are based on projections and assumptions which are uncertain and subject to change.</w:t>
      </w:r>
    </w:p>
    <w:p>
      <w:pPr>
        <w:spacing w:after="0" w:line="18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Part of our growth strategy is to acquire businesses and technologies that are complementary to ours. There is no assurance that acquisition opportunities will be available on acceptable terms, or at all, or that we will be able to obtain necessary financing or regulatory approvals. Any acquisitions that we do undertake would be accompanied by the risks commonly encountered in acquisitions, including the:</w:t>
      </w:r>
    </w:p>
    <w:p>
      <w:pPr>
        <w:spacing w:after="0" w:line="181" w:lineRule="exact"/>
        <w:rPr>
          <w:sz w:val="20"/>
          <w:szCs w:val="20"/>
          <w:color w:val="auto"/>
        </w:rPr>
      </w:pPr>
    </w:p>
    <w:p>
      <w:pPr>
        <w:ind w:left="980" w:right="140" w:hanging="324"/>
        <w:spacing w:after="0" w:line="25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disruption of our business while we evaluate opportunities, complete acquisitions and develop and implement new business strategies to take advantage of these opportunities;</w:t>
      </w:r>
    </w:p>
    <w:p>
      <w:pPr>
        <w:spacing w:after="0" w:line="1"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of our management to maximize our financial and strategic position by incorporating an acquired technology or business into our existing offerings;</w:t>
      </w:r>
    </w:p>
    <w:p>
      <w:pPr>
        <w:ind w:left="980" w:right="50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achieve the cost savings and operating synergies anticipated in the acquisition, which would prevent us from achieving the positive earnings gains expected as a result of the acquisition;</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of maintaining uniform standards, controls, procedures and policies;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demonstrating to our customers that the acquisition will not result in adverse changes in customer service standards or business focus;</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 matters;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of assimilating the operations and personnel of acquired businesses;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ind w:left="980" w:right="20" w:hanging="324"/>
        <w:spacing w:after="0" w:line="25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 the impairment of relationships with employees and customers as a result of changes in management;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as to the long-term success of any acquisitions we may make including the impact on contingent liabilities.</w:t>
      </w:r>
    </w:p>
    <w:p>
      <w:pPr>
        <w:spacing w:after="0" w:line="21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There is no assurance that any completed acquisition will be accretive to our margins or profits in the short term or in the long term. 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 Further, acquisitions could also result in significant goodwill and/or amortization charges for acquired businesses or technologies.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additional capital which we may require to expand our business could curtail our growth.</w:t>
      </w:r>
    </w:p>
    <w:p>
      <w:pPr>
        <w:spacing w:after="0" w:line="22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may require additional capital to expand our business. If cash generated internally is insufficient to fund capital requirements, we will require additional debt or equity financing. In addition, we may require financing to fund any significant acquisitions we may seek to make. Needed financing may not be available or, if available, may not be available on terms satisfactory to us and may result in significant stockholder dilution. Covenants in our existing financing agreements may also restrict our ability to obtain additional debt financing. If we fail to obtain sufficient additional capital in the future, we could be forced to curtail our growth strategy by reducing or delaying capital expenditures and acquisitions, selling assets, restructuring our operations or refinancing our indebtedness.</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never realize the expected benefits from the divestiture of our Fluid Management business. In addition, the divestiture of our Fluid Management business entails significant personnel, systems and infrastructure changes that could cause operational disruptions.</w:t>
      </w:r>
    </w:p>
    <w:p>
      <w:pPr>
        <w:spacing w:after="0" w:line="14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divestiture of our Fluid Management business is part of a strategy to transform ourselves into a high growth, highly profitable, medical technology company. If we are unable to achieve our growth and profitability objectives due to competition, lack of acceptance of our products, failure to generate favorable clinical data or gain regulatory approvals, or other risks as described in this section, or due to other events, we will not be successful in transforming our business and may not see the appropriate market valuation. Moreover, our Fluid Management business generated substantial revenue, earnings and cash flow, which we have not replaced. While over time we expect to replace this revenue and cash flow by investing in, acquiring and accelerating higher margin revenue streams, there is a risk we will be unable to replace the revenue, earnings and cash flow that our Fluid Management business generated, or that the cost of such will be higher than expected. If we are unable to achieve our profit and growth objectives, such failure will be exacerbated by the loss of revenue, earnings and cash flow generated by our divested Fluid Management business, and could materially impact our financial position and results of operations, resulting in a decline in our stock price.</w:t>
      </w:r>
    </w:p>
    <w:p>
      <w:pPr>
        <w:spacing w:after="0" w:line="182"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The sale of our Fluid Management business required us to restructure significant personnel, systems and infrastructure. As part of this process, many long-term employees with valuable institutional knowledge were transitioned to Medline, and key systems were replicated or relocated across both companies. In some instances, existing processes and systems could not be fully replicated, requiring that we enter into short term transition service arrangements with Medline, and vice versa, under which the parties perform certain services for each other pending establishment of new processes and systems. Although these transitions were thoroughly planned, it is not unlikely in a transaction of this complexity that disruptions could occur. If disruptions to our financial controls, IT, administrative support, manufacturing or regulatory processes occur, and if such disruptions prove to be more severe than our planning anticipated, this could have a material adverse effect on our business.</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International and national economic and industry conditions constantly change, and could materially and adversely affect our business, financial condition and results of operations.</w:t>
      </w:r>
    </w:p>
    <w:p>
      <w:pPr>
        <w:spacing w:after="0" w:line="170" w:lineRule="exact"/>
        <w:rPr>
          <w:sz w:val="20"/>
          <w:szCs w:val="20"/>
          <w:color w:val="auto"/>
        </w:rPr>
      </w:pPr>
    </w:p>
    <w:p>
      <w:pPr>
        <w:ind w:right="80" w:firstLine="392"/>
        <w:spacing w:after="0" w:line="272" w:lineRule="auto"/>
        <w:rPr>
          <w:sz w:val="20"/>
          <w:szCs w:val="20"/>
          <w:color w:val="auto"/>
        </w:rPr>
      </w:pPr>
      <w:r>
        <w:rPr>
          <w:rFonts w:ascii="Arial" w:cs="Arial" w:eastAsia="Arial" w:hAnsi="Arial"/>
          <w:sz w:val="17"/>
          <w:szCs w:val="17"/>
          <w:color w:val="auto"/>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inflation and trade protection measures, may negatively affect consumer preferences, perceptions, spending patterns or demographic trends, any of which could adversely affect our business, financial condition or results of operations. Our customers may experience financial difficulties or be unable to borrow money to fund their operations, which may adversely impact their ability or decision to purchase or pay for our products. Disruptions in the credit markets have previously resulted, and could again result, in volatility, decreased liquidity, widening of credit spreads, and reduced availability of financing. There can be no assurance that future financing will be available to us on acceptable terms, if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ind w:right="600"/>
        <w:spacing w:after="0" w:line="277" w:lineRule="auto"/>
        <w:rPr>
          <w:sz w:val="20"/>
          <w:szCs w:val="20"/>
          <w:color w:val="auto"/>
        </w:rPr>
      </w:pPr>
      <w:r>
        <w:rPr>
          <w:rFonts w:ascii="Arial" w:cs="Arial" w:eastAsia="Arial" w:hAnsi="Arial"/>
          <w:sz w:val="18"/>
          <w:szCs w:val="18"/>
          <w:color w:val="auto"/>
        </w:rPr>
        <w:t>at all. An inability to obtain necessary additional financing on acceptable terms may have an adverse impact on us and on our ability to execute on our business plan.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a variety of market and financial risks due to our international operations that could adversely affect those operations or our profitability and operating results.</w:t>
      </w:r>
    </w:p>
    <w:p>
      <w:pPr>
        <w:spacing w:after="0" w:line="17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Although our stock is traded on the NASDAQ Global Select Market, we are a global Company. Operations in countries outside of the U.S., which account for approximately 20% percent of our net sales for the fiscal year ended May 31, 2019, are accompanied by certain financial and other risks that would not be faced by a company operating purely within the U.S. We intend to continue to pursue growth opportunities in sales outside the U.S., especially in emerging markets, which could expose us to greater risks associated with international sales and operations. Our profitability and international operations are, and will continue to be, subject to a number of risks and potential costs, including:</w:t>
      </w:r>
    </w:p>
    <w:p>
      <w:pPr>
        <w:spacing w:after="0" w:line="17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healthcare reform legislation;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multiple non-U.S. regulatory requirement that are subject to change and could restrict our ability to manufacture and sell our products;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longer-term receivables than are typical in the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intellectual property protection in some countries outside the U.S. than exists in the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labor regulations and workforce instability;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payment of U.S. income taxes on earnings of certain foreign subsidiaries subject to U.S. taxation upon repatriation;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expiration and non-renewal of foreign tax rulings;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negative consequences from changes in or interpretation of tax laws;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instability and inflation, recession or interest rate fluctuations.</w:t>
      </w:r>
    </w:p>
    <w:p>
      <w:pPr>
        <w:spacing w:after="0" w:line="211"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There are recent legislative proposals to tax profits of U.S. affiliates which are earned abroad. While it is impossible for us to predict whether these and other proposals will be implemented, or how they will ultimately impact us, they may materially impact our results of operations if, for example, our profits earned abroad are subject to U.S. income tax, or we are otherwise disallowed deductions as a result of these profits.</w:t>
      </w:r>
    </w:p>
    <w:p>
      <w:pPr>
        <w:spacing w:after="0" w:line="166"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June 23, 2016, the United Kingdom (U.K.) held a referendum in which voters approved an exit from the E.U., commonly referred to as “Brexit”. As a result of the referendum, it is expected that the British government will begin negotiating the terms of the U.K.’s future relationship with the E.U. Although it is unknown what those terms will be, it is possible that there will be greater restrictions on imports and exports between the U.K. and E.U. countries and increased regulatory complexities. These changes may adversely affect our operations and financial results.</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Finally, changes in currency exchange rates may reduce the reported value of our revenues outside the U.S, net of expenses, and cash flows. We cannot predict changes in currency exchange rates, the impact of exchange rate changes, nor the degree to which we will be able to manage the impact of currency exchange rate changes.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Continuing worldwide economic instability, including challenges faced by the Eurozone countries, could adversely affect our revenues, financial condition or results of operations.</w:t>
      </w:r>
    </w:p>
    <w:p>
      <w:pPr>
        <w:spacing w:after="0" w:line="17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Since fiscal year 2008, the global economy has been impacted by the sequential effects of an ongoing global financial crisis. There can be no assurance that there will not be further deterioration in the global economy. Our customers and vendors may experience financial difficulties or be unable to borrow money to fund their operations which may adversely impact their ability to purchase our products or to pay for our products on a timely basis, if at all. As with our customers and vendors, these economic conditions make it more difficult for us to accurately forecast and plan our future business activities. In addition, trade receivables are in many countries. Repayment of these receivables is dependent upon the financial stability of the economies of those countries.</w:t>
      </w:r>
    </w:p>
    <w:p>
      <w:pPr>
        <w:spacing w:after="0" w:line="1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light of these global economic fluctuations, we continue to monitor the creditworthiness of customers located outside the U.S. Failure to receive payment of all or a significant portion of these receivables could adversely affect our results of operations. Further, there are concerns for the overall stability and suitability of the Euro as a single currency, given the economic and political challenges facing individual Eurozone countries. Continuing deterioration in the creditworthiness of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Eurozone countries, the withdrawal of one or more member countries from the EU, or the failure of the Euro as a common European currency could adversely affect our revenues,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lose the services of our key personnel.</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 addition, our sales force is highly talented and there is competition in the sales industry which could have an adverse effect on our business if there is significant turnover.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profitably, our business, financial results and stock price could suffer.</w:t>
      </w:r>
    </w:p>
    <w:p>
      <w:pPr>
        <w:spacing w:after="0" w:line="22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w:t>
      </w:r>
      <w:r>
        <w:rPr>
          <w:rFonts w:ascii="Arial" w:cs="Arial" w:eastAsia="Arial" w:hAnsi="Arial"/>
          <w:sz w:val="18"/>
          <w:szCs w:val="18"/>
          <w:i w:val="1"/>
          <w:iCs w:val="1"/>
          <w:color w:val="auto"/>
        </w:rPr>
        <w:t>-</w:t>
      </w:r>
      <w:r>
        <w:rPr>
          <w:rFonts w:ascii="Arial" w:cs="Arial" w:eastAsia="Arial" w:hAnsi="Arial"/>
          <w:sz w:val="18"/>
          <w:szCs w:val="18"/>
          <w:color w:val="auto"/>
        </w:rPr>
        <w:t>related expenses and capital expenditure requirements are greater than anticipated or if we are unable to manage our growth profitably, our financial results and the market price of our common stock may decline.</w:t>
      </w:r>
    </w:p>
    <w:p>
      <w:pPr>
        <w:spacing w:after="0" w:line="187" w:lineRule="exact"/>
        <w:rPr>
          <w:sz w:val="20"/>
          <w:szCs w:val="20"/>
          <w:color w:val="auto"/>
        </w:rPr>
      </w:pPr>
    </w:p>
    <w:p>
      <w:pPr>
        <w:ind w:right="40" w:firstLine="392"/>
        <w:spacing w:after="0" w:line="273" w:lineRule="auto"/>
        <w:rPr>
          <w:sz w:val="20"/>
          <w:szCs w:val="20"/>
          <w:color w:val="auto"/>
        </w:rPr>
      </w:pPr>
      <w:r>
        <w:rPr>
          <w:rFonts w:ascii="Arial" w:cs="Arial" w:eastAsia="Arial" w:hAnsi="Arial"/>
          <w:sz w:val="17"/>
          <w:szCs w:val="17"/>
          <w:color w:val="auto"/>
        </w:rPr>
        <w:t>In recent years we have begun to implement our operational excellence initiatives which include a number of restructuring, realignment and cost reduction initiatives.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undertake additional realignment and cost reduction efforts, which could result in significant additional charges. Moreover, if our restructuring and realignment efforts prove ineffective, our ability to achieve our other strategic goals and business plans may be adversely affected.</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incur indebtedness which could impose operating and financial restrictions on us as a result of debt service obligations which could significantly limit our ability to execute our business strategy.</w:t>
      </w:r>
    </w:p>
    <w:p>
      <w:pPr>
        <w:spacing w:after="0" w:line="1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may incur indebtedness in the future subject to limitations contained in the agreements governing our debt. The interest rate on potential borrowings could be a floating rate which could expose us to the risk of increased interest expense in the future. The terms of a credit facility could require us to comply with certain financial maintenance covenants. In addition, the terms of our indebtedness could also include certain covenants restricting or limiting our ability to take certain actions.</w:t>
      </w:r>
    </w:p>
    <w:p>
      <w:pPr>
        <w:spacing w:after="0" w:line="18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These covenants could adversely affect our ability to finance future operations or limit our ability to pursue certain business opportunities or take certain corporate actions. The covenants could also restrict our flexibility in planning for changes in our business and the industry and could make us more vulnerable to economic downturns and adverse developments.</w:t>
      </w:r>
    </w:p>
    <w:p>
      <w:pPr>
        <w:spacing w:after="0" w:line="181"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Our ability to meet our cash requirements, including our debt service obligations, could be dependent upon our operating performance, which would be subject to general economic and competitive conditions and to financial, business and other factors affecting our operations, many of which could be beyond our control. We cannot provide assurance that our business operations would generate sufficient cash flows from operations to fund potential cash requirements and debt service obligations. If our operating results, cash flow or capital resources prove inadequate, we could face substantial liquidity problems and might be required to dispose of material assets or operations to meet our debt and other obligations. If we incurred indebtedness and were unable to service our debt, we could be forced to reduce or delay planned expansions and capital expenditures, sell assets, restructure or refinance our debt or seek additional equity capital, and we could be unable to take any of these actions on satisfactory terms or in a timely manner. Further, any of these actions may not be sufficient to allow us to service our potential debt obligations or could have an adverse impact on our business. Our potential debt agreements could limit our ability to take certain of these actions. Our failure to generate sufficient operating cash flow to pay our potential debts or to successfully undertake any of these actions could have a material adverse effect on us.</w:t>
      </w:r>
    </w:p>
    <w:p>
      <w:pPr>
        <w:spacing w:after="0" w:line="17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the degree to which we are leveraged as a result of potential indebtedness incurred in connection with an acquisition or otherwise could materially and adversely affect our ability to obtain additional financing for working capital, capital expenditures, acquisitions, debt service requirements or other purposes, could make us more vulnerable to general adverse economic, regulatory and industry conditions, could limit our flexibility in planning for, or reacting to, changes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ind w:right="380"/>
        <w:spacing w:after="0" w:line="277" w:lineRule="auto"/>
        <w:rPr>
          <w:sz w:val="20"/>
          <w:szCs w:val="20"/>
          <w:color w:val="auto"/>
        </w:rPr>
      </w:pPr>
      <w:r>
        <w:rPr>
          <w:rFonts w:ascii="Arial" w:cs="Arial" w:eastAsia="Arial" w:hAnsi="Arial"/>
          <w:sz w:val="18"/>
          <w:szCs w:val="18"/>
          <w:color w:val="auto"/>
        </w:rPr>
        <w:t>opportunities in the markets in which we compete, could place us at a competitive disadvantage compared to our competitors that have less debt or could require us to dedicate a substantial portion of our cash flow to service our debt.</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international sales and operations are subject to risks and uncertainties that vary by country and could have a material adverse effect on our business and/or results of operations.</w:t>
      </w:r>
    </w:p>
    <w:p>
      <w:pPr>
        <w:spacing w:after="0" w:line="170"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Sales outside the United States accounted for approximately 20% of our net sales during our fiscal year ended May 31, 2019. We anticipate that sales from international operations will continue to represent a significant portion of our total sales, and we intend to continue our expansion into emerging and/or faster-growing markets outside the United States. Our sales and profitability from our international operations are subject to risks and uncertainties that can vary by country, and include those related to political and economic conditions, foreign currency exchange rate fluctuations, changes in tax laws, regulatory and reimbursement programs and policies, and the protection of intellectual property rights. These risks and uncertainties could have a material adverse effect on our business and/or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may adversely affect our business, financial condition and results of operations.</w:t>
      </w:r>
    </w:p>
    <w:p>
      <w:pPr>
        <w:spacing w:after="0" w:line="225"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We are exposed to a variety of market risks, including the effects of changes in foreign currency exchange rates. Products manufactured in, and sold into, foreign markets represent a significant portion of our operations. When the United States dollar strengthens or weakens in relation to the foreign currencies of the countries in which we sell our products, such as the Euro, our United States dollar-reported revenue and income will fluctuate. The effects of currency rate fluctuations and changes in the relative values of currencies may, in some instances, have a significant effect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goodwill, intangible assets and fixed assets are subject to potential impairment.</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 significant portion of our assets consists of goodwill, intangible assets and fixed assets, the carrying value of which may be reduced if we determine that those assets are impaired.</w:t>
      </w:r>
    </w:p>
    <w:p>
      <w:pPr>
        <w:spacing w:after="0" w:line="17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If an intangible asset is considered to be impaired, the amount of the impairment will equal the excess of the carrying value over the fair value of the asset.</w:t>
      </w:r>
    </w:p>
    <w:p>
      <w:pPr>
        <w:spacing w:after="0" w:line="16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review our single reporting unit for potential goodwill impairment in the third fiscal quarter of each year as part of our annual goodwill impairment testing, and more often if an event or circumstance occurs making it likely that impairment exists. We conduct impairment testing based on our current business strategy in light of present industry and economic conditions, as well as future expectations. The annual goodwill impairment review performed in December 2018 indicated no goodwill impairments. As a result of the sale of the Fluid Management business, the Company performed an impairment test as of April 17, 2019, the date of the announcement of the deal, which indicated no goodwill impairment.</w:t>
      </w:r>
    </w:p>
    <w:p>
      <w:pPr>
        <w:spacing w:after="0" w:line="1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If actual results differ from the assumptions and estimates used in the goodwill and intangible asset calculations, we could incur future impairment or amortization charges, which could negatively impact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limited in our ability to utilize, or may not be able to utilize, net operating loss carryforwards to reduce our future tax liability.</w:t>
      </w:r>
    </w:p>
    <w:p>
      <w:pPr>
        <w:spacing w:after="0" w:line="237"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2019 after considering IRC Section 382 limitations are $90.1 million. The expiration of the Federal net operating loss carryforwards is as follows: $8.6 million between 2022 and 2023, $81.2 million between 2028 and 2037 and $0.3 million indefinitely. Our state net operating loss carryforwards as of May 31, 2019 after considering remaining IRC Section 382 limitations are $8.0 million which expire in various years from 2019 to 2038. Future ownership changes within the meaning of IRC Section 382 may also subject our tax loss carryforwards to annual limitations which would restrict our ability to use them to offset our taxable income in periods following the ownership changes.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28" w:name="page29"/>
    <w:bookmarkEnd w:id="28"/>
    <w:p>
      <w:pPr>
        <w:ind w:right="20" w:firstLine="392"/>
        <w:spacing w:after="0" w:line="277" w:lineRule="auto"/>
        <w:rPr>
          <w:sz w:val="20"/>
          <w:szCs w:val="20"/>
          <w:color w:val="auto"/>
        </w:rPr>
      </w:pPr>
      <w:r>
        <w:rPr>
          <w:rFonts w:ascii="Arial" w:cs="Arial" w:eastAsia="Arial" w:hAnsi="Arial"/>
          <w:sz w:val="18"/>
          <w:szCs w:val="18"/>
          <w:color w:val="auto"/>
        </w:rPr>
        <w:t>See Note 11 to our consolidated financial statements included in our Annual Report on Form 10-K for the fiscal year ended May 31, 2019 for a further discussion of our tax loss carryovers.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effective tax rate and changes to tax laws may adversely affect us.</w:t>
      </w:r>
    </w:p>
    <w:p>
      <w:pPr>
        <w:spacing w:after="0" w:line="225"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As an international company, we are subject to taxation in numerous countries, states and other jurisdictions. Our effective tax rate is derived from a combination of applicable tax rates in the various countries, states and other jurisdictions in which we operate. In preparing our financial statements, we estimate the amount of tax that will become payable in each of these jurisdictions. Our effective tax rate may, however, differ from the estimated amount due to numerous factors, including a change in the mix of our profitability from country to country and changes in tax laws. Any of these factors could cause us to experience an effective tax rate significantly different from previous periods or our current expectations, which could have an adverse effect on our business, financial condition and results of operations and cash flows.</w:t>
      </w:r>
    </w:p>
    <w:p>
      <w:pPr>
        <w:spacing w:after="0" w:line="19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rely on the proper function, availability and security of information technology systems to operate our business as a cyber-attack or other breach of these systems could have a material adverse effect on our business, financial condition or results of operations.</w:t>
      </w:r>
    </w:p>
    <w:p>
      <w:pPr>
        <w:spacing w:after="0" w:line="147" w:lineRule="exact"/>
        <w:rPr>
          <w:sz w:val="20"/>
          <w:szCs w:val="20"/>
          <w:color w:val="auto"/>
        </w:rPr>
      </w:pPr>
    </w:p>
    <w:p>
      <w:pPr>
        <w:ind w:firstLine="392"/>
        <w:spacing w:after="0" w:line="268" w:lineRule="auto"/>
        <w:rPr>
          <w:sz w:val="20"/>
          <w:szCs w:val="20"/>
          <w:color w:val="auto"/>
        </w:rPr>
      </w:pPr>
      <w:r>
        <w:rPr>
          <w:rFonts w:ascii="Arial" w:cs="Arial" w:eastAsia="Arial" w:hAnsi="Arial"/>
          <w:sz w:val="17"/>
          <w:szCs w:val="17"/>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cyber-attacks, malicious intrusions, breakdowns, destructions, losses of data privacy, or other significant disruptions.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 our proprietary information. Any failure by us to maintain or protect our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disaster at our manufacturing facilities could disrupt our ability to manufacture our products for a substantial amount of time, which could cause our revenues to decrease.</w:t>
      </w:r>
    </w:p>
    <w:p>
      <w:pPr>
        <w:spacing w:after="0" w:line="17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conduct our manufacturing and assembly at facilities in Queensbury, New York and Glens Falls, New York. It would be difficult, expensive and time-consuming to transfer resources from one facility to the other, replace, or repair these facilities and our manufacturing equipment if they were significantly affected by a disaster. Additionally, we might be forced to rely on third-party manufacturers or to delay production of our products. Insurance for damage to our properties and the disruption of our business from disasters may not be sufficient to cover all of our potential losses and may not continue to be available to us on acceptable terms, or at all. In addition, if one of our principal suppliers were to experience a similar disaster, uninsured loss or under-insured loss, we might not be able to obtain adequate alternative sources of supplies or products or could face significant delays and incur substantial expense in doing so. Any significant uninsured loss, prolonged or repeated disruption, or inability to operate experienced by us or any of our principal suppliers could cause significant harm to our business, financial condition and results of operations.</w:t>
      </w:r>
    </w:p>
    <w:p>
      <w:pPr>
        <w:spacing w:after="0" w:line="17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Manufacturing and assembly takes place in Queensbury, New York and Glens Falls, New York. If we were significantly affected by a disaster, we no longer have an option to transfer manufacturing to another facility so we would be forced to rely on third-party manufacturers or would have to delay production of our products.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8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may enable our management to resist a change in control. These provisions may discourage, delay or prevent a change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9" w:name="page30"/>
    <w:bookmarkEnd w:id="29"/>
    <w:p>
      <w:pPr>
        <w:ind w:right="280"/>
        <w:spacing w:after="0" w:line="277" w:lineRule="auto"/>
        <w:rPr>
          <w:sz w:val="20"/>
          <w:szCs w:val="20"/>
          <w:color w:val="auto"/>
        </w:rPr>
      </w:pPr>
      <w:r>
        <w:rPr>
          <w:rFonts w:ascii="Arial" w:cs="Arial" w:eastAsia="Arial" w:hAnsi="Arial"/>
          <w:sz w:val="18"/>
          <w:szCs w:val="18"/>
          <w:color w:val="auto"/>
        </w:rPr>
        <w:t>ownership of our Company or a change in our management. In addition, these provisions could limit the price that investors would be willing to pay in the future for shares of our common stock. Such provisions include:</w:t>
      </w:r>
    </w:p>
    <w:p>
      <w:pPr>
        <w:spacing w:after="0" w:line="170" w:lineRule="exact"/>
        <w:rPr>
          <w:sz w:val="20"/>
          <w:szCs w:val="20"/>
          <w:color w:val="auto"/>
        </w:rPr>
      </w:pPr>
    </w:p>
    <w:p>
      <w:pPr>
        <w:ind w:left="980" w:right="60" w:hanging="324"/>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is authorized, without prior stockholder approval, to create and issue “blank check” preferred stock, with rights senior to those of our common stock;</w:t>
      </w:r>
    </w:p>
    <w:p>
      <w:pPr>
        <w:spacing w:after="0" w:line="1"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is classified so that not all members of our Board of Directors are elected at one time, which may make it more difficult for a person who acquires control of a majority of our outstanding voting stock to replace our directors;</w:t>
      </w:r>
    </w:p>
    <w:p>
      <w:pPr>
        <w:ind w:left="980" w:right="1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is required for stockholders to nominate individuals to serve on our Board of Directors or for stockholders to submit proposals that can be acted upon at stockholder meetings;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Stockholder action by written consent is prohibited;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Stockholders are not permitted to cumulatively vote for the election of directors.</w:t>
      </w:r>
    </w:p>
    <w:p>
      <w:pPr>
        <w:spacing w:after="0" w:line="21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are also subject to the provisions of Section 203 of the Delaware General Corporation Law, which may prohibit certain business combinations with stockholders owning 15% or more of our outstanding voting stock.</w:t>
      </w:r>
    </w:p>
    <w:p>
      <w:pPr>
        <w:spacing w:after="0" w:line="17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delaying or impeding a merger, tender offer or proxy contest involving our Company. Any delay or prevention of a change of control transaction or changes in our board of directors could cause the market price of our common stock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Reforms to the United States healthcare system may adversely affect our business.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response to perceived increases in health care costs in recent years, there have been and continue to be proposals by the federal government, state governments, regulators and third-party payers to control these costs and, more generally, to reform the health care system, including U.S. health care reform legislation. Certain of these proposals could, among other things, limit the prices we are able to charge for our products or the amounts of reimbursement available for our products and could limit the acceptance and availability of our products. The adoption of some or all of these proposals could have an adverse effect on our business, results of operations, financial condition and cash flows.</w:t>
      </w:r>
    </w:p>
    <w:p>
      <w:pPr>
        <w:spacing w:after="0" w:line="1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industry is experiencing greater scrutiny and regulation by governmental authorities, which has led to certain costs and business distractions as we respond to inquiries and comply with new regulations, and may lead to greater governmental regulation in the future.</w:t>
      </w:r>
    </w:p>
    <w:p>
      <w:pPr>
        <w:spacing w:after="0" w:line="14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medical devices and our business activities are subject to rigorous regulation by the FDA and numerous other federal, state and foreign governmental authorities. These authorities and members of Congress have been increasing their scrutiny of our industry. In addition,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Recent Supreme Court case law has clarified that the FDA’s authority over medical devices preempts state tort laws, but legislation has been introduced at the federal level to allow state intervention, which could lead to increased and inconsistent regulation at the state level. We anticipate that the government will continue to scrutinize our industry closely, and that additional regulation by governmental authorities may increase compliance costs, exposure to litigation and other adverse effects to our operations.</w:t>
      </w:r>
    </w:p>
    <w:p>
      <w:pPr>
        <w:spacing w:after="0" w:line="19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are subject to a comprehensive system of federal, state and international laws and regulations, and we could be the subject of investigations, enforcement actions or face lawsuits and monetary or equitable judgments.</w:t>
      </w:r>
    </w:p>
    <w:p>
      <w:pPr>
        <w:spacing w:after="0" w:line="17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(Note 17), the U.S. Foreign Corrupt Practices Act (“FCPA”), the UK Bribery Act of 2010, the federal Health Insurance Portability and Accountability Act of 1996 (“HIPAA”), General Data Protection Regulation ("GDPR") and other foreign data protection and privacy laws, and laws and regulations relating to sanctions and money laundering. We are subject to periodic inspections to determine compliance with the FDA’s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ind w:right="20"/>
        <w:spacing w:after="0" w:line="271" w:lineRule="auto"/>
        <w:rPr>
          <w:sz w:val="20"/>
          <w:szCs w:val="20"/>
          <w:color w:val="auto"/>
        </w:rPr>
      </w:pPr>
      <w:r>
        <w:rPr>
          <w:rFonts w:ascii="Arial" w:cs="Arial" w:eastAsia="Arial" w:hAnsi="Arial"/>
          <w:sz w:val="17"/>
          <w:szCs w:val="17"/>
          <w:color w:val="auto"/>
        </w:rPr>
        <w:t>Quality System Regulation requirements, current medical device adverse event reporting regulations, and similar foreign rules and regulations. Despite our training and compliance programs, our internal control policies and procedures may not always protect us from negligent, reckless or criminal acts committed by our employees or agents. 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and (ii) could disrupt our business and could have a material adverse effect on our business, results of operations, financial condition and/or liquidity.</w:t>
      </w:r>
    </w:p>
    <w:p>
      <w:pPr>
        <w:spacing w:after="0" w:line="17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Most of our products must receive clearance or approval from the FDA or comparable regulatory agencies abroad before they can be marketed or sold. State, federal and foreign registration regulations are both evolving and subject to varied levels of interpretation and enforcement. It can be costly and time-consuming to obtain and maintain regulatory approvals to market a medical device. Approvals might not be granted on a timely basis, if at all, for new devices, new indications for use or certain modifications or enhancements to previously approved products.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 Product approvals by the FDA and other foreign regulators can be withdrawn due to failure to comply with regulatory standards or the occurrence of unforeseen problems following initial approval or may be re-classified to a higher regulatory classification, such as requiring a Pre-Market Approval (“PMA”) for a previously cleared 510(k) device. Regulations are also subject to change as a result of legislative, administrative or judicial action, which may further increase our costs or reduce sales. Our failure to maintain approvals, obtain approval for new products or comply with other applicable regulatory requirements could adversely affect our business, results of operations, financial condition and/or liquidity.</w:t>
      </w:r>
    </w:p>
    <w:p>
      <w:pPr>
        <w:spacing w:after="0" w:line="183"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The healthcare industry is under continued scrutiny from state, federal and international governments with respect to industry practices in the area of sales and marketing, including provisions of the Physician Payment Sunshine Act. If our marketing, sales or other activities fail to comply with the FDA’s or other comparable foreign regulatory agencies’ regulations or guidelines, or other applicable laws, we may be subject to warnings from the FDA or investigations or enforcement actions from the FDA, Medicare, the Office of Inspector General of the U.S. Department of Health and Human Services or other government agencies or enforcement bodies. Additionally, in the European Union, a new draft Medical Device Regulation was published in 2016 imposing stricter requirements for the marketing and sale of medical devices and grants Notified Bodies increased post-market surveillance authority. The Company is monitoring the implementation of the regulation and has undertaken initial actions to move toward compliance based on the published draft of the regulation. The Company’s failure to comply with any marketing or sales regulations or any other applicable regulatory requirements could adversely affect our business, results of operations, financial condition and/or liquidity.</w:t>
      </w:r>
    </w:p>
    <w:p>
      <w:pPr>
        <w:spacing w:after="0" w:line="182"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In the recent past, medical device manufacturers have been the subject of investigations from government agencies related to their relationships with doctors, product sales and marketing and off-label promotion of products, among other activities or practices. If an enforcement action involving the Company were to occur, it could result in penalties, fines, detainment, seizures, recalls, product bans, operating restrictions (which may include loss of a license or authorization), the exclusion of our products from reimbursement under government-funded programs and/or prohibitions on our ability to sell our products, and could have a material adverse effect on our business, results of operations, financial condition and/or liquidity. In addition, remediation of any issues identified by the FDA or other regulators could require facility upgrades, process changes, additional labeling requirements or other measures, any of which could have a material adverse effect on our business and/or results of operations.</w:t>
      </w:r>
    </w:p>
    <w:p>
      <w:pPr>
        <w:spacing w:after="0" w:line="17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Disputes from time-to-time with companies or individuals are not uncommon, and we cannot assure you that we will be able to resolve these disputes on terms favorable to us. The occurrence of an adverse monetary or equitable judgment or a large expenditure in connection with a settlement of any of these matters could have a material adverse effect on our business, results of operations, financial condition and/or liquidity.</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subject to data privacy and protection regulations and laws globally, and could face substantial penalties if we fail to comply with such regulations and laws.</w:t>
      </w:r>
    </w:p>
    <w:p>
      <w:pPr>
        <w:spacing w:after="0" w:line="170"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We are subject to a variety of laws and regulations globally regarding privacy, data protection, and data security, including those related to the collection, storage, handling, use, disclosure, transfer, and security of personal data,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jc w:val="both"/>
        <w:ind w:right="120"/>
        <w:spacing w:after="0" w:line="264" w:lineRule="auto"/>
        <w:rPr>
          <w:sz w:val="20"/>
          <w:szCs w:val="20"/>
          <w:color w:val="auto"/>
        </w:rPr>
      </w:pPr>
      <w:r>
        <w:rPr>
          <w:rFonts w:ascii="Arial" w:cs="Arial" w:eastAsia="Arial" w:hAnsi="Arial"/>
          <w:sz w:val="18"/>
          <w:szCs w:val="18"/>
          <w:color w:val="auto"/>
        </w:rPr>
        <w:t>Europe’s General Data Protection Regulation (GDPR). These laws and regulations regarding the handling of personal data are broad in scope and are subject to evolving interpretation and can include significant penalties for non-compliance. We could be required to incur substantial costs to monitor compliance or to alter our practices.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comply with laws relating to the handling and transmission of electronic health data may require us to make significant changes to our products, or incur penalties or other liabilities.</w:t>
      </w:r>
    </w:p>
    <w:p>
      <w:pPr>
        <w:spacing w:after="0" w:line="170"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State, federal and foreign laws, such as the federal Health Insurance Portability and Accountability Act of 1996 (“HIPAA”), regulate the confidentiality of personally identifiable health information and other sensitive personal information and the circumstances under which such information may be released. These measures may govern the disclosure and use of personal and patient medical record information and may require users of such information to implement specified technical, administrative and security measures, and to notify individuals in the event of privacy and security breaches. Evolving laws and regulations in this area could require us to incur significant additional costs to re-design our products or systems and procedures which could have an adverse impact on our results of operations. Failure to maintain the confidentiality of sensitive personal information in accordance with the applicable regulatory requirements, or to abide by electronic health data transmission standards, could expose us to breach of contract claims, fines and penalties, costs for remediation and harm to our reputation.</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healthcare fraud and abuse regulations that could result in significant liability, require us to change our business practices and restrict our operations in the future.</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are subject to various federal, state and local laws targeting fraud and abuse in the healthcare industry, including anti-kickback and false claims laws. Violations of these laws are punishable by criminal or civil sanctions, including substantial fines, imprisonment and exclusion from participation in healthcare programs such as Medicare and Medicaid and health programs outside the United States. These laws and regulations are wide ranging and subject to changing interpretation and application, which could restrict our sales or marketing practices. Furthermore, since many of our customers rely on reimbursement from Medicare, Medicaid and other governmental programs to cover a substantial portion of their expenditures, our exclusion from such programs as a result of a violation of these laws could have a material adverse effect on our business, results of operations, financial condition and cash flow.</w:t>
      </w:r>
    </w:p>
    <w:p>
      <w:pPr>
        <w:spacing w:after="0" w:line="16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8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After a device is placed on the market, numerous regulatory requirements apply. We are subject to inspection and marketing surveillance by the FDA to determine our compliance with all regulatory requirements. Our failure to comply with applicable regulatory requirements could result in the FDA or a court instituting a wide variety of enforcement actions against us, including a public "Warning Letter"; an order to shut down some or all manufacturing operations; a recall of products; fines or civil penalties; seizure or detention of our products; refusing our requests for 510(k) clearance or a PMA of new or modified products; withdrawing 510(k) clearance or PMA approvals already granted to us; and criminal prosecution.</w:t>
      </w:r>
    </w:p>
    <w:p>
      <w:pPr>
        <w:spacing w:after="0" w:line="17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The FDA enforces the QSR through unannounced inspections.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w:t>
      </w:r>
    </w:p>
    <w:p>
      <w:pPr>
        <w:spacing w:after="0" w:line="167"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If we, or one of our suppliers, violate the FDA’s requirements or fail to take adequate corrective action in response to any significant compliance issue raised by the FDA, the FDA can take various enforcement actions which could cause our product sales and profitability to suffer.</w:t>
      </w:r>
    </w:p>
    <w:p>
      <w:pPr>
        <w:spacing w:after="0" w:line="1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If we cannot obtain and maintain marketing clearance or approval from governmental agencies, we will not be able to sell our products.</w:t>
      </w:r>
    </w:p>
    <w:p>
      <w:pPr>
        <w:spacing w:after="0" w:line="23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 notification is submitted to the FDA, but may take significantly longer. Although we have obtained 510(k) clearances for our current products, our clearances may be revoked by the FDA if safety or effectiveness problems develop with the devices. The PMA process is much more costly, lengthy and uncertain. It generally takes from one to three years from the date the application is submitted to, and filed with the FDA, and may take even longer. 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18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Modifications to our current products may require new marketing clearances or approvals or require us to cease marketing or recall the modified products until such clearances or approvals are obtained.</w:t>
      </w:r>
    </w:p>
    <w:p>
      <w:pPr>
        <w:spacing w:after="0" w:line="17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Any modification to an FDA-cleared medical device that could significantly affect its safety or effectiveness, or that would constitute a major change or modification in its intended use, requires a new FDA 510(k) clearance or, possibly, a premarket approval. The FDA requires every manufacturer to make its own determination as to whether a modification requires a new 510(k) clearance or premarket approval, but the FDA may review and disagree with any decision reached by the manufacturer. We have modified aspects of some of our devices since receiving regulatory clearance. We believed that some of these modifications did not require new 510(k) clearance or premarket approval and, therefore, we did not seek new 510(k) clearances or premarket approvals. In the future, we may make additional modifications to our products after they have received FDA clearance or approval and, in appropriate circumstances, determine that new clearance or approval is unnecessary. Regulations in other countries in which we market or sell, or propose to market or sell, may also require that we make judgments about changes to our products and whether or not those changes are such that regulatory approval or clearance should be obtained. In the United States and elsewhere, regulatory authorities may disagree with our past or future decisions not to seek new clearance or approval and may require us to obtain clearance or approval for modifications to our products. If that were to occur for a previously cleared or approved product, we may be required to cease marketing or recall the modified device until we obtain the necessary clearance or approval. Under these circumstances, we may also be subject to significant regulatory fines or other penalties. If any of the foregoing were to occur, our financial condition and results of operations could be negatively impacted.</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Even after receiving regulatory clearance or approval, our products may be subject to product recalls, which may harm our reputation and divert managerial and financial resources.</w:t>
      </w:r>
    </w:p>
    <w:p>
      <w:pPr>
        <w:spacing w:after="0" w:line="1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device, or if the governmental entity finds that our products would cause serious adverse health consequences. A government mandated voluntary recall or field action by us could occur as a result of component failures, manufacturing errors or design defects, including labeling defects. Any recall of our products may harm our reputation with customers and divert managerial and financial resources.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fines, penalties, injunctions or costly investigations if we are determined to be promoting the use of our products for unapproved or “off-label” uses.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If we are incorrect in our belief that our promotional materials and training methods regarding physicians are conducted in compliance with regulations of the FDA and other applicable regulations, and the FDA determines that our promotional materials or training constitutes promotion of an unapproved use, the FDA could request that we modify our training or promotional materials or subject us to regulatory enforcement actions, including the issuance of a warning letter, injunction, seizure, civil fine and criminal penalties. It is also possible that other federal, state or foreign enforcement authorities might take action if they consider promotional or training materials to constitute promotion of an unapproved use, which could result in significant fines or penalties under other statutory authorities, such as laws prohibiting false claims for reimbursement. Any of these results could have a material adverse effect on our financial position or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3" w:name="page34"/>
    <w:bookmarkEnd w:id="33"/>
    <w:p>
      <w:pPr>
        <w:ind w:right="220"/>
        <w:spacing w:after="0" w:line="277" w:lineRule="auto"/>
        <w:rPr>
          <w:sz w:val="20"/>
          <w:szCs w:val="20"/>
          <w:color w:val="auto"/>
        </w:rPr>
      </w:pPr>
      <w:r>
        <w:rPr>
          <w:rFonts w:ascii="Arial" w:cs="Arial" w:eastAsia="Arial" w:hAnsi="Arial"/>
          <w:sz w:val="18"/>
          <w:szCs w:val="18"/>
          <w:b w:val="1"/>
          <w:bCs w:val="1"/>
          <w:i w:val="1"/>
          <w:iCs w:val="1"/>
          <w:color w:val="auto"/>
        </w:rPr>
        <w:t>If our employees or agents violate the U.S. Foreign Corrupt Practices Act or anti-bribery laws in other jurisdictions, we may incur fines or penalties, or experience other adverse consequences.</w:t>
      </w:r>
    </w:p>
    <w:p>
      <w:pPr>
        <w:spacing w:after="0" w:line="17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are subject to the U.S. Foreign Corrupt Practices Act, or FCPA, and similar anti-bribery laws in international jurisdictions, including the UK Anti-Bribery Act, which generally prohibit companies and their intermediaries from making improper payments to non-U.S. officials for the purpose of obtaining or retaining business. Because of the predominance of government-sponsored healthcare systems around the world, many of our customer relationships outside of the United States are with governmental entities and are therefore subject to such anti-bribery laws. Our sales to customers and distributors outside of the United States have been increasing and we expect them to continue to increase in the future. If our employees or agents violate the provisions of the FCPA or other anti-bribery laws, we may incur fines or penalties, we may be unable to market our products in other countries or we may experience other adverse consequences which could have a material adverse effect on our operating results or financial condition.</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Laws and regulations governing the export of our products could adversely impact our business. If the U.S. government imposes strict sanctions on Iran, our revenue could be impacted.</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 Due to our international operations, we are subject to such laws and regulations, which are complex, restrict our business dealings with certain countries and individuals, and are constantly changing. Further restrictions may be enacted, amended, enforced or interpreted in a manner that materially impacts our operations.</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fiscal year 2019 we generated $1.6 million of revenue for sales to distributors doing business in Iran. We continuously review our ability to sell products to distributors that conduct business in Iran in accordance with all applicable U.S. laws. If laws, rules or regulations of the United States with respect to doing business in, or with parties that do business in, Iran change to restrict our ability to generate revenue in Iran, our revenue could decline, impacting our results of operations.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From time to time, we have limited business dealings in countries subject to comprehensive sanctions. These business dealings may expose us to a heightened risk of violating applicable sanctions regulations. Violations of these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reimbursement levels by governmental or other third-party payors for procedures using our products may cause our revenues to decline.</w:t>
      </w:r>
    </w:p>
    <w:p>
      <w:pPr>
        <w:spacing w:after="0" w:line="24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products are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The ability of our customers to obtain appropriate reimbursement for products and services from third-party payors is critical to the success of medical device companies because it affects which products customers purchase and the prices they are willing to pay. 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 our products. Even when we develop a promising new product, we may find limited demand for the product unless reimbursement approval is obtained from private and governmental third party payors.</w:t>
      </w:r>
    </w:p>
    <w:p>
      <w:pPr>
        <w:spacing w:after="0" w:line="19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Third-party payors have adopted, and are continuing to adopt, a number of healthcare policies intended to curb rising healthcare costs. These policies include:</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controls on government-funded reimbursement for healthcare services and price controls on medical products and services providers;</w:t>
      </w:r>
    </w:p>
    <w:p>
      <w:pPr>
        <w:spacing w:after="0" w:line="34" w:lineRule="exact"/>
        <w:rPr>
          <w:rFonts w:ascii="Arial" w:cs="Arial" w:eastAsia="Arial" w:hAnsi="Arial"/>
          <w:sz w:val="17"/>
          <w:szCs w:val="17"/>
          <w:color w:val="auto"/>
        </w:rPr>
      </w:pPr>
    </w:p>
    <w:p>
      <w:pPr>
        <w:ind w:left="980" w:right="46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to the pricing of medical procedures or limits or prohibitions on reimbursement for specific devices and therapies through other means;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4" w:name="page35"/>
    <w:bookmarkEnd w:id="34"/>
    <w:p>
      <w:pPr>
        <w:ind w:left="980" w:right="5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introduction of managed care systems in which healthcare providers contract to provide comprehensive healthcare for a fixed cost per person.</w:t>
      </w:r>
    </w:p>
    <w:p>
      <w:pPr>
        <w:spacing w:after="0" w:line="1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are unable to predict whether federal, state or local healthcare reform legislation or regulation affecting our business may be proposed or enacted in the future, or what effect any such legislation or regulation would have on our business.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intellectual property rights, we may not be able to generate revenues from new or existing products and our business may suffer.</w:t>
      </w:r>
    </w:p>
    <w:p>
      <w:pPr>
        <w:spacing w:after="0" w:line="17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Our success depends in part on obtaining, maintaining and enforcing our patents, trademarks and other proprietary rights, and our ability to avoid infringing the proprietary rights of others. We take precautionary steps to protect our technological advantages and intellectual property.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spacing w:after="0" w:line="15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 Generally, patent applications can be maintained in secrecy for at least 18 months after their earliest priority date. In addition, publication of discoveries in the scientific or patent literature often lags behind actual discoveries. Therefore, we cannot be certain that we were the first to invent the subject matter covered by each of our pending U.S. patent applications or that we were the first to file non-U.S. patent applications for such subject matter.</w:t>
      </w:r>
    </w:p>
    <w:p>
      <w:pPr>
        <w:spacing w:after="0" w:line="19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we are not able to adequately protect our intellectual property, our market share, financial condition and results of operations may suffer.</w:t>
      </w:r>
    </w:p>
    <w:p>
      <w:pPr>
        <w:spacing w:after="0" w:line="23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12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5" w:name="page36"/>
    <w:bookmarkEnd w:id="35"/>
    <w:p>
      <w:pPr>
        <w:ind w:right="420"/>
        <w:spacing w:after="0" w:line="277" w:lineRule="auto"/>
        <w:rPr>
          <w:sz w:val="20"/>
          <w:szCs w:val="20"/>
          <w:color w:val="auto"/>
        </w:rPr>
      </w:pPr>
      <w:r>
        <w:rPr>
          <w:rFonts w:ascii="Arial" w:cs="Arial" w:eastAsia="Arial" w:hAnsi="Arial"/>
          <w:sz w:val="18"/>
          <w:szCs w:val="18"/>
          <w:color w:val="auto"/>
        </w:rPr>
        <w:t>effort. Such claims could also cause our customers or potential customers to purchase competitors’ products or defer or limit their purchase or use of our affected products until resolution of the claim. See Note 17 in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 PRICE</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future operating results are difficult to predict and may vary significantly from quarter to quarter, which may adversely affect the price of our common stock.</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18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sales of our products and services in our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introduce new products or services and enhancements in a timely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and acceptance of our products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competition and the introduction of alternative products or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command favorable pricing for our products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growth of the market for our devices and services;</w:t>
      </w:r>
    </w:p>
    <w:p>
      <w:pPr>
        <w:spacing w:after="0" w:line="9" w:lineRule="exact"/>
        <w:rPr>
          <w:rFonts w:ascii="Arial" w:cs="Arial" w:eastAsia="Arial" w:hAnsi="Arial"/>
          <w:sz w:val="18"/>
          <w:szCs w:val="18"/>
          <w:color w:val="auto"/>
        </w:rPr>
      </w:pPr>
    </w:p>
    <w:p>
      <w:pPr>
        <w:ind w:left="980" w:right="106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expansion and rate of success of our direct sales force in the United States and internationally and our independent distributors internationally;</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relating to ongoing FDA compliance;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integrate acquired assets or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timely divest of assets that are covered by Transition Service Agreements;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intellectual property disputes;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timing of orders from independent distributors or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attraction and retention of key personnel, particularly in sales and marketing, regulatory, manufacturing and research and development;</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delays or an inability to control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as well as those specific to our customers and markets;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fluctuations in revenue due to the elective nature of some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may cause the value of our stock to decline or subject us to a securities class action litigation.</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trading price of our common stock price may be volatile and could be subject to wide fluctuations in price in response to various factors, many of which are beyond our control, including:</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by institutional or other large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volume and timing of orders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generally affecting medical device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investor perceptions of us and our business, including changes in market valuations of medical device companies;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results of operations and financial performance.</w:t>
      </w:r>
    </w:p>
    <w:p>
      <w:pPr>
        <w:spacing w:after="0" w:line="21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the stock market in general, and the NASDAQ Stock Market and the market for medical devices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market price of its common stock. We may become involved in this type of litigation in the future. Any securities litigation claims brought against us could result in substantial expense and the diversion of management’s attention from our business.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79"/>
          </w:cols>
          <w:pgMar w:left="280" w:top="958" w:right="1440" w:bottom="1440" w:gutter="0" w:footer="0" w:header="0"/>
        </w:sectPr>
      </w:pPr>
    </w:p>
    <w:bookmarkStart w:id="37" w:name="page38"/>
    <w:bookmarkEnd w:id="37"/>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 ended May 31, 2019, we operated in the following locations:</w:t>
      </w:r>
    </w:p>
    <w:p>
      <w:pPr>
        <w:spacing w:after="0" w:line="36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5020" w:type="dxa"/>
            <w:vAlign w:val="bottom"/>
            <w:vMerge w:val="restart"/>
          </w:tcPr>
          <w:p>
            <w:pPr>
              <w:jc w:val="center"/>
              <w:ind w:left="713"/>
              <w:spacing w:after="0"/>
              <w:rPr>
                <w:sz w:val="20"/>
                <w:szCs w:val="20"/>
                <w:color w:val="auto"/>
              </w:rPr>
            </w:pPr>
            <w:r>
              <w:rPr>
                <w:rFonts w:ascii="Arial" w:cs="Arial" w:eastAsia="Arial" w:hAnsi="Arial"/>
                <w:sz w:val="14"/>
                <w:szCs w:val="14"/>
                <w:b w:val="1"/>
                <w:bCs w:val="1"/>
                <w:color w:val="auto"/>
                <w:w w:val="89"/>
              </w:rPr>
              <w:t>Purpose</w:t>
            </w:r>
          </w:p>
        </w:tc>
        <w:tc>
          <w:tcPr>
            <w:tcW w:w="182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94"/>
              </w:rPr>
              <w:t>Approx.</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920" w:type="dxa"/>
            <w:vAlign w:val="bottom"/>
            <w:vMerge w:val="continue"/>
          </w:tcPr>
          <w:p>
            <w:pPr>
              <w:spacing w:after="0"/>
              <w:rPr>
                <w:sz w:val="16"/>
                <w:szCs w:val="16"/>
                <w:color w:val="auto"/>
              </w:rPr>
            </w:pPr>
          </w:p>
        </w:tc>
        <w:tc>
          <w:tcPr>
            <w:tcW w:w="5020" w:type="dxa"/>
            <w:vAlign w:val="bottom"/>
            <w:vMerge w:val="continue"/>
          </w:tcPr>
          <w:p>
            <w:pPr>
              <w:spacing w:after="0"/>
              <w:rPr>
                <w:sz w:val="16"/>
                <w:szCs w:val="16"/>
                <w:color w:val="auto"/>
              </w:rPr>
            </w:pPr>
          </w:p>
        </w:tc>
        <w:tc>
          <w:tcPr>
            <w:tcW w:w="18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3"/>
              </w:rPr>
              <w:t>Sq. Ft.</w:t>
            </w: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250"/>
        </w:trPr>
        <w:tc>
          <w:tcPr>
            <w:tcW w:w="2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Latham, NY</w:t>
            </w:r>
          </w:p>
        </w:tc>
        <w:tc>
          <w:tcPr>
            <w:tcW w:w="5020" w:type="dxa"/>
            <w:vAlign w:val="bottom"/>
            <w:tcBorders>
              <w:top w:val="single" w:sz="8" w:color="auto"/>
              <w:bottom w:val="single" w:sz="8" w:color="CCEEFF"/>
            </w:tcBorders>
            <w:shd w:val="clear" w:color="auto" w:fill="CCEEFF"/>
          </w:tcPr>
          <w:p>
            <w:pPr>
              <w:jc w:val="center"/>
              <w:ind w:left="713"/>
              <w:spacing w:after="0"/>
              <w:rPr>
                <w:sz w:val="20"/>
                <w:szCs w:val="20"/>
                <w:color w:val="auto"/>
              </w:rPr>
            </w:pPr>
            <w:r>
              <w:rPr>
                <w:rFonts w:ascii="Arial" w:cs="Arial" w:eastAsia="Arial" w:hAnsi="Arial"/>
                <w:sz w:val="18"/>
                <w:szCs w:val="18"/>
                <w:color w:val="auto"/>
                <w:w w:val="88"/>
              </w:rPr>
              <w:t>Corporate headquarters</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Glens Falls, NY</w:t>
            </w:r>
          </w:p>
        </w:tc>
        <w:tc>
          <w:tcPr>
            <w:tcW w:w="5020" w:type="dxa"/>
            <w:vAlign w:val="bottom"/>
          </w:tcPr>
          <w:p>
            <w:pPr>
              <w:jc w:val="center"/>
              <w:ind w:left="713"/>
              <w:spacing w:after="0"/>
              <w:rPr>
                <w:sz w:val="20"/>
                <w:szCs w:val="20"/>
                <w:color w:val="auto"/>
              </w:rPr>
            </w:pPr>
            <w:r>
              <w:rPr>
                <w:rFonts w:ascii="Arial" w:cs="Arial" w:eastAsia="Arial" w:hAnsi="Arial"/>
                <w:sz w:val="18"/>
                <w:szCs w:val="18"/>
                <w:color w:val="auto"/>
                <w:w w:val="92"/>
              </w:rPr>
              <w:t>Manufacturing</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189,000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Queensbury, NY</w:t>
            </w:r>
          </w:p>
        </w:tc>
        <w:tc>
          <w:tcPr>
            <w:tcW w:w="5020" w:type="dxa"/>
            <w:vAlign w:val="bottom"/>
            <w:tcBorders>
              <w:bottom w:val="single" w:sz="8" w:color="CCEEFF"/>
            </w:tcBorders>
            <w:shd w:val="clear" w:color="auto" w:fill="CCEEFF"/>
          </w:tcPr>
          <w:p>
            <w:pPr>
              <w:jc w:val="center"/>
              <w:ind w:left="713"/>
              <w:spacing w:after="0"/>
              <w:rPr>
                <w:sz w:val="20"/>
                <w:szCs w:val="20"/>
                <w:color w:val="auto"/>
              </w:rPr>
            </w:pPr>
            <w:r>
              <w:rPr>
                <w:rFonts w:ascii="Arial" w:cs="Arial" w:eastAsia="Arial" w:hAnsi="Arial"/>
                <w:sz w:val="18"/>
                <w:szCs w:val="18"/>
                <w:color w:val="auto"/>
                <w:w w:val="93"/>
              </w:rPr>
              <w:t>Manufacturing and distribution</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Marlborough, MA</w:t>
            </w:r>
          </w:p>
        </w:tc>
        <w:tc>
          <w:tcPr>
            <w:tcW w:w="5020" w:type="dxa"/>
            <w:vAlign w:val="bottom"/>
          </w:tcPr>
          <w:p>
            <w:pPr>
              <w:jc w:val="center"/>
              <w:ind w:left="713"/>
              <w:spacing w:after="0"/>
              <w:rPr>
                <w:sz w:val="20"/>
                <w:szCs w:val="20"/>
                <w:color w:val="auto"/>
              </w:rPr>
            </w:pPr>
            <w:r>
              <w:rPr>
                <w:rFonts w:ascii="Arial" w:cs="Arial" w:eastAsia="Arial" w:hAnsi="Arial"/>
                <w:sz w:val="18"/>
                <w:szCs w:val="18"/>
                <w:color w:val="auto"/>
                <w:w w:val="90"/>
              </w:rPr>
              <w:t>Research &amp; Development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Amsterdam, NL</w:t>
            </w:r>
          </w:p>
        </w:tc>
        <w:tc>
          <w:tcPr>
            <w:tcW w:w="5020" w:type="dxa"/>
            <w:vAlign w:val="bottom"/>
            <w:tcBorders>
              <w:bottom w:val="single" w:sz="8" w:color="CCEEFF"/>
            </w:tcBorders>
            <w:shd w:val="clear" w:color="auto" w:fill="CCEEFF"/>
          </w:tcPr>
          <w:p>
            <w:pPr>
              <w:jc w:val="center"/>
              <w:ind w:left="713"/>
              <w:spacing w:after="0"/>
              <w:rPr>
                <w:sz w:val="20"/>
                <w:szCs w:val="20"/>
                <w:color w:val="auto"/>
              </w:rPr>
            </w:pPr>
            <w:r>
              <w:rPr>
                <w:rFonts w:ascii="Arial" w:cs="Arial" w:eastAsia="Arial" w:hAnsi="Arial"/>
                <w:sz w:val="18"/>
                <w:szCs w:val="18"/>
                <w:color w:val="auto"/>
                <w:w w:val="95"/>
              </w:rPr>
              <w:t>Selling, Marketing &amp; Administrative</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Houston, TX</w:t>
            </w:r>
          </w:p>
        </w:tc>
        <w:tc>
          <w:tcPr>
            <w:tcW w:w="5020" w:type="dxa"/>
            <w:vAlign w:val="bottom"/>
          </w:tcPr>
          <w:p>
            <w:pPr>
              <w:jc w:val="center"/>
              <w:ind w:left="713"/>
              <w:spacing w:after="0"/>
              <w:rPr>
                <w:sz w:val="20"/>
                <w:szCs w:val="20"/>
                <w:color w:val="auto"/>
              </w:rPr>
            </w:pPr>
            <w:r>
              <w:rPr>
                <w:rFonts w:ascii="Arial" w:cs="Arial" w:eastAsia="Arial" w:hAnsi="Arial"/>
                <w:sz w:val="18"/>
                <w:szCs w:val="18"/>
                <w:color w:val="auto"/>
                <w:w w:val="96"/>
              </w:rPr>
              <w:t>Selling, Marketing &amp; Distribution</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we lease sales offices in various other jurisdictions.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a result of the Fluid Management divestiture, we now own approximately 20,300 square feet of the Glens Falls facility.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80" w:top="959" w:right="339" w:bottom="1440" w:gutter="0" w:footer="0" w:header="0"/>
        </w:sectPr>
      </w:pPr>
    </w:p>
    <w:bookmarkStart w:id="38" w:name="page39"/>
    <w:bookmarkEnd w:id="38"/>
    <w:p>
      <w:pPr>
        <w:ind w:left="4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Bard’s Complaint sought unspecified damages and other relief. We filed petitions for reexamination in the U.S. Patent and Trademark Office (“USPTO”) seeking to invalidate all three patents asserted by Bard in the litigation. Our petitions were granted and 40 of Bard's 51 patent claims were rejected and, following further proceedings, the Patent Office issued a Final Rejection of all 40 claims subject to reexamination. Thereafter, Bard filed appeals to the USPTO Board of Appeals and Interferences for all three reexaminations.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The PTO denied all three Rehearing Requests - - on February 1, 2017 for the ‘302 reexam; on February 17, 2017 for the ‘022 reexam; and on February 21, 2017 for the ‘615 reexam, but modified its characterization of one prior art reference for the ‘302 and ‘022 decisions. Bard filed a Notice of Appeal to the Federal Circuit Court of Appeals in all three reexams and the Company filed Cross-Appeals for the ‘302 and the ‘615 reexams. The parties have completed the process of filing the various appellate briefs. Medcomp also filed an Amicus Brief in support of the Company on November 22, 2017. An oral hearing was held on September 5, 2018 and the court rendered its decision on September 28, 2018, affirming that claims 1-5 and 10 of the ‘615 patent were invalid but that claims 6-7 of the 615 patent and claims 1-4 of the 302 patent were valid over the asserted prior art references.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6-9. The USPTO has since issued Inter Partes Reexamination Certificates for the ‘302 Patent (confirming validity of claims 1-10) on June 10, 2019, and for the ‘022 patent (confirming validity of claims 1-20) on July 2, 2019. A Certificate has not yet been issued for ‘615. Meanwhile, the Utah action remains stayed; and, on July 12, 2017, Bard assigned the asserted patents to Bard Peripheral Vascular, Inc. (“BPV”) which was added as Co-Appellant before the Federal Circuit and as a co-Plaintiff in the Utah action.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39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6"/>
          <w:szCs w:val="16"/>
          <w:color w:val="auto"/>
        </w:rPr>
        <w:t>On March 10, 2015, C.R. Bard, Inc. ("Bard") and Bard Peripheral Vascular, Inc.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 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was issued on February 11, 2019 and entered by the Court on February 28, 2019. Jury selection was held on Friday March 1, 2019 and trial began on March 4, 2019. On day four of the jury trial, at the close of C.R. Bard’s case (Plaintiff), Judge Bataillon granted judgment as a matter of law (JMOL) under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9" w:name="page40"/>
    <w:bookmarkEnd w:id="39"/>
    <w:p>
      <w:pPr>
        <w:ind w:right="60"/>
        <w:spacing w:after="0" w:line="254" w:lineRule="auto"/>
        <w:rPr>
          <w:sz w:val="20"/>
          <w:szCs w:val="20"/>
          <w:color w:val="auto"/>
        </w:rPr>
      </w:pPr>
      <w:r>
        <w:rPr>
          <w:rFonts w:ascii="Arial" w:cs="Arial" w:eastAsia="Arial" w:hAnsi="Arial"/>
          <w:sz w:val="18"/>
          <w:szCs w:val="18"/>
          <w:color w:val="auto"/>
        </w:rPr>
        <w:t>rule 50(a) in favor of AngioDynamics, dismissing Bard’s suit.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is currently due on July 29, 2019. We maintain our belief that Bard’s claims are without merit. The Company has not recorded an expense related to the outcome of this litigation because it is not yet possible to determine if a potential loss is probable nor reasonably estimable.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The parties are currently engaged in discovery, which is set to close in January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225" w:lineRule="exact"/>
        <w:rPr>
          <w:sz w:val="20"/>
          <w:szCs w:val="20"/>
          <w:color w:val="auto"/>
        </w:rPr>
      </w:pPr>
    </w:p>
    <w:p>
      <w:pPr>
        <w:jc w:val="both"/>
        <w:ind w:right="100" w:firstLine="392"/>
        <w:spacing w:after="0" w:line="279" w:lineRule="auto"/>
        <w:rPr>
          <w:sz w:val="20"/>
          <w:szCs w:val="20"/>
          <w:color w:val="auto"/>
        </w:rPr>
      </w:pPr>
      <w:r>
        <w:rPr>
          <w:rFonts w:ascii="Arial" w:cs="Arial" w:eastAsia="Arial" w:hAnsi="Arial"/>
          <w:sz w:val="17"/>
          <w:szCs w:val="17"/>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in which AngioDynamics agreed to make a lump-sum payment to Merz in return for dismissal of the case with prejudice. Merz filed a stipulation of dismissal with the Court on July 23, 2019.</w:t>
      </w:r>
    </w:p>
    <w:p>
      <w:pPr>
        <w:spacing w:after="0" w:line="276"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42" w:lineRule="exact"/>
        <w:rPr>
          <w:sz w:val="20"/>
          <w:szCs w:val="20"/>
          <w:color w:val="auto"/>
        </w:rPr>
      </w:pPr>
    </w:p>
    <w:p>
      <w:pPr>
        <w:ind w:left="1040" w:right="2780" w:hanging="998"/>
        <w:spacing w:after="0" w:line="277"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common stock is traded on the Global Select Market tier of the NASDAQ Stock Market LLC (formerly the Nasdaq National Market), under the symbol “ANGO.”</w:t>
      </w:r>
    </w:p>
    <w:p>
      <w:pPr>
        <w:spacing w:after="0" w:line="11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sets forth, for the fiscal quarters indicated, the high and low sale prices for our common stock as reported by the NASDAQ Stock Market.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color w:val="auto"/>
              </w:rPr>
              <w:t>Sale Price</w:t>
            </w:r>
          </w:p>
        </w:tc>
        <w:tc>
          <w:tcPr>
            <w:tcW w:w="1300" w:type="dxa"/>
            <w:vAlign w:val="bottom"/>
            <w:tcBorders>
              <w:bottom w:val="single" w:sz="8" w:color="auto"/>
            </w:tcBorders>
          </w:tcPr>
          <w:p>
            <w:pPr>
              <w:spacing w:after="0"/>
              <w:rPr>
                <w:sz w:val="16"/>
                <w:szCs w:val="16"/>
                <w:color w:val="auto"/>
              </w:rPr>
            </w:pPr>
          </w:p>
        </w:tc>
      </w:tr>
      <w:tr>
        <w:trPr>
          <w:trHeight w:val="264"/>
        </w:trPr>
        <w:tc>
          <w:tcPr>
            <w:tcW w:w="376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ind w:left="340"/>
              <w:spacing w:after="0"/>
              <w:rPr>
                <w:sz w:val="20"/>
                <w:szCs w:val="20"/>
                <w:color w:val="auto"/>
              </w:rPr>
            </w:pPr>
            <w:r>
              <w:rPr>
                <w:rFonts w:ascii="Arial" w:cs="Arial" w:eastAsia="Arial" w:hAnsi="Arial"/>
                <w:sz w:val="14"/>
                <w:szCs w:val="14"/>
                <w:color w:val="auto"/>
              </w:rPr>
              <w:t>High</w:t>
            </w:r>
          </w:p>
        </w:tc>
        <w:tc>
          <w:tcPr>
            <w:tcW w:w="520" w:type="dxa"/>
            <w:vAlign w:val="bottom"/>
          </w:tcPr>
          <w:p>
            <w:pPr>
              <w:spacing w:after="0"/>
              <w:rPr>
                <w:sz w:val="22"/>
                <w:szCs w:val="22"/>
                <w:color w:val="auto"/>
              </w:rPr>
            </w:pPr>
          </w:p>
        </w:tc>
        <w:tc>
          <w:tcPr>
            <w:tcW w:w="1300" w:type="dxa"/>
            <w:vAlign w:val="bottom"/>
          </w:tcPr>
          <w:p>
            <w:pPr>
              <w:jc w:val="right"/>
              <w:ind w:right="694"/>
              <w:spacing w:after="0"/>
              <w:rPr>
                <w:sz w:val="20"/>
                <w:szCs w:val="20"/>
                <w:color w:val="auto"/>
              </w:rPr>
            </w:pPr>
            <w:r>
              <w:rPr>
                <w:rFonts w:ascii="Arial" w:cs="Arial" w:eastAsia="Arial" w:hAnsi="Arial"/>
                <w:sz w:val="14"/>
                <w:szCs w:val="14"/>
                <w:color w:val="auto"/>
              </w:rPr>
              <w:t>Low</w:t>
            </w:r>
          </w:p>
        </w:tc>
      </w:tr>
      <w:tr>
        <w:trPr>
          <w:trHeight w:val="250"/>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May 31, 2019</w:t>
            </w:r>
          </w:p>
        </w:tc>
        <w:tc>
          <w:tcPr>
            <w:tcW w:w="39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18.79</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18.90</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19.84</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18.95</w:t>
            </w:r>
          </w:p>
        </w:tc>
      </w:tr>
      <w:tr>
        <w:trPr>
          <w:trHeight w:val="318"/>
        </w:trPr>
        <w:tc>
          <w:tcPr>
            <w:tcW w:w="37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color w:val="auto"/>
              </w:rPr>
              <w:t>Sale Price</w:t>
            </w:r>
          </w:p>
        </w:tc>
        <w:tc>
          <w:tcPr>
            <w:tcW w:w="1300" w:type="dxa"/>
            <w:vAlign w:val="bottom"/>
            <w:tcBorders>
              <w:bottom w:val="single" w:sz="8" w:color="auto"/>
            </w:tcBorders>
          </w:tcPr>
          <w:p>
            <w:pPr>
              <w:spacing w:after="0"/>
              <w:rPr>
                <w:sz w:val="24"/>
                <w:szCs w:val="24"/>
                <w:color w:val="auto"/>
              </w:rPr>
            </w:pPr>
          </w:p>
        </w:tc>
      </w:tr>
      <w:tr>
        <w:trPr>
          <w:trHeight w:val="264"/>
        </w:trPr>
        <w:tc>
          <w:tcPr>
            <w:tcW w:w="376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ind w:left="340"/>
              <w:spacing w:after="0"/>
              <w:rPr>
                <w:sz w:val="20"/>
                <w:szCs w:val="20"/>
                <w:color w:val="auto"/>
              </w:rPr>
            </w:pPr>
            <w:r>
              <w:rPr>
                <w:rFonts w:ascii="Arial" w:cs="Arial" w:eastAsia="Arial" w:hAnsi="Arial"/>
                <w:sz w:val="14"/>
                <w:szCs w:val="14"/>
                <w:color w:val="auto"/>
              </w:rPr>
              <w:t>High</w:t>
            </w:r>
          </w:p>
        </w:tc>
        <w:tc>
          <w:tcPr>
            <w:tcW w:w="520" w:type="dxa"/>
            <w:vAlign w:val="bottom"/>
          </w:tcPr>
          <w:p>
            <w:pPr>
              <w:spacing w:after="0"/>
              <w:rPr>
                <w:sz w:val="22"/>
                <w:szCs w:val="22"/>
                <w:color w:val="auto"/>
              </w:rPr>
            </w:pPr>
          </w:p>
        </w:tc>
        <w:tc>
          <w:tcPr>
            <w:tcW w:w="1300" w:type="dxa"/>
            <w:vAlign w:val="bottom"/>
          </w:tcPr>
          <w:p>
            <w:pPr>
              <w:jc w:val="right"/>
              <w:ind w:right="694"/>
              <w:spacing w:after="0"/>
              <w:rPr>
                <w:sz w:val="20"/>
                <w:szCs w:val="20"/>
                <w:color w:val="auto"/>
              </w:rPr>
            </w:pPr>
            <w:r>
              <w:rPr>
                <w:rFonts w:ascii="Arial" w:cs="Arial" w:eastAsia="Arial" w:hAnsi="Arial"/>
                <w:sz w:val="14"/>
                <w:szCs w:val="14"/>
                <w:color w:val="auto"/>
              </w:rPr>
              <w:t>Low</w:t>
            </w:r>
          </w:p>
        </w:tc>
      </w:tr>
      <w:tr>
        <w:trPr>
          <w:trHeight w:val="250"/>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May 31, 2018</w:t>
            </w:r>
          </w:p>
        </w:tc>
        <w:tc>
          <w:tcPr>
            <w:tcW w:w="39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16.13</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15.71</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16.29</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w:t>
            </w:r>
          </w:p>
        </w:tc>
      </w:tr>
      <w:tr>
        <w:trPr>
          <w:trHeight w:val="459"/>
        </w:trPr>
        <w:tc>
          <w:tcPr>
            <w:tcW w:w="3760" w:type="dxa"/>
            <w:vAlign w:val="bottom"/>
          </w:tcPr>
          <w:p>
            <w:pPr>
              <w:spacing w:after="0"/>
              <w:rPr>
                <w:sz w:val="24"/>
                <w:szCs w:val="24"/>
                <w:color w:val="auto"/>
              </w:rPr>
            </w:pPr>
          </w:p>
        </w:tc>
        <w:tc>
          <w:tcPr>
            <w:tcW w:w="3900" w:type="dxa"/>
            <w:vAlign w:val="bottom"/>
          </w:tcPr>
          <w:p>
            <w:pPr>
              <w:jc w:val="right"/>
              <w:ind w:right="177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color w:val="auto"/>
        </w:rPr>
        <w:t>As of July 22, 2019, there were 180 holders of record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did not declare any cash dividends on our common stock during our last three fiscal years. We do not anticipate paying any cash dividends on our common stock for the foreseeable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graph below matches AngioDynamics, Inc.’s cumulative 5-year total shareholder return on common stock with the cumulative total returns of the NASDAQ Composite index, the RDG SmallCap Medical Devices index, and the NASDAQ Medical Equipment index. The graph tracks the performance of a $100 investment in our common stock and in each index (with the reinvestment of all dividends) from May 31, 2014 to May 31, 2019.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5848985" cy="4570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746" w:right="279" w:bottom="1440" w:gutter="0" w:footer="0" w:header="0"/>
        </w:sectPr>
      </w:pPr>
    </w:p>
    <w:bookmarkStart w:id="41" w:name="page42"/>
    <w:bookmarkEnd w:id="41"/>
    <w:p>
      <w:pPr>
        <w:ind w:left="40"/>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right="640" w:firstLine="648"/>
        <w:spacing w:after="0" w:line="334"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included elsewhere in this Annual Report on Form 10-K.</w:t>
      </w:r>
    </w:p>
    <w:p>
      <w:pPr>
        <w:spacing w:after="0" w:line="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May 31, 2019, the Company completed the sale of the Fluid Management business and all of the assets used primarily in connection with the Fluid Management business (Note 3). As the disposal of this business represents a strategic shift with a major effect on the Company's operations, for all periods presented in our Consolidated Statements of Operations and Comprehensive Income, all sales, costs, expenses, gains and income taxes attributable to Fluid Management have been reported under the captions, “Income from Discontinued Operations, Net of Income Tax.” The consolidated statements of operations data for the fiscal years ended May 31, 2019, May 31, 2018, and May 31, 2017, and the consolidated balance sheet data as of May 31, 2019 and May 31, 2018, are derived from the consolidated financial statements that are included elsewhere in this Annual Report on Form 10-K. The consolidated statements of operations data for the fiscal years ended May 31, 2016 and May 31, 2015, and the consolidated balance sheet data as of May 31, 2017, May 31, 2016 and May 31, 2015, are derived from our audited consolidated financial statements not included in this Annual Report on Form 10-K. Historical results are not necessarily indicative of the results of operations to be expected for future periods. See Note 16 of “Notes to Consolidated Financial Statements” for a description of the method that we used to compute our historical basic and diluted net income per share attributable to common stockholders.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Year ended May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4"/>
                <w:szCs w:val="14"/>
                <w:color w:val="auto"/>
              </w:rPr>
              <w:t>(in thousands, except per share information)</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Consolidated Statements of Operations Data: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261,655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271,795</w:t>
            </w:r>
          </w:p>
        </w:tc>
        <w:tc>
          <w:tcPr>
            <w:tcW w:w="0" w:type="dxa"/>
            <w:vAlign w:val="bottom"/>
          </w:tcPr>
          <w:p>
            <w:pPr>
              <w:spacing w:after="0"/>
              <w:rPr>
                <w:sz w:val="1"/>
                <w:szCs w:val="1"/>
                <w:color w:val="auto"/>
              </w:rPr>
            </w:pPr>
          </w:p>
        </w:tc>
      </w:tr>
      <w:tr>
        <w:trPr>
          <w:trHeight w:val="243"/>
        </w:trPr>
        <w:tc>
          <w:tcPr>
            <w:tcW w:w="4700" w:type="dxa"/>
            <w:vAlign w:val="bottom"/>
          </w:tcPr>
          <w:p>
            <w:pPr>
              <w:ind w:left="540"/>
              <w:spacing w:after="0"/>
              <w:rPr>
                <w:sz w:val="20"/>
                <w:szCs w:val="20"/>
                <w:color w:val="auto"/>
              </w:rPr>
            </w:pPr>
            <w:r>
              <w:rPr>
                <w:rFonts w:ascii="Arial" w:cs="Arial" w:eastAsia="Arial" w:hAnsi="Arial"/>
                <w:sz w:val="18"/>
                <w:szCs w:val="18"/>
                <w:color w:val="auto"/>
              </w:rPr>
              <w:t>Gross profit (exclusive of intangible amortization)</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143,856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143,950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141,719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142,773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28,258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24,338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78,397</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34,902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30,314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29,769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16,624</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Acquisition, restructuring and other items, net </w:t>
            </w: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Medical device excise tax</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165,225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164,352</w:t>
            </w:r>
          </w:p>
        </w:tc>
        <w:tc>
          <w:tcPr>
            <w:tcW w:w="0" w:type="dxa"/>
            <w:vAlign w:val="bottom"/>
          </w:tcPr>
          <w:p>
            <w:pPr>
              <w:spacing w:after="0"/>
              <w:rPr>
                <w:sz w:val="1"/>
                <w:szCs w:val="1"/>
                <w:color w:val="auto"/>
              </w:rPr>
            </w:pPr>
          </w:p>
        </w:tc>
      </w:tr>
      <w:tr>
        <w:trPr>
          <w:trHeight w:val="237"/>
        </w:trPr>
        <w:tc>
          <w:tcPr>
            <w:tcW w:w="4700" w:type="dxa"/>
            <w:vAlign w:val="bottom"/>
          </w:tcPr>
          <w:p>
            <w:pPr>
              <w:ind w:left="114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expenses,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37"/>
        </w:trPr>
        <w:tc>
          <w:tcPr>
            <w:tcW w:w="4700" w:type="dxa"/>
            <w:vAlign w:val="bottom"/>
          </w:tcPr>
          <w:p>
            <w:pPr>
              <w:ind w:left="1140"/>
              <w:spacing w:after="0"/>
              <w:rPr>
                <w:sz w:val="20"/>
                <w:szCs w:val="20"/>
                <w:color w:val="auto"/>
              </w:rPr>
            </w:pPr>
            <w:r>
              <w:rPr>
                <w:rFonts w:ascii="Arial" w:cs="Arial" w:eastAsia="Arial" w:hAnsi="Arial"/>
                <w:sz w:val="18"/>
                <w:szCs w:val="18"/>
                <w:color w:val="auto"/>
              </w:rPr>
              <w:t>Net loss from continuing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37"/>
        </w:trPr>
        <w:tc>
          <w:tcPr>
            <w:tcW w:w="4700" w:type="dxa"/>
            <w:vAlign w:val="bottom"/>
          </w:tcPr>
          <w:p>
            <w:pPr>
              <w:ind w:left="11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61,340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16,335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40"/>
              <w:spacing w:after="0"/>
              <w:rPr>
                <w:sz w:val="20"/>
                <w:szCs w:val="20"/>
                <w:color w:val="auto"/>
              </w:rPr>
            </w:pPr>
            <w:r>
              <w:rPr>
                <w:rFonts w:ascii="Arial" w:cs="Arial" w:eastAsia="Arial" w:hAnsi="Arial"/>
                <w:sz w:val="18"/>
                <w:szCs w:val="18"/>
                <w:color w:val="auto"/>
              </w:rPr>
              <w:t>Loss per share from continuing operations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Earnings per share from discontinued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8"/>
                <w:szCs w:val="18"/>
                <w:color w:val="auto"/>
              </w:rPr>
              <w:t>Earnings (loss) per share from net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2" w:name="page43"/>
    <w:bookmarkEnd w:id="42"/>
    <w:p>
      <w:pPr>
        <w:ind w:firstLine="8"/>
        <w:spacing w:after="0" w:line="275" w:lineRule="auto"/>
        <w:tabs>
          <w:tab w:leader="none" w:pos="23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Acquisition, restructuring and one-time items include restructuring expenses or expenses incurred as part of M&amp;A, product discontinuance, legal settlements and legal costs that are related to litigation that is not in the ordinary course of business.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As of May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3"/>
        </w:trPr>
        <w:tc>
          <w:tcPr>
            <w:tcW w:w="52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2015</w:t>
            </w:r>
          </w:p>
        </w:tc>
      </w:tr>
      <w:tr>
        <w:trPr>
          <w:trHeight w:val="230"/>
        </w:trPr>
        <w:tc>
          <w:tcPr>
            <w:tcW w:w="5240" w:type="dxa"/>
            <w:vAlign w:val="bottom"/>
          </w:tcPr>
          <w:p>
            <w:pPr>
              <w:ind w:left="40"/>
              <w:spacing w:after="0"/>
              <w:rPr>
                <w:sz w:val="20"/>
                <w:szCs w:val="20"/>
                <w:color w:val="auto"/>
              </w:rPr>
            </w:pPr>
            <w:r>
              <w:rPr>
                <w:rFonts w:ascii="Arial" w:cs="Arial" w:eastAsia="Arial" w:hAnsi="Arial"/>
                <w:sz w:val="18"/>
                <w:szCs w:val="18"/>
                <w:color w:val="auto"/>
              </w:rPr>
              <w:t>Consolidated Balance Sheet Data:</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
        </w:trPr>
        <w:tc>
          <w:tcPr>
            <w:tcW w:w="5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cash equivalents and marketable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20,080</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836,438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705,472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707,961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726,194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773,058</w:t>
            </w: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including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131,907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137,660</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Contingent consideration, including current portion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13,486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38,275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47,384</w:t>
            </w: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121,418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167,444</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614,815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542,595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515,027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507,228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545,099</w:t>
            </w:r>
          </w:p>
        </w:tc>
      </w:tr>
    </w:tbl>
    <w:p>
      <w:pPr>
        <w:spacing w:after="0" w:line="38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Conditions and Results of Operations.</w:t>
      </w:r>
    </w:p>
    <w:p>
      <w:pPr>
        <w:spacing w:after="0" w:line="25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audited consolidated financial statements and the notes thereto and other information included elsewhere in this annual report on Form 10-K.</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For all periods presented in Management's Discussion and Analysis of Financial Conditions and Results of Operations, all sales, cost of sales, expenses, gains and income taxes are exclusive of Fluid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acquisitions,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the actual results include, without limitation, our ability to develop our existing and new products, future actions by the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the loss of any of our key customers or reduction in the purchase of our products by any such customers, and our ability to integrate acquired businesses as well as the risk factors listed in Part I, Item 1A of this Annual Report on Form 10-K.</w:t>
      </w:r>
    </w:p>
    <w:p>
      <w:pPr>
        <w:spacing w:after="0" w:line="180"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We disclaim any obligation to update the forward-looking statements. Investors are cautioned not to place undue reliance on these forward-looking statements which speak only as of the date stated, or if no date is stated, as of the date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229"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implanted for short or long term use.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9" w:right="259" w:bottom="1440" w:gutter="0" w:footer="0" w:header="0"/>
        </w:sectPr>
      </w:pPr>
    </w:p>
    <w:bookmarkStart w:id="43" w:name="page44"/>
    <w:bookmarkEnd w:id="43"/>
    <w:p>
      <w:pPr>
        <w:ind w:right="20" w:firstLine="324"/>
        <w:spacing w:after="0" w:line="279" w:lineRule="auto"/>
        <w:rPr>
          <w:sz w:val="20"/>
          <w:szCs w:val="20"/>
          <w:color w:val="auto"/>
        </w:rPr>
      </w:pPr>
      <w:r>
        <w:rPr>
          <w:rFonts w:ascii="Arial" w:cs="Arial" w:eastAsia="Arial" w:hAnsi="Arial"/>
          <w:sz w:val="17"/>
          <w:szCs w:val="17"/>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5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 August 14, 2018, the Company acquired the BioSentry Tract Sealant System (BioSentry) technology from Surgical Specialties, LLC, a medical device company headquartered in Westwood, Massachusetts for a total purchase price of $39.8 million of which $37.0 million was paid on August 14, 2018 and $2.8 million was recorded as contingent consideration. The contingent consideration liability was recorded at fair value and was paid upon fulfillment of hydrogel orders during the fourth quarter of fiscal year 2019. This is part of the Company’s strategic focus on building a continuum of care within the oncology space. Refer to Note 2 for further disclosure on the acquisition.</w:t>
      </w:r>
    </w:p>
    <w:p>
      <w:pPr>
        <w:spacing w:after="0" w:line="188"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contingent consideration of $22.3 million is comprised of $16.5 million for the revenue milestones and $5.8 million for the technical milestones. The $4.6 million indemnification holdback is recorded in accrued liabilities as of May 31, 2019 and the $0.2 million purchase price holdback was initially recorded in accrued liabilities, but was paid during the third quarter of fiscal year 2019. 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9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On March 7, 2019, the United States District Court for the District of Delaware granted judgment as a matter of law under rule 50(a) in favor of the Company. This judgment dismissed Bard's suit claiming certain of the Company's implantable port products infringe on three U.S. patents held by Bard. See Note 17 for additional disclosure.</w:t>
      </w:r>
    </w:p>
    <w:p>
      <w:pPr>
        <w:spacing w:after="0" w:line="10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March 14, 2019, the Company entered into a settlement agreement with Biolitec, Inc. related to the action commenced in the United States District Court for the Northern District of New York in January 2008. The Company sought judgment against Biolitec for defense and indemnification in two lawsuits which were previously settled. As a result of the settlement, Biolitec paid the Company $3.4 million.</w:t>
      </w:r>
    </w:p>
    <w:p>
      <w:pPr>
        <w:spacing w:after="0" w:line="10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 $169.2 million in cash and resulted in a gain of $46.6 million after working capital adjustments of $0.6 million. The gain is recorded in discontinued operations. A portion of the net proceeds were used on June 3, 2019 to retire the outstanding balance on the Term Loan and Revolving Facility and the remaining net proceeds will continue to be invested in the business.</w:t>
      </w:r>
    </w:p>
    <w:p>
      <w:pPr>
        <w:spacing w:after="0" w:line="112"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In evaluating the operating performance of our business, management focuses on revenue, gross margin, operating income, earnings per share and cash flow from operations. A summary of these key financial metrics for the year ended May 31, 2019 compared to the year ended May 31, 2018 follows: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 ended May 31, 2019:</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increased by 3.4% to $270.6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margin as a percentage of sales increased by 260 bps to 57.6%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loss decreased by $4.8 million to $9.4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flow from operations decreased by $3.8 million to $37.4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Strategic Initiatives to Drive Growth</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Throughout the year, we introduced strategic moves designed to streamline our business, improve our overall business operations and position ourselves for growth. Those initiatives included:</w:t>
      </w:r>
    </w:p>
    <w:p>
      <w:pPr>
        <w:spacing w:after="0" w:line="116" w:lineRule="exact"/>
        <w:rPr>
          <w:sz w:val="20"/>
          <w:szCs w:val="20"/>
          <w:color w:val="auto"/>
        </w:rPr>
      </w:pPr>
    </w:p>
    <w:p>
      <w:pPr>
        <w:ind w:left="660" w:right="1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process. </w:t>
      </w:r>
      <w:r>
        <w:rPr>
          <w:rFonts w:ascii="Arial" w:cs="Arial" w:eastAsia="Arial" w:hAnsi="Arial"/>
          <w:sz w:val="18"/>
          <w:szCs w:val="18"/>
          <w:color w:val="auto"/>
        </w:rPr>
        <w:t>The Company continued its robust product development process which is intended to improve the Company’s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bring new products to market.</w:t>
      </w:r>
    </w:p>
    <w:p>
      <w:pPr>
        <w:spacing w:after="0" w:line="11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Value Creation. </w:t>
      </w:r>
      <w:r>
        <w:rPr>
          <w:rFonts w:ascii="Arial" w:cs="Arial" w:eastAsia="Arial" w:hAnsi="Arial"/>
          <w:sz w:val="18"/>
          <w:szCs w:val="18"/>
          <w:color w:val="auto"/>
        </w:rPr>
        <w:t>To create value and drive future growth, the Company plans to practice dispassionate portfolio optimization and continue to focus on</w:t>
      </w:r>
      <w:r>
        <w:rPr>
          <w:rFonts w:ascii="Arial" w:cs="Arial" w:eastAsia="Arial" w:hAnsi="Arial"/>
          <w:sz w:val="18"/>
          <w:szCs w:val="18"/>
          <w:i w:val="1"/>
          <w:iCs w:val="1"/>
          <w:color w:val="auto"/>
        </w:rPr>
        <w:t xml:space="preserve"> </w:t>
      </w:r>
      <w:r>
        <w:rPr>
          <w:rFonts w:ascii="Arial" w:cs="Arial" w:eastAsia="Arial" w:hAnsi="Arial"/>
          <w:sz w:val="18"/>
          <w:szCs w:val="18"/>
          <w:color w:val="auto"/>
        </w:rPr>
        <w:t>areas of compelling unmet needs including those that are patient-centric and evidenced-based. This was evident through the BioSentry and RadiaDyne acquisitions noted above along with the divestiture of the Fluid Management business. In addition, the Company is pursuing targeted global expansion opportunities.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significant accounting policies are summarized in Note 1 to Notes to Consolidated Financial Statements included elsewhere in this Annual Report on Form 10-K. While all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The accounting policies identified as critical are as follows: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The Company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on June 1, 2018 using the modified retrospective method for all contracts not completed as of the date of adoption. The reported results for fiscal year 2019 reflect the application of ASC 606 guidance while the reported results for fiscal year 2018 were prepared under the guidance of ASC 605, Revenue Recognition (“ASC 605”). For discussion of the Company’s accounting policy for revenue recognition under ASC 605, refer to Item 8 of the Annual Report on Form 10-K for the year ended May 31, 2018. The adoption of ASC 606 did not have an impact on the Company’s consolidated balance sheet, results of operations, equity or cash flows as of the adoption date or for the periods presented, other than the enhanced disclosures in the Notes to the financial statements.</w:t>
      </w:r>
    </w:p>
    <w:p>
      <w:pPr>
        <w:spacing w:after="0" w:line="124"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1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temporarily implanted for short- or longer-term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19"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33"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0" w:right="25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has standard pricing for its products and determines standalone selling prices based on the price at which the performance obligation is sold separately.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Contracts with our customers typically include a single performance obligation related to the sale of our products.</w:t>
      </w:r>
    </w:p>
    <w:p>
      <w:pPr>
        <w:spacing w:after="0" w:line="15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w:t>
      </w:r>
    </w:p>
    <w:p>
      <w:pPr>
        <w:spacing w:after="0" w:line="12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right="320" w:firstLine="392"/>
        <w:spacing w:after="0" w:line="302" w:lineRule="auto"/>
        <w:rPr>
          <w:sz w:val="20"/>
          <w:szCs w:val="20"/>
          <w:color w:val="auto"/>
        </w:rPr>
      </w:pPr>
      <w:r>
        <w:rPr>
          <w:rFonts w:ascii="Arial" w:cs="Arial" w:eastAsia="Arial" w:hAnsi="Arial"/>
          <w:sz w:val="16"/>
          <w:szCs w:val="16"/>
          <w:color w:val="auto"/>
        </w:rPr>
        <w:t>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0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2019, such product returns were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Contingent Consideration</w:t>
      </w:r>
    </w:p>
    <w:p>
      <w:pPr>
        <w:spacing w:after="0" w:line="171"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The Company allocates the purchase price of acquired companies to the tangible and intangible assets acquired and liabilities assumed based on their estimated fair values. The estimates used to value the net assets acquired are based in part on historical experience and information obtained from the management of the acquired company. The Company generally values the identifiable intangible assets acquired using a discounted cash flow model. The significant estimates used in valuing certain of the intangible assets include, but are not limited to: future expected cash flows of the asset, discount rates to determine the present value of the future cash flows, attrition rates of customers, royalty rates and expected technology life cycles. The Company also estimates the useful lives of the intangible assets based on the expected period over which the Company anticipates generating economic benefit from the asset.</w:t>
      </w:r>
    </w:p>
    <w:p>
      <w:pPr>
        <w:spacing w:after="0" w:line="13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Company’s estimates of fair value are based on assumptions believed to be reasonable at that time. If management made different estimates or judgments, material differences in the fair values of the net assets acquired may result.</w:t>
      </w:r>
    </w:p>
    <w:p>
      <w:pPr>
        <w:spacing w:after="0" w:line="116"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Certain of the Company’s business combinations involve potential payment of future consideration that is contingent upon the achievement of certain product development milestones and/or contingent on the acquired business reaching certain performance milestones. The Company records contingent consideration at fair value at the date of acquisition based on the consideration expected to be transferred, estimated as the probability weighted future cash flows, discounted back to present value. The fair value of contingent consideration is measured using projected payment dates, discount rates, probabilities of</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6" w:name="page47"/>
    <w:bookmarkEnd w:id="46"/>
    <w:p>
      <w:pPr>
        <w:ind w:right="40"/>
        <w:spacing w:after="0" w:line="290" w:lineRule="auto"/>
        <w:rPr>
          <w:sz w:val="20"/>
          <w:szCs w:val="20"/>
          <w:color w:val="auto"/>
        </w:rPr>
      </w:pPr>
      <w:r>
        <w:rPr>
          <w:rFonts w:ascii="Arial" w:cs="Arial" w:eastAsia="Arial" w:hAnsi="Arial"/>
          <w:sz w:val="16"/>
          <w:szCs w:val="16"/>
          <w:color w:val="auto"/>
        </w:rPr>
        <w:t>payment, and projected revenues (for revenue-based considerations). Projected revenues are based on the Company’s most recent internal operational budgets and long-range strategic plans. The discount rate used is determined at the time of measurement in accordance with accepted valuation methodologies. Changes in projected revenues, probabilities of payment, discount rates, and projected payment dates may result in adjustments to the fair value measurements. Contingent consideration is remeasured each reporting period using Level 3 inputs, and the change in fair value, including accretion for the passage of time, is recognized as income or expense within operating expenses in the consolidated statements of income. Contingent consideration payments made soon after the acquisition date are classified as investing activities in the consolidated statements of cash flows. Contingent consideration payments not made soon after the acquisition date that are related to the acquisition date fair value are reported as financing activities in the consolidated statements of cash flows, and amounts paid in excess of the original acquisition date fair value are reported as operating activities in the consolidated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7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Intangible assets other than goodwill, indefinite lived intangible assets and in process research and development ("IP R&amp;D") are amortized over their estimated useful lives, which range between two to eighteen years, on either a straight-line basis over the expected period of benefit or as revenues are earned from the sales of the related products. We periodically review the estimated useful lives of our intangible assets and review such assets for impairment whenever events or changes in circumstances indicate that the carrying value of the assets may not be recoverable. If an intangible asset is considered to be impaired, the amount of the impairment will equal the excess of the carrying value over the fair value of the asset.</w:t>
      </w:r>
    </w:p>
    <w:p>
      <w:pPr>
        <w:spacing w:after="0" w:line="1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3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the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If the carrying value of the reporting unit exceeds the fair value of the reporting unit, the carrying value of the reporting unit’s goodwill is reduced to its fair value through an adjustment to the goodwill balance, resulting in an impairment charge.</w:t>
      </w:r>
    </w:p>
    <w:p>
      <w:pPr>
        <w:spacing w:after="0" w:line="134"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 Company operates as a single operating segment with one reporting unit and consequently evaluates goodwill for impairment based on an evaluation of the fair value of the Company as a whole. The Company determined the fair value of the reporting unit based on the market valuation approach and concluded that it was not more-likely-than-not that the fair value of the Company's reporting unit was less than its carrying value.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71"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We are involved, both as a plaintiff and a defendant, in various legal proceedings that arise in the ordinary course of business, including product liability, as further discussed in Note 17 to our consolidated financial statements. Accruals recorded for various contingencies including legal proceedings, self-insurance and other claims, are based on judgment, the probability of losses and, where applicable, the consideration of opinions of internal and/or external legal counsel, internal and/or external technical consultants and actuarially determined estimates. When a range is established but a best estimate cannot be made, we record the minimum loss contingency amount, which could be zero. An estimate is often initially developed substantially earlier than the ultimate loss is known and is reevaluated each accounting period.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 We record receivables from third-party insurers up to the amount of the related liability when we have determined that existing insurance policies will provide reimbursement. In making this determination, we consider applicable deductibles, policy limits and the historical payment experience of the insurance carriers. Receivables are not netted against the related liabilities for financial statement presentation.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2019 and 2018</w:t>
      </w:r>
    </w:p>
    <w:p>
      <w:pPr>
        <w:spacing w:after="0" w:line="229"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For the fiscal year ended May 31, 2019, we reported net loss from continuing operations of $11.1 million, or $0.30 loss per diluted share, on net sales of $270.6 million compared to a fiscal year 2018 net loss of $6.2 million, or $0.17 loss per diluted share, on net sales of $261.7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year ended May 31, 2019 and 2018 were: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3"/>
              </w:rPr>
              <w:t>Year ended May 31,</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Growth</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119,901</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119,704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92,760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56,003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49,191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270,634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261,655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216,957</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213,727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47,928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270,634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261,655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year ended May 31, 2019, net sales increased $9.0 million to $270.6 million compared to the year ended May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Interventions &amp; Therapies</w:t>
      </w:r>
    </w:p>
    <w:p>
      <w:pPr>
        <w:spacing w:after="0" w:line="225" w:lineRule="exact"/>
        <w:rPr>
          <w:sz w:val="20"/>
          <w:szCs w:val="20"/>
          <w:color w:val="auto"/>
        </w:rPr>
      </w:pPr>
    </w:p>
    <w:p>
      <w:pPr>
        <w:ind w:left="660" w:right="100" w:hanging="32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Vascular Interventions &amp; Therapies sales increased $0.2 million primarily attributable to strong performance in AngioVac and Core Peripheral products. The Company continues to see strong case volumes in AngioVac, which increased 20% percent from the prior year due to increased adoption of the Company's unique technology. This was partially offset by decreases in Venous products due to reimbursement challenges and the termination of the Asclera distribution agreement.</w:t>
      </w:r>
    </w:p>
    <w:p>
      <w:pPr>
        <w:spacing w:after="0" w:line="2"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Vascular Interventions &amp; Therapies sales decreased $1.1 million due to decreased sales volume in Venous products and the termination of the Asclera distribution agreement. This was partially offset by increased case volume in AngioVac and increased sales volume of Core Peripheral products.</w:t>
      </w:r>
    </w:p>
    <w:p>
      <w:pPr>
        <w:spacing w:after="0" w:line="1" w:lineRule="exact"/>
        <w:rPr>
          <w:rFonts w:ascii="Arial" w:cs="Arial" w:eastAsia="Arial" w:hAnsi="Arial"/>
          <w:sz w:val="18"/>
          <w:szCs w:val="18"/>
          <w:color w:val="auto"/>
        </w:rPr>
      </w:pPr>
    </w:p>
    <w:p>
      <w:pPr>
        <w:ind w:left="660" w:right="44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increased $1.3 million due to increased volume in Venous and Angiographic catheters in EMEA and China.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80" w:hanging="328"/>
        <w:spacing w:after="0" w:line="288"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Vascular Access sales increased $2.0 million due to growth in BioFlo which increased $2.8 million year over year. The increase in sales is also due to the launch of the BIIM ultrasound product in fiscal year 2019 which had $0.5 million in sales. This was partially offset by a decline in non-BioFlo PICCs of $1.8 million. The Company's BioFlo portfolio now comprises 51% of overall Vascular Access sales, compared to 49% a year ago.</w:t>
      </w:r>
    </w:p>
    <w:p>
      <w:pPr>
        <w:ind w:left="660" w:right="2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Vascular Access sales decreased by $1.2 million due to competitive pressures in the PICC product line. This was partially offset by growth in Midlines and BioFlo Dialysis and Ports which continue to gain traction in the marketplace.</w:t>
      </w:r>
    </w:p>
    <w:p>
      <w:pPr>
        <w:ind w:left="660" w:right="30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International Vascular Access sales increased by $3.2 million as the Company continues to expand its global reach of its Vascular Access product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225" w:lineRule="exact"/>
        <w:rPr>
          <w:sz w:val="20"/>
          <w:szCs w:val="20"/>
          <w:color w:val="auto"/>
        </w:rPr>
      </w:pPr>
    </w:p>
    <w:p>
      <w:pPr>
        <w:ind w:left="660" w:right="100" w:hanging="328"/>
        <w:spacing w:after="0" w:line="27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Total Oncology/Surgery sales increased $6.8 million year over year primarily due to $4.9 million in sales of BioSentry products and $4.8 million in sales of RadiaDyne products along with increased sales of NanoKnife disposables of $0.5 million. This was partially offset by decreased sales in Radiofrequency Ablation, Microwave and NanoKnife capital. Microwave sales were negatively impacted by the timing of the Company's prior year replacement shipments of $2.6 million which took place primarily in the first and second quarters of the prior year as a result of the market withdrawal of Acculis. NanoKnife capital decreased $0.9 million due to the timing of capital sales.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ind w:left="660" w:right="22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Oncology sales increased by $6.9 million primarily due to $4.8 million in sales of BioSentry products and $4.8 million in sales of RadiaDyne products. This was partially offset by a $1.5 million decrease in NanoKnife capital and disposable sales and a $0.6 million decrease in RadioFrequency Ablation and Microwave sales.</w:t>
      </w:r>
    </w:p>
    <w:p>
      <w:pPr>
        <w:ind w:left="660" w:right="26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International Oncology sales decreased by $0.1 million due to decreased RadioFrequency Ablation and Microwave sales of $0.7 million, partially offset by increased NanoKnife capital and disposable sales of $0.8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Year ended May 31,</w:t>
            </w:r>
          </w:p>
        </w:tc>
        <w:tc>
          <w:tcPr>
            <w:tcW w:w="1180" w:type="dxa"/>
            <w:vAlign w:val="bottom"/>
            <w:tcBorders>
              <w:bottom w:val="single" w:sz="8" w:color="auto"/>
            </w:tcBorders>
          </w:tcPr>
          <w:p>
            <w:pPr>
              <w:spacing w:after="0"/>
              <w:rPr>
                <w:sz w:val="16"/>
                <w:szCs w:val="16"/>
                <w:color w:val="auto"/>
              </w:rPr>
            </w:pPr>
          </w:p>
        </w:tc>
      </w:tr>
      <w:tr>
        <w:trPr>
          <w:trHeight w:val="264"/>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 Change</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(exclusive of intangible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156,000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143,856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24,338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76,829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73,109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30,991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$12.1 million compared to the prior year. The increase is attributable to the following:</w:t>
      </w:r>
    </w:p>
    <w:p>
      <w:pPr>
        <w:spacing w:after="0" w:line="225" w:lineRule="exact"/>
        <w:rPr>
          <w:sz w:val="20"/>
          <w:szCs w:val="20"/>
          <w:color w:val="auto"/>
        </w:rPr>
      </w:pPr>
    </w:p>
    <w:p>
      <w:pPr>
        <w:ind w:left="660" w:right="24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productivity of $2.5 million, where plant consolidation contributed $3.3 million of favorability partially offset by increased freight expense of $0.8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volume and mix positively contributed $1.5 million year over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and pricing headwinds negatively impacting gross margin by $2.0 million year over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BioSentry and RadiaDyne products contributed $6.9 million to gross profit.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year reserve of $1.7 million related to the discontinuation of our RadioFrequency Ablation product in Japan.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of a royalty agreement in fiscal year 2018 resulted in $1.5 million of favorability compared to the prior year.</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$3.9 million compared to the prior year. The increase is attributable to the following:</w:t>
      </w:r>
    </w:p>
    <w:p>
      <w:pPr>
        <w:spacing w:after="0" w:line="225" w:lineRule="exact"/>
        <w:rPr>
          <w:sz w:val="20"/>
          <w:szCs w:val="20"/>
          <w:color w:val="auto"/>
        </w:rPr>
      </w:pPr>
    </w:p>
    <w:p>
      <w:pPr>
        <w:ind w:left="660" w:right="66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product development and clinical efforts related to the Company’s investment areas of NanoKnife, Thrombus Management and BioFlo increased $3.5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compensation and benefits of $0.5 million primarily as a result of increased variable compensation.</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by $3.7 million compared to the prior year. The increase is attributable to the following:</w:t>
      </w:r>
    </w:p>
    <w:p>
      <w:pPr>
        <w:spacing w:after="0" w:line="225" w:lineRule="exact"/>
        <w:rPr>
          <w:sz w:val="20"/>
          <w:szCs w:val="20"/>
          <w:color w:val="auto"/>
        </w:rPr>
      </w:pPr>
    </w:p>
    <w:p>
      <w:pPr>
        <w:ind w:left="660" w:right="1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$3.7 million which is primarily attributed to increased headcount as a result of the BioSentry and RadiaDyne acquisitions along with higher variable compensation.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G&amp;A expense increased by $3.9 million compared to the prior year. The increase is attributable to the following:</w:t>
      </w:r>
    </w:p>
    <w:p>
      <w:pPr>
        <w:spacing w:after="0" w:line="225" w:lineRule="exact"/>
        <w:rPr>
          <w:sz w:val="20"/>
          <w:szCs w:val="20"/>
          <w:color w:val="auto"/>
        </w:rPr>
      </w:pPr>
    </w:p>
    <w:p>
      <w:pPr>
        <w:ind w:left="660" w:right="4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$2.8 million primarily as a result of increased variable compensation, salaries and benefits and stock based compensation.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legal fees related to ongoing litigation that is within the normal course of business of $0.6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other expenses for technology investments of $0.3 million and lease expense of $0.2 million.</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6"/>
              </w:rPr>
              <w:t>Year ended May 31,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 Change</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17,056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3,150</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(6,776)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(7,026)</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(5,306)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right="12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change in amortization expense from the prior year is due to intangible asset additions as a result of the BioSentry and RadiaDyne acquisitions. The BioSentry acquisition increased intangible assets by $26.0 million and resulted in additional amortization expense of $1.5 million. The RadiaDyne acquisition increased intangible assets by $25.6 million and resulted in additional amortization expense of $1.7 million</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80" w:hanging="328"/>
        <w:spacing w:after="0" w:line="273"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increase from the prior year is due to contingent considerations that were recorded as part of the BioSentry and RadiaDyne acquisitions of $2.8 million and $22.3 million, respectively. In the fourth quarter, adjustments to the sales projections for RadiaDyne products resulted in an $8.4 million gain. The remaining change in the fair value in contingent consideration is the result of amortization of the present value discount of $1.6 million. In addition, in the second quarter of fiscal year 2018, the final minimum payment was made on the AngioVac product contingent consideration and a $2.1 million payment was made on the Microsulis contingent consideration during the first quarter of fiscal 2019. Only one minimum payment is remaining on the Microsulis contingent consideration.</w:t>
      </w:r>
    </w:p>
    <w:p>
      <w:pPr>
        <w:spacing w:after="0" w:line="17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u w:val="single" w:color="auto"/>
          <w:color w:val="auto"/>
        </w:rPr>
        <w:t>Acquisition, restructuring and other items, net</w:t>
      </w:r>
      <w:r>
        <w:rPr>
          <w:rFonts w:ascii="Arial" w:cs="Arial" w:eastAsia="Arial" w:hAnsi="Arial"/>
          <w:sz w:val="16"/>
          <w:szCs w:val="16"/>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Acquisition, restructuring and other items, net decreased by $0.3 million compared to the prior year. The decrease is attributable to the following:</w:t>
      </w:r>
    </w:p>
    <w:p>
      <w:pPr>
        <w:spacing w:after="0" w:line="23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M&amp;A expense of $4.0 million was incurred in fiscal year 2019 compared to $1.7 million in the prior year.</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$7.8 million was recorded in fiscal year 2019 compared to $8.4 million in fiscal year 2018. Included in the $7.8 million, is a $3.4 million settlement received for the Biolitec litigation and a $2.5 million accrual for the settlement of the Merz contract termination.</w:t>
      </w:r>
    </w:p>
    <w:p>
      <w:pPr>
        <w:spacing w:after="0" w:line="1"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year ended 2018, the Company incurred $4.7 million of expense which consisted of $1.4 million of severance, $2.9 million of costs to move the product lines and $0.2 million in contract termination expenses related to the plant consolidation that was announced in the third quarter of fiscal year 2017. The plant consolidation was completed in the fourth quarter of fiscal year 2018; therefore, only $0.3 million of expense was incurred for the year ended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ind w:left="660" w:right="2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increase in other expenses from the prior year of $2.2 million is due to increased interest expense of $1.9 million primarily due to the draw on the Revolving Facility during fiscal year 2019. In addition, foreign currency fluctuations increased $0.7 million. These increases were partially offset by other income of $0.4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color w:val="auto"/>
              </w:rPr>
              <w:t>For year ended May 31,</w:t>
            </w:r>
          </w:p>
        </w:tc>
      </w:tr>
      <w:tr>
        <w:trPr>
          <w:trHeight w:val="264"/>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2018</w:t>
            </w: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(11,036)</w:t>
            </w: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effective tax rate was a benefit of 24% for fiscal year 2019 compared with an effective tax rate benefit of 64% for the prior year.</w:t>
      </w:r>
    </w:p>
    <w:p>
      <w:pPr>
        <w:spacing w:after="0" w:line="171"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The prior year rate primarily reflects income tax benefit of $8.9 million driven by the impact of the U.S. Tax Reform, the valuation allowance recorded and the deferred tax liability related to intangibles that have an indefinite reversal period ("naked credit deferred tax liability"), which as a result of U.S. Tax Reform can now be considered as a source of income to recover indefinite lived NOLs.</w:t>
      </w:r>
    </w:p>
    <w:p>
      <w:pPr>
        <w:spacing w:after="0" w:line="127"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10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2019.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color w:val="auto"/>
              </w:rPr>
              <w:t>For year ended May 31,</w:t>
            </w:r>
          </w:p>
        </w:tc>
      </w:tr>
      <w:tr>
        <w:trPr>
          <w:trHeight w:val="264"/>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2018</w:t>
            </w: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gain on sale of Fluid Management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27,579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24,728</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Gain on sale of Fluid Management</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46,592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24,728</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2,166</w:t>
            </w:r>
          </w:p>
        </w:tc>
      </w:tr>
      <w:tr>
        <w:trPr>
          <w:trHeight w:val="27"/>
        </w:trPr>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72,486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22,562</w:t>
            </w:r>
          </w:p>
        </w:tc>
      </w:tr>
      <w:tr>
        <w:trPr>
          <w:trHeight w:val="20"/>
        </w:trPr>
        <w:tc>
          <w:tcPr>
            <w:tcW w:w="8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 applied the “Intraperiod Tax Allocation” rules under ASC 740, which requires the allocation of an entity’s total annual income tax provision among continuing operations and, in the Company’s case, discontinued operations. Included in the $1.6 million income tax expense for fiscal year 2019 is $0.6 million tax expense related to the gain on the Divestiture. The taxes on the gain were calculated using various state statutory tax rates and are partially offset by the utilization of historical state net operating losses. There are no current federal taxes on the gain due to utilization of historical net operating losses which had a corresponding valuation allowance.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2018 and 2017</w:t>
      </w:r>
    </w:p>
    <w:p>
      <w:pPr>
        <w:spacing w:after="0" w:line="22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the fiscal year ended May 31, 2018, we reported net loss from continuing operations of $6.2 million, or $0.17 loss per basic and diluted common share, on net sales of $261.7 million compared to a fiscal year 2017 net loss of $7.1 million, or $0.19 loss per basic and diluted common share, on net sales of $269.8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year ended May 31, 2018 and 2017 were: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51" w:name="page52"/>
    <w:bookmarkEnd w:id="51"/>
    <w:tbl>
      <w:tblPr>
        <w:tblLayout w:type="fixed"/>
        <w:tblInd w:w="2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w w:val="98"/>
              </w:rPr>
              <w:t>Year ended May 31,</w:t>
            </w:r>
          </w:p>
        </w:tc>
        <w:tc>
          <w:tcPr>
            <w:tcW w:w="12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Growth</w:t>
            </w: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Product Category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119,704</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128,747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(7)%</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Oncology/Surgery</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44,560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10%</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261,655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269,788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213,727</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223,816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(5)%</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45,972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57"/>
        </w:trPr>
        <w:tc>
          <w:tcPr>
            <w:tcW w:w="75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261,655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269,788</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year ended May 31, 2018, net sales decreased $8.1 million to $261.7 million compared to the year ended May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Interventions &amp; Therapies</w:t>
      </w:r>
    </w:p>
    <w:p>
      <w:pPr>
        <w:spacing w:after="0" w:line="225" w:lineRule="exact"/>
        <w:rPr>
          <w:sz w:val="20"/>
          <w:szCs w:val="20"/>
          <w:color w:val="auto"/>
        </w:rPr>
      </w:pPr>
    </w:p>
    <w:p>
      <w:pPr>
        <w:ind w:left="660" w:right="300" w:hanging="328"/>
        <w:spacing w:after="0" w:line="288"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Total Vascular Interventions &amp; Therapies sales decreased $9.0 million primarily attributable to decreased sales volume of Venous by $9.3 million and Angiographic and Core products of $1.6 million. The decrease in Venous is primarily attributed to our largest customer discontinuing their exclusive use of our EVLT product. This decreased sales volume was offset by an increase of volume of AngioVac of $0.9 million.</w:t>
      </w:r>
    </w:p>
    <w:p>
      <w:pPr>
        <w:ind w:left="660" w:right="5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Vascular Interventions &amp; Therapies sales decreased $8.0 million primarily due to decreased sales volume of Venous of $9.1 million and Angiographic and Core products of $0.9 million. This decreased sales volume was offset by an increase in AngioVac of $1.0 million and $0.9 million in increased freight and rebate revenue.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decreased $1.0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20" w:hanging="328"/>
        <w:spacing w:after="0" w:line="25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Vascular Access sales decreased $3.7 million primarily in our non-BioFlo businesses. Our BioFlo product lines, other than BioFlo PICCs, increased $2.4 million. This was partially offset by decreased sales of BioFlo PICCs of $2.5 million and non-BioFlo products of $3.1 million. BioFlo product lines comprise 49% of our overall Vascular Access sales, compared to 47% a year ago.</w:t>
      </w:r>
    </w:p>
    <w:p>
      <w:pPr>
        <w:ind w:left="660" w:right="4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Vascular Access sales declined by $3.8 million due to softness across the portfolio offset by Midline, BioFlo dialysis and ports which continued to gain traction in the marketplace.</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International Vascular Access sales increased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225" w:lineRule="exact"/>
        <w:rPr>
          <w:sz w:val="20"/>
          <w:szCs w:val="20"/>
          <w:color w:val="auto"/>
        </w:rPr>
      </w:pPr>
    </w:p>
    <w:p>
      <w:pPr>
        <w:ind w:left="660" w:right="180" w:hanging="328"/>
        <w:spacing w:after="0" w:line="26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Total Oncology/Surgery sales increased $4.6 million year over year primarily due to increased sales of the Solero Microwave generators of $1.3 million, Solero Microwave probes of $6.4 million and other sales of $0.7 million. $5.2 million of the increased probe sales were a result of the market withdrawal of Acculis, which was replaced by Solero probes in the beginning of fiscal year 2018 upon the approval of the device. This was partially offset by decreased Radiofrequency Ablation sales of $3.4 million and NanoKnife disposable sales of $0.6 million. The decrease in Radiofrequency Ablation sales was primarily due to the discontinuation of the product in Japan.</w:t>
      </w:r>
    </w:p>
    <w:p>
      <w:pPr>
        <w:spacing w:after="0" w:line="3" w:lineRule="exact"/>
        <w:rPr>
          <w:rFonts w:ascii="Arial" w:cs="Arial" w:eastAsia="Arial" w:hAnsi="Arial"/>
          <w:sz w:val="17"/>
          <w:szCs w:val="17"/>
          <w:color w:val="auto"/>
        </w:rPr>
      </w:pPr>
    </w:p>
    <w:p>
      <w:pPr>
        <w:ind w:left="660" w:right="20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Oncology/Surgery increased by $0.6 million, driven primarily through increased Microwave sales of $3.4 million. This increase was partially offset by decreases in Radiofrequency Ablation of $1.7 million and NanoKnife of $1.4 million.</w:t>
      </w:r>
    </w:p>
    <w:p>
      <w:pPr>
        <w:ind w:left="660" w:right="24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International Oncology/Surgery sales increased $4.0 million year over year as a result of increased NanoKnife capital and disposable sales of $1.1 million and Solero Microwave capital and disposable sales of $4.3 million. This increase was partially offset by a $1.7 million decrease in RadioFrequency Ablation.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1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9"/>
              </w:rPr>
              <w:t>Year ended May 31,</w:t>
            </w:r>
          </w:p>
        </w:tc>
        <w:tc>
          <w:tcPr>
            <w:tcW w:w="124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 Change</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143,856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143,950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24,338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24,148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74,865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30,991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31,133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u w:val="single" w:color="auto"/>
          <w:color w:val="auto"/>
        </w:rPr>
        <w:t>Gross profit</w:t>
      </w:r>
      <w:r>
        <w:rPr>
          <w:rFonts w:ascii="Arial" w:cs="Arial" w:eastAsia="Arial" w:hAnsi="Arial"/>
          <w:sz w:val="16"/>
          <w:szCs w:val="16"/>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$0.1 million compared to the prior year. The decrease is attributable to the following:</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expiration of a royalty agreement of approximately $4.8 million.</w:t>
      </w:r>
    </w:p>
    <w:p>
      <w:pPr>
        <w:spacing w:after="0" w:line="23" w:lineRule="exact"/>
        <w:rPr>
          <w:rFonts w:ascii="Arial" w:cs="Arial" w:eastAsia="Arial" w:hAnsi="Arial"/>
          <w:sz w:val="18"/>
          <w:szCs w:val="18"/>
          <w:color w:val="auto"/>
        </w:rPr>
      </w:pPr>
    </w:p>
    <w:p>
      <w:pPr>
        <w:ind w:left="660" w:right="120" w:hanging="328"/>
        <w:spacing w:after="0" w:line="28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$2.3 million in deferred revenue was recognized in fiscal year 2018 related to the Acculis probe recall announced in the fourth quarter of fiscal year 2017 which was offset by additional expense of $3.2 million that was incurred as a result of the market withdrawal of Microwave generators.</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second quarter of fiscal year 2018, the Company decided to discontinue selling our RadioFrequency Ablation product in Japan which resulted in a $1.7 million inventory provision.</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Currency tailwinds netted with slight negative price driving $0.5 million favorable gross margin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Volume softness and mix of approximately $4.5 million partially offset by net productivity of $1.7 million.</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$0.2 million compared to the prior year. The increase is attributable to the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headcount in the R&amp;D department compared to the prior year resulted in $0.6 million of additional expense. These increases were partially offset by less project spend of $0.4 million.</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by $1.8 million compared to the prior year. The decrease is attributable to the following:</w:t>
      </w:r>
    </w:p>
    <w:p>
      <w:pPr>
        <w:spacing w:after="0" w:line="225" w:lineRule="exact"/>
        <w:rPr>
          <w:sz w:val="20"/>
          <w:szCs w:val="20"/>
          <w:color w:val="auto"/>
        </w:rPr>
      </w:pPr>
    </w:p>
    <w:p>
      <w:pPr>
        <w:ind w:left="660" w:right="14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Compensation and benefits decrease of approximately $2.7 million was primarily the result of decreased variable compensation of $2.3 million and open headcount of $0.5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Open headcount resulted in increased travel of $0.5 million and recruiting expense of $0.3 million.</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consulting spend of $0.7 million was partially offset by increased trade show and meeting expense of $0.5 million and increased samples expense related to the Solero launch of $0.2 million.</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decreased by $0.1 million compared to the prior year. The decrease is attributable to the following:</w:t>
      </w:r>
    </w:p>
    <w:p>
      <w:pPr>
        <w:spacing w:after="0" w:line="225" w:lineRule="exact"/>
        <w:rPr>
          <w:sz w:val="20"/>
          <w:szCs w:val="20"/>
          <w:color w:val="auto"/>
        </w:rPr>
      </w:pPr>
    </w:p>
    <w:p>
      <w:pPr>
        <w:ind w:left="660" w:right="6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$1.9 million was primarily the result of increased headcount year over year which was partially offset by a decrease in variable compensation expense of $0.5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ind w:left="660" w:right="7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increases were offset by lower depreciation expense of $0.8 million, a decrease in bad debt expense of $0.3 million and a decrease in recruiting expenses of $0.4 million.</w:t>
      </w:r>
    </w:p>
    <w:p>
      <w:pPr>
        <w:spacing w:after="0" w:line="342" w:lineRule="exact"/>
        <w:rPr>
          <w:sz w:val="20"/>
          <w:szCs w:val="20"/>
          <w:color w:val="auto"/>
        </w:rPr>
      </w:pPr>
    </w:p>
    <w:tbl>
      <w:tblPr>
        <w:tblLayout w:type="fixed"/>
        <w:tblInd w:w="16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Year ended May 31,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 Change</w:t>
            </w: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15,511</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15,432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(12,078)</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Medical device excise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1,837</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7"/>
        </w:trPr>
        <w:tc>
          <w:tcPr>
            <w:tcW w:w="7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decrease of $0.7 million is primarily related to intangible assets that became fully amortized in the prior year.</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40" w:hanging="328"/>
        <w:spacing w:after="0" w:line="25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fiscal year 2017, a gain of $13.4 million was taken on the AngioVac product as a result of decreases in future sales projections that eliminated any payments above minimums and a gain of $3.1 million on the TiLo product as the milestone was determined to not be achieved. The normal amortization of the present value discount on the contingent liabilities was approximately $0.1 million for the first two quarters of fiscal year 2018. For the last two quarters of fiscal year 2018, amortization is now less than $0.1 million per quarter as the final minimum payment was made on AngioVac in the second quarter of fiscal year 2018</w:t>
      </w:r>
    </w:p>
    <w:p>
      <w:pPr>
        <w:spacing w:after="0" w:line="18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u w:val="single" w:color="auto"/>
          <w:color w:val="auto"/>
        </w:rPr>
        <w:t>Acquisition, restructuring and other items, net</w:t>
      </w:r>
      <w:r>
        <w:rPr>
          <w:rFonts w:ascii="Arial" w:cs="Arial" w:eastAsia="Arial" w:hAnsi="Arial"/>
          <w:sz w:val="16"/>
          <w:szCs w:val="16"/>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Acquisition, restructuring and other items, net decreased $12.1 million compared to the prior year. The decrease is attributable to the following:</w:t>
      </w:r>
    </w:p>
    <w:p>
      <w:pPr>
        <w:spacing w:after="0" w:line="225" w:lineRule="exact"/>
        <w:rPr>
          <w:sz w:val="20"/>
          <w:szCs w:val="20"/>
          <w:color w:val="auto"/>
        </w:rPr>
      </w:pPr>
    </w:p>
    <w:p>
      <w:pPr>
        <w:ind w:left="660" w:right="20" w:hanging="328"/>
        <w:spacing w:after="0" w:line="25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fiscal year 2018, there was $4.7 million of expense related to the plant consolidation that was announced in the third quarter of fiscal year 2017. The expense consisted mainly of severance of $1.4 million, costs to move the product lines including equipment transfer expenses, accelerated depreciation for assets that will not be transferred, product validation and other start-up costs of $2.9 million and $0.2 million in contract termination expenses.</w:t>
      </w:r>
    </w:p>
    <w:p>
      <w:pPr>
        <w:spacing w:after="0" w:line="2"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fiscal year 2017, there was $1.3 million of expense related to the plant consolidation that was announced in the third quarter of fiscal year 2017. The expense consisted of severance of $0.8 million and start-up costs to move the product lines including equipment transfer expenses and accelerated depreciation for assets that will not be transferred of $0.5 million.</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fiscal year 2017, there was a $2.0 million write-off of Embomedics due to termination of the agreement and a $3.6 million write-off related to the decision to discontinue our investment in the TiLo product.</w:t>
      </w:r>
    </w:p>
    <w:p>
      <w:pPr>
        <w:ind w:left="660" w:right="30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litigation settlement accrual of $12.5 million was recorded in the fourth quarter of fiscal year 2017 for the agreement that was reached with the DOJ.</w:t>
      </w:r>
    </w:p>
    <w:p>
      <w:pPr>
        <w:ind w:left="660" w:right="140" w:hanging="328"/>
        <w:spacing w:after="0" w:line="261"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Legal expenses, related to litigation that is outside of the normal course of business, of $10.1 million were recorded in the current year compared to $7.0 million in the prior year.</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Cost savings from the plant consolidation will primarily impact cost of goods sold. While some cost savings were recognized in 2018 we expect additional savings of approximately $4.0 million to $5.0 million in fiscal year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 excise tax is assessed on our U.S. product sales subject to exclusions and adjustments.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4" w:right="259" w:bottom="1440" w:gutter="0" w:footer="0" w:header="0"/>
        </w:sectPr>
      </w:pPr>
    </w:p>
    <w:bookmarkStart w:id="54" w:name="page55"/>
    <w:bookmarkEnd w:id="54"/>
    <w:p>
      <w:pPr>
        <w:ind w:left="660" w:right="1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Medical Device Excise Tax was suspended on January 1, 2016 and the suspension was upheld in January 2018. In fiscal year 2017, there was a $1.8 million refund from the Internal Revenue Service related to prior medical device taxes paid.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and remained consistent with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color w:val="auto"/>
              </w:rPr>
              <w:t>Year ended May 31,</w:t>
            </w:r>
          </w:p>
        </w:tc>
      </w:tr>
      <w:tr>
        <w:trPr>
          <w:trHeight w:val="264"/>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2017</w:t>
            </w: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(11,036)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(7,243)</w:t>
            </w: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benefit was 64% for fiscal year 2018 compared with a benefit of 51% for the prior year.</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current year rate reflects an income tax benefit of $8.9 million driven by the impact of the U.S. Tax Reform, the valuation allowance recorded and the deferred tax liability related to intangibles that have an indefinite reversal period ("naked credit deferred tax liability"), which as a result of U.S. Tax Reform can now be considered as a source of income to recover indefinite lived NOLs.</w:t>
      </w:r>
    </w:p>
    <w:p>
      <w:pPr>
        <w:spacing w:after="0" w:line="12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Company is required to record deferred tax assets and liabilities based on the enacted tax rates at which they are expected to reverse in the future. The Company has remeasured its deferred tax positions as of December 31, 2017 at the new enacted tax rate, resulting in a decrease to its net deferred tax assets and a corresponding decrease to its valuation allowance, with no net impact to tax expense. The Company recorded an income tax benefit of approximately $9.3 million due to the revaluation of the naked credit deferred tax liability. The Tax Reform Act changed the NOL carryover rules and created a new limitation on their use. NOLs created in fiscal year 2018 and beyond may be carried forwarded indefinitely in any year. As a result, the Company’s naked credit deferred tax liability can now be considered as a source of income to recover indefinite lived NOLs. Consequently, the Company has offset certain of its naked credit deferred tax liability against its deferred tax assets resulting in a reduction in the valuation allowance and a $3.0 million benefit in the year ended May 31, 2018.</w:t>
      </w:r>
    </w:p>
    <w:p>
      <w:pPr>
        <w:spacing w:after="0" w:line="138" w:lineRule="exact"/>
        <w:rPr>
          <w:sz w:val="20"/>
          <w:szCs w:val="20"/>
          <w:color w:val="auto"/>
        </w:rPr>
      </w:pPr>
    </w:p>
    <w:p>
      <w:pPr>
        <w:ind w:right="640" w:firstLine="405"/>
        <w:spacing w:after="0" w:line="342" w:lineRule="auto"/>
        <w:rPr>
          <w:sz w:val="20"/>
          <w:szCs w:val="20"/>
          <w:color w:val="auto"/>
        </w:rPr>
      </w:pPr>
      <w:r>
        <w:rPr>
          <w:rFonts w:ascii="Arial" w:cs="Arial" w:eastAsia="Arial" w:hAnsi="Arial"/>
          <w:sz w:val="16"/>
          <w:szCs w:val="16"/>
          <w:color w:val="auto"/>
        </w:rPr>
        <w:t>The prior year rate primarily reflects income tax benefit driven by a benefit on the loss from continuing operations, impact of the U.S. valuation allowance and the naked credit deferred tax liability that could not be considered as a source of income to recover the deferred tax assets.</w:t>
      </w:r>
    </w:p>
    <w:p>
      <w:pPr>
        <w:spacing w:after="0" w:line="70"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and each year thereafter. The Company was marginally profitable (pretax and adjusted for permanent items) on a cumulative basis for the three years ended May 31, 2018, but substantially all of that profitability was achieved during 2018.</w:t>
      </w:r>
    </w:p>
    <w:p>
      <w:pPr>
        <w:spacing w:after="0" w:line="139"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Based on the review of all available evidence, the Company determined that it has not yet attained a sustained level of profitability and the objectively verifiable negative evidence outweighed the positive evidence and therefore, the Company has provided a valuation allowance for the full amount, with the exception of the naked credit deferred tax liability, of its net deferred tax asset as of May 31, 2018.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color w:val="auto"/>
              </w:rPr>
              <w:t>For year ended May 31,</w:t>
            </w:r>
          </w:p>
        </w:tc>
      </w:tr>
      <w:tr>
        <w:trPr>
          <w:trHeight w:val="264"/>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2017</w:t>
            </w: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24,142</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12,082</w:t>
            </w:r>
          </w:p>
        </w:tc>
      </w:tr>
      <w:tr>
        <w:trPr>
          <w:trHeight w:val="27"/>
        </w:trPr>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22,562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12,060</w:t>
            </w:r>
          </w:p>
        </w:tc>
      </w:tr>
      <w:tr>
        <w:trPr>
          <w:trHeight w:val="20"/>
        </w:trPr>
        <w:tc>
          <w:tcPr>
            <w:tcW w:w="8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Company applied the “Intraperiod Tax Allocation” rules under ASC 740, which requires the allocation of an entity’s total annual income tax provision among continuing operations and, in the Company’s case, discontinued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cash and cash equivalents totaled $227.6 million as of May 31, 2019, compared with $74.1 million as of May 31, 2018. There were no marketable securities as of May 31, 2019. As of May 31, 2018 there was $1.3 million which consisted of auction rate securities. As of May 31, 2019, total debt outstanding was $132.5 million which is comprised of the Term Loan of $87.5 million and the Revolving Facility of $45.0 million. The fair value of the contingent consideration liability as of May 31, 2019 was $13.5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years ended May 31, 2019, 2018 and 2017:</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8"/>
              </w:rPr>
              <w:t>Year ended May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2017</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37,440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41,287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55,745</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33,931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(37,983)</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153,545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26,552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15,211</w:t>
            </w:r>
          </w:p>
        </w:tc>
      </w:tr>
      <w:tr>
        <w:trPr>
          <w:trHeight w:val="27"/>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May 31, 2019, 2018 and 2017, cash flows consisted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Year ended 2019:</w:t>
      </w:r>
    </w:p>
    <w:p>
      <w:pPr>
        <w:spacing w:after="0" w:line="171" w:lineRule="exact"/>
        <w:rPr>
          <w:sz w:val="20"/>
          <w:szCs w:val="20"/>
          <w:color w:val="auto"/>
        </w:rPr>
      </w:pPr>
    </w:p>
    <w:p>
      <w:pPr>
        <w:jc w:val="both"/>
        <w:ind w:left="660" w:right="10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income was driven by the sale of the Fluid Management business. Net loss from continuing operations was driven by higher operating expenses in research and development, selling and marketing and general administrative as well as costs related to our acquisition and restructuring activities. The loss was partially offset by increased sales and improved gross profit.</w:t>
      </w:r>
    </w:p>
    <w:p>
      <w:pPr>
        <w:ind w:left="660" w:right="260" w:hanging="328"/>
        <w:spacing w:after="0" w:line="25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Working capital was negatively impacted by increased inventory on hand of $1.4 million. Days sales outstanding ("DSO") increased as a result of increased sales during the fourth quarter. This had a $3.2 million negative impact on working capital. The Company continued to optimize days payables outstanding ("DPO"), which resulted in a $5.2 million favorable impact on working capital.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Year ended 2018:</w:t>
      </w:r>
    </w:p>
    <w:p>
      <w:pPr>
        <w:spacing w:after="0" w:line="171" w:lineRule="exact"/>
        <w:rPr>
          <w:sz w:val="20"/>
          <w:szCs w:val="20"/>
          <w:color w:val="auto"/>
        </w:rPr>
      </w:pPr>
    </w:p>
    <w:p>
      <w:pPr>
        <w:ind w:left="660" w:right="140" w:hanging="328"/>
        <w:spacing w:after="0" w:line="27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Net income was driven by higher gross margin, lower operating expenses in selling and marketing, general and administrative and acquisition, restructuring and other items, net. Partially offsetting the positive cash impact was a $9.3 million non-cash discrete tax benefit as a result of the Tax Reform Act and the revaluation of the Company's deferred tax assets and liabilities to reflect the lower statutory rate.</w:t>
      </w:r>
    </w:p>
    <w:p>
      <w:pPr>
        <w:ind w:left="660" w:right="40" w:hanging="328"/>
        <w:spacing w:after="0" w:line="25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continues to focus on optimizing days sales outstanding ("DSO") which contributed $5.0 million to working capital improvement. Working capital was also positively impacted by decreased inventory on hand of $5.7 million. Even though the Company continued to optimize days payables outstanding ("DPO"), the decrease in raw material purchases at year end negatively impacted working capital from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Year ended 2017:</w:t>
      </w:r>
    </w:p>
    <w:p>
      <w:pPr>
        <w:spacing w:after="0" w:line="171" w:lineRule="exact"/>
        <w:rPr>
          <w:sz w:val="20"/>
          <w:szCs w:val="20"/>
          <w:color w:val="auto"/>
        </w:rPr>
      </w:pPr>
    </w:p>
    <w:p>
      <w:pPr>
        <w:jc w:val="both"/>
        <w:ind w:left="660" w:right="240" w:hanging="328"/>
        <w:spacing w:after="0" w:line="25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income was driven by higher gross margins, lower sales and marketing expenses as well as the medical device tax refund. Also impacting net income, were non-cash items which consisted of $15.3 million of contingent consideration gains, $2.0 million in the write-off of the Embomedics investment and $3.6 million in intangible write-offs related to TiLo.</w:t>
      </w:r>
    </w:p>
    <w:p>
      <w:pPr>
        <w:ind w:left="660" w:right="360" w:hanging="328"/>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regards to working capital, the Company focused on optimizing both DSO and DPO which contributed to $15.2 million of working capital improvement. With respect to inventory, the $2.4 million reserve for Acculis inventory partially offset the inventory build related to the plant consolidation.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Year ended 2019:</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$3.1 million in fixed asset additions, primarily for maintenance of equipment.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$37.0 million cash payment to acquire the BioSentry product from SSC and a $47.9 million cash payment to acquire RadiaDyne as described in Note 2 to the financial statements.</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$169.2 million in cash proceeds as a result of the Divestiture described in Note 3 to the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$1.3 million in proceeds from the sale of an auction rate security.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Year ended 2018:</w:t>
      </w:r>
    </w:p>
    <w:p>
      <w:pPr>
        <w:spacing w:after="0" w:line="17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$2.4 million in fixed asset additions.</w:t>
      </w:r>
    </w:p>
    <w:p>
      <w:pPr>
        <w:spacing w:after="0" w:line="23"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third quarter, we entered into a distribution and license agreement where we recorded the upfront license fee of $1.3 million as an intangible asset that will be amortized over thirty-six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Year ended 2017:</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$3.0 million in fixed asset additions.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$0.5 million in proceeds from an auction rate security that was called during fiscal year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Year ended 2019:</w:t>
      </w:r>
    </w:p>
    <w:p>
      <w:pPr>
        <w:spacing w:after="0" w:line="17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$55.0 million draw on the Revolving Facility as a result of the RadiaDyne acquisition described in Note 2 to the financial statements.</w:t>
      </w:r>
    </w:p>
    <w:p>
      <w:pPr>
        <w:spacing w:after="0" w:line="23" w:lineRule="exact"/>
        <w:rPr>
          <w:rFonts w:ascii="Arial" w:cs="Arial" w:eastAsia="Arial" w:hAnsi="Arial"/>
          <w:sz w:val="18"/>
          <w:szCs w:val="18"/>
          <w:color w:val="auto"/>
        </w:rPr>
      </w:pPr>
    </w:p>
    <w:p>
      <w:pPr>
        <w:ind w:left="660" w:right="240" w:hanging="328"/>
        <w:spacing w:after="0" w:line="265"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$5.0 million repayment on the Term Loan in both the current year and prior year. This is consistent with the required amortization payment on the Term Loan. There was also a $10.0 million repayment on the Revolving Facility in the third quarter of fiscal year 2019.</w:t>
      </w: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million of proceeds from stock option and ESPP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$8.1 million payment on earn-out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Year ended 2018:</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$5.0 million in repayments on long-term debt, consistent with the required amortization payment on the Term Loan.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$2.9 million of proceeds from stock option and ESPP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$9.5 million payment on earn-out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Year ended 2017:</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Net $23.9 million in repayments on long-term debt after the proceeds from the Credit Agreement and repayment of the old credit agreement.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$1.3 million in deferred financing fees related to the new credit agreement.</w:t>
      </w:r>
    </w:p>
    <w:p>
      <w:pPr>
        <w:spacing w:after="0" w:line="9" w:lineRule="exact"/>
        <w:rPr>
          <w:rFonts w:ascii="Arial" w:cs="Arial" w:eastAsia="Arial" w:hAnsi="Arial"/>
          <w:sz w:val="18"/>
          <w:szCs w:val="18"/>
          <w:color w:val="auto"/>
        </w:rPr>
      </w:pPr>
    </w:p>
    <w:p>
      <w:pPr>
        <w:ind w:left="660" w:right="88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$10.7 million of proceeds from stock option and ESPP. The large increase is related to the exercise of stock based awards from executive management turnover that took place in fiscal year 2017.</w:t>
      </w: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$9.9 million payment on earn-out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$13.6 million from the repurchase of common shares in fiscal year 2017.</w:t>
      </w:r>
    </w:p>
    <w:p>
      <w:pPr>
        <w:spacing w:after="0" w:line="21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On November 7, 2016, the Company entered into a Credit Agreement that provides for a $100.0 million senior secured term loan facility and a $150.0 million senior secured revolving credit facility, which includes up to a $20.0 million sublimit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4" w:right="259" w:bottom="1440" w:gutter="0" w:footer="0" w:header="0"/>
        </w:sectPr>
      </w:pPr>
    </w:p>
    <w:bookmarkStart w:id="57" w:name="page58"/>
    <w:bookmarkEnd w:id="57"/>
    <w:p>
      <w:pPr>
        <w:ind w:right="80"/>
        <w:spacing w:after="0" w:line="277" w:lineRule="auto"/>
        <w:rPr>
          <w:sz w:val="20"/>
          <w:szCs w:val="20"/>
          <w:color w:val="auto"/>
        </w:rPr>
      </w:pPr>
      <w:r>
        <w:rPr>
          <w:rFonts w:ascii="Arial" w:cs="Arial" w:eastAsia="Arial" w:hAnsi="Arial"/>
          <w:sz w:val="18"/>
          <w:szCs w:val="18"/>
          <w:color w:val="auto"/>
        </w:rPr>
        <w:t>letters of credit and a $5.0 million sublimit for swingline loans. On May 24, 2018, the Company entered into Amendment One of the Credit Agreement. This amendment increased the amount of U.S. cash that can be utilized to calculate net debt from $10.0 million to $20.0 million.</w:t>
      </w:r>
    </w:p>
    <w:p>
      <w:pPr>
        <w:spacing w:after="0" w:line="17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On June 3, 2019, we paid down the Credit Agreement, including the Term Loan and Revolving Facility and entered into a revolver only facility with a capacity of $125.0 million. We believe that our current cash and investment balances, together with cash generated from operations and access to our revolving credit facility,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contractual obligations as of May 31, 2019 are set forth in the table below (in thousands). We have no variable interest entities or other off-balance sheet obligations.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color w:val="auto"/>
                <w:w w:val="92"/>
              </w:rPr>
              <w:t>Cash payments due by period as of May 31, 2019</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6"/>
        </w:trPr>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Less than</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After 5</w:t>
            </w:r>
          </w:p>
        </w:tc>
      </w:tr>
      <w:tr>
        <w:trPr>
          <w:trHeight w:val="188"/>
        </w:trPr>
        <w:tc>
          <w:tcPr>
            <w:tcW w:w="5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color w:val="auto"/>
              </w:rPr>
              <w:t>One Year</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1-3 Years</w:t>
            </w:r>
          </w:p>
        </w:tc>
        <w:tc>
          <w:tcPr>
            <w:tcW w:w="2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3-5 Years</w:t>
            </w:r>
          </w:p>
        </w:tc>
        <w:tc>
          <w:tcPr>
            <w:tcW w:w="24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color w:val="auto"/>
              </w:rPr>
              <w:t>Years</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Long term debt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145,032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132,235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6"/>
                <w:szCs w:val="16"/>
                <w:color w:val="auto"/>
              </w:rPr>
              <w:t>(1)</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Acquisition-related future obligations </w:t>
            </w:r>
            <w:r>
              <w:rPr>
                <w:rFonts w:ascii="Arial" w:cs="Arial" w:eastAsia="Arial" w:hAnsi="Arial"/>
                <w:sz w:val="16"/>
                <w:szCs w:val="16"/>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Indemnification holdback</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28,700</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 xml:space="preserve">Litigation matters </w:t>
            </w:r>
            <w:r>
              <w:rPr>
                <w:rFonts w:ascii="Arial" w:cs="Arial" w:eastAsia="Arial" w:hAnsi="Arial"/>
                <w:sz w:val="16"/>
                <w:szCs w:val="16"/>
                <w:color w:val="auto"/>
              </w:rPr>
              <w:t>(3)</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28,700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right="20" w:firstLine="8"/>
        <w:spacing w:after="0" w:line="275" w:lineRule="auto"/>
        <w:tabs>
          <w:tab w:leader="none" w:pos="23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non-cancelable operating leases and inventory purchase obligations are not reflected on our consolidated balance sheets under accounting principles generally accepted in the United States of America.</w:t>
      </w:r>
    </w:p>
    <w:p>
      <w:pPr>
        <w:ind w:right="80" w:firstLine="8"/>
        <w:spacing w:after="0" w:line="249" w:lineRule="auto"/>
        <w:tabs>
          <w:tab w:leader="none" w:pos="23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Acquisition-related future obligations include scheduled minimum payments and contingent payments based upon achievement of performance measures or milestones such as sales or profitability targets, the achievement of research and development objectives or the receipt of regulatory approvals. The amount represents the undiscounted value of contingent liabilities recorded on the balance sheet. Timing of payments are as contractually scheduled, or where contingent, the Company's best estimate of payment timing.</w:t>
      </w:r>
    </w:p>
    <w:p>
      <w:pPr>
        <w:spacing w:after="0" w:line="2" w:lineRule="exact"/>
        <w:rPr>
          <w:rFonts w:ascii="Arial" w:cs="Arial" w:eastAsia="Arial" w:hAnsi="Arial"/>
          <w:sz w:val="16"/>
          <w:szCs w:val="16"/>
          <w:color w:val="auto"/>
        </w:rPr>
      </w:pPr>
    </w:p>
    <w:p>
      <w:pPr>
        <w:ind w:left="240" w:hanging="232"/>
        <w:spacing w:after="0"/>
        <w:tabs>
          <w:tab w:leader="none" w:pos="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Refer to Note 17 for a description on the litigation matters.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Note 1 of the Notes to the Consolidated Financial Statements for Recently Issued Accounting Pronouncements.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58" w:name="page59"/>
    <w:bookmarkEnd w:id="58"/>
    <w:p>
      <w:pPr>
        <w:ind w:left="40"/>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7.4% of our sales in fiscal year 2019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November 7, 2016, we entered into the Credit Agreement which provides for a $100.0 million senior secured Term Loan and a $150.0 million Revolving Facility. Interest on both the Term Loan and Revolving Facility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A 50 basis point (0.50%) increase or decrease in the interest rate would result approximately in a $2.0 million increase or decrease in interest expense over the remaining life of the agreement.</w:t>
      </w:r>
    </w:p>
    <w:p>
      <w:pPr>
        <w:spacing w:after="0" w:line="17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On June 3, 2019, we paid down the Credit Agreement, including the Term Loan and Revolving Facility and entered into a revolver only facility with a capacity of $125.0 million. As of July 25, 2019 there is no debt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7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investment grade banks. The Company has the ability to draw equally amongst the five banks which limits the concentration of credit risk of one institution.</w:t>
      </w:r>
    </w:p>
    <w:p>
      <w:pPr>
        <w:spacing w:after="0" w:line="16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345"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4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Financial statements and supplementary data required by Part II, Item 8 are included in Part IV of this report as indexed as Item 15 (a) (1) and (2) of this report, and are incorporated by reference into this Item 8.</w:t>
      </w:r>
    </w:p>
    <w:p>
      <w:pPr>
        <w:spacing w:after="0" w:line="32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59" w:right="239" w:bottom="1440" w:gutter="0" w:footer="0" w:header="0"/>
        </w:sectPr>
      </w:pPr>
    </w:p>
    <w:bookmarkStart w:id="59" w:name="page60"/>
    <w:bookmarkEnd w:id="59"/>
    <w:p>
      <w:pPr>
        <w:ind w:left="40"/>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58"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34"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spacing w:after="0" w:line="1"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8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 xml:space="preserve">Our management has assessed the effectiveness of our internal control over financial reporting as of May 31, 2019.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Based on this evaluation, management concluded that our internal control over financial reporting was effective as of May 31, 2019.</w:t>
      </w:r>
    </w:p>
    <w:p>
      <w:pPr>
        <w:spacing w:after="0" w:line="14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May 31, 2019 has been audited by Deloitte &amp; Touche LLP, an independent registered public accounting firm, as stated in their report which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May 31,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040" w:right="279" w:bottom="1440" w:gutter="0" w:footer="0" w:header="0"/>
        </w:sectPr>
      </w:pPr>
    </w:p>
    <w:bookmarkStart w:id="60" w:name="page61"/>
    <w:bookmarkEnd w:id="6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AngioDynamics,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Latham,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AngioDynamics, Inc. and subsidiaries (the “Company”) as of May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May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May 31, 2019, of the Company and our report dated July 25, 2019,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25, 2019</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013" w:right="239" w:bottom="1440" w:gutter="0" w:footer="0" w:header="0"/>
        </w:sectPr>
      </w:pPr>
    </w:p>
    <w:bookmarkStart w:id="61" w:name="page62"/>
    <w:bookmarkEnd w:id="61"/>
    <w:p>
      <w:pPr>
        <w:spacing w:after="0"/>
        <w:tabs>
          <w:tab w:leader="none" w:pos="9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179"/>
          </w:cols>
          <w:pgMar w:left="280" w:top="959" w:right="1440"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2019. The information included in the Proxy Statement under the respective headings noted below is incorporated herein by reference.</w:t>
      </w:r>
    </w:p>
    <w:p>
      <w:pPr>
        <w:spacing w:after="0" w:line="386"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5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123"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required by Item 11 is incorporated herein by reference to our Proxy Statement under the heading “Executive Compensation”.</w:t>
      </w:r>
    </w:p>
    <w:p>
      <w:pPr>
        <w:spacing w:after="0" w:line="17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required by this caption is incorporated herein by reference to our Proxy Statement under the heading “Ownership of Securities”.</w:t>
      </w:r>
    </w:p>
    <w:p>
      <w:pPr>
        <w:spacing w:after="0" w:line="17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 “Certain Relationships and Related Transactions”.</w:t>
      </w:r>
    </w:p>
    <w:p>
      <w:pPr>
        <w:spacing w:after="0" w:line="11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0"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(a)(1) </w:t>
      </w:r>
      <w:r>
        <w:rPr>
          <w:rFonts w:ascii="Arial" w:cs="Arial" w:eastAsia="Arial" w:hAnsi="Arial"/>
          <w:sz w:val="18"/>
          <w:szCs w:val="18"/>
          <w:b w:val="1"/>
          <w:bCs w:val="1"/>
          <w:i w:val="1"/>
          <w:iCs w:val="1"/>
          <w:color w:val="auto"/>
        </w:rPr>
        <w:t>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consolidated financial statements and supplementary data of Registrant and its subsidiaries required by Part II, Item 8, are included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IV of this report:</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18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Firms</w:t>
              </w:r>
            </w:hyperlink>
          </w:p>
        </w:tc>
        <w:tc>
          <w:tcPr>
            <w:tcW w:w="180" w:type="dxa"/>
            <w:vAlign w:val="bottom"/>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63</w:t>
              </w:r>
            </w:hyperlink>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operations—Year ended May 31, 2019, 2018 and 2017</w:t>
              </w:r>
            </w:hyperlink>
          </w:p>
        </w:tc>
        <w:tc>
          <w:tcPr>
            <w:tcW w:w="524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64</w:t>
              </w:r>
            </w:hyperlink>
          </w:p>
        </w:tc>
        <w:tc>
          <w:tcPr>
            <w:tcW w:w="0" w:type="dxa"/>
            <w:vAlign w:val="bottom"/>
          </w:tcPr>
          <w:p>
            <w:pPr>
              <w:spacing w:after="0"/>
              <w:rPr>
                <w:sz w:val="1"/>
                <w:szCs w:val="1"/>
                <w:color w:val="auto"/>
              </w:rPr>
            </w:pPr>
          </w:p>
        </w:tc>
      </w:tr>
      <w:tr>
        <w:trPr>
          <w:trHeight w:val="250"/>
        </w:trPr>
        <w:tc>
          <w:tcPr>
            <w:tcW w:w="11180" w:type="dxa"/>
            <w:vAlign w:val="bottom"/>
            <w:gridSpan w:val="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income - Year ended May 31, 2019, 2018 and 2017</w:t>
              </w:r>
            </w:hyperlink>
          </w:p>
        </w:tc>
        <w:tc>
          <w:tcPr>
            <w:tcW w:w="180" w:type="dxa"/>
            <w:vAlign w:val="bottom"/>
            <w:vMerge w:val="restart"/>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201"/>
        </w:trPr>
        <w:tc>
          <w:tcPr>
            <w:tcW w:w="30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Borders>
              <w:bottom w:val="single" w:sz="8" w:color="0000EE"/>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1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balance sheets—May 31, 2019 and May 31, 2018</w:t>
              </w:r>
            </w:hyperlink>
          </w:p>
        </w:tc>
        <w:tc>
          <w:tcPr>
            <w:tcW w:w="180" w:type="dxa"/>
            <w:vAlign w:val="bottom"/>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66</w:t>
              </w:r>
            </w:hyperlink>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Consolidated statements of stockholders’ equity—Year ended May 31, 2019, 2018 and 2017</w:t>
              </w:r>
            </w:hyperlink>
          </w:p>
        </w:tc>
        <w:tc>
          <w:tcPr>
            <w:tcW w:w="452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67</w:t>
              </w:r>
            </w:hyperlink>
          </w:p>
        </w:tc>
        <w:tc>
          <w:tcPr>
            <w:tcW w:w="0" w:type="dxa"/>
            <w:vAlign w:val="bottom"/>
          </w:tcPr>
          <w:p>
            <w:pPr>
              <w:spacing w:after="0"/>
              <w:rPr>
                <w:sz w:val="1"/>
                <w:szCs w:val="1"/>
                <w:color w:val="auto"/>
              </w:rPr>
            </w:pPr>
          </w:p>
        </w:tc>
      </w:tr>
      <w:tr>
        <w:trPr>
          <w:trHeight w:val="250"/>
        </w:trPr>
        <w:tc>
          <w:tcPr>
            <w:tcW w:w="5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cash flows—Year ended May 31, 2019, 2018 and 2017</w:t>
              </w:r>
            </w:hyperlink>
          </w:p>
        </w:tc>
        <w:tc>
          <w:tcPr>
            <w:tcW w:w="522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68</w:t>
              </w:r>
            </w:hyperlink>
          </w:p>
        </w:tc>
        <w:tc>
          <w:tcPr>
            <w:tcW w:w="0" w:type="dxa"/>
            <w:vAlign w:val="bottom"/>
          </w:tcPr>
          <w:p>
            <w:pPr>
              <w:spacing w:after="0"/>
              <w:rPr>
                <w:sz w:val="1"/>
                <w:szCs w:val="1"/>
                <w:color w:val="auto"/>
              </w:rPr>
            </w:pPr>
          </w:p>
        </w:tc>
      </w:tr>
      <w:tr>
        <w:trPr>
          <w:trHeight w:val="250"/>
        </w:trPr>
        <w:tc>
          <w:tcPr>
            <w:tcW w:w="3040" w:type="dxa"/>
            <w:vAlign w:val="bottom"/>
            <w:tcBorders>
              <w:bottom w:val="single" w:sz="8" w:color="0000EE"/>
            </w:tcBorders>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Notes to consolidated financial statements</w:t>
              </w:r>
            </w:hyperlink>
          </w:p>
        </w:tc>
        <w:tc>
          <w:tcPr>
            <w:tcW w:w="8140" w:type="dxa"/>
            <w:vAlign w:val="bottom"/>
            <w:gridSpan w:val="7"/>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 schedule is included in Part IV of this report:</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Borders>
              <w:bottom w:val="single" w:sz="8" w:color="0000EE"/>
            </w:tcBorders>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Schedule II—Valuation and qualifying accounts</w:t>
              </w:r>
            </w:hyperlink>
          </w:p>
        </w:tc>
        <w:tc>
          <w:tcPr>
            <w:tcW w:w="7620" w:type="dxa"/>
            <w:vAlign w:val="bottom"/>
          </w:tcPr>
          <w:p>
            <w:pPr>
              <w:spacing w:after="0"/>
              <w:rPr>
                <w:sz w:val="17"/>
                <w:szCs w:val="17"/>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r>
    </w:tbl>
    <w:p>
      <w:pPr>
        <w:spacing w:after="0" w:line="202"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consolidated financial statements or notes thereto.</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Borders>
              <w:bottom w:val="single" w:sz="8" w:color="0000EE"/>
            </w:tcBorders>
          </w:tcPr>
          <w:p>
            <w:pPr>
              <w:spacing w:after="0"/>
              <w:rPr>
                <w:rFonts w:ascii="Arial" w:cs="Arial" w:eastAsia="Arial" w:hAnsi="Arial"/>
                <w:sz w:val="18"/>
                <w:szCs w:val="18"/>
                <w:b w:val="1"/>
                <w:bCs w:val="1"/>
                <w:i w:val="1"/>
                <w:iCs w:val="1"/>
                <w:color w:val="0000EE"/>
                <w:w w:val="87"/>
              </w:rPr>
            </w:pPr>
            <w:hyperlink w:anchor="page106">
              <w:r>
                <w:rPr>
                  <w:rFonts w:ascii="Arial" w:cs="Arial" w:eastAsia="Arial" w:hAnsi="Arial"/>
                  <w:sz w:val="18"/>
                  <w:szCs w:val="18"/>
                  <w:b w:val="1"/>
                  <w:bCs w:val="1"/>
                  <w:i w:val="1"/>
                  <w:iCs w:val="1"/>
                  <w:color w:val="0000EE"/>
                  <w:w w:val="87"/>
                </w:rPr>
                <w:t>(b) Exhibits</w:t>
              </w:r>
            </w:hyperlink>
          </w:p>
        </w:tc>
        <w:tc>
          <w:tcPr>
            <w:tcW w:w="10200" w:type="dxa"/>
            <w:vAlign w:val="bottom"/>
          </w:tcPr>
          <w:p>
            <w:pPr>
              <w:spacing w:after="0"/>
              <w:rPr>
                <w:sz w:val="18"/>
                <w:szCs w:val="18"/>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104</w:t>
              </w:r>
            </w:hyperlink>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0" w:right="259" w:bottom="1440" w:gutter="0" w:footer="0" w:header="0"/>
        </w:sectPr>
      </w:pPr>
    </w:p>
    <w:bookmarkStart w:id="64" w:name="page65"/>
    <w:bookmarkEnd w:id="6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AngioDynamics,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Latham,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AngioDynamics, Inc. and subsidiaries (the "Company") as of May 31, 2019 and 2018, the related consolidated statements of operations, comprehensive income, stockholders' equity, and cash flows, for each of the three years in the period ended May 31, 2019, and the related notes and the schedule listed in the Index at Item 15 (collectively referred to as the "financial statements"). In our opinion, the financial statements present fairly, in all material respects, the financial position of the Company as of May 31, 2019 and 2018, and the results of its operations and its cash flows for each of the three years in the period ended May 31, 2019, in conformity with accounting principles generally accepted in the United States of America.</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May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July 25, 2019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580" w:right="279" w:bottom="1440" w:gutter="0" w:footer="0" w:header="0"/>
        </w:sectPr>
      </w:pPr>
    </w:p>
    <w:bookmarkStart w:id="65" w:name="page66"/>
    <w:bookmarkEnd w:id="65"/>
    <w:p>
      <w:pPr>
        <w:ind w:left="4260"/>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Year ended May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261,655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269,788</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114,634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117,799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125,838</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143,950</w:t>
            </w:r>
          </w:p>
        </w:tc>
        <w:tc>
          <w:tcPr>
            <w:tcW w:w="0" w:type="dxa"/>
            <w:vAlign w:val="bottom"/>
          </w:tcPr>
          <w:p>
            <w:pPr>
              <w:spacing w:after="0"/>
              <w:rPr>
                <w:sz w:val="1"/>
                <w:szCs w:val="1"/>
                <w:color w:val="auto"/>
              </w:rPr>
            </w:pP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24,148</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76,829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73,109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74,865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13,906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14,567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15,432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27,510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Medical device excise tax</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37"/>
        </w:trPr>
        <w:tc>
          <w:tcPr>
            <w:tcW w:w="74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165,396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158,026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155,125</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(11,175)</w:t>
            </w:r>
          </w:p>
        </w:tc>
        <w:tc>
          <w:tcPr>
            <w:tcW w:w="0" w:type="dxa"/>
            <w:vAlign w:val="bottom"/>
          </w:tcPr>
          <w:p>
            <w:pPr>
              <w:spacing w:after="0"/>
              <w:rPr>
                <w:sz w:val="1"/>
                <w:szCs w:val="1"/>
                <w:color w:val="auto"/>
              </w:rPr>
            </w:pP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Other expenses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expenses, net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 benefit</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37"/>
        </w:trPr>
        <w:tc>
          <w:tcPr>
            <w:tcW w:w="7400" w:type="dxa"/>
            <w:vAlign w:val="bottom"/>
          </w:tcPr>
          <w:p>
            <w:pPr>
              <w:ind w:left="720"/>
              <w:spacing w:after="0"/>
              <w:rPr>
                <w:sz w:val="20"/>
                <w:szCs w:val="20"/>
                <w:color w:val="auto"/>
              </w:rPr>
            </w:pPr>
            <w:r>
              <w:rPr>
                <w:rFonts w:ascii="Arial" w:cs="Arial" w:eastAsia="Arial" w:hAnsi="Arial"/>
                <w:sz w:val="18"/>
                <w:szCs w:val="18"/>
                <w:color w:val="auto"/>
              </w:rPr>
              <w:t>Net loss from continuing operations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discontinued operations, net of income tax</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37"/>
        </w:trPr>
        <w:tc>
          <w:tcPr>
            <w:tcW w:w="740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61,340</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16,335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Loss per share from continuing operations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Earnings per share from discontinued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Earnings per share from net income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37,075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36,617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37,485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37,075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36,617</w:t>
            </w:r>
          </w:p>
        </w:tc>
        <w:tc>
          <w:tcPr>
            <w:tcW w:w="0" w:type="dxa"/>
            <w:vAlign w:val="bottom"/>
          </w:tcPr>
          <w:p>
            <w:pPr>
              <w:spacing w:after="0"/>
              <w:rPr>
                <w:sz w:val="1"/>
                <w:szCs w:val="1"/>
                <w:color w:val="auto"/>
              </w:rPr>
            </w:pPr>
          </w:p>
        </w:tc>
      </w:tr>
      <w:tr>
        <w:trPr>
          <w:trHeight w:val="27"/>
        </w:trPr>
        <w:tc>
          <w:tcPr>
            <w:tcW w:w="7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580"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580" w:right="259" w:bottom="1440" w:gutter="0" w:footer="0" w:header="0"/>
          <w:type w:val="continuous"/>
        </w:sectPr>
      </w:pPr>
    </w:p>
    <w:bookmarkStart w:id="66" w:name="page67"/>
    <w:bookmarkEnd w:id="66"/>
    <w:p>
      <w:pPr>
        <w:ind w:left="4260"/>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Year ended May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2017</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Reclassification adjustment for gains included in net income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gain (loss)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benefit (expense) related to items of other comprehensive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 net of tax</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80"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color w:val="auto"/>
              </w:rPr>
              <w:t>May 31, 2019</w:t>
            </w:r>
          </w:p>
        </w:tc>
        <w:tc>
          <w:tcPr>
            <w:tcW w:w="240" w:type="dxa"/>
            <w:vAlign w:val="bottom"/>
          </w:tcPr>
          <w:p>
            <w:pPr>
              <w:spacing w:after="0"/>
              <w:rPr>
                <w:sz w:val="16"/>
                <w:szCs w:val="16"/>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color w:val="auto"/>
              </w:rPr>
              <w:t>May 31, 2018</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at fair value</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$1,906 and $2,466,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40,071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39,274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assets held for sale</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25,715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112,547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 held for sale</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109,817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836,438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705,472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22,829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15,775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17,173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162,877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Commitments and Contingencies (Note 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w w:val="94"/>
              </w:rPr>
              <w:t>Preferred stock, par value $.01 per share, 5,000,000 shares authorized; no shares issued and outstanding</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par value $.01 per share, 75,000,000 shares authorized; 37,984,382 and 37,594,493 shares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issued and 37,614,382 and 37,224,493 shares outstanding at May 31, 2019 and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555,040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543,762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Treasury stock, 370,000 shares, at cost at May 31, 2019 and 2018,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614,815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542,595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836,438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705,472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60" w:firstLine="351"/>
        <w:spacing w:after="0" w:line="385" w:lineRule="auto"/>
        <w:rPr>
          <w:sz w:val="20"/>
          <w:szCs w:val="20"/>
          <w:color w:val="auto"/>
        </w:rPr>
      </w:pPr>
      <w:r>
        <w:rPr>
          <w:rFonts w:ascii="Arial" w:cs="Arial" w:eastAsia="Arial" w:hAnsi="Arial"/>
          <w:sz w:val="14"/>
          <w:szCs w:val="14"/>
          <w:b w:val="1"/>
          <w:bCs w:val="1"/>
          <w:color w:val="auto"/>
        </w:rPr>
        <w:t xml:space="preserve">Balance at May 31, 2016 </w:t>
      </w:r>
      <w:r>
        <w:rPr>
          <w:rFonts w:ascii="Arial" w:cs="Arial" w:eastAsia="Arial" w:hAnsi="Arial"/>
          <w:sz w:val="14"/>
          <w:szCs w:val="14"/>
          <w:color w:val="auto"/>
        </w:rPr>
        <w:t>Net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Issuance/cancellation of restricted stock units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Issuance of performance share units</w:t>
      </w:r>
    </w:p>
    <w:p>
      <w:pPr>
        <w:spacing w:after="0" w:line="132" w:lineRule="exact"/>
        <w:rPr>
          <w:sz w:val="20"/>
          <w:szCs w:val="20"/>
          <w:color w:val="auto"/>
        </w:rPr>
      </w:pPr>
    </w:p>
    <w:p>
      <w:pPr>
        <w:ind w:right="180"/>
        <w:spacing w:after="0" w:line="305" w:lineRule="auto"/>
        <w:rPr>
          <w:sz w:val="20"/>
          <w:szCs w:val="20"/>
          <w:color w:val="auto"/>
        </w:rPr>
      </w:pPr>
      <w:r>
        <w:rPr>
          <w:rFonts w:ascii="Arial" w:cs="Arial" w:eastAsia="Arial" w:hAnsi="Arial"/>
          <w:sz w:val="12"/>
          <w:szCs w:val="12"/>
          <w:color w:val="auto"/>
        </w:rPr>
        <w:t>Purchase of common stock under Employee Stock Purchase Plan</w:t>
      </w:r>
    </w:p>
    <w:p>
      <w:pPr>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Treasury stock retirement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Common stock repurchased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Other comprehensive loss, net of tax</w:t>
      </w:r>
    </w:p>
    <w:p>
      <w:pPr>
        <w:spacing w:after="0" w:line="155" w:lineRule="exact"/>
        <w:rPr>
          <w:sz w:val="20"/>
          <w:szCs w:val="20"/>
          <w:color w:val="auto"/>
        </w:rPr>
      </w:pPr>
    </w:p>
    <w:p>
      <w:pPr>
        <w:ind w:right="260" w:firstLine="351"/>
        <w:spacing w:after="0" w:line="415" w:lineRule="auto"/>
        <w:rPr>
          <w:sz w:val="20"/>
          <w:szCs w:val="20"/>
          <w:color w:val="auto"/>
        </w:rPr>
      </w:pPr>
      <w:r>
        <w:rPr>
          <w:rFonts w:ascii="Arial" w:cs="Arial" w:eastAsia="Arial" w:hAnsi="Arial"/>
          <w:sz w:val="13"/>
          <w:szCs w:val="13"/>
          <w:b w:val="1"/>
          <w:bCs w:val="1"/>
          <w:color w:val="auto"/>
        </w:rPr>
        <w:t xml:space="preserve">Balance at May 31, 2017 </w:t>
      </w:r>
      <w:r>
        <w:rPr>
          <w:rFonts w:ascii="Arial" w:cs="Arial" w:eastAsia="Arial" w:hAnsi="Arial"/>
          <w:sz w:val="13"/>
          <w:szCs w:val="13"/>
          <w:color w:val="auto"/>
        </w:rPr>
        <w:t>Adjustment for ASU 2016-09</w:t>
      </w: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Issuance/cancellation of restricted stock units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Issuance of performance share units</w:t>
      </w:r>
    </w:p>
    <w:p>
      <w:pPr>
        <w:spacing w:after="0" w:line="132" w:lineRule="exact"/>
        <w:rPr>
          <w:sz w:val="20"/>
          <w:szCs w:val="20"/>
          <w:color w:val="auto"/>
        </w:rPr>
      </w:pPr>
    </w:p>
    <w:p>
      <w:pPr>
        <w:ind w:right="180"/>
        <w:spacing w:after="0" w:line="305" w:lineRule="auto"/>
        <w:rPr>
          <w:sz w:val="20"/>
          <w:szCs w:val="20"/>
          <w:color w:val="auto"/>
        </w:rPr>
      </w:pPr>
      <w:r>
        <w:rPr>
          <w:rFonts w:ascii="Arial" w:cs="Arial" w:eastAsia="Arial" w:hAnsi="Arial"/>
          <w:sz w:val="12"/>
          <w:szCs w:val="12"/>
          <w:color w:val="auto"/>
        </w:rPr>
        <w:t>Purchase of common stock under Employee Stock Purchase Plan</w:t>
      </w:r>
    </w:p>
    <w:p>
      <w:pPr>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Other comprehensive income, net of tax</w:t>
      </w:r>
    </w:p>
    <w:p>
      <w:pPr>
        <w:spacing w:after="0" w:line="35" w:lineRule="exact"/>
        <w:rPr>
          <w:sz w:val="20"/>
          <w:szCs w:val="20"/>
          <w:color w:val="auto"/>
        </w:rPr>
      </w:pPr>
    </w:p>
    <w:p>
      <w:pPr>
        <w:ind w:right="260" w:firstLine="351"/>
        <w:spacing w:after="0" w:line="385" w:lineRule="auto"/>
        <w:rPr>
          <w:sz w:val="20"/>
          <w:szCs w:val="20"/>
          <w:color w:val="auto"/>
        </w:rPr>
      </w:pPr>
      <w:r>
        <w:rPr>
          <w:rFonts w:ascii="Arial" w:cs="Arial" w:eastAsia="Arial" w:hAnsi="Arial"/>
          <w:sz w:val="14"/>
          <w:szCs w:val="14"/>
          <w:b w:val="1"/>
          <w:bCs w:val="1"/>
          <w:color w:val="auto"/>
        </w:rPr>
        <w:t xml:space="preserve">Balance at May 31, 2018 </w:t>
      </w:r>
      <w:r>
        <w:rPr>
          <w:rFonts w:ascii="Arial" w:cs="Arial" w:eastAsia="Arial" w:hAnsi="Arial"/>
          <w:sz w:val="14"/>
          <w:szCs w:val="14"/>
          <w:color w:val="auto"/>
        </w:rPr>
        <w:t>Net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Issuance/cancellation of restricted stock units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Issuance of performance share units</w:t>
      </w:r>
    </w:p>
    <w:p>
      <w:pPr>
        <w:spacing w:after="0" w:line="132" w:lineRule="exact"/>
        <w:rPr>
          <w:sz w:val="20"/>
          <w:szCs w:val="20"/>
          <w:color w:val="auto"/>
        </w:rPr>
      </w:pPr>
    </w:p>
    <w:p>
      <w:pPr>
        <w:ind w:right="180"/>
        <w:spacing w:after="0" w:line="305" w:lineRule="auto"/>
        <w:rPr>
          <w:sz w:val="20"/>
          <w:szCs w:val="20"/>
          <w:color w:val="auto"/>
        </w:rPr>
      </w:pPr>
      <w:r>
        <w:rPr>
          <w:rFonts w:ascii="Arial" w:cs="Arial" w:eastAsia="Arial" w:hAnsi="Arial"/>
          <w:sz w:val="12"/>
          <w:szCs w:val="12"/>
          <w:color w:val="auto"/>
        </w:rPr>
        <w:t>Purchase of common stock under Employee Stock Purchase Plan</w:t>
      </w:r>
    </w:p>
    <w:p>
      <w:pPr>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Other comprehensive loss, net of tax</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Balance at May 31, 2019</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Arial" w:cs="Arial" w:eastAsia="Arial" w:hAnsi="Arial"/>
          <w:sz w:val="18"/>
          <w:szCs w:val="18"/>
          <w:b w:val="1"/>
          <w:bCs w:val="1"/>
          <w:color w:val="auto"/>
        </w:rPr>
        <w:t>AngioDynamics, Inc. and Subsidiaries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(in thousands, except share data)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5"/>
            <w:vMerge w:val="restart"/>
          </w:tcPr>
          <w:p>
            <w:pPr>
              <w:ind w:left="68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Retained</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Accumulated</w:t>
            </w:r>
          </w:p>
        </w:tc>
        <w:tc>
          <w:tcPr>
            <w:tcW w:w="1900" w:type="dxa"/>
            <w:vAlign w:val="bottom"/>
            <w:gridSpan w:val="5"/>
            <w:vMerge w:val="restart"/>
          </w:tcPr>
          <w:p>
            <w:pPr>
              <w:ind w:left="480"/>
              <w:spacing w:after="0"/>
              <w:rPr>
                <w:sz w:val="20"/>
                <w:szCs w:val="20"/>
                <w:color w:val="auto"/>
              </w:rPr>
            </w:pPr>
            <w:r>
              <w:rPr>
                <w:rFonts w:ascii="Arial" w:cs="Arial" w:eastAsia="Arial" w:hAnsi="Arial"/>
                <w:sz w:val="14"/>
                <w:szCs w:val="14"/>
                <w:color w:val="auto"/>
              </w:rPr>
              <w:t>Treasury Stock</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34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89"/>
              </w:rPr>
              <w:t>earnings</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87"/>
              </w:rPr>
              <w:t>other</w:t>
            </w:r>
          </w:p>
        </w:tc>
        <w:tc>
          <w:tcPr>
            <w:tcW w:w="190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6"/>
              </w:rPr>
              <w:t>paid in</w:t>
            </w:r>
          </w:p>
        </w:tc>
        <w:tc>
          <w:tcPr>
            <w:tcW w:w="160" w:type="dxa"/>
            <w:vAlign w:val="bottom"/>
          </w:tcPr>
          <w:p>
            <w:pPr>
              <w:spacing w:after="0"/>
              <w:rPr>
                <w:sz w:val="10"/>
                <w:szCs w:val="10"/>
                <w:color w:val="auto"/>
              </w:rPr>
            </w:pPr>
          </w:p>
        </w:tc>
        <w:tc>
          <w:tcPr>
            <w:tcW w:w="11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(accumulated</w:t>
            </w:r>
          </w:p>
        </w:tc>
        <w:tc>
          <w:tcPr>
            <w:tcW w:w="180" w:type="dxa"/>
            <w:vAlign w:val="bottom"/>
          </w:tcPr>
          <w:p>
            <w:pPr>
              <w:spacing w:after="0"/>
              <w:rPr>
                <w:sz w:val="10"/>
                <w:szCs w:val="10"/>
                <w:color w:val="auto"/>
              </w:rPr>
            </w:pPr>
          </w:p>
        </w:tc>
        <w:tc>
          <w:tcPr>
            <w:tcW w:w="12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comprehensive</w:t>
            </w: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160" w:type="dxa"/>
            <w:vAlign w:val="bottom"/>
            <w:gridSpan w:val="2"/>
          </w:tcPr>
          <w:p>
            <w:pPr>
              <w:ind w:left="34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capital</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loss</w:t>
            </w:r>
          </w:p>
        </w:tc>
        <w:tc>
          <w:tcPr>
            <w:tcW w:w="1020" w:type="dxa"/>
            <w:vAlign w:val="bottom"/>
            <w:gridSpan w:val="2"/>
          </w:tcPr>
          <w:p>
            <w:pPr>
              <w:ind w:left="2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7"/>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36,420,403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525,775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(16,015)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(142,305)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507,228</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5,008</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751,062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9,865</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158,341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23,405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129,185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(642,305)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(9,942)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642,305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9,944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(13,557)</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1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37,210,091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532,705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(11,007)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515,027</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16,335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16,335</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148,937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145,522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89,943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7,912</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1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37,594,493</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543,762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5,129</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542,595</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61,340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61,340</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134,253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177,538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5,235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72,863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9,249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9,249</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4"/>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37,984,382</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555,040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66,469</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614,815</w:t>
            </w:r>
          </w:p>
        </w:tc>
        <w:tc>
          <w:tcPr>
            <w:tcW w:w="0" w:type="dxa"/>
            <w:vAlign w:val="bottom"/>
          </w:tcPr>
          <w:p>
            <w:pPr>
              <w:spacing w:after="0"/>
              <w:rPr>
                <w:sz w:val="1"/>
                <w:szCs w:val="1"/>
                <w:color w:val="auto"/>
              </w:rPr>
            </w:pPr>
          </w:p>
        </w:tc>
      </w:tr>
      <w:tr>
        <w:trPr>
          <w:trHeight w:val="39"/>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-5007610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-4664710</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-4270375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-3875405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-3532505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-3189605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-2846705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-2451735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-2057400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-1663065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-1320165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-925830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-530860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-187960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160"/>
            <w:col w:w="912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80" w:top="580" w:right="23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Year ended May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2017</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61,340</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16,335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5,008</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23,163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24,811</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6,183</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Gain on disposition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Transaction costs for disposition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(15,261)</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4,428</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Changes in accounts receivable allowances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3,930</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Write-off of other assets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2,685</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8,479</w:t>
            </w:r>
          </w:p>
        </w:tc>
      </w:tr>
      <w:tr>
        <w:trPr>
          <w:trHeight w:val="243"/>
        </w:trPr>
        <w:tc>
          <w:tcPr>
            <w:tcW w:w="740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687</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r>
      <w:tr>
        <w:trPr>
          <w:trHeight w:val="243"/>
        </w:trPr>
        <w:tc>
          <w:tcPr>
            <w:tcW w:w="7400" w:type="dxa"/>
            <w:vAlign w:val="bottom"/>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19,214</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55,745</w:t>
            </w: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Proceeds from disposition of discontinued operations</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169,242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Acquisition of intangibles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82,554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(2,551)</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116,471</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(140,381)</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Proceeds from borrowings on revolving credit facility</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 on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Payment of acquisition related contingent consideration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(9,850)</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(13,557)</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10,698</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(37,983)</w:t>
            </w:r>
          </w:p>
        </w:tc>
      </w:tr>
      <w:tr>
        <w:trPr>
          <w:trHeight w:val="237"/>
        </w:trPr>
        <w:tc>
          <w:tcPr>
            <w:tcW w:w="7400" w:type="dxa"/>
            <w:vAlign w:val="bottom"/>
          </w:tcPr>
          <w:p>
            <w:pPr>
              <w:ind w:left="146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15,211</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74,096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47,544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32,333</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227,641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47,544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580"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580" w:right="259" w:bottom="1440" w:gutter="0" w:footer="0" w:header="0"/>
          <w:type w:val="continuous"/>
        </w:sectPr>
      </w:pPr>
    </w:p>
    <w:bookmarkStart w:id="70" w:name="page71"/>
    <w:bookmarkEnd w:id="70"/>
    <w:p>
      <w:pPr>
        <w:ind w:left="4260"/>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20955</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Increase (decrease) in accounts payable for purchases of fixed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Fair value of contingent consideration for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Fair value of acquisition consideration included in accrued expenses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paid (received) during the year for: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5,115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2,969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71" w:name="page72"/>
    <w:bookmarkEnd w:id="71"/>
    <w:p>
      <w:pPr>
        <w:jc w:val="center"/>
        <w:ind w:right="-139"/>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BUSINESS DESCRIPTION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Description of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consolidated financial statements include the accounts of AngioDynamics, Inc. and its wholly owned subsidiaries, (collectively, the “Company”).</w:t>
      </w:r>
    </w:p>
    <w:p>
      <w:pPr>
        <w:spacing w:after="0" w:line="24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designs, manufactures and sells a wide range of medical, surgical and diagnostic devices used by professional healthcare providers for vascular access, for the treatment of peripheral vascular disease and in oncology and surgical settings. The devices are generally used in minimally invasive, image-guided procedures. Most of the Company's products are intended to be used once and then discarded, or they may be temporarily implanted for short-or long-term use.</w:t>
      </w:r>
    </w:p>
    <w:p>
      <w:pPr>
        <w:spacing w:after="0" w:line="18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On May 31, 2019, the Company completed the sale of the Fluid Management business and all of the assets used primarily in connection with the Fluid Management business (Note 3). As the disposal of this business represents a strategic shift with a major effect on the Company's operations, for all periods presented in our Consolidated Statements of Operations and Comprehensive Income, all sales, costs, expenses, gains and income taxes attributable to Fluid Management have been reported under the captions, “Income from Discontinued Operations, Net of Income Tax.” Cash flows used in or provided by Fluid Management have been reported in the Consolidated Statements of Cash Flows under operating and investing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consolidated financial statements and accompanying notes have been prepared in conformity with accounting principles generally accepted in the United States of America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AngioDynamics and its subsidiaries (all of which are wholly owned). All intercompany balances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Marketable securities, which include auction rate investments, are classified as “available-for-sale securities” and are reported at fair value, with unrealized gains and losses excluded from operations and reported as a component of accumulated other comprehensive income (loss), net of the related tax effects, in stockholders’ equity. Cost is determined using the specific identification method.</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580"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Fair Value Instruments</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The Company measures and records derivative financial instruments at fair value. See Note 5 for further discussion of financial instruments that are carried at fair value on a recurring and nonrecurring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 and the provisions established, the Company cannot guarantee that the same credit loss rates will be experienced in the future. The Company writes off accounts receivable when they are determined to be uncollectible.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Inventories are stated at the lower of cost (using the first-in, first-out method) or market. Appropriate consideration is given to deterioration, obsolescence, expiring and other factors in evaluating net realizable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Refer below for useful lives by category: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Estimated useful lives</w:t>
            </w:r>
          </w:p>
        </w:tc>
      </w:tr>
      <w:tr>
        <w:trPr>
          <w:trHeight w:val="27"/>
        </w:trPr>
        <w:tc>
          <w:tcPr>
            <w:tcW w:w="91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39 years</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5 to 8 years</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to 5 years</w:t>
            </w:r>
          </w:p>
        </w:tc>
      </w:tr>
      <w:tr>
        <w:trPr>
          <w:trHeight w:val="27"/>
        </w:trPr>
        <w:tc>
          <w:tcPr>
            <w:tcW w:w="9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Intangible assets other than goodwill and acquired IP R&amp;D are amortized over their estimated useful lives, on either a straight-line basis or proportionately to the benefit being realized. Useful lives range from two to eighteen years. The Company periodically reviews the estimated useful lives of intangible assets and reviews such assets for impairment whenever events or changes in circumstances indicate that the carrying value of the asset or asset group is not recoverable. If an intangible asset or asset group is considered to be impaired, the amount of the impairment will equal the excess of the carrying value over the fair value of the asset.</w:t>
      </w:r>
    </w:p>
    <w:p>
      <w:pPr>
        <w:spacing w:after="0" w:line="18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Goodwill is the amount by which the cost of acquired net assets in a business combination exceeded the fair value of net identifiable assets on the date of purchase. Goodwill and other intangible assets that have indefinite useful lives are not amortized, but rather, are tested for impairment annually or more frequently if impairment indicators arise.</w:t>
      </w:r>
    </w:p>
    <w:p>
      <w:pPr>
        <w:spacing w:after="0" w:line="18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the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If the carrying value of the reporting unit exceeds the fair value of the reporting unit, the carrying value of the reporting unit’s goodwill is reduced to its fair value through an adjustment to the goodwill balance, resulting in an impairment charge.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00" w:right="239" w:bottom="1440" w:gutter="0" w:footer="0" w:header="0"/>
        </w:sectPr>
      </w:pPr>
    </w:p>
    <w:bookmarkStart w:id="73" w:name="page74"/>
    <w:bookmarkEnd w:id="73"/>
    <w:p>
      <w:pPr>
        <w:ind w:firstLine="392"/>
        <w:spacing w:after="0" w:line="276" w:lineRule="auto"/>
        <w:rPr>
          <w:sz w:val="20"/>
          <w:szCs w:val="20"/>
          <w:color w:val="auto"/>
        </w:rPr>
      </w:pPr>
      <w:r>
        <w:rPr>
          <w:rFonts w:ascii="Arial" w:cs="Arial" w:eastAsia="Arial" w:hAnsi="Arial"/>
          <w:sz w:val="17"/>
          <w:szCs w:val="17"/>
          <w:color w:val="auto"/>
        </w:rPr>
        <w:t>The Company's annual testing for impairment of goodwill was completed as of December 31, 2018. The Company operates as a single operating segment with one reporting unit and consequently evaluates goodwill for impairment based on an evaluation of the fair value of the Company as a whole. The Company determined the fair value of the reporting unit based on the market valuation approach and concluded that it was not more-likely-than-not that the fair value of the Company's reporting unit was less than its carrying value. As a result of the sale of the Fluid Management business, the Company performed an impairment test as of April 17, 2019, the date of the announcement of the deal, which indicated no goodwill impairment.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The Company recognizes revenue when it transfers control of promised goods or services to its customers in an amount that reflects the consideration to which the Company expects to be entitled to in exchange for those goods and services. See Note 4, “Revenue from Contracts with Customers” for further discussion on revenue.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392"/>
        <w:spacing w:after="0" w:line="297" w:lineRule="auto"/>
        <w:rPr>
          <w:sz w:val="20"/>
          <w:szCs w:val="20"/>
          <w:color w:val="auto"/>
        </w:rPr>
      </w:pPr>
      <w:r>
        <w:rPr>
          <w:rFonts w:ascii="Arial" w:cs="Arial" w:eastAsia="Arial" w:hAnsi="Arial"/>
          <w:sz w:val="16"/>
          <w:szCs w:val="16"/>
          <w:color w:val="auto"/>
        </w:rPr>
        <w:t>The Company calculates income tax expense for each jurisdiction in which it operates. This involves estimating actual current taxes due plus assessing temporary differences arising from differing treatment for tax and accounting purposes that are 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 of operations.</w:t>
      </w:r>
    </w:p>
    <w:p>
      <w:pPr>
        <w:spacing w:after="0" w:line="158"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makes periodic provisions for expected warranty costs. Historically, warranty costs have been insignificant.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25" w:lineRule="exact"/>
        <w:rPr>
          <w:sz w:val="20"/>
          <w:szCs w:val="20"/>
          <w:color w:val="auto"/>
        </w:rPr>
      </w:pPr>
    </w:p>
    <w:p>
      <w:pPr>
        <w:jc w:val="both"/>
        <w:ind w:right="340" w:firstLine="405"/>
        <w:spacing w:after="0" w:line="259" w:lineRule="auto"/>
        <w:rPr>
          <w:sz w:val="20"/>
          <w:szCs w:val="20"/>
          <w:color w:val="auto"/>
        </w:rPr>
      </w:pPr>
      <w:r>
        <w:rPr>
          <w:rFonts w:ascii="Arial" w:cs="Arial" w:eastAsia="Arial" w:hAnsi="Arial"/>
          <w:sz w:val="18"/>
          <w:szCs w:val="18"/>
          <w:color w:val="auto"/>
        </w:rPr>
        <w:t>Stock-based compensation expense reflects the fair value of stock-based awards measured at the grant date and recognized over the relevant service period. The expense recognized includes the impact of forfeitures as they occur. The Company estimates the fair value of each stock-based award on the measurement date using either the current market price of the stock, the Black-Scholes option valuation model, or the Monte Carlo Simulation valuation model. The Black-Scholes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84" w:right="259" w:bottom="1440" w:gutter="0" w:footer="0" w:header="0"/>
        </w:sectPr>
      </w:pPr>
    </w:p>
    <w:bookmarkStart w:id="74" w:name="page75"/>
    <w:bookmarkEnd w:id="74"/>
    <w:p>
      <w:pPr>
        <w:spacing w:after="0" w:line="259" w:lineRule="auto"/>
        <w:rPr>
          <w:sz w:val="20"/>
          <w:szCs w:val="20"/>
          <w:color w:val="auto"/>
        </w:rPr>
      </w:pPr>
      <w:r>
        <w:rPr>
          <w:rFonts w:ascii="Arial" w:cs="Arial" w:eastAsia="Arial" w:hAnsi="Arial"/>
          <w:sz w:val="18"/>
          <w:szCs w:val="18"/>
          <w:color w:val="auto"/>
        </w:rPr>
        <w:t>Monte Carlo Simulation valuation models incorporate assumptions as to stock price volatility, the expected life of options or restricted stock units, a risk-free interest rate and dividend yield. The 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functional currency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spacing w:after="0" w:line="17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Transaction gains or losses that arise from exchange rate fluctuations on transactions denominated in a currency other than the functional currency are included in other expense in the statements of operations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Company is exposed to market risks, including changes in foreign currency and interest rates. The Company periodically enters into certain derivative financial instruments to hedge the underlying economic exposure.</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Derivative instruments are presented in the consolidated financial statements at their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 hedged items that relate to the hedged risks. Changes in the fair value of derivatives accounted for as cash flow hedges, to the extent they are effective as hedges, are recorded in accumulated other comprehensive income (loss). There were no derivative instruments held by the Company as of May 31, 2019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584" w:right="319" w:bottom="1440" w:gutter="0" w:footer="0" w:header="0"/>
        </w:sectPr>
      </w:pPr>
    </w:p>
    <w:bookmarkStart w:id="75" w:name="page76"/>
    <w:bookmarkEnd w:id="75"/>
    <w:p>
      <w:pPr>
        <w:ind w:right="380" w:firstLine="648"/>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 Adopted</w:t>
            </w: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 xml:space="preserve">ASU No. 2014-09, </w:t>
            </w:r>
            <w:r>
              <w:rPr>
                <w:rFonts w:ascii="Arial" w:cs="Arial" w:eastAsia="Arial" w:hAnsi="Arial"/>
                <w:sz w:val="18"/>
                <w:szCs w:val="18"/>
                <w:i w:val="1"/>
                <w:iCs w:val="1"/>
                <w:color w:val="auto"/>
                <w:w w:val="93"/>
              </w:rPr>
              <w:t>Revenue from</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ASU provides a single, comprehensive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June 1, 2018</w:t>
            </w:r>
          </w:p>
        </w:tc>
        <w:tc>
          <w:tcPr>
            <w:tcW w:w="3720" w:type="dxa"/>
            <w:vAlign w:val="bottom"/>
          </w:tcPr>
          <w:p>
            <w:pPr>
              <w:ind w:left="20"/>
              <w:spacing w:after="0"/>
              <w:rPr>
                <w:sz w:val="20"/>
                <w:szCs w:val="20"/>
                <w:color w:val="auto"/>
              </w:rPr>
            </w:pPr>
            <w:r>
              <w:rPr>
                <w:rFonts w:ascii="Arial" w:cs="Arial" w:eastAsia="Arial" w:hAnsi="Arial"/>
                <w:sz w:val="18"/>
                <w:szCs w:val="18"/>
                <w:color w:val="auto"/>
              </w:rPr>
              <w:t>See Note 4, "Revenue from Contracts with</w:t>
            </w:r>
          </w:p>
        </w:tc>
      </w:tr>
      <w:tr>
        <w:trPr>
          <w:trHeight w:val="216"/>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6"/>
              </w:rPr>
              <w:t>Contracts with Customers (ASU</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accounting model for revenues arising from</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3"/>
              </w:rPr>
              <w:t>Customers" for the required disclosures related to</w:t>
            </w:r>
          </w:p>
        </w:tc>
      </w:tr>
      <w:tr>
        <w:trPr>
          <w:trHeight w:val="216"/>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2014-09)</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contracts with customers that supersedes most of the</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the impact of adopting this standard.</w:t>
            </w:r>
          </w:p>
        </w:tc>
      </w:tr>
      <w:tr>
        <w:trPr>
          <w:trHeight w:val="216"/>
        </w:trPr>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existing revenue recognition guidance, including</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940"/>
              <w:spacing w:after="0"/>
              <w:rPr>
                <w:sz w:val="20"/>
                <w:szCs w:val="20"/>
                <w:color w:val="auto"/>
              </w:rPr>
            </w:pPr>
            <w:r>
              <w:rPr>
                <w:rFonts w:ascii="Arial" w:cs="Arial" w:eastAsia="Arial" w:hAnsi="Arial"/>
                <w:sz w:val="18"/>
                <w:szCs w:val="18"/>
                <w:color w:val="auto"/>
              </w:rPr>
              <w:t>The</w:t>
            </w:r>
          </w:p>
        </w:tc>
      </w:tr>
      <w:tr>
        <w:trPr>
          <w:trHeight w:val="216"/>
        </w:trPr>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industry-specific guidance. Under this model,</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5"/>
              </w:rPr>
              <w:t>adoption of this standard did not have a material</w:t>
            </w:r>
          </w:p>
        </w:tc>
      </w:tr>
      <w:tr>
        <w:trPr>
          <w:trHeight w:val="216"/>
        </w:trPr>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revenue is recognized at an amount that an entity</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7"/>
              </w:rPr>
              <w:t>impact on the Company’s consolidated balance</w:t>
            </w:r>
          </w:p>
        </w:tc>
      </w:tr>
      <w:tr>
        <w:trPr>
          <w:trHeight w:val="216"/>
        </w:trPr>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expects to be entitled to upon transferring control of</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sheets and statements of operations.</w:t>
            </w:r>
          </w:p>
        </w:tc>
      </w:tr>
      <w:tr>
        <w:trPr>
          <w:trHeight w:val="216"/>
        </w:trPr>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goods or services to a customer, as opposed to when</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risks and rewards transfer to a customer under</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252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existing revenue recognition guidance.</w:t>
            </w:r>
          </w:p>
        </w:tc>
        <w:tc>
          <w:tcPr>
            <w:tcW w:w="126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252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22"/>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 xml:space="preserve">ASU No. 2016-15, </w:t>
            </w:r>
            <w:r>
              <w:rPr>
                <w:rFonts w:ascii="Arial" w:cs="Arial" w:eastAsia="Arial" w:hAnsi="Arial"/>
                <w:sz w:val="18"/>
                <w:szCs w:val="18"/>
                <w:i w:val="1"/>
                <w:iCs w:val="1"/>
                <w:color w:val="auto"/>
                <w:w w:val="97"/>
              </w:rPr>
              <w:t>Statement of</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This ASU identifies how certain cash receipts and</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June 1, 2018</w:t>
            </w:r>
          </w:p>
        </w:tc>
        <w:tc>
          <w:tcPr>
            <w:tcW w:w="3720" w:type="dxa"/>
            <w:vAlign w:val="bottom"/>
          </w:tcPr>
          <w:p>
            <w:pPr>
              <w:ind w:left="20"/>
              <w:spacing w:after="0"/>
              <w:rPr>
                <w:sz w:val="20"/>
                <w:szCs w:val="20"/>
                <w:color w:val="auto"/>
              </w:rPr>
            </w:pPr>
            <w:r>
              <w:rPr>
                <w:rFonts w:ascii="Arial" w:cs="Arial" w:eastAsia="Arial" w:hAnsi="Arial"/>
                <w:sz w:val="18"/>
                <w:szCs w:val="18"/>
                <w:color w:val="auto"/>
              </w:rPr>
              <w:t>This adoption did not have an impact on the</w:t>
            </w:r>
          </w:p>
        </w:tc>
      </w:tr>
      <w:tr>
        <w:trPr>
          <w:trHeight w:val="216"/>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Cash Flows (Topic 230):</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cash payments are presented and classified in the</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Company's financial statements.</w:t>
            </w:r>
          </w:p>
        </w:tc>
      </w:tr>
      <w:tr>
        <w:trPr>
          <w:trHeight w:val="216"/>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Classification of Certain Cash</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Statement of Cash Flows under Topic 230.</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Receipts and Cash Payments</w:t>
            </w: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(ASU 2016-15)</w:t>
            </w:r>
          </w:p>
        </w:tc>
        <w:tc>
          <w:tcPr>
            <w:tcW w:w="38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252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453"/>
        </w:trPr>
        <w:tc>
          <w:tcPr>
            <w:tcW w:w="2520" w:type="dxa"/>
            <w:vAlign w:val="bottom"/>
          </w:tcPr>
          <w:p>
            <w:pPr>
              <w:spacing w:after="0"/>
              <w:rPr>
                <w:sz w:val="24"/>
                <w:szCs w:val="24"/>
                <w:color w:val="auto"/>
              </w:rPr>
            </w:pPr>
          </w:p>
        </w:tc>
        <w:tc>
          <w:tcPr>
            <w:tcW w:w="3860" w:type="dxa"/>
            <w:vAlign w:val="bottom"/>
          </w:tcPr>
          <w:p>
            <w:pPr>
              <w:ind w:left="3060"/>
              <w:spacing w:after="0"/>
              <w:rPr>
                <w:sz w:val="20"/>
                <w:szCs w:val="20"/>
                <w:color w:val="auto"/>
              </w:rPr>
            </w:pPr>
            <w:r>
              <w:rPr>
                <w:rFonts w:ascii="Arial" w:cs="Arial" w:eastAsia="Arial" w:hAnsi="Arial"/>
                <w:sz w:val="18"/>
                <w:szCs w:val="18"/>
                <w:color w:val="auto"/>
              </w:rPr>
              <w:t>74</w:t>
            </w:r>
          </w:p>
        </w:tc>
        <w:tc>
          <w:tcPr>
            <w:tcW w:w="126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76" w:name="page77"/>
    <w:bookmarkEnd w:id="76"/>
    <w:p>
      <w:pPr>
        <w:ind w:left="20"/>
        <w:spacing w:after="0"/>
        <w:rPr>
          <w:sz w:val="20"/>
          <w:szCs w:val="20"/>
          <w:color w:val="auto"/>
        </w:rPr>
      </w:pPr>
      <w:r>
        <w:rPr>
          <w:rFonts w:ascii="Arial" w:cs="Arial" w:eastAsia="Arial" w:hAnsi="Arial"/>
          <w:sz w:val="18"/>
          <w:szCs w:val="18"/>
          <w:b w:val="1"/>
          <w:bCs w:val="1"/>
          <w:color w:val="auto"/>
        </w:rPr>
        <w:t>Recently Issued Accounting Pronouncements - Not Yet Applicable or Adopted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Effective Date</w:t>
            </w:r>
          </w:p>
        </w:tc>
        <w:tc>
          <w:tcPr>
            <w:tcW w:w="38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2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This ASU increases transparency and comparability</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2019</w:t>
            </w:r>
          </w:p>
        </w:tc>
        <w:tc>
          <w:tcPr>
            <w:tcW w:w="3840" w:type="dxa"/>
            <w:vAlign w:val="bottom"/>
          </w:tcPr>
          <w:p>
            <w:pPr>
              <w:ind w:left="20"/>
              <w:spacing w:after="0"/>
              <w:rPr>
                <w:sz w:val="20"/>
                <w:szCs w:val="20"/>
                <w:color w:val="auto"/>
              </w:rPr>
            </w:pPr>
            <w:r>
              <w:rPr>
                <w:rFonts w:ascii="Arial" w:cs="Arial" w:eastAsia="Arial" w:hAnsi="Arial"/>
                <w:sz w:val="18"/>
                <w:szCs w:val="18"/>
                <w:color w:val="auto"/>
                <w:w w:val="95"/>
              </w:rPr>
              <w:t>On June 1, 2019, the Company adopted ASC 842</w:t>
            </w:r>
          </w:p>
        </w:tc>
      </w:tr>
      <w:tr>
        <w:trPr>
          <w:trHeight w:val="216"/>
        </w:trPr>
        <w:tc>
          <w:tcPr>
            <w:tcW w:w="240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842)</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among organizations by recognizing lease assets</w:t>
            </w: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4"/>
              </w:rPr>
              <w:t>and elected the optional transition method to apply</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and liabilities on the balance sheet and disclosing</w:t>
            </w: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4"/>
              </w:rPr>
              <w:t>the standard as of the effective date and therefore,</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key information about leasing arrangements. For</w:t>
            </w: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the Company will not apply the standard to the</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leases with a term of twelve months or less, a lessee</w:t>
            </w: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4"/>
              </w:rPr>
              <w:t>comparative periods presented in the consolidated</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is permitted to make an accounting policy election</w:t>
            </w: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financial statements.</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by class of underlying asset not to recognize lease</w:t>
            </w:r>
          </w:p>
        </w:tc>
        <w:tc>
          <w:tcPr>
            <w:tcW w:w="1260" w:type="dxa"/>
            <w:vAlign w:val="bottom"/>
            <w:tcBorders>
              <w:right w:val="single" w:sz="8" w:color="auto"/>
            </w:tcBorders>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assets and liabilities.</w:t>
            </w: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2"/>
              </w:rPr>
              <w:t>The Company has elected the transition package of</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three practical expedients permitted within the</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standard, which eliminates the requirements to</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0"/>
              </w:rPr>
              <w:t>reassess prior conclusions about lease identification,</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3"/>
              </w:rPr>
              <w:t>lease classification, and initial direct costs. Further,</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the Company has elected a short-term lease</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exception policy, permitting the Company to not</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4"/>
              </w:rPr>
              <w:t>apply the recognition requirements of this standard</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7"/>
              </w:rPr>
              <w:t>to short-term leases (i.e., leases with terms of 12</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1"/>
              </w:rPr>
              <w:t>months or less) and an accounting policy to account</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9"/>
              </w:rPr>
              <w:t>for lease and non-lease components as a single</w:t>
            </w:r>
          </w:p>
        </w:tc>
      </w:tr>
      <w:tr>
        <w:trPr>
          <w:trHeight w:val="230"/>
        </w:trPr>
        <w:tc>
          <w:tcPr>
            <w:tcW w:w="240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component for certain classes of assets.</w:t>
            </w:r>
          </w:p>
        </w:tc>
      </w:tr>
      <w:tr>
        <w:trPr>
          <w:trHeight w:val="418"/>
        </w:trPr>
        <w:tc>
          <w:tcPr>
            <w:tcW w:w="24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9"/>
              </w:rPr>
              <w:t>While the Company is finalizing its evaluation of</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the impact of the adoption of ASC 842 on its</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consolidated financial statements and related</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4"/>
              </w:rPr>
              <w:t>disclosures, the Company expects to recognize on</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6"/>
              </w:rPr>
              <w:t>its balance sheet right-of-use assets ranging from</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$4.5 to $5.5 million, in aggregate, and lease</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liabilities ranging from $5.0 to $6.0 million, in</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aggregate, which are primarily related to the</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9"/>
              </w:rPr>
              <w:t>Company’s facilities operating leases (Note 17).</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3"/>
              </w:rPr>
              <w:t>The difference between the right-of-use assets and</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lease liabilities is primarily attributed to the</w:t>
            </w:r>
          </w:p>
        </w:tc>
      </w:tr>
      <w:tr>
        <w:trPr>
          <w:trHeight w:val="230"/>
        </w:trPr>
        <w:tc>
          <w:tcPr>
            <w:tcW w:w="240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elimination of deferred rent.</w:t>
            </w:r>
          </w:p>
        </w:tc>
      </w:tr>
      <w:tr>
        <w:trPr>
          <w:trHeight w:val="418"/>
        </w:trPr>
        <w:tc>
          <w:tcPr>
            <w:tcW w:w="24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1"/>
              </w:rPr>
              <w:t>The adoption of ASC 842 is also expected to impact</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9"/>
              </w:rPr>
              <w:t>the Company’s consolidated financial statement</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5"/>
              </w:rPr>
              <w:t>disclosures. The Company does not anticipate the</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4"/>
              </w:rPr>
              <w:t>adoption of ASC 842 will have a material impact to</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the Consolidated Statements of Operations and</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1"/>
              </w:rPr>
              <w:t>Statements of Cashflows or to require a cumulative-</w:t>
            </w:r>
          </w:p>
        </w:tc>
      </w:tr>
      <w:tr>
        <w:trPr>
          <w:trHeight w:val="216"/>
        </w:trPr>
        <w:tc>
          <w:tcPr>
            <w:tcW w:w="24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1"/>
              </w:rPr>
              <w:t>effect adjustment to the opening balance of retained</w:t>
            </w:r>
          </w:p>
        </w:tc>
      </w:tr>
      <w:tr>
        <w:trPr>
          <w:trHeight w:val="230"/>
        </w:trPr>
        <w:tc>
          <w:tcPr>
            <w:tcW w:w="240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earnings.</w:t>
            </w:r>
          </w:p>
        </w:tc>
      </w:tr>
      <w:tr>
        <w:trPr>
          <w:trHeight w:val="243"/>
        </w:trPr>
        <w:tc>
          <w:tcPr>
            <w:tcW w:w="240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80" w:top="742" w:right="259" w:bottom="1440" w:gutter="0" w:footer="0" w:header="0"/>
        </w:sectPr>
      </w:pPr>
    </w:p>
    <w:bookmarkStart w:id="77" w:name="page78"/>
    <w:bookmarkEnd w:id="77"/>
    <w:p>
      <w:pPr>
        <w:ind w:right="9580" w:firstLine="8"/>
        <w:spacing w:after="0" w:line="566" w:lineRule="auto"/>
        <w:tabs>
          <w:tab w:leader="none" w:pos="18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RadiaDyne Acquisition</w:t>
      </w:r>
    </w:p>
    <w:p>
      <w:pPr>
        <w:spacing w:after="0" w:line="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contingent consideration of $22.3 million is comprised of $16.5 million for the revenue milestones and $5.8 million for the technical milestones. The $4.6 million indemnification holdback is recorded in accrued liabilities at May 31, 2019 and the $0.2 million purchase price holdback was initially recorded in accrued liabilities, but was paid during the third quarter of fiscal year 2019.</w:t>
      </w:r>
    </w:p>
    <w:p>
      <w:pPr>
        <w:spacing w:after="0" w:line="9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4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accounted for the RadiaDyne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84"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Company has not disclosed the amount of revenue and earnings for sales of RadiaDyne products since acquisition, nor proforma information, because these amounts are not significant to the Company's financial statements. Acquisition-related costs associated with the RadiaDyne acquisition, which are included in acquisition, restructuring and other expenses, net in the accompanying consolidated statements of income, were approximately $1.6 million. The following table summarizes the preliminary and revised aggregate purchase price allocated to the net assets acquired: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Preliminary allocation</w:t>
            </w:r>
          </w:p>
        </w:tc>
        <w:tc>
          <w:tcPr>
            <w:tcW w:w="26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12"/>
                <w:szCs w:val="12"/>
                <w:color w:val="auto"/>
              </w:rPr>
              <w:t>(1)</w:t>
            </w:r>
          </w:p>
        </w:tc>
        <w:tc>
          <w:tcPr>
            <w:tcW w:w="240" w:type="dxa"/>
            <w:vAlign w:val="bottom"/>
          </w:tcPr>
          <w:p>
            <w:pPr>
              <w:spacing w:after="0"/>
              <w:rPr>
                <w:sz w:val="16"/>
                <w:szCs w:val="16"/>
                <w:color w:val="auto"/>
              </w:rPr>
            </w:pPr>
          </w:p>
        </w:tc>
        <w:tc>
          <w:tcPr>
            <w:tcW w:w="1500" w:type="dxa"/>
            <w:vAlign w:val="bottom"/>
          </w:tcPr>
          <w:p>
            <w:pPr>
              <w:jc w:val="right"/>
              <w:ind w:right="251"/>
              <w:spacing w:after="0"/>
              <w:rPr>
                <w:sz w:val="20"/>
                <w:szCs w:val="20"/>
                <w:color w:val="auto"/>
              </w:rPr>
            </w:pPr>
            <w:r>
              <w:rPr>
                <w:rFonts w:ascii="Arial" w:cs="Arial" w:eastAsia="Arial" w:hAnsi="Arial"/>
                <w:sz w:val="14"/>
                <w:szCs w:val="14"/>
                <w:color w:val="auto"/>
              </w:rPr>
              <w:t>Revised allocation</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56"/>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732</w:t>
            </w:r>
          </w:p>
        </w:tc>
      </w:tr>
      <w:tr>
        <w:trPr>
          <w:trHeight w:val="27"/>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RadiaDyne trademark</w:t>
            </w:r>
          </w:p>
        </w:tc>
        <w:tc>
          <w:tcPr>
            <w:tcW w:w="1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OARtrac trademark</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RadiaDyne legacy product technology</w:t>
            </w:r>
          </w:p>
        </w:tc>
        <w:tc>
          <w:tcPr>
            <w:tcW w:w="1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OARtrac product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18,900</w:t>
            </w: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RadiaDyne customer relationships</w:t>
            </w:r>
          </w:p>
        </w:tc>
        <w:tc>
          <w:tcPr>
            <w:tcW w:w="1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4,600</w:t>
            </w:r>
          </w:p>
        </w:tc>
      </w:tr>
      <w:tr>
        <w:trPr>
          <w:trHeight w:val="27"/>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47,982</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75,445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75,445</w:t>
            </w:r>
          </w:p>
        </w:tc>
      </w:tr>
      <w:tr>
        <w:trPr>
          <w:trHeight w:val="27"/>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352</w:t>
            </w:r>
          </w:p>
        </w:tc>
      </w:tr>
      <w:tr>
        <w:trPr>
          <w:trHeight w:val="27"/>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w:t>
            </w:r>
          </w:p>
        </w:tc>
      </w:tr>
      <w:tr>
        <w:trPr>
          <w:trHeight w:val="27"/>
        </w:trPr>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74,987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74,987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right="20" w:firstLine="8"/>
        <w:spacing w:after="0" w:line="256" w:lineRule="auto"/>
        <w:tabs>
          <w:tab w:leader="none" w:pos="23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Measurement period adjustments are recognized on a prospective basis in the period of change, instead of restating prior periods. There was no impact to reported earnings in connection with these measurement period adjustments for the periods presented. Amounts represent adjustments to the preliminary purchase price allocation first presented in the Company's Quarterly Report on Form 10-Q for the quarter ended November 30, 2018 resulting from revising the Company's purchase price allocation for this acquisition.</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finalized the allocation of the purchase price to the assets acquired and liabilities assumed in the fourth quarter of FY19.</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580" w:right="279" w:bottom="1440" w:gutter="0" w:footer="0" w:header="0"/>
        </w:sectPr>
      </w:pPr>
    </w:p>
    <w:bookmarkStart w:id="78" w:name="page79"/>
    <w:bookmarkEnd w:id="78"/>
    <w:p>
      <w:pPr>
        <w:ind w:right="120" w:firstLine="405"/>
        <w:spacing w:after="0" w:line="255" w:lineRule="auto"/>
        <w:rPr>
          <w:sz w:val="20"/>
          <w:szCs w:val="20"/>
          <w:color w:val="auto"/>
        </w:rPr>
      </w:pPr>
      <w:r>
        <w:rPr>
          <w:rFonts w:ascii="Arial" w:cs="Arial" w:eastAsia="Arial" w:hAnsi="Arial"/>
          <w:sz w:val="18"/>
          <w:szCs w:val="18"/>
          <w:color w:val="auto"/>
        </w:rPr>
        <w:t>The values assigned to the RadiaDyne and OARtrac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trademarks are deemed to have a useful life of five to seven years and the product technologies are deemed to have a useful life of seven to ten years. Both are amortized on a straight-line basis over their useful life.</w:t>
      </w:r>
    </w:p>
    <w:p>
      <w:pPr>
        <w:spacing w:after="0" w:line="112"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fifteen years.</w:t>
      </w:r>
    </w:p>
    <w:p>
      <w:pPr>
        <w:spacing w:after="0" w:line="10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BioSentry Acquisition</w:t>
      </w:r>
    </w:p>
    <w:p>
      <w:pPr>
        <w:spacing w:after="0" w:line="14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On August 14, 2018, the Company acquired the BioSentry product from Surgical Specialties, LLC (“SSC”), for an aggregate purchase price of $39.8 million of which $37.0 million was paid on August 14, 2018 and $2.8 million was recorded as contingent consideration. The contingent consideration liability was recorded at fair value and was paid in the fourth quarter of fiscal year 2019 upon fulfillment of hydrogel orders by SSC.</w:t>
      </w:r>
    </w:p>
    <w:p>
      <w:pPr>
        <w:spacing w:after="0" w:line="8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accounted for the BioSentry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84"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Company has not disclosed the amount of revenue and earnings for sales of BioSentry products since acquisition, nor proforma information, because these amounts are not significant to the Company's financial statements. Acquisition-related costs associated with the BioSentry acquisition, which are included in acquisition, restructuring and other expenses, net in the accompanying consolidated statements of income, were approximately $1.0 million. The following table summarizes the preliminary and revised aggregate purchase price allocated to the net assets acquired: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color w:val="auto"/>
              </w:rPr>
              <w:t>Preliminary allocation</w:t>
            </w:r>
          </w:p>
        </w:tc>
        <w:tc>
          <w:tcPr>
            <w:tcW w:w="30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12"/>
                <w:szCs w:val="12"/>
                <w:color w:val="auto"/>
              </w:rPr>
              <w:t>(1)</w:t>
            </w:r>
          </w:p>
        </w:tc>
        <w:tc>
          <w:tcPr>
            <w:tcW w:w="240" w:type="dxa"/>
            <w:vAlign w:val="bottom"/>
          </w:tcPr>
          <w:p>
            <w:pPr>
              <w:spacing w:after="0"/>
              <w:rPr>
                <w:sz w:val="16"/>
                <w:szCs w:val="16"/>
                <w:color w:val="auto"/>
              </w:rPr>
            </w:pPr>
          </w:p>
        </w:tc>
        <w:tc>
          <w:tcPr>
            <w:tcW w:w="1580" w:type="dxa"/>
            <w:vAlign w:val="bottom"/>
          </w:tcPr>
          <w:p>
            <w:pPr>
              <w:jc w:val="right"/>
              <w:ind w:right="292"/>
              <w:spacing w:after="0"/>
              <w:rPr>
                <w:sz w:val="20"/>
                <w:szCs w:val="20"/>
                <w:color w:val="auto"/>
              </w:rPr>
            </w:pPr>
            <w:r>
              <w:rPr>
                <w:rFonts w:ascii="Arial" w:cs="Arial" w:eastAsia="Arial" w:hAnsi="Arial"/>
                <w:sz w:val="14"/>
                <w:szCs w:val="14"/>
                <w:color w:val="auto"/>
              </w:rPr>
              <w:t>Revised allocation</w:t>
            </w:r>
          </w:p>
        </w:tc>
      </w:tr>
      <w:tr>
        <w:trPr>
          <w:trHeight w:val="264"/>
        </w:trPr>
        <w:tc>
          <w:tcPr>
            <w:tcW w:w="57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20"/>
              <w:spacing w:after="0"/>
              <w:rPr>
                <w:sz w:val="20"/>
                <w:szCs w:val="20"/>
                <w:color w:val="auto"/>
              </w:rPr>
            </w:pPr>
            <w:r>
              <w:rPr>
                <w:rFonts w:ascii="Arial" w:cs="Arial" w:eastAsia="Arial" w:hAnsi="Arial"/>
                <w:sz w:val="18"/>
                <w:szCs w:val="18"/>
                <w:color w:val="auto"/>
              </w:rPr>
              <w:t>BioSentry trademark</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2,500</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BioSentry product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20,900</w:t>
            </w:r>
          </w:p>
        </w:tc>
      </w:tr>
      <w:tr>
        <w:trPr>
          <w:trHeight w:val="243"/>
        </w:trPr>
        <w:tc>
          <w:tcPr>
            <w:tcW w:w="574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2,600</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13,740</w:t>
            </w:r>
          </w:p>
        </w:tc>
      </w:tr>
      <w:tr>
        <w:trPr>
          <w:trHeight w:val="250"/>
        </w:trPr>
        <w:tc>
          <w:tcPr>
            <w:tcW w:w="57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8890</wp:posOffset>
            </wp:positionV>
            <wp:extent cx="36106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0610" cy="26035"/>
                    </a:xfrm>
                    <a:prstGeom prst="rect">
                      <a:avLst/>
                    </a:prstGeom>
                    <a:noFill/>
                  </pic:spPr>
                </pic:pic>
              </a:graphicData>
            </a:graphic>
          </wp:anchor>
        </w:drawing>
      </w:r>
    </w:p>
    <w:p>
      <w:pPr>
        <w:spacing w:after="0" w:line="24" w:lineRule="exact"/>
        <w:rPr>
          <w:sz w:val="20"/>
          <w:szCs w:val="20"/>
          <w:color w:val="auto"/>
        </w:rPr>
      </w:pPr>
    </w:p>
    <w:p>
      <w:pPr>
        <w:jc w:val="both"/>
        <w:ind w:right="60" w:firstLine="8"/>
        <w:spacing w:after="0" w:line="315" w:lineRule="auto"/>
        <w:tabs>
          <w:tab w:leader="none" w:pos="23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Measurement period adjustments are recognized on a prospective basis in the period of change, instead of restating prior periods. There was no impact to reported earnings in connection with these measurement period adjustments for the periods presented. Amounts represent adjustments to the preliminary purchase price allocation first presented in the Company's Quarterly Report on Form 10-Q for the quarter ended August 31, 2018 resulting from revising the Company's purchase price allocation for this acquisition.</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finalized the allocation of the purchase price to the assets acquired and liabilities assumed in the fourth quarter of FY19.</w:t>
      </w:r>
    </w:p>
    <w:p>
      <w:pPr>
        <w:spacing w:after="0" w:line="144"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The values assigned to the BioSentry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 and product technologies are deemed to have a fifteen year useful life and are amortized on a straight-line basis over their useful life.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79" w:name="page80"/>
    <w:bookmarkEnd w:id="79"/>
    <w:p>
      <w:pPr>
        <w:jc w:val="both"/>
        <w:ind w:right="320" w:firstLine="405"/>
        <w:spacing w:after="0" w:line="264"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ten years.</w:t>
      </w:r>
    </w:p>
    <w:p>
      <w:pPr>
        <w:spacing w:after="0" w:line="10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 Management</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 $169.2 million in cash and resulted in a gain of $46.6 million after working capital adjustments of $0.6 million. The gain is recorded in discontinued operations. On June 3, 2019, a portion of the net proceeds were used to retire the outstanding balance on the Term Loan and Revolving Facility and the remaining net proceeds will continue to be invested in the business.</w:t>
      </w:r>
    </w:p>
    <w:p>
      <w:pPr>
        <w:spacing w:after="0" w:line="8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Pursuant to a transition services agreement entered into and effective on the closing of the transaction, the Company will supply certain services to Medline. Medline will receive certain legal, human resource, tax, accounting and information technology services from the Company for a period generally not to exceed 24 months.</w:t>
      </w:r>
    </w:p>
    <w:p>
      <w:pPr>
        <w:spacing w:after="0" w:line="73"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As a result of the Divestiture, the results of operations from the Fluid Management business are reported in the accompanying consolidated statements of operations as “Income from discontinued operations, net of income tax” for the years ended May 31, 2019, 2018 and 2017.</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financial results of our discontinued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 (exclusive of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49,611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47,636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32,219</w:t>
            </w:r>
          </w:p>
        </w:tc>
      </w:tr>
      <w:tr>
        <w:trPr>
          <w:trHeight w:val="297"/>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3,954</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intangibles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8,077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24,142</w:t>
            </w:r>
          </w:p>
        </w:tc>
      </w:tr>
      <w:tr>
        <w:trPr>
          <w:trHeight w:val="270"/>
        </w:trPr>
        <w:tc>
          <w:tcPr>
            <w:tcW w:w="6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divestiture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1"/>
        </w:trPr>
        <w:tc>
          <w:tcPr>
            <w:tcW w:w="6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(12,082)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In accordance with accounting principles generally accepted in the United States (“GAAP”), only expenses specifically identifiable and related to a business to be disposed may be allocated to discontinued operations. As such, the selling and marketing, research and development and general and administrative expenses recorded in discontinued operations include corporate costs incurred directly in support of the Fluid Management portfolio.</w:t>
      </w:r>
    </w:p>
    <w:p>
      <w:pPr>
        <w:spacing w:after="0" w:line="3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applied the “Intraperiod Tax Allocation” rules under ASC 740, which requires the allocation of an entity’s total annual income tax provision among continuing operations and, in the Company’s case, discontinued operations. Included in the $1.6 million income tax expense for fiscal year 2019 is $0.6 million tax expense related to the gain on the Divestiture. The taxes on the gain were calculated using various state statutory tax rates and are partially offset by the utilization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8" w:right="239" w:bottom="1440" w:gutter="0" w:footer="0" w:header="0"/>
        </w:sectPr>
      </w:pPr>
    </w:p>
    <w:bookmarkStart w:id="80" w:name="page81"/>
    <w:bookmarkEnd w:id="80"/>
    <w:p>
      <w:pPr>
        <w:ind w:right="1000"/>
        <w:spacing w:after="0" w:line="277" w:lineRule="auto"/>
        <w:rPr>
          <w:sz w:val="20"/>
          <w:szCs w:val="20"/>
          <w:color w:val="auto"/>
        </w:rPr>
      </w:pPr>
      <w:r>
        <w:rPr>
          <w:rFonts w:ascii="Arial" w:cs="Arial" w:eastAsia="Arial" w:hAnsi="Arial"/>
          <w:sz w:val="18"/>
          <w:szCs w:val="18"/>
          <w:color w:val="auto"/>
        </w:rPr>
        <w:t>historical state net operating losses. There are no current federal taxes on the gain due to utilization of historical net operating losses which had a corresponding valuation allowance.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provides a reconciliation of the gain recorded on the sale of the Fluid Management business: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received from Divestiture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169,242</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Working capital adjustment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9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Fluid Management assets:</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43"/>
        </w:trPr>
        <w:tc>
          <w:tcPr>
            <w:tcW w:w="994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16,624</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15,047</w:t>
            </w:r>
          </w:p>
        </w:tc>
        <w:tc>
          <w:tcPr>
            <w:tcW w:w="0" w:type="dxa"/>
            <w:vAlign w:val="bottom"/>
          </w:tcPr>
          <w:p>
            <w:pPr>
              <w:spacing w:after="0"/>
              <w:rPr>
                <w:sz w:val="1"/>
                <w:szCs w:val="1"/>
                <w:color w:val="auto"/>
              </w:rPr>
            </w:pPr>
          </w:p>
        </w:tc>
      </w:tr>
      <w:tr>
        <w:trPr>
          <w:trHeight w:val="243"/>
        </w:trPr>
        <w:tc>
          <w:tcPr>
            <w:tcW w:w="9940" w:type="dxa"/>
            <w:vAlign w:val="bottom"/>
          </w:tcPr>
          <w:p>
            <w:pPr>
              <w:ind w:left="50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75,308</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Fluid Management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118,008</w:t>
            </w:r>
          </w:p>
        </w:tc>
        <w:tc>
          <w:tcPr>
            <w:tcW w:w="0" w:type="dxa"/>
            <w:vAlign w:val="bottom"/>
          </w:tcPr>
          <w:p>
            <w:pPr>
              <w:spacing w:after="0"/>
              <w:rPr>
                <w:sz w:val="1"/>
                <w:szCs w:val="1"/>
                <w:color w:val="auto"/>
              </w:rPr>
            </w:pPr>
          </w:p>
        </w:tc>
      </w:tr>
      <w:tr>
        <w:trPr>
          <w:trHeight w:val="297"/>
        </w:trPr>
        <w:tc>
          <w:tcPr>
            <w:tcW w:w="9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Transaction costs for Divestiture </w:t>
            </w:r>
            <w:r>
              <w:rPr>
                <w:rFonts w:ascii="Arial" w:cs="Arial" w:eastAsia="Arial" w:hAnsi="Arial"/>
                <w:sz w:val="16"/>
                <w:szCs w:val="16"/>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97"/>
        </w:trPr>
        <w:tc>
          <w:tcPr>
            <w:tcW w:w="99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the Fluid Management business before income taxes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46,592</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(1) Costs include advisory fees, legal fees and professional fees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9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As a result of the Divestiture, the related assets and liabilities transferred to Medline were reclassified as held for sale in the Consolidated Balance Sheet as of May 31, 2018 based on the nature of the asset or liability.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May 31, 2018</w:t>
            </w: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9,642</w:t>
            </w:r>
          </w:p>
        </w:tc>
      </w:tr>
      <w:tr>
        <w:trPr>
          <w:trHeight w:val="237"/>
        </w:trPr>
        <w:tc>
          <w:tcPr>
            <w:tcW w:w="9940" w:type="dxa"/>
            <w:vAlign w:val="bottom"/>
          </w:tcPr>
          <w:p>
            <w:pPr>
              <w:ind w:left="500"/>
              <w:spacing w:after="0"/>
              <w:rPr>
                <w:sz w:val="20"/>
                <w:szCs w:val="20"/>
                <w:color w:val="auto"/>
              </w:rPr>
            </w:pPr>
            <w:r>
              <w:rPr>
                <w:rFonts w:ascii="Arial" w:cs="Arial" w:eastAsia="Arial" w:hAnsi="Arial"/>
                <w:sz w:val="18"/>
                <w:szCs w:val="18"/>
                <w:color w:val="auto"/>
              </w:rPr>
              <w:t>Total current assets held for sale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9,642</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9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16,746</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75,308</w:t>
            </w:r>
          </w:p>
        </w:tc>
      </w:tr>
      <w:tr>
        <w:trPr>
          <w:trHeight w:val="27"/>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assets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109,817</w:t>
            </w:r>
          </w:p>
        </w:tc>
      </w:tr>
      <w:tr>
        <w:trPr>
          <w:trHeight w:val="297"/>
        </w:trPr>
        <w:tc>
          <w:tcPr>
            <w:tcW w:w="99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9"/>
        </w:trPr>
        <w:tc>
          <w:tcPr>
            <w:tcW w:w="9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 held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119,459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Proceeds from the sale of Fluid Management have been presented in the Consolidated Statements of Cash Flows under investing activities for the fiscal year ended May 31, 2019. Total operating and investing cash flows of discontinued operations for the fiscal year ended May 31, 2019, 2018 and 2017 are comprised of the following, which exclude the effect of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400" w:type="dxa"/>
            <w:vAlign w:val="bottom"/>
            <w:gridSpan w:val="2"/>
          </w:tcPr>
          <w:p>
            <w:pPr>
              <w:jc w:val="right"/>
              <w:ind w:right="60"/>
              <w:spacing w:after="0"/>
              <w:rPr>
                <w:sz w:val="20"/>
                <w:szCs w:val="20"/>
                <w:color w:val="auto"/>
              </w:rPr>
            </w:pPr>
            <w:r>
              <w:rPr>
                <w:rFonts w:ascii="Arial" w:cs="Arial" w:eastAsia="Arial" w:hAnsi="Arial"/>
                <w:sz w:val="14"/>
                <w:szCs w:val="14"/>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2018</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color w:val="auto"/>
              </w:rPr>
              <w:t>2017</w:t>
            </w:r>
          </w:p>
        </w:tc>
      </w:tr>
      <w:tr>
        <w:trPr>
          <w:trHeight w:val="264"/>
        </w:trPr>
        <w:tc>
          <w:tcPr>
            <w:tcW w:w="43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4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2,245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5,581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3,968</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1,361</w:t>
            </w:r>
          </w:p>
        </w:tc>
      </w:tr>
      <w:tr>
        <w:trPr>
          <w:trHeight w:val="486"/>
        </w:trPr>
        <w:tc>
          <w:tcPr>
            <w:tcW w:w="4300" w:type="dxa"/>
            <w:vAlign w:val="bottom"/>
          </w:tcPr>
          <w:p>
            <w:pPr>
              <w:spacing w:after="0"/>
              <w:rPr>
                <w:sz w:val="24"/>
                <w:szCs w:val="24"/>
                <w:color w:val="auto"/>
              </w:rPr>
            </w:pPr>
          </w:p>
        </w:tc>
        <w:tc>
          <w:tcPr>
            <w:tcW w:w="2440" w:type="dxa"/>
            <w:vAlign w:val="bottom"/>
          </w:tcPr>
          <w:p>
            <w:pPr>
              <w:jc w:val="right"/>
              <w:ind w:right="856"/>
              <w:spacing w:after="0"/>
              <w:rPr>
                <w:sz w:val="20"/>
                <w:szCs w:val="20"/>
                <w:color w:val="auto"/>
              </w:rPr>
            </w:pPr>
            <w:r>
              <w:rPr>
                <w:rFonts w:ascii="Arial" w:cs="Arial" w:eastAsia="Arial" w:hAnsi="Arial"/>
                <w:sz w:val="18"/>
                <w:szCs w:val="18"/>
                <w:color w:val="auto"/>
              </w:rPr>
              <w:t>79</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Topic 606 "</w:t>
      </w: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b w:val="1"/>
          <w:bCs w:val="1"/>
          <w:color w:val="auto"/>
        </w:rPr>
        <w:t>"</w:t>
      </w:r>
    </w:p>
    <w:p>
      <w:pPr>
        <w:spacing w:after="0" w:line="17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The Company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on June 1, 2018 using the modified retrospective method for all contracts not completed as of the date of adoption. The reported results for fiscal year 2019 reflect the application of ASC 606 guidance while the reported results for fiscal year 2018 were prepared under the guidance of ASC 605, Revenue Recognition (“ASC 605”). For discussion of the Company’s accounting policy for revenue recognition under ASC 605, refer to Item 8 of the Annual Report on Form 10-K for the year ended May 31, 2018. The adoption of ASC 606 did not have an impact on the Company’s consolidated balance sheet, results of operations, equity or cash flows as of the adoption date or for the periods presented, other than the enhanced disclosures included in this footnote.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net product revenue by Global Business Unit ("GBU") and geography for the year ended May 31,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color w:val="auto"/>
                <w:w w:val="91"/>
              </w:rPr>
              <w:t>Year ended May 31, 2019</w:t>
            </w:r>
          </w:p>
        </w:tc>
        <w:tc>
          <w:tcPr>
            <w:tcW w:w="88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4"/>
                <w:szCs w:val="14"/>
                <w:color w:val="auto"/>
                <w:w w:val="92"/>
              </w:rPr>
              <w:t>United States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International</w:t>
            </w:r>
          </w:p>
        </w:tc>
        <w:tc>
          <w:tcPr>
            <w:tcW w:w="260" w:type="dxa"/>
            <w:vAlign w:val="bottom"/>
          </w:tcPr>
          <w:p>
            <w:pPr>
              <w:spacing w:after="0"/>
              <w:rPr>
                <w:sz w:val="22"/>
                <w:szCs w:val="22"/>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color w:val="auto"/>
              </w:rPr>
              <w:t>Total</w:t>
            </w:r>
          </w:p>
        </w:tc>
      </w:tr>
      <w:tr>
        <w:trPr>
          <w:trHeight w:val="250"/>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106,767</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13,134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119,901</w:t>
            </w:r>
          </w:p>
        </w:tc>
      </w:tr>
      <w:tr>
        <w:trPr>
          <w:trHeight w:val="27"/>
        </w:trPr>
        <w:tc>
          <w:tcPr>
            <w:tcW w:w="7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94,730</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30,579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25,424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56,003</w:t>
            </w:r>
          </w:p>
        </w:tc>
      </w:tr>
      <w:tr>
        <w:trPr>
          <w:trHeight w:val="27"/>
        </w:trPr>
        <w:tc>
          <w:tcPr>
            <w:tcW w:w="7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216,957</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270,634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48"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904"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transaction price utilizing the expected value method. As such, revenue is recorded net of rebates, returns and other deductions.</w:t>
      </w:r>
    </w:p>
    <w:p>
      <w:pPr>
        <w:spacing w:after="0" w:line="171"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w:t>
      </w:r>
    </w:p>
    <w:p>
      <w:pPr>
        <w:spacing w:after="0" w:line="127"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0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2019, such product returns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4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8" w:right="239" w:bottom="1440" w:gutter="0" w:footer="0" w:header="0"/>
        </w:sectPr>
      </w:pPr>
    </w:p>
    <w:bookmarkStart w:id="83" w:name="page84"/>
    <w:bookmarkEnd w:id="83"/>
    <w:p>
      <w:pPr>
        <w:ind w:left="42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2"/>
          </w:tcPr>
          <w:p>
            <w:pPr>
              <w:ind w:left="300"/>
              <w:spacing w:after="0"/>
              <w:rPr>
                <w:sz w:val="20"/>
                <w:szCs w:val="20"/>
                <w:color w:val="auto"/>
              </w:rPr>
            </w:pPr>
            <w:r>
              <w:rPr>
                <w:rFonts w:ascii="Arial" w:cs="Arial" w:eastAsia="Arial" w:hAnsi="Arial"/>
                <w:sz w:val="14"/>
                <w:szCs w:val="14"/>
                <w:color w:val="auto"/>
              </w:rPr>
              <w:t>May 31, 2019</w:t>
            </w:r>
          </w:p>
        </w:tc>
        <w:tc>
          <w:tcPr>
            <w:tcW w:w="400" w:type="dxa"/>
            <w:vAlign w:val="bottom"/>
          </w:tcPr>
          <w:p>
            <w:pPr>
              <w:spacing w:after="0"/>
              <w:rPr>
                <w:sz w:val="16"/>
                <w:szCs w:val="16"/>
                <w:color w:val="auto"/>
              </w:rPr>
            </w:pPr>
          </w:p>
        </w:tc>
        <w:tc>
          <w:tcPr>
            <w:tcW w:w="1780" w:type="dxa"/>
            <w:vAlign w:val="bottom"/>
          </w:tcPr>
          <w:p>
            <w:pPr>
              <w:jc w:val="right"/>
              <w:ind w:right="594"/>
              <w:spacing w:after="0"/>
              <w:rPr>
                <w:sz w:val="20"/>
                <w:szCs w:val="20"/>
                <w:color w:val="auto"/>
              </w:rPr>
            </w:pPr>
            <w:r>
              <w:rPr>
                <w:rFonts w:ascii="Arial" w:cs="Arial" w:eastAsia="Arial" w:hAnsi="Arial"/>
                <w:sz w:val="14"/>
                <w:szCs w:val="14"/>
                <w:color w:val="auto"/>
              </w:rPr>
              <w:t>May 31, 2018</w:t>
            </w: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39,401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Contract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1,203</w:t>
            </w:r>
          </w:p>
        </w:tc>
      </w:tr>
      <w:tr>
        <w:trPr>
          <w:trHeight w:val="27"/>
        </w:trPr>
        <w:tc>
          <w:tcPr>
            <w:tcW w:w="6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the year ended May 31, 2019, the Company recognized $1.1 million in revenue that was included in contract liabilities as of the beginning of the period. This was offset by additions to contract liabilities of $0.6 million .</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4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3"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73"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Company's financial instruments include cash and cash equivalents, marketable securities,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marketable securities, which are comprised of auction rate securities, and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68" w:right="23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gridSpan w:val="7"/>
          </w:tcPr>
          <w:p>
            <w:pPr>
              <w:ind w:left="100"/>
              <w:spacing w:after="0"/>
              <w:rPr>
                <w:sz w:val="20"/>
                <w:szCs w:val="20"/>
                <w:color w:val="auto"/>
              </w:rPr>
            </w:pPr>
            <w:r>
              <w:rPr>
                <w:rFonts w:ascii="Arial" w:cs="Arial" w:eastAsia="Arial" w:hAnsi="Arial"/>
                <w:sz w:val="14"/>
                <w:szCs w:val="14"/>
                <w:color w:val="auto"/>
                <w:w w:val="94"/>
              </w:rPr>
              <w:t>Fair Value Measurements using inputs considered as: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9"/>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color w:val="auto"/>
                <w:w w:val="93"/>
              </w:rPr>
              <w:t>Fair Value at</w:t>
            </w:r>
          </w:p>
        </w:tc>
      </w:tr>
      <w:tr>
        <w:trPr>
          <w:trHeight w:val="188"/>
        </w:trPr>
        <w:tc>
          <w:tcPr>
            <w:tcW w:w="5160" w:type="dxa"/>
            <w:vAlign w:val="bottom"/>
            <w:gridSpan w:val="4"/>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24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color w:val="auto"/>
                <w:w w:val="94"/>
              </w:rPr>
              <w:t>May 31, 2019</w:t>
            </w:r>
          </w:p>
        </w:tc>
      </w:tr>
      <w:tr>
        <w:trPr>
          <w:trHeight w:val="189"/>
        </w:trPr>
        <w:tc>
          <w:tcPr>
            <w:tcW w:w="51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Liabilities</w:t>
            </w: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Contingent liability for acquisition earn outs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13,486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13,486</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13,486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63"/>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80" w:type="dxa"/>
            <w:vAlign w:val="bottom"/>
            <w:gridSpan w:val="7"/>
          </w:tcPr>
          <w:p>
            <w:pPr>
              <w:ind w:left="100"/>
              <w:spacing w:after="0"/>
              <w:rPr>
                <w:sz w:val="20"/>
                <w:szCs w:val="20"/>
                <w:color w:val="auto"/>
              </w:rPr>
            </w:pPr>
            <w:r>
              <w:rPr>
                <w:rFonts w:ascii="Arial" w:cs="Arial" w:eastAsia="Arial" w:hAnsi="Arial"/>
                <w:sz w:val="14"/>
                <w:szCs w:val="14"/>
                <w:color w:val="auto"/>
                <w:w w:val="94"/>
              </w:rPr>
              <w:t>Fair Value Measurements using inputs considered as: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color w:val="auto"/>
                <w:w w:val="93"/>
              </w:rPr>
              <w:t>Fair Value at</w:t>
            </w:r>
          </w:p>
        </w:tc>
      </w:tr>
      <w:tr>
        <w:trPr>
          <w:trHeight w:val="188"/>
        </w:trPr>
        <w:tc>
          <w:tcPr>
            <w:tcW w:w="5160" w:type="dxa"/>
            <w:vAlign w:val="bottom"/>
            <w:gridSpan w:val="4"/>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24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color w:val="auto"/>
                <w:w w:val="94"/>
              </w:rPr>
              <w:t>May 31, 2018</w:t>
            </w:r>
          </w:p>
        </w:tc>
      </w:tr>
      <w:tr>
        <w:trPr>
          <w:trHeight w:val="189"/>
        </w:trPr>
        <w:tc>
          <w:tcPr>
            <w:tcW w:w="51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6"/>
                <w:szCs w:val="16"/>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2,100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2,100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1,317</w:t>
            </w:r>
          </w:p>
        </w:tc>
      </w:tr>
      <w:tr>
        <w:trPr>
          <w:trHeight w:val="237"/>
        </w:trPr>
        <w:tc>
          <w:tcPr>
            <w:tcW w:w="40" w:type="dxa"/>
            <w:vAlign w:val="bottom"/>
          </w:tcPr>
          <w:p>
            <w:pPr>
              <w:spacing w:after="0"/>
              <w:rPr>
                <w:sz w:val="20"/>
                <w:szCs w:val="20"/>
                <w:color w:val="auto"/>
              </w:rPr>
            </w:pPr>
          </w:p>
        </w:tc>
        <w:tc>
          <w:tcPr>
            <w:tcW w:w="5120" w:type="dxa"/>
            <w:vAlign w:val="bottom"/>
            <w:gridSpan w:val="3"/>
          </w:tcPr>
          <w:p>
            <w:pPr>
              <w:ind w:left="110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3,417</w:t>
            </w:r>
          </w:p>
        </w:tc>
      </w:tr>
      <w:tr>
        <w:trPr>
          <w:trHeight w:val="67"/>
        </w:trPr>
        <w:tc>
          <w:tcPr>
            <w:tcW w:w="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6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156"/>
        </w:trPr>
        <w:tc>
          <w:tcPr>
            <w:tcW w:w="516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color w:val="auto"/>
              </w:rPr>
              <w:t>Financial Liabilities</w:t>
            </w: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36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Contingent liability for acquisition earn out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3,261</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(1) Included in cash and cash equivalents.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in and out of Level 1, 2 and 3 measurements for the years ended May 31,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changes in fair value components of Level 3 instruments in the year ended May 31, 2019 (in thousands of dollars):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8"/>
              </w:rPr>
              <w:t>Financial Liabilities</w:t>
            </w:r>
          </w:p>
        </w:tc>
      </w:tr>
      <w:tr>
        <w:trPr>
          <w:trHeight w:val="156"/>
        </w:trPr>
        <w:tc>
          <w:tcPr>
            <w:tcW w:w="6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2"/>
              </w:rPr>
              <w:t>Fair Value Measurements</w:t>
            </w: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Using Significant</w:t>
            </w:r>
          </w:p>
        </w:tc>
        <w:tc>
          <w:tcPr>
            <w:tcW w:w="160" w:type="dxa"/>
            <w:vAlign w:val="bottom"/>
          </w:tcPr>
          <w:p>
            <w:pPr>
              <w:spacing w:after="0"/>
              <w:rPr>
                <w:sz w:val="12"/>
                <w:szCs w:val="12"/>
                <w:color w:val="auto"/>
              </w:rPr>
            </w:pPr>
          </w:p>
        </w:tc>
        <w:tc>
          <w:tcPr>
            <w:tcW w:w="200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2"/>
              </w:rPr>
              <w:t>Fair Value Measurements</w:t>
            </w:r>
          </w:p>
        </w:tc>
      </w:t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Unobservable Inputs</w:t>
            </w:r>
          </w:p>
        </w:tc>
        <w:tc>
          <w:tcPr>
            <w:tcW w:w="160" w:type="dxa"/>
            <w:vAlign w:val="bottom"/>
          </w:tcPr>
          <w:p>
            <w:pPr>
              <w:spacing w:after="0"/>
              <w:rPr>
                <w:sz w:val="12"/>
                <w:szCs w:val="12"/>
                <w:color w:val="auto"/>
              </w:rPr>
            </w:pPr>
          </w:p>
        </w:tc>
        <w:tc>
          <w:tcPr>
            <w:tcW w:w="200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5"/>
              </w:rPr>
              <w:t>Using Significant</w:t>
            </w:r>
          </w:p>
        </w:tc>
      </w:tr>
      <w:tr>
        <w:trPr>
          <w:trHeight w:val="188"/>
        </w:trPr>
        <w:tc>
          <w:tcPr>
            <w:tcW w:w="69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(Level 3)</w:t>
            </w:r>
          </w:p>
        </w:tc>
        <w:tc>
          <w:tcPr>
            <w:tcW w:w="160" w:type="dxa"/>
            <w:vAlign w:val="bottom"/>
          </w:tcPr>
          <w:p>
            <w:pPr>
              <w:spacing w:after="0"/>
              <w:rPr>
                <w:sz w:val="16"/>
                <w:szCs w:val="16"/>
                <w:color w:val="auto"/>
              </w:rPr>
            </w:pPr>
          </w:p>
        </w:tc>
        <w:tc>
          <w:tcPr>
            <w:tcW w:w="2000" w:type="dxa"/>
            <w:vAlign w:val="bottom"/>
          </w:tcPr>
          <w:p>
            <w:pPr>
              <w:jc w:val="center"/>
              <w:ind w:right="77"/>
              <w:spacing w:after="0"/>
              <w:rPr>
                <w:sz w:val="20"/>
                <w:szCs w:val="20"/>
                <w:color w:val="auto"/>
              </w:rPr>
            </w:pPr>
            <w:r>
              <w:rPr>
                <w:rFonts w:ascii="Arial" w:cs="Arial" w:eastAsia="Arial" w:hAnsi="Arial"/>
                <w:sz w:val="14"/>
                <w:szCs w:val="14"/>
                <w:color w:val="auto"/>
                <w:w w:val="94"/>
              </w:rPr>
              <w:t>Unobservable Inputs (Level 3)</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2018</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3,261</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Contingent consideration liabilities recorded as the result of acquisitions (Note 2)</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0" w:type="dxa"/>
            <w:vAlign w:val="bottom"/>
          </w:tcPr>
          <w:p>
            <w:pPr>
              <w:jc w:val="right"/>
              <w:ind w:right="17"/>
              <w:spacing w:after="0"/>
              <w:rPr>
                <w:sz w:val="20"/>
                <w:szCs w:val="20"/>
                <w:color w:val="auto"/>
              </w:rPr>
            </w:pPr>
            <w:r>
              <w:rPr>
                <w:rFonts w:ascii="Arial" w:cs="Arial" w:eastAsia="Arial" w:hAnsi="Arial"/>
                <w:sz w:val="18"/>
                <w:szCs w:val="18"/>
                <w:color w:val="auto"/>
              </w:rPr>
              <w:t>25,101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Fair market value adjustments</w:t>
            </w:r>
          </w:p>
        </w:tc>
        <w:tc>
          <w:tcPr>
            <w:tcW w:w="240" w:type="dxa"/>
            <w:vAlign w:val="bottom"/>
          </w:tcPr>
          <w:p>
            <w:pPr>
              <w:spacing w:after="0"/>
              <w:rPr>
                <w:sz w:val="21"/>
                <w:szCs w:val="21"/>
                <w:color w:val="auto"/>
              </w:rPr>
            </w:pPr>
          </w:p>
        </w:tc>
        <w:tc>
          <w:tcPr>
            <w:tcW w:w="1940" w:type="dxa"/>
            <w:vAlign w:val="bottom"/>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(8,100)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13,486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ind w:right="300" w:firstLine="8"/>
        <w:spacing w:after="0" w:line="263" w:lineRule="auto"/>
        <w:tabs>
          <w:tab w:leader="none" w:pos="23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2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the fourth quarter of fiscal year 2019, the Company revised the sales projections for RadiaDyne products as a result of reviews performed by executive management. The adjustments to the sales projections resulted in a $8.4 million gain in the fourth quarter of fiscal year 2019 from the reduction in the fair value of the contingent liability which was based on lower projected sales volume over the contractual earn 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5" w:name="page86"/>
    <w:bookmarkEnd w:id="85"/>
    <w:p>
      <w:pPr>
        <w:ind w:left="340"/>
        <w:spacing w:after="0"/>
        <w:rPr>
          <w:sz w:val="20"/>
          <w:szCs w:val="20"/>
          <w:color w:val="auto"/>
        </w:rPr>
      </w:pPr>
      <w:r>
        <w:rPr>
          <w:rFonts w:ascii="Arial" w:cs="Arial" w:eastAsia="Arial" w:hAnsi="Arial"/>
          <w:sz w:val="17"/>
          <w:szCs w:val="17"/>
          <w:color w:val="auto"/>
        </w:rPr>
        <w:t>The table below presents the changes in fair value components of Level 3 instruments in the year ended May 31, 2018 (in thousands of dollars):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color w:val="auto"/>
                <w:w w:val="97"/>
              </w:rPr>
              <w:t>Financial Liabilities</w:t>
            </w:r>
          </w:p>
        </w:tc>
      </w:tr>
      <w:tr>
        <w:trPr>
          <w:trHeight w:val="156"/>
        </w:trPr>
        <w:tc>
          <w:tcPr>
            <w:tcW w:w="6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1"/>
              </w:rPr>
              <w:t>Fair Value Measurements</w:t>
            </w:r>
          </w:p>
        </w:tc>
        <w:tc>
          <w:tcPr>
            <w:tcW w:w="18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49"/>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Using Significant</w:t>
            </w:r>
          </w:p>
        </w:tc>
        <w:tc>
          <w:tcPr>
            <w:tcW w:w="180" w:type="dxa"/>
            <w:vAlign w:val="bottom"/>
          </w:tcPr>
          <w:p>
            <w:pPr>
              <w:spacing w:after="0"/>
              <w:rPr>
                <w:sz w:val="12"/>
                <w:szCs w:val="12"/>
                <w:color w:val="auto"/>
              </w:rPr>
            </w:pPr>
          </w:p>
        </w:tc>
        <w:tc>
          <w:tcPr>
            <w:tcW w:w="2100" w:type="dxa"/>
            <w:vAlign w:val="bottom"/>
          </w:tcPr>
          <w:p>
            <w:pPr>
              <w:jc w:val="center"/>
              <w:ind w:right="118"/>
              <w:spacing w:after="0" w:line="149" w:lineRule="exact"/>
              <w:rPr>
                <w:sz w:val="20"/>
                <w:szCs w:val="20"/>
                <w:color w:val="auto"/>
              </w:rPr>
            </w:pPr>
            <w:r>
              <w:rPr>
                <w:rFonts w:ascii="Arial" w:cs="Arial" w:eastAsia="Arial" w:hAnsi="Arial"/>
                <w:sz w:val="14"/>
                <w:szCs w:val="14"/>
                <w:color w:val="auto"/>
                <w:w w:val="91"/>
              </w:rPr>
              <w:t>Fair Value Measurements</w:t>
            </w:r>
          </w:p>
        </w:tc>
      </w:tr>
      <w:tr>
        <w:trPr>
          <w:trHeight w:val="149"/>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Unobservable Inputs</w:t>
            </w:r>
          </w:p>
        </w:tc>
        <w:tc>
          <w:tcPr>
            <w:tcW w:w="180" w:type="dxa"/>
            <w:vAlign w:val="bottom"/>
          </w:tcPr>
          <w:p>
            <w:pPr>
              <w:spacing w:after="0"/>
              <w:rPr>
                <w:sz w:val="12"/>
                <w:szCs w:val="12"/>
                <w:color w:val="auto"/>
              </w:rPr>
            </w:pPr>
          </w:p>
        </w:tc>
        <w:tc>
          <w:tcPr>
            <w:tcW w:w="2100" w:type="dxa"/>
            <w:vAlign w:val="bottom"/>
          </w:tcPr>
          <w:p>
            <w:pPr>
              <w:jc w:val="center"/>
              <w:ind w:right="118"/>
              <w:spacing w:after="0" w:line="149" w:lineRule="exact"/>
              <w:rPr>
                <w:sz w:val="20"/>
                <w:szCs w:val="20"/>
                <w:color w:val="auto"/>
              </w:rPr>
            </w:pPr>
            <w:r>
              <w:rPr>
                <w:rFonts w:ascii="Arial" w:cs="Arial" w:eastAsia="Arial" w:hAnsi="Arial"/>
                <w:sz w:val="14"/>
                <w:szCs w:val="14"/>
                <w:color w:val="auto"/>
                <w:w w:val="97"/>
              </w:rPr>
              <w:t>Using Significant</w:t>
            </w:r>
          </w:p>
        </w:tc>
      </w:tr>
      <w:tr>
        <w:trPr>
          <w:trHeight w:val="188"/>
        </w:trPr>
        <w:tc>
          <w:tcPr>
            <w:tcW w:w="6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(Level 3)</w:t>
            </w:r>
          </w:p>
        </w:tc>
        <w:tc>
          <w:tcPr>
            <w:tcW w:w="180" w:type="dxa"/>
            <w:vAlign w:val="bottom"/>
          </w:tcPr>
          <w:p>
            <w:pPr>
              <w:spacing w:after="0"/>
              <w:rPr>
                <w:sz w:val="16"/>
                <w:szCs w:val="16"/>
                <w:color w:val="auto"/>
              </w:rPr>
            </w:pPr>
          </w:p>
        </w:tc>
        <w:tc>
          <w:tcPr>
            <w:tcW w:w="2100" w:type="dxa"/>
            <w:vAlign w:val="bottom"/>
          </w:tcPr>
          <w:p>
            <w:pPr>
              <w:jc w:val="center"/>
              <w:ind w:right="98"/>
              <w:spacing w:after="0"/>
              <w:rPr>
                <w:sz w:val="20"/>
                <w:szCs w:val="20"/>
                <w:color w:val="auto"/>
              </w:rPr>
            </w:pPr>
            <w:r>
              <w:rPr>
                <w:rFonts w:ascii="Arial" w:cs="Arial" w:eastAsia="Arial" w:hAnsi="Arial"/>
                <w:sz w:val="14"/>
                <w:szCs w:val="14"/>
                <w:color w:val="auto"/>
                <w:w w:val="94"/>
              </w:rPr>
              <w:t>Unobservable Inputs (Level 3)</w:t>
            </w:r>
          </w:p>
        </w:tc>
      </w:tr>
      <w:tr>
        <w:trPr>
          <w:trHeight w:val="250"/>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2017</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12,761</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 xml:space="preserve">Change in fair value of contingent consideration </w:t>
            </w:r>
            <w:r>
              <w:rPr>
                <w:rFonts w:ascii="Arial" w:cs="Arial" w:eastAsia="Arial" w:hAnsi="Arial"/>
                <w:sz w:val="16"/>
                <w:szCs w:val="16"/>
                <w:color w:val="auto"/>
              </w:rPr>
              <w:t>(1)</w:t>
            </w:r>
          </w:p>
        </w:tc>
        <w:tc>
          <w:tcPr>
            <w:tcW w:w="24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tcPr>
          <w:p>
            <w:pPr>
              <w:jc w:val="right"/>
              <w:ind w:right="38"/>
              <w:spacing w:after="0"/>
              <w:rPr>
                <w:sz w:val="20"/>
                <w:szCs w:val="20"/>
                <w:color w:val="auto"/>
              </w:rPr>
            </w:pPr>
            <w:r>
              <w:rPr>
                <w:rFonts w:ascii="Arial" w:cs="Arial" w:eastAsia="Arial" w:hAnsi="Arial"/>
                <w:sz w:val="18"/>
                <w:szCs w:val="18"/>
                <w:color w:val="auto"/>
              </w:rPr>
              <w:t>250</w:t>
            </w: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market value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(9,750)</w:t>
            </w:r>
          </w:p>
        </w:tc>
      </w:tr>
      <w:tr>
        <w:trPr>
          <w:trHeight w:val="27"/>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3,261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right="280" w:firstLine="8"/>
        <w:spacing w:after="0" w:line="311" w:lineRule="auto"/>
        <w:tabs>
          <w:tab w:leader="none" w:pos="23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Short-term investments consist of highly liquid investments in municipal bonds that reset on a weekly basis and can be called at any point in time.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600" w:firstLine="405"/>
        <w:spacing w:after="0" w:line="264" w:lineRule="auto"/>
        <w:rPr>
          <w:sz w:val="20"/>
          <w:szCs w:val="20"/>
          <w:color w:val="auto"/>
        </w:rPr>
      </w:pPr>
      <w:r>
        <w:rPr>
          <w:rFonts w:ascii="Arial" w:cs="Arial" w:eastAsia="Arial" w:hAnsi="Arial"/>
          <w:sz w:val="18"/>
          <w:szCs w:val="18"/>
          <w:color w:val="auto"/>
        </w:rPr>
        <w:t>Marketable securities consist solely of an auction rate security. Assumptions associated with the auction rate security include the interest rate benchmarks, the probability of full repayment of the principal considering the credit quality and guarantees in place, and the rate of return required by investors to own such securities given the current liquidity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Liability for Acquisition Earn Outs</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Some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8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measure the initial liability and remeasure the liability on a recurring basis using Level 3 inputs as defined under authoritative guidance for fair value measurements and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Fair Value</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Valuation Technique</w:t>
            </w:r>
          </w:p>
        </w:tc>
        <w:tc>
          <w:tcPr>
            <w:tcW w:w="10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Unobservable Input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Range</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based payments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10,058</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 - 5%</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Probability of payment</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66% - 100%</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Projected fiscal year of payment</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2020 - 2023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Technical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probability</w:t>
            </w:r>
          </w:p>
        </w:tc>
        <w:tc>
          <w:tcPr>
            <w:tcW w:w="3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Estimated probability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Projected year of payment</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13,486</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CCEEFF"/>
            </w:tcBorders>
            <w:gridSpan w:val="2"/>
            <w:vMerge w:val="restart"/>
          </w:tcPr>
          <w:p>
            <w:pPr>
              <w:jc w:val="right"/>
              <w:ind w:right="656"/>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8" w:right="259" w:bottom="1440" w:gutter="0" w:footer="0" w:header="0"/>
        </w:sectPr>
      </w:pPr>
    </w:p>
    <w:bookmarkStart w:id="86" w:name="page87"/>
    <w:bookmarkEnd w:id="86"/>
    <w:p>
      <w:pPr>
        <w:ind w:firstLine="432"/>
        <w:spacing w:after="0" w:line="259" w:lineRule="auto"/>
        <w:rPr>
          <w:sz w:val="20"/>
          <w:szCs w:val="20"/>
          <w:color w:val="auto"/>
        </w:rPr>
      </w:pPr>
      <w:r>
        <w:rPr>
          <w:rFonts w:ascii="Arial" w:cs="Arial" w:eastAsia="Arial" w:hAnsi="Arial"/>
          <w:sz w:val="18"/>
          <w:szCs w:val="18"/>
          <w:color w:val="auto"/>
        </w:rPr>
        <w:t>At May 31, 2019, the range of estimated potential amount of undiscounted future contingent consideration that the Company expects to pay as a result of all completed acquisitions is approximately $15.2 million to $35.2 million. The milestones, including revenue projections and technical milestones, associated with the contingent consideration must be reached in future periods ranging from fiscal years 2019 to 2023 in order for the associated consideration to be 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2019, there were no marketable securities and as of May 31, 2018, marketable securities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left="299"/>
              <w:spacing w:after="0"/>
              <w:rPr>
                <w:sz w:val="20"/>
                <w:szCs w:val="20"/>
                <w:color w:val="auto"/>
              </w:rPr>
            </w:pPr>
            <w:r>
              <w:rPr>
                <w:rFonts w:ascii="Arial" w:cs="Arial" w:eastAsia="Arial" w:hAnsi="Arial"/>
                <w:sz w:val="14"/>
                <w:szCs w:val="14"/>
                <w:color w:val="auto"/>
                <w:w w:val="90"/>
              </w:rPr>
              <w:t>Gross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296"/>
              <w:spacing w:after="0"/>
              <w:rPr>
                <w:sz w:val="20"/>
                <w:szCs w:val="20"/>
                <w:color w:val="auto"/>
              </w:rPr>
            </w:pPr>
            <w:r>
              <w:rPr>
                <w:rFonts w:ascii="Arial" w:cs="Arial" w:eastAsia="Arial" w:hAnsi="Arial"/>
                <w:sz w:val="14"/>
                <w:szCs w:val="14"/>
                <w:color w:val="auto"/>
                <w:w w:val="90"/>
              </w:rPr>
              <w:t>Gross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8"/>
              </w:rPr>
              <w:t>Amortized</w:t>
            </w:r>
          </w:p>
        </w:tc>
        <w:tc>
          <w:tcPr>
            <w:tcW w:w="1120" w:type="dxa"/>
            <w:vAlign w:val="bottom"/>
            <w:gridSpan w:val="2"/>
          </w:tcPr>
          <w:p>
            <w:pPr>
              <w:jc w:val="center"/>
              <w:ind w:left="279"/>
              <w:spacing w:after="0" w:line="149" w:lineRule="exact"/>
              <w:rPr>
                <w:sz w:val="20"/>
                <w:szCs w:val="20"/>
                <w:color w:val="auto"/>
              </w:rPr>
            </w:pPr>
            <w:r>
              <w:rPr>
                <w:rFonts w:ascii="Arial" w:cs="Arial" w:eastAsia="Arial" w:hAnsi="Arial"/>
                <w:sz w:val="14"/>
                <w:szCs w:val="14"/>
                <w:color w:val="auto"/>
                <w:w w:val="95"/>
              </w:rPr>
              <w:t>Unrealized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left="276"/>
              <w:spacing w:after="0" w:line="149" w:lineRule="exact"/>
              <w:rPr>
                <w:sz w:val="20"/>
                <w:szCs w:val="20"/>
                <w:color w:val="auto"/>
              </w:rPr>
            </w:pPr>
            <w:r>
              <w:rPr>
                <w:rFonts w:ascii="Arial" w:cs="Arial" w:eastAsia="Arial" w:hAnsi="Arial"/>
                <w:sz w:val="14"/>
                <w:szCs w:val="14"/>
                <w:color w:val="auto"/>
                <w:w w:val="95"/>
              </w:rPr>
              <w:t>Unrealized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34"/>
              <w:spacing w:after="0" w:line="149"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color w:val="auto"/>
                <w:w w:val="90"/>
              </w:rPr>
              <w:t>Cost</w:t>
            </w:r>
          </w:p>
        </w:tc>
        <w:tc>
          <w:tcPr>
            <w:tcW w:w="1120" w:type="dxa"/>
            <w:vAlign w:val="bottom"/>
            <w:gridSpan w:val="2"/>
          </w:tcPr>
          <w:p>
            <w:pPr>
              <w:jc w:val="center"/>
              <w:ind w:left="299"/>
              <w:spacing w:after="0"/>
              <w:rPr>
                <w:sz w:val="20"/>
                <w:szCs w:val="20"/>
                <w:color w:val="auto"/>
              </w:rPr>
            </w:pPr>
            <w:r>
              <w:rPr>
                <w:rFonts w:ascii="Arial" w:cs="Arial" w:eastAsia="Arial" w:hAnsi="Arial"/>
                <w:sz w:val="14"/>
                <w:szCs w:val="14"/>
                <w:color w:val="auto"/>
                <w:w w:val="92"/>
              </w:rPr>
              <w:t>Gains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276"/>
              <w:spacing w:after="0"/>
              <w:rPr>
                <w:sz w:val="20"/>
                <w:szCs w:val="20"/>
                <w:color w:val="auto"/>
              </w:rPr>
            </w:pPr>
            <w:r>
              <w:rPr>
                <w:rFonts w:ascii="Arial" w:cs="Arial" w:eastAsia="Arial" w:hAnsi="Arial"/>
                <w:sz w:val="14"/>
                <w:szCs w:val="14"/>
                <w:color w:val="auto"/>
                <w:w w:val="90"/>
              </w:rPr>
              <w:t>Losses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Available-for-sales securities: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State government agency obligations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7. INVENTORIES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20" w:type="dxa"/>
            <w:vAlign w:val="bottom"/>
            <w:gridSpan w:val="2"/>
          </w:tcPr>
          <w:p>
            <w:pPr>
              <w:ind w:left="440"/>
              <w:spacing w:after="0"/>
              <w:rPr>
                <w:sz w:val="20"/>
                <w:szCs w:val="20"/>
                <w:color w:val="auto"/>
              </w:rPr>
            </w:pPr>
            <w:r>
              <w:rPr>
                <w:rFonts w:ascii="Arial" w:cs="Arial" w:eastAsia="Arial" w:hAnsi="Arial"/>
                <w:sz w:val="18"/>
                <w:szCs w:val="18"/>
                <w:color w:val="auto"/>
                <w:w w:val="93"/>
              </w:rPr>
              <w:t>As of May 31, 2019 and 2018, inventories consisted of the following:</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4"/>
          </w:tcPr>
          <w:p>
            <w:pPr>
              <w:ind w:left="160"/>
              <w:spacing w:after="0"/>
              <w:rPr>
                <w:sz w:val="20"/>
                <w:szCs w:val="20"/>
                <w:color w:val="auto"/>
              </w:rPr>
            </w:pPr>
            <w:r>
              <w:rPr>
                <w:rFonts w:ascii="Arial" w:cs="Arial" w:eastAsia="Arial" w:hAnsi="Arial"/>
                <w:sz w:val="14"/>
                <w:szCs w:val="14"/>
                <w:color w:val="auto"/>
              </w:rPr>
              <w:t>May 31, 2019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474"/>
              <w:spacing w:after="0"/>
              <w:rPr>
                <w:sz w:val="20"/>
                <w:szCs w:val="20"/>
                <w:color w:val="auto"/>
              </w:rPr>
            </w:pPr>
            <w:r>
              <w:rPr>
                <w:rFonts w:ascii="Arial" w:cs="Arial" w:eastAsia="Arial" w:hAnsi="Arial"/>
                <w:sz w:val="14"/>
                <w:szCs w:val="14"/>
                <w:color w:val="auto"/>
              </w:rPr>
              <w:t>May 31, 2018</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16,045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15,247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17,371</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40,071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39,274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Company periodically reviews its inventory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2019 and 2018 was $4.2 million and $5.8 million, respectively. Of the $4.2 million reserve at May 31, 2019, $0.4 million relates to the inventory reserve for Acculis inventory as a result of the recall announced in the fourth quarter of fiscal year 2017 and $0.7 million relates to a specific reserve related to the termination of an agreement with a Japanese distributor in the second quarter of fiscal year 2018. Of the $5.8 million in the prior year, $1.6 million relates to the reserve for Acculis inventory and $0.7 million relates to a specific reserve related to the termination of an agreement with a Japanese distributor in the second quarter of fiscal year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PREPAID EXPENSES AND OTHER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2019 and 2018, prepaid expenses and other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color w:val="auto"/>
              </w:rPr>
              <w:t>May 31, 2019</w:t>
            </w:r>
          </w:p>
        </w:tc>
        <w:tc>
          <w:tcPr>
            <w:tcW w:w="320" w:type="dxa"/>
            <w:vAlign w:val="bottom"/>
          </w:tcPr>
          <w:p>
            <w:pPr>
              <w:spacing w:after="0"/>
              <w:rPr>
                <w:sz w:val="16"/>
                <w:szCs w:val="16"/>
                <w:color w:val="auto"/>
              </w:rPr>
            </w:pPr>
          </w:p>
        </w:tc>
        <w:tc>
          <w:tcPr>
            <w:tcW w:w="1500" w:type="dxa"/>
            <w:vAlign w:val="bottom"/>
          </w:tcPr>
          <w:p>
            <w:pPr>
              <w:jc w:val="right"/>
              <w:ind w:right="412"/>
              <w:spacing w:after="0"/>
              <w:rPr>
                <w:sz w:val="20"/>
                <w:szCs w:val="20"/>
                <w:color w:val="auto"/>
              </w:rPr>
            </w:pPr>
            <w:r>
              <w:rPr>
                <w:rFonts w:ascii="Arial" w:cs="Arial" w:eastAsia="Arial" w:hAnsi="Arial"/>
                <w:sz w:val="14"/>
                <w:szCs w:val="14"/>
                <w:color w:val="auto"/>
              </w:rPr>
              <w:t>May 31, 2018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licenses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License fees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shows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Rent</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134</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prepaid taxes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2,505</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3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9. PROPERTY, PLANT AND EQUIPMENT, NET</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2019 and 2018, property, plant and equipment are summarized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2"/>
          </w:tcPr>
          <w:p>
            <w:pPr>
              <w:ind w:left="260"/>
              <w:spacing w:after="0"/>
              <w:rPr>
                <w:sz w:val="20"/>
                <w:szCs w:val="20"/>
                <w:color w:val="auto"/>
              </w:rPr>
            </w:pPr>
            <w:r>
              <w:rPr>
                <w:rFonts w:ascii="Arial" w:cs="Arial" w:eastAsia="Arial" w:hAnsi="Arial"/>
                <w:sz w:val="14"/>
                <w:szCs w:val="14"/>
                <w:color w:val="auto"/>
              </w:rPr>
              <w:t>May 31, 2019</w:t>
            </w:r>
          </w:p>
        </w:tc>
        <w:tc>
          <w:tcPr>
            <w:tcW w:w="340" w:type="dxa"/>
            <w:vAlign w:val="bottom"/>
          </w:tcPr>
          <w:p>
            <w:pPr>
              <w:spacing w:after="0"/>
              <w:rPr>
                <w:sz w:val="16"/>
                <w:szCs w:val="16"/>
                <w:color w:val="auto"/>
              </w:rPr>
            </w:pPr>
          </w:p>
        </w:tc>
        <w:tc>
          <w:tcPr>
            <w:tcW w:w="1600" w:type="dxa"/>
            <w:vAlign w:val="bottom"/>
          </w:tcPr>
          <w:p>
            <w:pPr>
              <w:jc w:val="right"/>
              <w:ind w:right="472"/>
              <w:spacing w:after="0"/>
              <w:rPr>
                <w:sz w:val="20"/>
                <w:szCs w:val="20"/>
                <w:color w:val="auto"/>
              </w:rPr>
            </w:pPr>
            <w:r>
              <w:rPr>
                <w:rFonts w:ascii="Arial" w:cs="Arial" w:eastAsia="Arial" w:hAnsi="Arial"/>
                <w:sz w:val="14"/>
                <w:szCs w:val="14"/>
                <w:color w:val="auto"/>
              </w:rPr>
              <w:t>May 31, 2018</w:t>
            </w: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24,509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14,029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13,308</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1,666</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63,942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(39,290)</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24,652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1,063</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25,715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expense for fiscal years 2019, 2018 and 2017 was $3.1 million, $3.4 million and $4.8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2018.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Even though the Company determined that there was no goodwill impairment as of May 31, 2019,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2019.</w:t>
      </w:r>
    </w:p>
    <w:p>
      <w:pPr>
        <w:spacing w:after="0" w:line="18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As a result of the sale of the Fluid Management business, the Company performed an impairment test as of April 17, 2019, the date of the announcement of the deal. The Company continues to operate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 The Company continued to assess for potential impairment through May 31, 2019 and noted no other events that would be considered a triggering event.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for the year ended May 31, 2019 were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9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at May 31, 2018, before adjustment to conform goodwill to current presentation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361,252</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Goodwill associated with the Fluid Management divestiture (Note 3)</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(75,308)</w:t>
            </w:r>
          </w:p>
        </w:tc>
      </w:tr>
      <w:tr>
        <w:trPr>
          <w:trHeight w:val="27"/>
        </w:trPr>
        <w:tc>
          <w:tcPr>
            <w:tcW w:w="9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at May 31, 2018</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285,944</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Additions for BioSentry acquisition (Note 2)</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13,740</w:t>
            </w:r>
          </w:p>
        </w:tc>
      </w:tr>
      <w:tr>
        <w:trPr>
          <w:trHeight w:val="27"/>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RadiaDyne acquisition (Note 2)</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47,982</w:t>
            </w:r>
          </w:p>
        </w:tc>
      </w:tr>
      <w:tr>
        <w:trPr>
          <w:trHeight w:val="237"/>
        </w:trPr>
        <w:tc>
          <w:tcPr>
            <w:tcW w:w="9980" w:type="dxa"/>
            <w:vAlign w:val="bottom"/>
          </w:tcPr>
          <w:p>
            <w:pPr>
              <w:ind w:left="20"/>
              <w:spacing w:after="0"/>
              <w:rPr>
                <w:sz w:val="20"/>
                <w:szCs w:val="20"/>
                <w:color w:val="auto"/>
              </w:rPr>
            </w:pPr>
            <w:r>
              <w:rPr>
                <w:rFonts w:ascii="Arial" w:cs="Arial" w:eastAsia="Arial" w:hAnsi="Arial"/>
                <w:sz w:val="18"/>
                <w:szCs w:val="18"/>
                <w:color w:val="auto"/>
              </w:rPr>
              <w:t>Goodwill balance at May 31, 2019</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347,666</w:t>
            </w:r>
          </w:p>
        </w:tc>
      </w:tr>
      <w:tr>
        <w:trPr>
          <w:trHeight w:val="27"/>
        </w:trPr>
        <w:tc>
          <w:tcPr>
            <w:tcW w:w="9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607" w:right="239" w:bottom="1440" w:gutter="0" w:footer="0" w:header="0"/>
          <w:type w:val="continuous"/>
        </w:sectPr>
      </w:pPr>
    </w:p>
    <w:bookmarkStart w:id="88" w:name="page89"/>
    <w:bookmarkEnd w:id="88"/>
    <w:p>
      <w:pPr>
        <w:ind w:left="660"/>
        <w:spacing w:after="0"/>
        <w:rPr>
          <w:sz w:val="20"/>
          <w:szCs w:val="20"/>
          <w:color w:val="auto"/>
        </w:rPr>
      </w:pPr>
      <w:r>
        <w:rPr>
          <w:rFonts w:ascii="Arial" w:cs="Arial" w:eastAsia="Arial" w:hAnsi="Arial"/>
          <w:sz w:val="18"/>
          <w:szCs w:val="18"/>
          <w:color w:val="auto"/>
        </w:rPr>
        <w:t>As of May 31, 2019 and 2018, intangible assets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6"/>
              </w:rPr>
              <w:t>May 31, 2019</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56"/>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4"/>
              </w:rPr>
              <w:t>Gross carrying</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Accumulated</w:t>
            </w:r>
          </w:p>
        </w:tc>
        <w:tc>
          <w:tcPr>
            <w:tcW w:w="360" w:type="dxa"/>
            <w:vAlign w:val="bottom"/>
          </w:tcPr>
          <w:p>
            <w:pPr>
              <w:spacing w:after="0"/>
              <w:rPr>
                <w:sz w:val="13"/>
                <w:szCs w:val="13"/>
                <w:color w:val="auto"/>
              </w:rPr>
            </w:pPr>
          </w:p>
        </w:tc>
        <w:tc>
          <w:tcPr>
            <w:tcW w:w="1240" w:type="dxa"/>
            <w:vAlign w:val="bottom"/>
            <w:gridSpan w:val="4"/>
          </w:tcPr>
          <w:p>
            <w:pPr>
              <w:jc w:val="center"/>
              <w:ind w:right="360"/>
              <w:spacing w:after="0" w:line="157" w:lineRule="exact"/>
              <w:rPr>
                <w:sz w:val="20"/>
                <w:szCs w:val="20"/>
                <w:color w:val="auto"/>
              </w:rPr>
            </w:pPr>
            <w:r>
              <w:rPr>
                <w:rFonts w:ascii="Arial" w:cs="Arial" w:eastAsia="Arial" w:hAnsi="Arial"/>
                <w:sz w:val="14"/>
                <w:szCs w:val="14"/>
                <w:color w:val="auto"/>
                <w:w w:val="95"/>
              </w:rPr>
              <w:t>Net carrying</w:t>
            </w:r>
          </w:p>
        </w:tc>
      </w:tr>
      <w:tr>
        <w:trPr>
          <w:trHeight w:val="188"/>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amortization</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color w:val="auto"/>
                <w:w w:val="95"/>
              </w:rPr>
              <w:t>value</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182,971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107,559</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60,166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34,216</w:t>
            </w:r>
          </w:p>
        </w:tc>
        <w:tc>
          <w:tcPr>
            <w:tcW w:w="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258,189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145,387</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6"/>
              </w:rPr>
              <w:t>May 31, 2018</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6"/>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4"/>
              </w:rPr>
              <w:t>Gross carrying</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Accumulated</w:t>
            </w:r>
          </w:p>
        </w:tc>
        <w:tc>
          <w:tcPr>
            <w:tcW w:w="360" w:type="dxa"/>
            <w:vAlign w:val="bottom"/>
          </w:tcPr>
          <w:p>
            <w:pPr>
              <w:spacing w:after="0"/>
              <w:rPr>
                <w:sz w:val="13"/>
                <w:szCs w:val="13"/>
                <w:color w:val="auto"/>
              </w:rPr>
            </w:pPr>
          </w:p>
        </w:tc>
        <w:tc>
          <w:tcPr>
            <w:tcW w:w="1240" w:type="dxa"/>
            <w:vAlign w:val="bottom"/>
            <w:gridSpan w:val="4"/>
          </w:tcPr>
          <w:p>
            <w:pPr>
              <w:jc w:val="center"/>
              <w:ind w:right="360"/>
              <w:spacing w:after="0" w:line="157" w:lineRule="exact"/>
              <w:rPr>
                <w:sz w:val="20"/>
                <w:szCs w:val="20"/>
                <w:color w:val="auto"/>
              </w:rPr>
            </w:pPr>
            <w:r>
              <w:rPr>
                <w:rFonts w:ascii="Arial" w:cs="Arial" w:eastAsia="Arial" w:hAnsi="Arial"/>
                <w:sz w:val="14"/>
                <w:szCs w:val="14"/>
                <w:color w:val="auto"/>
                <w:w w:val="95"/>
              </w:rPr>
              <w:t>Net carrying</w:t>
            </w:r>
          </w:p>
        </w:tc>
      </w:tr>
      <w:tr>
        <w:trPr>
          <w:trHeight w:val="188"/>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amortization</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color w:val="auto"/>
                <w:w w:val="95"/>
              </w:rPr>
              <w:t>value</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141,675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77,522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55,028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32,234</w:t>
            </w:r>
          </w:p>
        </w:tc>
        <w:tc>
          <w:tcPr>
            <w:tcW w:w="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209,905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112,547</w:t>
            </w:r>
          </w:p>
        </w:tc>
        <w:tc>
          <w:tcPr>
            <w:tcW w:w="2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9"/>
        </w:trPr>
        <w:tc>
          <w:tcPr>
            <w:tcW w:w="9820" w:type="dxa"/>
            <w:vAlign w:val="bottom"/>
            <w:gridSpan w:val="7"/>
          </w:tcPr>
          <w:p>
            <w:pPr>
              <w:ind w:left="440"/>
              <w:spacing w:after="0"/>
              <w:rPr>
                <w:sz w:val="20"/>
                <w:szCs w:val="20"/>
                <w:color w:val="auto"/>
              </w:rPr>
            </w:pPr>
            <w:r>
              <w:rPr>
                <w:rFonts w:ascii="Arial" w:cs="Arial" w:eastAsia="Arial" w:hAnsi="Arial"/>
                <w:sz w:val="18"/>
                <w:szCs w:val="18"/>
                <w:color w:val="auto"/>
                <w:w w:val="96"/>
              </w:rPr>
              <w:t>Amortization expense was $17.1 million, $13.9 million and $14.6 million for fiscal years 2019, 2018 and 2017, respectively.</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180" w:type="dxa"/>
            <w:vAlign w:val="bottom"/>
            <w:gridSpan w:val="8"/>
          </w:tcPr>
          <w:p>
            <w:pPr>
              <w:ind w:left="440"/>
              <w:spacing w:after="0"/>
              <w:rPr>
                <w:sz w:val="20"/>
                <w:szCs w:val="20"/>
                <w:color w:val="auto"/>
              </w:rPr>
            </w:pPr>
            <w:r>
              <w:rPr>
                <w:rFonts w:ascii="Arial" w:cs="Arial" w:eastAsia="Arial" w:hAnsi="Arial"/>
                <w:sz w:val="18"/>
                <w:szCs w:val="18"/>
                <w:color w:val="auto"/>
                <w:w w:val="91"/>
              </w:rPr>
              <w:t>Annual amortization of these intangible assets is expected to approximate the following amounts for each of the next five fiscal years: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64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6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15,248</w:t>
            </w:r>
          </w:p>
        </w:tc>
        <w:tc>
          <w:tcPr>
            <w:tcW w:w="20" w:type="dxa"/>
            <w:vAlign w:val="bottom"/>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14,021</w:t>
            </w:r>
          </w:p>
        </w:tc>
        <w:tc>
          <w:tcPr>
            <w:tcW w:w="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13,405</w:t>
            </w:r>
          </w:p>
        </w:tc>
        <w:tc>
          <w:tcPr>
            <w:tcW w:w="20" w:type="dxa"/>
            <w:vAlign w:val="bottom"/>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13,368</w:t>
            </w:r>
          </w:p>
        </w:tc>
        <w:tc>
          <w:tcPr>
            <w:tcW w:w="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11,812</w:t>
            </w:r>
          </w:p>
        </w:tc>
        <w:tc>
          <w:tcPr>
            <w:tcW w:w="20" w:type="dxa"/>
            <w:vAlign w:val="bottom"/>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2025 and thereafter</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77,533</w:t>
            </w:r>
          </w:p>
        </w:tc>
        <w:tc>
          <w:tcPr>
            <w:tcW w:w="2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145,387</w:t>
            </w:r>
          </w:p>
        </w:tc>
        <w:tc>
          <w:tcPr>
            <w:tcW w:w="20" w:type="dxa"/>
            <w:vAlign w:val="bottom"/>
          </w:tcPr>
          <w:p>
            <w:pPr>
              <w:spacing w:after="0"/>
              <w:rPr>
                <w:sz w:val="22"/>
                <w:szCs w:val="22"/>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loss from continuing operations before income tax (benefit) expense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Year ended May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3"/>
        </w:trPr>
        <w:tc>
          <w:tcPr>
            <w:tcW w:w="5380" w:type="dxa"/>
            <w:vAlign w:val="bottom"/>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rPr>
              <w:t>2017</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tax expense:</w:t>
            </w:r>
          </w:p>
        </w:tc>
        <w:tc>
          <w:tcPr>
            <w:tcW w:w="1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w:t>
            </w: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(18,454)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(15,317)</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Non-U.S.</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w:t>
            </w:r>
          </w:p>
        </w:tc>
      </w:tr>
      <w:tr>
        <w:trPr>
          <w:trHeight w:val="237"/>
        </w:trPr>
        <w:tc>
          <w:tcPr>
            <w:tcW w:w="5380" w:type="dxa"/>
            <w:vAlign w:val="bottom"/>
          </w:tcPr>
          <w:p>
            <w:pPr>
              <w:spacing w:after="0"/>
              <w:rPr>
                <w:sz w:val="20"/>
                <w:szCs w:val="20"/>
                <w:color w:val="auto"/>
              </w:rPr>
            </w:pPr>
          </w:p>
        </w:tc>
        <w:tc>
          <w:tcPr>
            <w:tcW w:w="1220" w:type="dxa"/>
            <w:vAlign w:val="bottom"/>
            <w:tcBorders>
              <w:top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(14,295)</w:t>
            </w:r>
          </w:p>
        </w:tc>
      </w:tr>
      <w:tr>
        <w:trPr>
          <w:trHeight w:val="27"/>
        </w:trPr>
        <w:tc>
          <w:tcPr>
            <w:tcW w:w="5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03" w:right="23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color w:val="auto"/>
        </w:rPr>
        <w:t>Income tax (benefit) expense is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Year ended May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Federal</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Non U.S.</w:t>
            </w:r>
          </w:p>
        </w:tc>
        <w:tc>
          <w:tcPr>
            <w:tcW w:w="480" w:type="dxa"/>
            <w:vAlign w:val="bottom"/>
          </w:tcPr>
          <w:p>
            <w:pPr>
              <w:spacing w:after="0"/>
              <w:rPr>
                <w:sz w:val="21"/>
                <w:szCs w:val="21"/>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270</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w:t>
            </w:r>
          </w:p>
        </w:tc>
        <w:tc>
          <w:tcPr>
            <w:tcW w:w="4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(11,113)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(7,654)</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660" w:type="dxa"/>
            <w:vAlign w:val="bottom"/>
            <w:gridSpan w:val="6"/>
          </w:tcPr>
          <w:p>
            <w:pPr>
              <w:ind w:left="440"/>
              <w:spacing w:after="0"/>
              <w:rPr>
                <w:sz w:val="20"/>
                <w:szCs w:val="20"/>
                <w:color w:val="auto"/>
              </w:rPr>
            </w:pPr>
            <w:r>
              <w:rPr>
                <w:rFonts w:ascii="Arial" w:cs="Arial" w:eastAsia="Arial" w:hAnsi="Arial"/>
                <w:sz w:val="18"/>
                <w:szCs w:val="18"/>
                <w:color w:val="auto"/>
                <w:w w:val="90"/>
              </w:rPr>
              <w:t>Temporary differences that give rise to deferred tax assets and liabilities are summarized as follows: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9"/>
        </w:trPr>
        <w:tc>
          <w:tcPr>
            <w:tcW w:w="53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4"/>
                <w:szCs w:val="14"/>
                <w:color w:val="auto"/>
                <w:w w:val="91"/>
              </w:rPr>
              <w:t>May 31, 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592"/>
              <w:spacing w:after="0"/>
              <w:rPr>
                <w:sz w:val="20"/>
                <w:szCs w:val="20"/>
                <w:color w:val="auto"/>
              </w:rPr>
            </w:pPr>
            <w:r>
              <w:rPr>
                <w:rFonts w:ascii="Arial" w:cs="Arial" w:eastAsia="Arial" w:hAnsi="Arial"/>
                <w:sz w:val="14"/>
                <w:szCs w:val="14"/>
                <w:color w:val="auto"/>
              </w:rPr>
              <w:t>May 31, 2018</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Net operating loss carryforward</w:t>
            </w:r>
          </w:p>
        </w:tc>
        <w:tc>
          <w:tcPr>
            <w:tcW w:w="480" w:type="dxa"/>
            <w:vAlign w:val="bottom"/>
          </w:tcPr>
          <w:p>
            <w:pPr>
              <w:spacing w:after="0"/>
              <w:rPr>
                <w:sz w:val="21"/>
                <w:szCs w:val="21"/>
                <w:color w:val="auto"/>
              </w:rPr>
            </w:pP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18,955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33,880</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2,421</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Federal and state R&amp;D tax credit carryforward</w:t>
            </w: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3,644</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1,550</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Expenses incurred not currently deductible</w:t>
            </w: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1,714</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r>
      <w:tr>
        <w:trPr>
          <w:trHeight w:val="237"/>
        </w:trPr>
        <w:tc>
          <w:tcPr>
            <w:tcW w:w="5380" w:type="dxa"/>
            <w:vAlign w:val="bottom"/>
          </w:tcPr>
          <w:p>
            <w:pPr>
              <w:ind w:left="720"/>
              <w:spacing w:after="0"/>
              <w:rPr>
                <w:sz w:val="20"/>
                <w:szCs w:val="20"/>
                <w:color w:val="auto"/>
              </w:rPr>
            </w:pPr>
            <w:r>
              <w:rPr>
                <w:rFonts w:ascii="Arial" w:cs="Arial" w:eastAsia="Arial" w:hAnsi="Arial"/>
                <w:sz w:val="18"/>
                <w:szCs w:val="18"/>
                <w:color w:val="auto"/>
              </w:rPr>
              <w:t>Gross deferred tax asset</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29,056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43,486</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Excess tax over book depreciation and amortization</w:t>
            </w: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31,878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34,044</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34,044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(26,607)</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Net deferred tax liability </w:t>
            </w:r>
            <w:r>
              <w:rPr>
                <w:rFonts w:ascii="Arial" w:cs="Arial" w:eastAsia="Arial" w:hAnsi="Arial"/>
                <w:sz w:val="16"/>
                <w:szCs w:val="16"/>
                <w:color w:val="auto"/>
              </w:rPr>
              <w:t>(1)</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ind w:right="120" w:firstLine="8"/>
        <w:spacing w:after="0" w:line="263" w:lineRule="auto"/>
        <w:tabs>
          <w:tab w:leader="none" w:pos="23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Net deferred tax liability is inclusive of a non-U.S. deferred tax asset that is included in other assets on the Company's balance sheet for the years ended May 31, 2019 and May 31, 2018 in the amount of $0.32 million and $0.08 million, respectively.</w:t>
      </w:r>
    </w:p>
    <w:p>
      <w:pPr>
        <w:spacing w:after="0" w:line="17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net deferred tax liability as of May 31, 2019 and 2018 principally relates to tax amortization of intangibles that have an indefinite reversal period for book purposes, also known as a “naked credit deferred tax liability”, that cannot be considered as a source of income to recover the deferred tax asset.</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Company's Federal net operating loss carryforwards as of May 31, 2019 after considering IRC Section 382 limitations are $90.1 million. The expiration of the Federal net operating loss carryforwards are as follows: $8.6 million between 2022 and 2023, $81.2 million between 2028 and 2037 and $0.3 million indefinitely.</w:t>
      </w:r>
    </w:p>
    <w:p>
      <w:pPr>
        <w:spacing w:after="0" w:line="18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Company's state net operating loss carryforwards as of May 31, 2019 after considering remaining IRC Section 382 limitations are $8.0 million which expire in various years from 2019 to 2038.</w:t>
      </w:r>
    </w:p>
    <w:p>
      <w:pPr>
        <w:spacing w:after="0" w:line="8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December 22, 2017, the U.S. Tax Cuts and Jobs Act (the “Tax Reform Act”) was signed into law. The Tax Reform Act significantly revised the U.S. corporate income tax regime by, among other things, lowering the U.S. corporate tax rate from 35% to 21% effective January 1, 2018, implementing a territorial tax system, expanding the tax base and imposing a tax on deemed repatriated earnings of foreign subsidiaries. U.S. GAAP requires that the impact of tax legislation be recognized in the period in which the law was enacted.</w:t>
      </w:r>
    </w:p>
    <w:p>
      <w:pPr>
        <w:spacing w:after="0" w:line="10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 December 2017, the Securities and Exchange Commission staff issued Staff Accounting Bulletin No. 118 (SAB 118), which addresses how a company recognizes provisional amounts when a company does not have the necessary information available, prepared or analyzed (including computations) in reasonable detail to complete its accounting for the effect of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8" w:right="239" w:bottom="1440" w:gutter="0" w:footer="0" w:header="0"/>
        </w:sectPr>
      </w:pPr>
    </w:p>
    <w:bookmarkStart w:id="90" w:name="page91"/>
    <w:bookmarkEnd w:id="90"/>
    <w:p>
      <w:pPr>
        <w:spacing w:after="0" w:line="286" w:lineRule="auto"/>
        <w:rPr>
          <w:sz w:val="20"/>
          <w:szCs w:val="20"/>
          <w:color w:val="auto"/>
        </w:rPr>
      </w:pPr>
      <w:r>
        <w:rPr>
          <w:rFonts w:ascii="Arial" w:cs="Arial" w:eastAsia="Arial" w:hAnsi="Arial"/>
          <w:sz w:val="17"/>
          <w:szCs w:val="17"/>
          <w:color w:val="auto"/>
        </w:rPr>
        <w:t>changes in the Tax Reform Act. The measurement period ends when a company has obtained, prepared and analyzed the information necessary to finalize its accounting, but cannot extend beyond one year. The Company elected to apply the measurement period guidance provided in SAB 118. The accounting for all of the enactment-date income tax effects of the Tax Reform Act was completed and any changes are noted below.</w:t>
      </w:r>
    </w:p>
    <w:p>
      <w:pPr>
        <w:spacing w:after="0" w:line="84"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Tax Reform Act imposed a one-time transition tax on the deemed repatriation of post-1986 undistributed foreign subsidiaries’ earnings. Based on the information available as of December 31, 2017, the Company estimated undistributed foreign earnings of approximately $4.9 million. Upon further analysis and refinement of the calculation during the 12 months ended February 28, 2019, the Company adjusted its provisional amount by $1.1 million to $3.8 million. The taxable income of $3.8 million arising from this deemed repatriation will result in the utilization of net operating loss carryforwards, offset by changes in the valuation allowance, resulting in no net impact to tax expense. All other previously communicated tax impacts remain unchanged and complete.</w:t>
      </w:r>
    </w:p>
    <w:p>
      <w:pPr>
        <w:spacing w:after="0" w:line="11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Tax Reform Act also creates a new requirement that certain income earned by foreign subsidiaries (“GILTI”), must be included in U.S. gross income. The FASB allows an accounting policy election of either recognizing deferred taxes for temporary differences expected to reverse as GILTI in future years or recognizing such taxes as a current period expense when incurred. The Company has elected to account for the GILTI tax as a current-period expense when incurred (the "period cost method").</w:t>
      </w:r>
    </w:p>
    <w:p>
      <w:pPr>
        <w:spacing w:after="0" w:line="10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Beginning in 2018, except for GILTI, the Company will no longer record United States federal income tax on its share of the income of its foreign subsidiaries, nor will it record a benefit for foreign tax credits related to that income. Upon distribution of these earnings in the form of dividends or otherwise, the Company would be subject to withholding taxes payable, where applicable, to foreign countries, but would have no further federal income tax liability.</w:t>
      </w:r>
    </w:p>
    <w:p>
      <w:pPr>
        <w:spacing w:after="0" w:line="106"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2019.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1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Company's consolidated income tax expense has differed from the amount that would be provided by applying the U.S. Federal statutory income tax rate to the Company's income before income taxes for the following reasons: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8"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Year ended May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2017</w:t>
            </w:r>
          </w:p>
        </w:tc>
      </w:tr>
      <w:tr>
        <w:trPr>
          <w:trHeight w:val="215"/>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tax benefit at federal statutory tax rate of 21.0%, 28.6% and 35.0%,</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Effect of graduated tax rates</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tax benefit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Impact of Non-U.S. operations</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tax credit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Impact of tax reform</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12,860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Meals and entertainment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Non-deductible interest on contingent payments</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Non-taxable gain on revaluation of contingent consideration liability</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Change in valuation allowance</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(18,526)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2,749</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elimination of stock compensation APIC pool</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IPR&amp;D intangible write-off</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(7,243)</w:t>
            </w:r>
          </w:p>
        </w:tc>
      </w:tr>
      <w:tr>
        <w:trPr>
          <w:trHeight w:val="27"/>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reconciliation of the beginning and ending amount of unrecognized tax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Year ended May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balance at June 1</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899</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1"/>
              </w:rPr>
              <w:t>Decrease in gross amounts of tax positions related to prior years due to U.S.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tax reform</w:t>
            </w:r>
          </w:p>
        </w:tc>
        <w:tc>
          <w:tcPr>
            <w:tcW w:w="46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lapse in statute of limitations</w:t>
            </w:r>
          </w:p>
        </w:tc>
        <w:tc>
          <w:tcPr>
            <w:tcW w:w="4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Unrecognized tax benefits balance at May 31</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899</w:t>
            </w:r>
          </w:p>
        </w:tc>
      </w:tr>
      <w:tr>
        <w:trPr>
          <w:trHeight w:val="20"/>
        </w:trPr>
        <w:tc>
          <w:tcPr>
            <w:tcW w:w="5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table above includes unrecognized tax benefits associated with the calculation of limitations placed on the utilization of tax attributes related to an acquired company. If recognized, $0.5 million would result in adjustments to other tax accounts.</w:t>
      </w:r>
    </w:p>
    <w:p>
      <w:pPr>
        <w:spacing w:after="0" w:line="13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income tax expense. There are no accrued interest and penalties recognized in the consolidated balance sheet as of May 31, 2019 and May 31, 2018.</w:t>
      </w:r>
    </w:p>
    <w:p>
      <w:pPr>
        <w:spacing w:after="0" w:line="13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In the normal course of business the Company is subject to examination by taxing authorities throughout the world. Fiscal years 2016 through 2019 remain open to examination by the various tax authorities.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does not anticipate that the amount of unrecognized tax benefits will significantly change in the next twelve months.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93"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12. ACCRUED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2019 and 2018, accrued liabilities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ind w:left="220"/>
              <w:spacing w:after="0"/>
              <w:rPr>
                <w:sz w:val="20"/>
                <w:szCs w:val="20"/>
                <w:color w:val="auto"/>
              </w:rPr>
            </w:pPr>
            <w:r>
              <w:rPr>
                <w:rFonts w:ascii="Arial" w:cs="Arial" w:eastAsia="Arial" w:hAnsi="Arial"/>
                <w:sz w:val="14"/>
                <w:szCs w:val="14"/>
                <w:color w:val="auto"/>
              </w:rPr>
              <w:t>May 31, 2019</w:t>
            </w:r>
          </w:p>
        </w:tc>
        <w:tc>
          <w:tcPr>
            <w:tcW w:w="340" w:type="dxa"/>
            <w:vAlign w:val="bottom"/>
          </w:tcPr>
          <w:p>
            <w:pPr>
              <w:spacing w:after="0"/>
              <w:rPr>
                <w:sz w:val="16"/>
                <w:szCs w:val="16"/>
                <w:color w:val="auto"/>
              </w:rPr>
            </w:pPr>
          </w:p>
        </w:tc>
        <w:tc>
          <w:tcPr>
            <w:tcW w:w="1600" w:type="dxa"/>
            <w:vAlign w:val="bottom"/>
          </w:tcPr>
          <w:p>
            <w:pPr>
              <w:jc w:val="right"/>
              <w:ind w:right="472"/>
              <w:spacing w:after="0"/>
              <w:rPr>
                <w:sz w:val="20"/>
                <w:szCs w:val="20"/>
                <w:color w:val="auto"/>
              </w:rPr>
            </w:pPr>
            <w:r>
              <w:rPr>
                <w:rFonts w:ascii="Arial" w:cs="Arial" w:eastAsia="Arial" w:hAnsi="Arial"/>
                <w:sz w:val="14"/>
                <w:szCs w:val="14"/>
                <w:color w:val="auto"/>
              </w:rPr>
              <w:t>May 31, 2018</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Royalties</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1,537</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683</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Litigation matters (Note 17)</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12,500</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Indemnification holdback</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8,931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5,135</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34,426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7, 2016, the Company entered into a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8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Credit Agreement provides for a $100.0 million senior secured term loan facility and a $150.0 million senior secured revolving credit facility, which includes up to a $20.0 million sublimit for letters of credit and a $5.0 million sublimit for swingline loans.</w:t>
      </w:r>
    </w:p>
    <w:p>
      <w:pPr>
        <w:spacing w:after="0" w:line="17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On November 7, 2016, the Company borrowed $100.0 million under the Term Loan and approximately $16.5 million under the Revolving Facility to repay the balance of $116.5 million under the former credit agreement. As of May 31, 2019 and 2018 the carrying value of long-term debt approximates its fair market value.</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proceeds of the Revolving Facility may be used for general corporate purposes of the Company and its subsidiaries. The Facilities have a five year maturity. Interest on both the Term Loan and Revolving Facility are based on a base rate or Eurodollar rate plus an applicable margin which increases as total leverage ratio increases, with the base rate and Eurodollar rate having ranges of 0.50% to 1.25% and 1.50% to 2.25% respectively. In case of default, the interest rate may be increased by 2.0%. The Revolving Facility carries a commitment fee of 0.20% to 0.35% per annum on the unused portion. The interest rate on the Term Loan at May 31, 2019 was 3.94%.</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Company's obligations under the Facilities are unconditionally guaranteed, jointly and severally, by the Company's material direct and indirect domestic subsidiaries (the “Guarantors”). All obligations of the Company and the Guarantors under the Facilities are secured by first priority security interests in substantially all of the assets of the Company and the Guarantors.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97" w:lineRule="exact"/>
        <w:rPr>
          <w:sz w:val="20"/>
          <w:szCs w:val="20"/>
          <w:color w:val="auto"/>
        </w:rPr>
      </w:pPr>
    </w:p>
    <w:p>
      <w:pPr>
        <w:ind w:left="660" w:right="400" w:firstLine="428"/>
        <w:spacing w:after="0" w:line="324" w:lineRule="auto"/>
        <w:tabs>
          <w:tab w:leader="none" w:pos="1371"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3.50 to 1.00 (during certain periods following material acquisitions shall be increased to 3.75 to 1.00).</w:t>
      </w:r>
    </w:p>
    <w:p>
      <w:pPr>
        <w:spacing w:after="0" w:line="170" w:lineRule="exact"/>
        <w:rPr>
          <w:rFonts w:ascii="Arial" w:cs="Arial" w:eastAsia="Arial" w:hAnsi="Arial"/>
          <w:sz w:val="18"/>
          <w:szCs w:val="18"/>
          <w:color w:val="auto"/>
        </w:rPr>
      </w:pPr>
    </w:p>
    <w:p>
      <w:pPr>
        <w:ind w:left="660" w:right="380" w:firstLine="428"/>
        <w:spacing w:after="0" w:line="395" w:lineRule="auto"/>
        <w:tabs>
          <w:tab w:leader="none" w:pos="1416" w:val="left"/>
        </w:tabs>
        <w:numPr>
          <w:ilvl w:val="0"/>
          <w:numId w:val="67"/>
        </w:numPr>
        <w:rPr>
          <w:rFonts w:ascii="Arial" w:cs="Arial" w:eastAsia="Arial" w:hAnsi="Arial"/>
          <w:sz w:val="16"/>
          <w:szCs w:val="16"/>
          <w:color w:val="auto"/>
        </w:rPr>
      </w:pPr>
      <w:r>
        <w:rPr>
          <w:rFonts w:ascii="Arial" w:cs="Arial" w:eastAsia="Arial" w:hAnsi="Arial"/>
          <w:sz w:val="16"/>
          <w:szCs w:val="16"/>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999" w:right="239" w:bottom="1440" w:gutter="0" w:footer="0" w:header="0"/>
        </w:sectPr>
      </w:pPr>
    </w:p>
    <w:bookmarkStart w:id="93" w:name="page94"/>
    <w:bookmarkEnd w:id="93"/>
    <w:p>
      <w:pPr>
        <w:ind w:firstLine="8"/>
        <w:spacing w:after="0" w:line="257" w:lineRule="auto"/>
        <w:tabs>
          <w:tab w:leader="none" w:pos="108"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definitions of consolidated total indebtedness and consolidated EBITDA are maintained in the credit agreement included as an exhibit to Form 8-k filed on November 10, 2016 and in Amendment One, dated May 24, 2018 and included as an exhibit to the fiscal year 2018 Form 10-K. This amendment increased the amount of U.S. cash that can be utilized to calculate net debt from $10.0 million to $20.0 million.</w:t>
      </w:r>
    </w:p>
    <w:p>
      <w:pPr>
        <w:spacing w:after="0" w:line="18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Refer to Note 22 for the new Credit Agreement, including updated debt covenants, that was entered into on June 3, 2019. These debt covenants were applicable for the year ended May 31, 2019. The Company was in compliance with both of those covenants as of May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maturities of principal obligations under the credit agreement are as follows, as of May 31,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6"/>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11,250</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68,750</w:t>
            </w:r>
          </w:p>
        </w:tc>
      </w:tr>
      <w:tr>
        <w:trPr>
          <w:trHeight w:val="237"/>
        </w:trPr>
        <w:tc>
          <w:tcPr>
            <w:tcW w:w="10280" w:type="dxa"/>
            <w:vAlign w:val="bottom"/>
          </w:tcPr>
          <w:p>
            <w:pPr>
              <w:ind w:left="260"/>
              <w:spacing w:after="0"/>
              <w:rPr>
                <w:sz w:val="20"/>
                <w:szCs w:val="20"/>
                <w:color w:val="auto"/>
              </w:rPr>
            </w:pPr>
            <w:r>
              <w:rPr>
                <w:rFonts w:ascii="Arial" w:cs="Arial" w:eastAsia="Arial" w:hAnsi="Arial"/>
                <w:sz w:val="18"/>
                <w:szCs w:val="18"/>
                <w:color w:val="auto"/>
              </w:rPr>
              <w:t>Total term loan</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87,500</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facility</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r>
      <w:tr>
        <w:trPr>
          <w:trHeight w:val="237"/>
        </w:trPr>
        <w:tc>
          <w:tcPr>
            <w:tcW w:w="1028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132,500</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7"/>
        </w:trPr>
        <w:tc>
          <w:tcPr>
            <w:tcW w:w="10280" w:type="dxa"/>
            <w:vAlign w:val="bottom"/>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131,907</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7"/>
        </w:trPr>
        <w:tc>
          <w:tcPr>
            <w:tcW w:w="10280" w:type="dxa"/>
            <w:vAlign w:val="bottom"/>
          </w:tcPr>
          <w:p>
            <w:pPr>
              <w:ind w:left="260"/>
              <w:spacing w:after="0"/>
              <w:rPr>
                <w:sz w:val="20"/>
                <w:szCs w:val="20"/>
                <w:color w:val="auto"/>
              </w:rPr>
            </w:pPr>
            <w:r>
              <w:rPr>
                <w:rFonts w:ascii="Arial" w:cs="Arial" w:eastAsia="Arial" w:hAnsi="Arial"/>
                <w:sz w:val="18"/>
                <w:szCs w:val="18"/>
                <w:color w:val="auto"/>
              </w:rPr>
              <w:t>Total long-term debt, net of current portion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124,407</w:t>
            </w:r>
          </w:p>
        </w:tc>
      </w:tr>
      <w:tr>
        <w:trPr>
          <w:trHeight w:val="27"/>
        </w:trPr>
        <w:tc>
          <w:tcPr>
            <w:tcW w:w="10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10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PLANS</w:t>
      </w:r>
    </w:p>
    <w:p>
      <w:pPr>
        <w:spacing w:after="0" w:line="2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has a 401(k) plan under which eligible employees can defer a portion of their compensation, part of which is matched by the Company. Matching contributions were $3.6 million, $3.9 million and $4.2 million in 2019, 2018 and 2017, respectively. There are also various immaterial foreign retirement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2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24"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8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Stock and Incentive Award Plan</w:t>
      </w:r>
    </w:p>
    <w:p>
      <w:pPr>
        <w:spacing w:after="0" w:line="17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2004 Stock and Incentive Award Plan (the “2004 Plan”) provides for the grant of incentive options to employees and for the grant of non-statutory stock options, restricted stock, stock appreciation rights, performance units, performance shares and other incentive awards to employees, directors and other service providers. A total of 7,750,000 shares of common stock have been reserved for issuance under the 2004 Plan, of which up to 800,000 shares may be issued upon the exercise of incentive stock options. The Compensation Committee of the Board of Directors administers the 2004 Plan. The Committee determines vesting terms and the exercise price of options granted under the 2004 Plan, but for all incentive stock options the exercise price must at least be equal to the fair market value of common stock on the date of grant. The term of an incentive stock option may not exceed ten years.</w:t>
      </w:r>
    </w:p>
    <w:p>
      <w:pPr>
        <w:spacing w:after="0" w:line="11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October 25, 2016, the Company amended the 2004 Stock and Incentive Award Plan to increase the shares of common stock reserved for issuance by 250,000 shares. On October 10, 2018, the Company amended the 2004 Stock and Incentive Award Plan to increase the shares of common stock reserved for issuance by 750,000 shares.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2019, there remained approximately 2.1 million shares available for granting under the 2004 Plan.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 activity for the fiscal year ended May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Weighted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Weighted-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average</w:t>
            </w:r>
          </w:p>
        </w:tc>
        <w:tc>
          <w:tcPr>
            <w:tcW w:w="200" w:type="dxa"/>
            <w:vAlign w:val="bottom"/>
          </w:tcPr>
          <w:p>
            <w:pPr>
              <w:spacing w:after="0"/>
              <w:rPr>
                <w:sz w:val="12"/>
                <w:szCs w:val="12"/>
                <w:color w:val="auto"/>
              </w:rPr>
            </w:pPr>
          </w:p>
        </w:tc>
        <w:tc>
          <w:tcPr>
            <w:tcW w:w="940" w:type="dxa"/>
            <w:vAlign w:val="bottom"/>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average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remaining</w:t>
            </w:r>
          </w:p>
        </w:tc>
        <w:tc>
          <w:tcPr>
            <w:tcW w:w="2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intrinsic</w:t>
            </w: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exercise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contractual</w:t>
            </w:r>
          </w:p>
        </w:tc>
        <w:tc>
          <w:tcPr>
            <w:tcW w:w="2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4"/>
              </w:rPr>
              <w:t>value (in</w:t>
            </w:r>
          </w:p>
        </w:tc>
      </w:tr>
      <w:tr>
        <w:trPr>
          <w:trHeight w:val="188"/>
        </w:trPr>
        <w:tc>
          <w:tcPr>
            <w:tcW w:w="6520" w:type="dxa"/>
            <w:vAlign w:val="bottom"/>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w w:val="98"/>
              </w:rPr>
              <w:t>price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89"/>
              </w:rPr>
              <w:t>thousands)</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Outstanding at beginning of year - June 1, 2018</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1,696,413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391,264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(184,168)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(143,196)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Expired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 - May 31, 2019</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1,760,313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4,672</w:t>
            </w:r>
          </w:p>
        </w:tc>
      </w:tr>
      <w:tr>
        <w:trPr>
          <w:trHeight w:val="291"/>
        </w:trPr>
        <w:tc>
          <w:tcPr>
            <w:tcW w:w="6520" w:type="dxa"/>
            <w:vAlign w:val="bottom"/>
            <w:tcBorders>
              <w:bottom w:val="single" w:sz="8" w:color="CCEEFF"/>
            </w:tcBorders>
          </w:tcPr>
          <w:p>
            <w:pPr>
              <w:ind w:left="40"/>
              <w:spacing w:after="0" w:line="203" w:lineRule="exact"/>
              <w:rPr>
                <w:sz w:val="20"/>
                <w:szCs w:val="20"/>
                <w:color w:val="auto"/>
              </w:rPr>
            </w:pPr>
            <w:r>
              <w:rPr>
                <w:rFonts w:ascii="Arial" w:cs="Arial" w:eastAsia="Arial" w:hAnsi="Arial"/>
                <w:sz w:val="18"/>
                <w:szCs w:val="18"/>
                <w:color w:val="auto"/>
              </w:rPr>
              <w:t>Options exercisable at year-end</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831,924</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3,092</w:t>
            </w:r>
          </w:p>
        </w:tc>
      </w:tr>
      <w:tr>
        <w:trPr>
          <w:trHeight w:val="251"/>
        </w:trPr>
        <w:tc>
          <w:tcPr>
            <w:tcW w:w="65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Options expected to vest in future periods</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928,389</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1,579</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Stock options are granted at exercise prices equal to the quoted market price of common stock at the date of the grant. Options vest 25% per year over four years for employees. Grants to directors vest 33.33% per year over three years. Stock options granted prior to May 1, 2007 and after June 1, 2017 expire on the tenth anniversary of the grant date. Stock options granted between May 1, 2007 through May 31, 2017 expire on the seventh anniversary of the grant date.</w:t>
      </w:r>
    </w:p>
    <w:p>
      <w:pPr>
        <w:spacing w:after="0" w:line="13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Company measures the fair value of each stock option grant at the date of grant using a Black-Scholes option pricing model. The weighted average grant-date fair value of options granted during the years ended May 31, 2019, 2018 and 2017 was $6.53, $4.95, and $4.70, respectively. The following assumptions were used in arriving at the fair value of options granted during 2019, 2018 and 2017, respectively: risk-free interest rates of 2.78%, 2.08% and 1.30%; expected volatility of 31%, 30%, and 31%; and expected lives of 4.79 years, 4.72 years, and 4.80 years. The Company does not declare dividends therefore a dividend yield of zero was used for the years ended May 31, 2019, 2018 and 2017. Risk-free interest rates reflect the yield on zero-coupon U.S. Treasury bonds whose maturity period equals the expected term of the option. Expected volatilities are based on the historical volatility of the Company's stock. The expected option lives are based on historical experience of employee exercise behavior.</w:t>
      </w:r>
    </w:p>
    <w:p>
      <w:pPr>
        <w:spacing w:after="0" w:line="12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total intrinsic value of options exercised during the years ended May 31, 2019, 2018 and 2017 was $1.4 million, $0.7 million, and $2.8 million, respectively. As of May 31, 2019, there was $3.9 million of total unrecognized compensation cost related to non-vested options, which is expected to be recognized over a weighted average period of 3 years.</w:t>
      </w:r>
    </w:p>
    <w:p>
      <w:pPr>
        <w:spacing w:after="0" w:line="127"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Cash received from option exercises during 2018, 2017 and 2016 was $1.5 million, $2.0 million and $9.9 million, respectively. Due to the valuation allowance there was no tax benefit realized from stock option exercises during the years ended May 31, 2019, 2018 and 2017.</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8"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Performance Share and Restricted Stock Unit Awards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grants restricted stock units to certain employees under the 2004 Plan which give the recipients the right to receive shares of Company stock upon vesting. The restricted stock unit awards vest in four equal annual installments beginning on the first anniversary of the grant date. Restricted stock unit awards granted to directors vest over one year. Unvested restricted stock unit awards will be forfeited if the recipient ceases to be employed by the Company.</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restricted stock unit activity for the year ended May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jc w:val="right"/>
              <w:ind w:right="475"/>
              <w:spacing w:after="0"/>
              <w:rPr>
                <w:sz w:val="20"/>
                <w:szCs w:val="20"/>
                <w:color w:val="auto"/>
              </w:rPr>
            </w:pPr>
            <w:r>
              <w:rPr>
                <w:rFonts w:ascii="Arial" w:cs="Arial" w:eastAsia="Arial" w:hAnsi="Arial"/>
                <w:sz w:val="14"/>
                <w:szCs w:val="14"/>
                <w:color w:val="auto"/>
              </w:rPr>
              <w:t>Weighted Average</w:t>
            </w:r>
          </w:p>
        </w:tc>
      </w:tr>
      <w:tr>
        <w:trPr>
          <w:trHeight w:val="188"/>
        </w:trPr>
        <w:tc>
          <w:tcPr>
            <w:tcW w:w="69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Restricted Stock Units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Grant-Date Fair Value</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beginning of year, June 1, 2018</w:t>
            </w:r>
          </w:p>
        </w:tc>
        <w:tc>
          <w:tcPr>
            <w:tcW w:w="2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474,502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33"/>
              <w:spacing w:after="0"/>
              <w:rPr>
                <w:sz w:val="20"/>
                <w:szCs w:val="20"/>
                <w:color w:val="auto"/>
              </w:rPr>
            </w:pPr>
            <w:r>
              <w:rPr>
                <w:rFonts w:ascii="Arial" w:cs="Arial" w:eastAsia="Arial" w:hAnsi="Arial"/>
                <w:sz w:val="18"/>
                <w:szCs w:val="18"/>
                <w:color w:val="auto"/>
              </w:rPr>
              <w:t>244,405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20.87</w:t>
            </w: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(210,865)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Canceled</w:t>
            </w:r>
          </w:p>
        </w:tc>
        <w:tc>
          <w:tcPr>
            <w:tcW w:w="2180" w:type="dxa"/>
            <w:vAlign w:val="bottom"/>
          </w:tcPr>
          <w:p>
            <w:pPr>
              <w:jc w:val="right"/>
              <w:spacing w:after="0"/>
              <w:rPr>
                <w:sz w:val="20"/>
                <w:szCs w:val="20"/>
                <w:color w:val="auto"/>
              </w:rPr>
            </w:pPr>
            <w:r>
              <w:rPr>
                <w:rFonts w:ascii="Arial" w:cs="Arial" w:eastAsia="Arial" w:hAnsi="Arial"/>
                <w:sz w:val="18"/>
                <w:szCs w:val="18"/>
                <w:color w:val="auto"/>
              </w:rPr>
              <w:t>(77,106)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17.98</w:t>
            </w:r>
          </w:p>
        </w:tc>
      </w:tr>
      <w:tr>
        <w:trPr>
          <w:trHeight w:val="27"/>
        </w:trPr>
        <w:tc>
          <w:tcPr>
            <w:tcW w:w="69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year, May 31, 2019</w:t>
            </w:r>
          </w:p>
        </w:tc>
        <w:tc>
          <w:tcPr>
            <w:tcW w:w="2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430,936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18.60</w:t>
            </w:r>
          </w:p>
        </w:tc>
      </w:tr>
      <w:tr>
        <w:trPr>
          <w:trHeight w:val="20"/>
        </w:trPr>
        <w:tc>
          <w:tcPr>
            <w:tcW w:w="6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fair value of each restricted stock unit is the market price of Company stock on the date of grant. The weighted average grant date fair value of restricted stock units granted during the years ended May 31, 2019, 2018 and 2017 was $20.87, $16.60 and $16.54, respectively. The total intrinsic value of restricted stock units (meaning the fair value of the units on the date of vest) vesting during the years ended May 31, 2019, 2018 and 2017 was $4.6 million, $2.7 million, and $2.9 million, respectively. As of May 31, 2019, there was $5.2 million of total unrecognized compensation cost related to non-vested restricted stock awards, which is expected to be recognized over a weighted average period of 3 years.</w:t>
      </w:r>
    </w:p>
    <w:p>
      <w:pPr>
        <w:spacing w:after="0" w:line="17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grants performance share awards to certain employees under the 2004 Plan which gives the recipients the right to receive shares of Company stock if certain criteria is met. The performance criteria is established by the compensation committee for vesting of the performance share awards and is determined by the achievement of relative total shareholder return ("TSR"). Performance share awards are subject to additional conditions, including the recipient’s continued employment with the Company.</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performance unit award activity for the year ended May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jc w:val="right"/>
              <w:ind w:right="475"/>
              <w:spacing w:after="0"/>
              <w:rPr>
                <w:sz w:val="20"/>
                <w:szCs w:val="20"/>
                <w:color w:val="auto"/>
              </w:rPr>
            </w:pPr>
            <w:r>
              <w:rPr>
                <w:rFonts w:ascii="Arial" w:cs="Arial" w:eastAsia="Arial" w:hAnsi="Arial"/>
                <w:sz w:val="14"/>
                <w:szCs w:val="14"/>
                <w:color w:val="auto"/>
              </w:rPr>
              <w:t>Weighted Average</w:t>
            </w:r>
          </w:p>
        </w:tc>
      </w:tr>
      <w:tr>
        <w:trPr>
          <w:trHeight w:val="188"/>
        </w:trPr>
        <w:tc>
          <w:tcPr>
            <w:tcW w:w="69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Performance Unit Awards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Grant-Date Fair Value</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beginning of year, June 1, 2018</w:t>
            </w:r>
          </w:p>
        </w:tc>
        <w:tc>
          <w:tcPr>
            <w:tcW w:w="2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451,856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33"/>
              <w:spacing w:after="0"/>
              <w:rPr>
                <w:sz w:val="20"/>
                <w:szCs w:val="20"/>
                <w:color w:val="auto"/>
              </w:rPr>
            </w:pPr>
            <w:r>
              <w:rPr>
                <w:rFonts w:ascii="Arial" w:cs="Arial" w:eastAsia="Arial" w:hAnsi="Arial"/>
                <w:sz w:val="18"/>
                <w:szCs w:val="18"/>
                <w:color w:val="auto"/>
              </w:rPr>
              <w:t>126,356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28.62</w:t>
            </w: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Canceled</w:t>
            </w:r>
          </w:p>
        </w:tc>
        <w:tc>
          <w:tcPr>
            <w:tcW w:w="2180" w:type="dxa"/>
            <w:vAlign w:val="bottom"/>
          </w:tcPr>
          <w:p>
            <w:pPr>
              <w:jc w:val="right"/>
              <w:spacing w:after="0"/>
              <w:rPr>
                <w:sz w:val="20"/>
                <w:szCs w:val="20"/>
                <w:color w:val="auto"/>
              </w:rPr>
            </w:pPr>
            <w:r>
              <w:rPr>
                <w:rFonts w:ascii="Arial" w:cs="Arial" w:eastAsia="Arial" w:hAnsi="Arial"/>
                <w:sz w:val="18"/>
                <w:szCs w:val="18"/>
                <w:color w:val="auto"/>
              </w:rPr>
              <w:t>(31,804)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24.03</w:t>
            </w:r>
          </w:p>
        </w:tc>
      </w:tr>
      <w:tr>
        <w:trPr>
          <w:trHeight w:val="27"/>
        </w:trPr>
        <w:tc>
          <w:tcPr>
            <w:tcW w:w="69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year, May 31, 2019</w:t>
            </w:r>
          </w:p>
        </w:tc>
        <w:tc>
          <w:tcPr>
            <w:tcW w:w="2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538,605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21.55</w:t>
            </w:r>
          </w:p>
        </w:tc>
      </w:tr>
      <w:tr>
        <w:trPr>
          <w:trHeight w:val="20"/>
        </w:trPr>
        <w:tc>
          <w:tcPr>
            <w:tcW w:w="6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During fiscal years 2019, 2018 and 2017, we granted performance unit awards that include a three-year market condition. Vesting of the performance unit awards is based on the Company's level of attainment of specified total shareholder return ("TSR") targets relative to the percentage appreciation of a specified index of companies for the respective three-year periods. It is also subject to the continued employment of the grantees. In order to estimate the fair value of such awards, we used a Monte Carlo Simulation valuation model on the date of the grant. For the years ended May 31, 2019, 2018 and 2017, the weighted average grant date fair market value for new grants was $28.62, $23.83 and $22.61, respectively. Compensation cost is recognized over the performance period which is typically three years. As of May 31, 2019, 0.5 million performance share units with a weighted average remaining contractual term of 1 year and $3.5 million of unrecognized compensation cost were outstanding.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8"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represents the break out of share-based compensation included in the Company's consolidated statement of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314</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4,026</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7"/>
        </w:trPr>
        <w:tc>
          <w:tcPr>
            <w:tcW w:w="70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9,249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6,183</w:t>
            </w:r>
          </w:p>
        </w:tc>
      </w:tr>
      <w:tr>
        <w:trPr>
          <w:trHeight w:val="27"/>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income tax benefit on the compensation expense recognized for all share-based compensation arrangements was $2.1 million, $1.8 million and $2.2 million for the years ended May 31, 2019, 2018 and 2017, respectively. The income tax benefit for 2019, 2018 and 2017 are negated by the full valuation allowance recorded against the deferred tax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The Employee Stock Purchase Plan (the “Stock Purchase Plan”) provides a means by which employees (the “participants”) are given an opportunity to purchase the Company's common stock through payroll deductions. A total of 3,500,000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 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During the years ended May 31, 2017 and 2019, an additional 500,000 and 1,000,000 shares of the Company's common stock, respectively, were reserved for issuance under the Stock Purchase Plan.</w:t>
      </w:r>
    </w:p>
    <w:p>
      <w:pPr>
        <w:spacing w:after="0" w:line="119"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The Company uses the Black-Scholes option-pricing model to calculate the purchase date fair value of the shares issued under the Stock Purchase Plan and recognize expense related to shares purchased ratably over the offering period. During the years ended May 31, 2019, 2018 and 2017, 72,863, 89,943 and 129,185 shares, respectively, were issued at an average price of $16.08, $14.03 and $11.00, respectively, under the Stock Purchase Plan. As of May 31, 2019, 2.2 million shares remained available for future purchases under the Stock Purchase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017" w:right="239" w:bottom="1440" w:gutter="0" w:footer="0" w:header="0"/>
        </w:sectPr>
      </w:pPr>
    </w:p>
    <w:bookmarkStart w:id="97" w:name="page98"/>
    <w:bookmarkEnd w:id="97"/>
    <w:p>
      <w:pPr>
        <w:ind w:left="420"/>
        <w:spacing w:after="0"/>
        <w:rPr>
          <w:sz w:val="20"/>
          <w:szCs w:val="20"/>
          <w:color w:val="auto"/>
        </w:rPr>
      </w:pPr>
      <w:r>
        <w:rPr>
          <w:rFonts w:ascii="Arial" w:cs="Arial" w:eastAsia="Arial" w:hAnsi="Arial"/>
          <w:sz w:val="18"/>
          <w:szCs w:val="18"/>
          <w:color w:val="auto"/>
        </w:rPr>
        <w:t>The following table reconciles basic to diluted weighted average shares outstanding for the years ended May 31, 2019, 2018 and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Year ended May 31,</w:t>
            </w:r>
          </w:p>
        </w:tc>
        <w:tc>
          <w:tcPr>
            <w:tcW w:w="194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37,484,573</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37,074,797</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36,616,859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37,484,573</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37,074,797</w:t>
            </w:r>
          </w:p>
        </w:tc>
        <w:tc>
          <w:tcPr>
            <w:tcW w:w="2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36,616,859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2,200,318</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1,077,256</w:t>
            </w:r>
          </w:p>
        </w:tc>
        <w:tc>
          <w:tcPr>
            <w:tcW w:w="2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1,058,790</w:t>
            </w:r>
          </w:p>
        </w:tc>
      </w:tr>
      <w:tr>
        <w:trPr>
          <w:trHeight w:val="20"/>
        </w:trPr>
        <w:tc>
          <w:tcPr>
            <w:tcW w:w="5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Company is committed under non-cancelable operating leases for facilities and equipment. During fiscal years 2019, 2018 and 2017, aggregate rental costs under all operating leases were approximately $2.5 million, $2.8 million and $2.5 million, respectively. Future annual payments under non-cancelable operating leases in the aggregate at May 31, 2019, are summarized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2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80"/>
        </w:trPr>
        <w:tc>
          <w:tcPr>
            <w:tcW w:w="9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2,338</w:t>
            </w:r>
          </w:p>
        </w:tc>
      </w:tr>
      <w:tr>
        <w:trPr>
          <w:trHeight w:val="27"/>
        </w:trPr>
        <w:tc>
          <w:tcPr>
            <w:tcW w:w="9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2,133</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2,131</w:t>
            </w:r>
          </w:p>
        </w:tc>
      </w:tr>
      <w:tr>
        <w:trPr>
          <w:trHeight w:val="27"/>
        </w:trPr>
        <w:tc>
          <w:tcPr>
            <w:tcW w:w="9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8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3,227</w:t>
            </w:r>
          </w:p>
        </w:tc>
      </w:tr>
      <w:tr>
        <w:trPr>
          <w:trHeight w:val="237"/>
        </w:trPr>
        <w:tc>
          <w:tcPr>
            <w:tcW w:w="9240" w:type="dxa"/>
            <w:vAlign w:val="bottom"/>
          </w:tcPr>
          <w:p>
            <w:pPr>
              <w:spacing w:after="0"/>
              <w:rPr>
                <w:sz w:val="20"/>
                <w:szCs w:val="20"/>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12,749</w:t>
            </w:r>
          </w:p>
        </w:tc>
      </w:tr>
      <w:tr>
        <w:trPr>
          <w:trHeight w:val="27"/>
        </w:trPr>
        <w:tc>
          <w:tcPr>
            <w:tcW w:w="9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Included in the future annual payments above is a lease for the Company's corporate facility that was signed in fiscal year 2019 and will become effective in the first half of fiscal year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other future commitments and contingencies as of May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57"/>
              <w:spacing w:after="0"/>
              <w:rPr>
                <w:sz w:val="20"/>
                <w:szCs w:val="20"/>
                <w:color w:val="auto"/>
              </w:rPr>
            </w:pPr>
            <w:r>
              <w:rPr>
                <w:rFonts w:ascii="Arial" w:cs="Arial" w:eastAsia="Arial" w:hAnsi="Arial"/>
                <w:sz w:val="14"/>
                <w:szCs w:val="14"/>
                <w:color w:val="auto"/>
                <w:w w:val="99"/>
              </w:rPr>
              <w:t>2024 and</w:t>
            </w:r>
          </w:p>
        </w:tc>
      </w:tr>
      <w:tr>
        <w:trPr>
          <w:trHeight w:val="18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w w:val="96"/>
              </w:rPr>
              <w:t>thereafter</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55,300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40,100</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40,100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ind w:left="60" w:right="20" w:firstLine="2"/>
        <w:spacing w:after="0" w:line="263" w:lineRule="auto"/>
        <w:tabs>
          <w:tab w:leader="none" w:pos="2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non-cancelable inventory purchase obligations are not reflected on our consolidated balance sheets under accounting principles generally accepted in the United States of America.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January 11, 2012, C.R. Bard, Inc. (“Bard”) filed a suit in the United States District Court of Utah claiming certain of our implantable port products infringe on three U.S. patents held by Bard (the “Utah Action”). Bard’s Complaint sought unspecified damages and other relief. We filed petitions for reexamination in the U.S. Patent and Trademark Office (“USPTO”) seeking to invalidate all three patents asserted by Bard in the litigation. Our petitions were granted and 40 of Bard's 51 patent claims were rejected and, following further proceedings, the Patent Office issued a Final Rejection of all 40 claims subject to</w:t>
      </w:r>
    </w:p>
    <w:p>
      <w:pPr>
        <w:sectPr>
          <w:pgSz w:w="11900" w:h="16838" w:orient="portrait"/>
          <w:cols w:equalWidth="0" w:num="1">
            <w:col w:w="11420"/>
          </w:cols>
          <w:pgMar w:left="240" w:top="36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68" w:right="239" w:bottom="1440" w:gutter="0" w:footer="0" w:header="0"/>
          <w:type w:val="continuous"/>
        </w:sectPr>
      </w:pPr>
    </w:p>
    <w:bookmarkStart w:id="98" w:name="page99"/>
    <w:bookmarkEnd w:id="98"/>
    <w:p>
      <w:pPr>
        <w:spacing w:after="0" w:line="285" w:lineRule="auto"/>
        <w:rPr>
          <w:sz w:val="20"/>
          <w:szCs w:val="20"/>
          <w:color w:val="auto"/>
        </w:rPr>
      </w:pPr>
      <w:r>
        <w:rPr>
          <w:rFonts w:ascii="Arial" w:cs="Arial" w:eastAsia="Arial" w:hAnsi="Arial"/>
          <w:sz w:val="16"/>
          <w:szCs w:val="16"/>
          <w:color w:val="auto"/>
        </w:rPr>
        <w:t>reexamination. Thereafter, Bard filed appeals to the USPTO Board of Appeals and Interferences for all three reexaminations.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The PTO denied all three Rehearing Requests - - on February 1, 2017 for the ‘302 reexam; on February 17, 2017 for the ‘022 reexam; and on February 21, 2017 for the ‘615 reexam, but modified its characterization of one prior art reference for the ‘302 and ‘022 decisions. Bard filed a Notice of Appeal to the Federal Circuit Court of Appeals in all three reexams and the Company filed Cross-Appeals for the ‘302 and the ‘615 reexams. The parties have completed the process of filing the various appellate briefs. Medcomp also filed an Amicus Brief in support of the Company on November 22, 2017. An oral hearing was held on September 5, 2018 and the court rendered its decision on September 28, 2018, affirming that claims 1-5 and 10 of the ‘615 patent were invalid but that claims 6-7 of the 615 patent and claims 1-4 of the 302 patent were valid over the asserted prior art references.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6-9. The USPTO has since issued Inter Partes Reexamination Certificates for the ‘302 Patent (confirming validity of claims 1-10) on June 10, 2019, and for the ‘022 patent (confirming validity of claims 1-20) on July 2, 2019. A Certificate has not yet been issued for ‘615. Meanwhile, the Utah action remains stayed; and, on July 12, 2017, Bard assigned the asserted patents to Bard Peripheral Vascular, Inc. (“BPV”) which was added as Co-Appellant before the Federal Circuit and as a co-Plaintiff in the Utah action.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68"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On March 10, 2015, C.R. Bard, Inc. ("Bard") and Bard Peripheral Vascular, Inc.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 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was issued on February 11, 2019 and entered by the Court on February 28, 2019. Jury selection was held on Friday March 1, 2019 and trial began on March 4, 2019. On day four of the jury trial, at the close of C.R. Bard’s case (Plaintiff), Judge Bataillon granted judgment as a matter of law (JMOL) under rule 50(a) in favor of AngioDynamics, dismissing Bard’s suit.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is currently due on July 29, 2019. We maintain our belief that Bard’s claims are without merit. The Company has not recorded an expense related to the outcome of this litigation because it is not yet possible to determine if a potential loss is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8"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The parties are currently engaged in discovery, which is set to close in January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225" w:lineRule="exact"/>
        <w:rPr>
          <w:sz w:val="20"/>
          <w:szCs w:val="20"/>
          <w:color w:val="auto"/>
        </w:rPr>
      </w:pPr>
    </w:p>
    <w:p>
      <w:pPr>
        <w:jc w:val="both"/>
        <w:ind w:right="100" w:firstLine="392"/>
        <w:spacing w:after="0" w:line="279" w:lineRule="auto"/>
        <w:rPr>
          <w:sz w:val="20"/>
          <w:szCs w:val="20"/>
          <w:color w:val="auto"/>
        </w:rPr>
      </w:pPr>
      <w:r>
        <w:rPr>
          <w:rFonts w:ascii="Arial" w:cs="Arial" w:eastAsia="Arial" w:hAnsi="Arial"/>
          <w:sz w:val="17"/>
          <w:szCs w:val="17"/>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in which AngioDynamics agreed to make a lump-sum payment to Merz in return for dismissal of the case with prejudice. Merz filed a stipulation of dismissal with the Court on July 23, 2019.</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 AND GEOGRAPHIC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considers its business to be a single segment entity related to the development, manufacture and sale on a global basis of medical devices for vascular access, surgery, peripheral vascular disease and oncology. The Company's chief operating decision maker (CEO) evaluates the various global product portfolios on a net sales basis. Executives reporting in to the CEO include those responsible for operations and supply chain management, research and development, sales, franchise marketing and certain corporate functions. The CEO evaluates profitability, investment and cash flow metrics on a consolidated worldwide basis due to shared infrastructure and resources.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sales by product category are summarized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1"/>
              </w:rPr>
              <w:t>Year ended May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Vascular Interventions &amp; Therapies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119,901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119,704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128,747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92,760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96,481</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4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56,003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49,191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44,560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jc w:val="center"/>
              <w:ind w:right="3833"/>
              <w:spacing w:after="0"/>
              <w:rPr>
                <w:sz w:val="20"/>
                <w:szCs w:val="20"/>
                <w:color w:val="auto"/>
              </w:rPr>
            </w:pPr>
            <w:r>
              <w:rPr>
                <w:rFonts w:ascii="Arial" w:cs="Arial" w:eastAsia="Arial" w:hAnsi="Arial"/>
                <w:sz w:val="18"/>
                <w:szCs w:val="18"/>
                <w:color w:val="auto"/>
                <w:w w:val="89"/>
              </w:rPr>
              <w:t>Total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270,634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261,655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269,788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jc w:val="center"/>
              <w:ind w:right="3813"/>
              <w:spacing w:after="0"/>
              <w:rPr>
                <w:sz w:val="20"/>
                <w:szCs w:val="20"/>
                <w:color w:val="auto"/>
              </w:rPr>
            </w:pPr>
            <w:r>
              <w:rPr>
                <w:rFonts w:ascii="Arial" w:cs="Arial" w:eastAsia="Arial" w:hAnsi="Arial"/>
                <w:sz w:val="18"/>
                <w:szCs w:val="18"/>
                <w:b w:val="1"/>
                <w:bCs w:val="1"/>
                <w:i w:val="1"/>
                <w:iCs w:val="1"/>
                <w:color w:val="auto"/>
                <w:w w:val="89"/>
              </w:rPr>
              <w:t>Geographic information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20" w:type="dxa"/>
            <w:vAlign w:val="bottom"/>
          </w:tcPr>
          <w:p>
            <w:pPr>
              <w:ind w:left="440"/>
              <w:spacing w:after="0"/>
              <w:rPr>
                <w:sz w:val="20"/>
                <w:szCs w:val="20"/>
                <w:color w:val="auto"/>
              </w:rPr>
            </w:pPr>
            <w:r>
              <w:rPr>
                <w:rFonts w:ascii="Arial" w:cs="Arial" w:eastAsia="Arial" w:hAnsi="Arial"/>
                <w:sz w:val="18"/>
                <w:szCs w:val="18"/>
                <w:color w:val="auto"/>
                <w:w w:val="92"/>
              </w:rPr>
              <w:t>Total sales for geographic areas are summarized below (in thousands):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7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1"/>
              </w:rPr>
              <w:t>Year ended May 31,</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216,957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213,727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223,816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47,928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45,972</w:t>
            </w:r>
          </w:p>
        </w:tc>
        <w:tc>
          <w:tcPr>
            <w:tcW w:w="0" w:type="dxa"/>
            <w:vAlign w:val="bottom"/>
          </w:tcPr>
          <w:p>
            <w:pPr>
              <w:spacing w:after="0"/>
              <w:rPr>
                <w:sz w:val="1"/>
                <w:szCs w:val="1"/>
                <w:color w:val="auto"/>
              </w:rPr>
            </w:pPr>
          </w:p>
        </w:tc>
      </w:tr>
      <w:tr>
        <w:trPr>
          <w:trHeight w:val="237"/>
        </w:trPr>
        <w:tc>
          <w:tcPr>
            <w:tcW w:w="5720" w:type="dxa"/>
            <w:vAlign w:val="bottom"/>
          </w:tcPr>
          <w:p>
            <w:pPr>
              <w:jc w:val="center"/>
              <w:ind w:right="3833"/>
              <w:spacing w:after="0"/>
              <w:rPr>
                <w:sz w:val="20"/>
                <w:szCs w:val="20"/>
                <w:color w:val="auto"/>
              </w:rPr>
            </w:pPr>
            <w:r>
              <w:rPr>
                <w:rFonts w:ascii="Arial" w:cs="Arial" w:eastAsia="Arial" w:hAnsi="Arial"/>
                <w:sz w:val="18"/>
                <w:szCs w:val="18"/>
                <w:color w:val="auto"/>
                <w:w w:val="89"/>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270,634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261,655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269,788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60" w:firstLine="432"/>
        <w:spacing w:after="0" w:line="312" w:lineRule="auto"/>
        <w:rPr>
          <w:sz w:val="20"/>
          <w:szCs w:val="20"/>
          <w:color w:val="auto"/>
        </w:rPr>
      </w:pPr>
      <w:r>
        <w:rPr>
          <w:rFonts w:ascii="Arial" w:cs="Arial" w:eastAsia="Arial" w:hAnsi="Arial"/>
          <w:sz w:val="16"/>
          <w:szCs w:val="16"/>
          <w:color w:val="auto"/>
        </w:rPr>
        <w:t>For fiscal years 2019, 2018 and 2017, international sales as a percentage of total net sales were 20%, 18% and 17%, respectively. Sales to any one country outside the U.S., as determined by shipment destination, did not comprise a material portion of net sales in any of the last three fiscal years. In addition, no one customer represents more than 10% of consolidated net sales. 99% of long-lived assets are located within the United States.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8"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19. ACQUISITION, RESTRUCTURING AND OTHER ITEMS,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years ended May 31, 2019, 2018 and 2017 acquisition, restructuring and other items, net consisted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Year ended May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rPr>
              <w:t>2017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 xml:space="preserve">Legal </w:t>
            </w:r>
            <w:r>
              <w:rPr>
                <w:rFonts w:ascii="Arial" w:cs="Arial" w:eastAsia="Arial" w:hAnsi="Arial"/>
                <w:sz w:val="16"/>
                <w:szCs w:val="16"/>
                <w:color w:val="auto"/>
              </w:rPr>
              <w:t>(1)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19,480</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Mergers and acquisitions </w:t>
            </w:r>
            <w:r>
              <w:rPr>
                <w:rFonts w:ascii="Arial" w:cs="Arial" w:eastAsia="Arial" w:hAnsi="Arial"/>
                <w:sz w:val="16"/>
                <w:szCs w:val="16"/>
                <w:color w:val="auto"/>
              </w:rPr>
              <w:t>(2)</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Intangible and other asset impairment</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5,604</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1,078</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15,432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27,510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ind w:left="240" w:hanging="232"/>
        <w:spacing w:after="0"/>
        <w:tabs>
          <w:tab w:leader="none" w:pos="2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9" w:lineRule="exact"/>
        <w:rPr>
          <w:rFonts w:ascii="Arial" w:cs="Arial" w:eastAsia="Arial" w:hAnsi="Arial"/>
          <w:sz w:val="16"/>
          <w:szCs w:val="16"/>
          <w:color w:val="auto"/>
        </w:rPr>
      </w:pPr>
    </w:p>
    <w:p>
      <w:pPr>
        <w:ind w:left="240" w:hanging="232"/>
        <w:spacing w:after="0"/>
        <w:tabs>
          <w:tab w:leader="none" w:pos="2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Mergers and acquisitions expenses related to investment banking, legal and due diligence.</w:t>
      </w:r>
    </w:p>
    <w:p>
      <w:pPr>
        <w:spacing w:after="0" w:line="203" w:lineRule="exact"/>
        <w:rPr>
          <w:sz w:val="20"/>
          <w:szCs w:val="20"/>
          <w:color w:val="auto"/>
        </w:rPr>
      </w:pPr>
    </w:p>
    <w:p>
      <w:pPr>
        <w:jc w:val="both"/>
        <w:ind w:right="140" w:firstLine="405"/>
        <w:spacing w:after="0" w:line="279" w:lineRule="auto"/>
        <w:rPr>
          <w:sz w:val="20"/>
          <w:szCs w:val="20"/>
          <w:color w:val="auto"/>
        </w:rPr>
      </w:pPr>
      <w:r>
        <w:rPr>
          <w:rFonts w:ascii="Arial" w:cs="Arial" w:eastAsia="Arial" w:hAnsi="Arial"/>
          <w:sz w:val="17"/>
          <w:szCs w:val="17"/>
          <w:color w:val="auto"/>
        </w:rPr>
        <w:t>Included in the $7.8 million in legal for fiscal year 2019 is a $3.4 million settlement received for the Biolitec litigation. The settlement received offsets legal expenses paid related to the settlement proceedings. In addition, the $2.5 million accrual for the settlement of the Merz contract termination is included in legal expenses above. Of the $19.5 million in legal for fiscal year 2017, $12.5 million relates to a reserve for DOJ litigation settlement which was paid in July 2018. The remaining legal expenses relate to litigation that is outside of the normal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Consolidation</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February 1, 2017, the Company announced to employees an operational consolidation plan (the “plan”) to consolidate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were completed in the fourth quarter of fiscal year 2018 with immaterial validation and regulatory costs incurred in fiscal year 2019.</w:t>
      </w:r>
    </w:p>
    <w:p>
      <w:pPr>
        <w:spacing w:after="0" w:line="134"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The Company recorded restructuring charges related to the plan during the year ended May 31, 2019, 2018 and 2017 of $0.3 million, $4.7 million and $1.3 million, respectively. Total restructuring charges recorded as part of the plan were $6.3 million. Termination benefits were only earned if an employee stays until their termination date; therefore, the expenses related to termination benefits were recorded ratably over the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64"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The following table presents a rollforward of the restructuring reserve for the years ended May 31, 2019,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Contract</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color w:val="auto"/>
              </w:rPr>
              <w:t>Termination</w:t>
            </w:r>
          </w:p>
        </w:tc>
        <w:tc>
          <w:tcPr>
            <w:tcW w:w="220" w:type="dxa"/>
            <w:vAlign w:val="bottom"/>
          </w:tcPr>
          <w:p>
            <w:pPr>
              <w:spacing w:after="0"/>
              <w:rPr>
                <w:sz w:val="23"/>
                <w:szCs w:val="23"/>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color w:val="auto"/>
              </w:rPr>
              <w:t>Plant</w:t>
            </w:r>
          </w:p>
        </w:tc>
        <w:tc>
          <w:tcPr>
            <w:tcW w:w="220" w:type="dxa"/>
            <w:vAlign w:val="bottom"/>
          </w:tcPr>
          <w:p>
            <w:pPr>
              <w:spacing w:after="0"/>
              <w:rPr>
                <w:sz w:val="23"/>
                <w:szCs w:val="23"/>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Regulatory</w:t>
            </w:r>
          </w:p>
        </w:tc>
        <w:tc>
          <w:tcPr>
            <w:tcW w:w="240" w:type="dxa"/>
            <w:vAlign w:val="bottom"/>
          </w:tcPr>
          <w:p>
            <w:pPr>
              <w:spacing w:after="0"/>
              <w:rPr>
                <w:sz w:val="23"/>
                <w:szCs w:val="2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Cancellation</w:t>
            </w:r>
          </w:p>
        </w:tc>
        <w:tc>
          <w:tcPr>
            <w:tcW w:w="260" w:type="dxa"/>
            <w:vAlign w:val="bottom"/>
          </w:tcPr>
          <w:p>
            <w:pPr>
              <w:spacing w:after="0"/>
              <w:rPr>
                <w:sz w:val="23"/>
                <w:szCs w:val="23"/>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6"/>
        </w:trPr>
        <w:tc>
          <w:tcPr>
            <w:tcW w:w="28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Benefits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Consolidation</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Filings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w w:val="89"/>
              </w:rPr>
              <w:t>Costs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Costs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Total</w:t>
            </w: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at May 31, 2016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at May 31, 2017</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4,674</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at May 31, 2018</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1,071</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5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at May 31, 2019</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Company’s remaining restructuring liability is comprised of regulatory expenses which are expected to be paid in the next twelve months and are included in accounts payable on the consolidated balance sheet.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ACCUMULATED OTHER COMPREHESIVE INCOME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each component of accumulated other comprehensive income (loss), net of tax, are as follows for fiscal years 2019 and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Foreign currency</w:t>
            </w:r>
          </w:p>
        </w:tc>
        <w:tc>
          <w:tcPr>
            <w:tcW w:w="1460" w:type="dxa"/>
            <w:vAlign w:val="bottom"/>
            <w:gridSpan w:val="3"/>
          </w:tcPr>
          <w:p>
            <w:pPr>
              <w:ind w:left="40"/>
              <w:spacing w:after="0"/>
              <w:rPr>
                <w:sz w:val="20"/>
                <w:szCs w:val="20"/>
                <w:color w:val="auto"/>
              </w:rPr>
            </w:pPr>
            <w:r>
              <w:rPr>
                <w:rFonts w:ascii="Arial" w:cs="Arial" w:eastAsia="Arial" w:hAnsi="Arial"/>
                <w:sz w:val="14"/>
                <w:szCs w:val="14"/>
                <w:color w:val="auto"/>
              </w:rPr>
              <w:t>Unrealized gain (loss)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translation gain</w:t>
            </w:r>
          </w:p>
        </w:tc>
        <w:tc>
          <w:tcPr>
            <w:tcW w:w="18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on marketable</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3"/>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securities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2017</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 comprehensive income before reclassifications, net of tax</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1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other comprehensive income</w:t>
            </w:r>
          </w:p>
        </w:tc>
        <w:tc>
          <w:tcPr>
            <w:tcW w:w="19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2018</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w w:val="91"/>
              </w:rPr>
              <w:t>Other comprehensive income (loss) before reclassifications, net of tax</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1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other comprehensive loss</w:t>
            </w:r>
          </w:p>
        </w:tc>
        <w:tc>
          <w:tcPr>
            <w:tcW w:w="19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May 31, 2019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21. QUARTERLY INFORMATION (unaudited)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Quarterly results of operations during the fiscal years ended May 31, 2019 and 2018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color w:val="auto"/>
              </w:rPr>
              <w:t>2019</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6"/>
        </w:trPr>
        <w:tc>
          <w:tcPr>
            <w:tcW w:w="4700" w:type="dxa"/>
            <w:vAlign w:val="bottom"/>
          </w:tcPr>
          <w:p>
            <w:pPr>
              <w:spacing w:after="0"/>
              <w:rPr>
                <w:sz w:val="13"/>
                <w:szCs w:val="13"/>
                <w:color w:val="auto"/>
              </w:rPr>
            </w:pPr>
          </w:p>
        </w:tc>
        <w:tc>
          <w:tcPr>
            <w:tcW w:w="1020" w:type="dxa"/>
            <w:vAlign w:val="bottom"/>
          </w:tcPr>
          <w:p>
            <w:pPr>
              <w:jc w:val="center"/>
              <w:ind w:left="514"/>
              <w:spacing w:after="0" w:line="157" w:lineRule="exact"/>
              <w:rPr>
                <w:sz w:val="20"/>
                <w:szCs w:val="20"/>
                <w:color w:val="auto"/>
              </w:rPr>
            </w:pPr>
            <w:r>
              <w:rPr>
                <w:rFonts w:ascii="Arial" w:cs="Arial" w:eastAsia="Arial" w:hAnsi="Arial"/>
                <w:sz w:val="14"/>
                <w:szCs w:val="14"/>
                <w:color w:val="auto"/>
                <w:w w:val="95"/>
              </w:rPr>
              <w:t>First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Second</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7" w:lineRule="exact"/>
              <w:rPr>
                <w:sz w:val="20"/>
                <w:szCs w:val="20"/>
                <w:color w:val="auto"/>
              </w:rPr>
            </w:pPr>
            <w:r>
              <w:rPr>
                <w:rFonts w:ascii="Arial" w:cs="Arial" w:eastAsia="Arial" w:hAnsi="Arial"/>
                <w:sz w:val="14"/>
                <w:szCs w:val="14"/>
                <w:color w:val="auto"/>
              </w:rPr>
              <w:t>Third</w:t>
            </w:r>
          </w:p>
        </w:tc>
        <w:tc>
          <w:tcPr>
            <w:tcW w:w="360" w:type="dxa"/>
            <w:vAlign w:val="bottom"/>
          </w:tcPr>
          <w:p>
            <w:pPr>
              <w:spacing w:after="0"/>
              <w:rPr>
                <w:sz w:val="13"/>
                <w:szCs w:val="13"/>
                <w:color w:val="auto"/>
              </w:rPr>
            </w:pPr>
          </w:p>
        </w:tc>
        <w:tc>
          <w:tcPr>
            <w:tcW w:w="1240" w:type="dxa"/>
            <w:vAlign w:val="bottom"/>
          </w:tcPr>
          <w:p>
            <w:pPr>
              <w:ind w:left="260"/>
              <w:spacing w:after="0" w:line="157" w:lineRule="exact"/>
              <w:rPr>
                <w:sz w:val="20"/>
                <w:szCs w:val="20"/>
                <w:color w:val="auto"/>
              </w:rPr>
            </w:pPr>
            <w:r>
              <w:rPr>
                <w:rFonts w:ascii="Arial" w:cs="Arial" w:eastAsia="Arial" w:hAnsi="Arial"/>
                <w:sz w:val="14"/>
                <w:szCs w:val="14"/>
                <w:color w:val="auto"/>
              </w:rPr>
              <w:t>Fourth</w:t>
            </w:r>
          </w:p>
        </w:tc>
      </w:tr>
      <w:tr>
        <w:trPr>
          <w:trHeight w:val="188"/>
        </w:trPr>
        <w:tc>
          <w:tcPr>
            <w:tcW w:w="4700" w:type="dxa"/>
            <w:vAlign w:val="bottom"/>
          </w:tcPr>
          <w:p>
            <w:pPr>
              <w:spacing w:after="0"/>
              <w:rPr>
                <w:sz w:val="16"/>
                <w:szCs w:val="16"/>
                <w:color w:val="auto"/>
              </w:rPr>
            </w:pPr>
          </w:p>
        </w:tc>
        <w:tc>
          <w:tcPr>
            <w:tcW w:w="1020" w:type="dxa"/>
            <w:vAlign w:val="bottom"/>
          </w:tcPr>
          <w:p>
            <w:pPr>
              <w:jc w:val="center"/>
              <w:ind w:left="494"/>
              <w:spacing w:after="0"/>
              <w:rPr>
                <w:sz w:val="20"/>
                <w:szCs w:val="20"/>
                <w:color w:val="auto"/>
              </w:rPr>
            </w:pPr>
            <w:r>
              <w:rPr>
                <w:rFonts w:ascii="Arial" w:cs="Arial" w:eastAsia="Arial" w:hAnsi="Arial"/>
                <w:sz w:val="14"/>
                <w:szCs w:val="14"/>
                <w:color w:val="auto"/>
                <w:w w:val="90"/>
              </w:rPr>
              <w:t>quarter</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color w:val="auto"/>
              </w:rPr>
              <w:t>quarter</w:t>
            </w:r>
          </w:p>
        </w:tc>
        <w:tc>
          <w:tcPr>
            <w:tcW w:w="36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color w:val="auto"/>
                <w:w w:val="90"/>
              </w:rPr>
              <w:t>quarter</w:t>
            </w:r>
          </w:p>
        </w:tc>
        <w:tc>
          <w:tcPr>
            <w:tcW w:w="36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color w:val="auto"/>
              </w:rPr>
              <w:t>quarter</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 thousands, except per share data)</w:t>
            </w:r>
          </w:p>
        </w:tc>
        <w:tc>
          <w:tcPr>
            <w:tcW w:w="10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3"/>
              </w:rPr>
              <w:t>63,943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71,182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83"/>
              </w:rPr>
              <w:t>35,953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40,552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38,163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41,332</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56,120</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6"/>
                <w:szCs w:val="16"/>
                <w:color w:val="auto"/>
              </w:rPr>
              <w:t>(1)</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per share from continuing operations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0.07</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0.07</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from discontinued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1.49</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per share net income</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1.54</w:t>
            </w:r>
          </w:p>
        </w:tc>
      </w:tr>
      <w:tr>
        <w:trPr>
          <w:trHeight w:val="548"/>
        </w:trPr>
        <w:tc>
          <w:tcPr>
            <w:tcW w:w="47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6"/>
        </w:trPr>
        <w:tc>
          <w:tcPr>
            <w:tcW w:w="4700" w:type="dxa"/>
            <w:vAlign w:val="bottom"/>
          </w:tcPr>
          <w:p>
            <w:pPr>
              <w:spacing w:after="0"/>
              <w:rPr>
                <w:sz w:val="13"/>
                <w:szCs w:val="13"/>
                <w:color w:val="auto"/>
              </w:rPr>
            </w:pPr>
          </w:p>
        </w:tc>
        <w:tc>
          <w:tcPr>
            <w:tcW w:w="1020" w:type="dxa"/>
            <w:vAlign w:val="bottom"/>
          </w:tcPr>
          <w:p>
            <w:pPr>
              <w:jc w:val="center"/>
              <w:ind w:left="514"/>
              <w:spacing w:after="0" w:line="157" w:lineRule="exact"/>
              <w:rPr>
                <w:sz w:val="20"/>
                <w:szCs w:val="20"/>
                <w:color w:val="auto"/>
              </w:rPr>
            </w:pPr>
            <w:r>
              <w:rPr>
                <w:rFonts w:ascii="Arial" w:cs="Arial" w:eastAsia="Arial" w:hAnsi="Arial"/>
                <w:sz w:val="14"/>
                <w:szCs w:val="14"/>
                <w:color w:val="auto"/>
                <w:w w:val="95"/>
              </w:rPr>
              <w:t>First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Second</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7" w:lineRule="exact"/>
              <w:rPr>
                <w:sz w:val="20"/>
                <w:szCs w:val="20"/>
                <w:color w:val="auto"/>
              </w:rPr>
            </w:pPr>
            <w:r>
              <w:rPr>
                <w:rFonts w:ascii="Arial" w:cs="Arial" w:eastAsia="Arial" w:hAnsi="Arial"/>
                <w:sz w:val="14"/>
                <w:szCs w:val="14"/>
                <w:color w:val="auto"/>
              </w:rPr>
              <w:t>Third</w:t>
            </w:r>
          </w:p>
        </w:tc>
        <w:tc>
          <w:tcPr>
            <w:tcW w:w="360" w:type="dxa"/>
            <w:vAlign w:val="bottom"/>
          </w:tcPr>
          <w:p>
            <w:pPr>
              <w:spacing w:after="0"/>
              <w:rPr>
                <w:sz w:val="13"/>
                <w:szCs w:val="13"/>
                <w:color w:val="auto"/>
              </w:rPr>
            </w:pPr>
          </w:p>
        </w:tc>
        <w:tc>
          <w:tcPr>
            <w:tcW w:w="1240" w:type="dxa"/>
            <w:vAlign w:val="bottom"/>
          </w:tcPr>
          <w:p>
            <w:pPr>
              <w:ind w:left="260"/>
              <w:spacing w:after="0" w:line="157" w:lineRule="exact"/>
              <w:rPr>
                <w:sz w:val="20"/>
                <w:szCs w:val="20"/>
                <w:color w:val="auto"/>
              </w:rPr>
            </w:pPr>
            <w:r>
              <w:rPr>
                <w:rFonts w:ascii="Arial" w:cs="Arial" w:eastAsia="Arial" w:hAnsi="Arial"/>
                <w:sz w:val="14"/>
                <w:szCs w:val="14"/>
                <w:color w:val="auto"/>
              </w:rPr>
              <w:t>Fourth</w:t>
            </w:r>
          </w:p>
        </w:tc>
      </w:tr>
      <w:tr>
        <w:trPr>
          <w:trHeight w:val="188"/>
        </w:trPr>
        <w:tc>
          <w:tcPr>
            <w:tcW w:w="4700" w:type="dxa"/>
            <w:vAlign w:val="bottom"/>
          </w:tcPr>
          <w:p>
            <w:pPr>
              <w:spacing w:after="0"/>
              <w:rPr>
                <w:sz w:val="16"/>
                <w:szCs w:val="16"/>
                <w:color w:val="auto"/>
              </w:rPr>
            </w:pPr>
          </w:p>
        </w:tc>
        <w:tc>
          <w:tcPr>
            <w:tcW w:w="1020" w:type="dxa"/>
            <w:vAlign w:val="bottom"/>
          </w:tcPr>
          <w:p>
            <w:pPr>
              <w:jc w:val="center"/>
              <w:ind w:left="494"/>
              <w:spacing w:after="0"/>
              <w:rPr>
                <w:sz w:val="20"/>
                <w:szCs w:val="20"/>
                <w:color w:val="auto"/>
              </w:rPr>
            </w:pPr>
            <w:r>
              <w:rPr>
                <w:rFonts w:ascii="Arial" w:cs="Arial" w:eastAsia="Arial" w:hAnsi="Arial"/>
                <w:sz w:val="14"/>
                <w:szCs w:val="14"/>
                <w:color w:val="auto"/>
                <w:w w:val="90"/>
              </w:rPr>
              <w:t>quarter</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color w:val="auto"/>
              </w:rPr>
              <w:t>quarter</w:t>
            </w:r>
          </w:p>
        </w:tc>
        <w:tc>
          <w:tcPr>
            <w:tcW w:w="36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color w:val="auto"/>
                <w:w w:val="90"/>
              </w:rPr>
              <w:t>quarter</w:t>
            </w:r>
          </w:p>
        </w:tc>
        <w:tc>
          <w:tcPr>
            <w:tcW w:w="36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color w:val="auto"/>
              </w:rPr>
              <w:t>quarter</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 thousands, except per share data)</w:t>
            </w:r>
          </w:p>
        </w:tc>
        <w:tc>
          <w:tcPr>
            <w:tcW w:w="10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3"/>
              </w:rPr>
              <w:t>64,909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66,617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83"/>
              </w:rPr>
              <w:t>33,042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34,699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37,496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38,619</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8,811</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6"/>
                <w:szCs w:val="16"/>
                <w:color w:val="auto"/>
              </w:rPr>
              <w:t>(2)</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per share from continuing operations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from discontinued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0.24</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per share net income</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0.06</w:t>
            </w:r>
          </w:p>
        </w:tc>
      </w:tr>
    </w:tbl>
    <w:p>
      <w:pPr>
        <w:spacing w:after="0" w:line="17" w:lineRule="exact"/>
        <w:rPr>
          <w:sz w:val="20"/>
          <w:szCs w:val="20"/>
          <w:color w:val="auto"/>
        </w:rPr>
      </w:pPr>
    </w:p>
    <w:p>
      <w:pPr>
        <w:ind w:left="240" w:hanging="232"/>
        <w:spacing w:after="0"/>
        <w:tabs>
          <w:tab w:leader="none" w:pos="2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Net income in the fourth quarter of fiscal year 2019 was driven by the gain on the sale of the Fluid Management business.</w:t>
      </w:r>
    </w:p>
    <w:p>
      <w:pPr>
        <w:spacing w:after="0" w:line="19" w:lineRule="exact"/>
        <w:rPr>
          <w:rFonts w:ascii="Arial" w:cs="Arial" w:eastAsia="Arial" w:hAnsi="Arial"/>
          <w:sz w:val="16"/>
          <w:szCs w:val="16"/>
          <w:color w:val="auto"/>
        </w:rPr>
      </w:pPr>
    </w:p>
    <w:p>
      <w:pPr>
        <w:ind w:right="340" w:firstLine="8"/>
        <w:spacing w:after="0" w:line="257" w:lineRule="auto"/>
        <w:tabs>
          <w:tab w:leader="none" w:pos="23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Included within net income during the third quarter of fiscal year 2018 is a $9.3 million discrete tax benefit as a result of the Tax Reform Act and the revaluation of the Company's deferred tax assets, liabilities and valuation allowance to reflect the lower U.S. federal statutory rate (Note 11).</w:t>
      </w:r>
    </w:p>
    <w:p>
      <w:pPr>
        <w:spacing w:after="0" w:line="12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data in the schedules above has been intentionally rounded to the nearest thousand and therefore the quarterly amounts may not sum to the full year amounts.</w:t>
      </w:r>
    </w:p>
    <w:p>
      <w:pPr>
        <w:spacing w:after="0" w:line="11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May 31, 2019, the Company completed the sale of the Fluid Management business and all of the assets used primarily in connection with the Fluid Management business (Note 3). The Company has adjusted the consolidated financial statements to reflect the Fluid Management business as a discontinued operation for the current year and all prior periods presented. The quarterly information for fiscal year 2019 and prior years reflect the Fluid Management business as a discontinued operation.</w:t>
      </w:r>
    </w:p>
    <w:p>
      <w:pPr>
        <w:sectPr>
          <w:pgSz w:w="11900" w:h="16838" w:orient="portrait"/>
          <w:cols w:equalWidth="0" w:num="1">
            <w:col w:w="11420"/>
          </w:cols>
          <w:pgMar w:left="240" w:top="580"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580"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12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new Credit Agreement provides for a $125.0 million secured revolving credit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 The new facility has a five year maturity. Interest on the facility will be based, at the Company’s option, on a base rate of LIBOR plus an applicable margin tied to the Company’s total leverage ratio and having ranges between 0.25% and 0.75% for base rate loans and between 1.25% and 1.75% for LIBOR loans. After default, the interest rate may be increased by 2.0%. The facility will also carry a commitment fee of 0.20% to 0.25% per annum on the unused portion.</w:t>
      </w:r>
    </w:p>
    <w:p>
      <w:pPr>
        <w:spacing w:after="0" w:line="124" w:lineRule="exact"/>
        <w:rPr>
          <w:sz w:val="20"/>
          <w:szCs w:val="20"/>
          <w:color w:val="auto"/>
        </w:rPr>
      </w:pPr>
    </w:p>
    <w:p>
      <w:pPr>
        <w:jc w:val="both"/>
        <w:ind w:right="40" w:firstLine="405"/>
        <w:spacing w:after="0" w:line="297" w:lineRule="auto"/>
        <w:rPr>
          <w:sz w:val="20"/>
          <w:szCs w:val="20"/>
          <w:color w:val="auto"/>
        </w:rPr>
      </w:pPr>
      <w:r>
        <w:rPr>
          <w:rFonts w:ascii="Arial" w:cs="Arial" w:eastAsia="Arial" w:hAnsi="Arial"/>
          <w:sz w:val="16"/>
          <w:szCs w:val="16"/>
          <w:color w:val="auto"/>
        </w:rPr>
        <w:t>The new Credit Agreement includes customary representations, warranties and covenants, and acceleration, indemnity and events of default provisions, including, among other things, two financial covenants. One financial covenant requires the Company to maintain, as of the end of each of its fiscal quarters commencing with the fiscal quarter ended May 31, 2019, a fixed charge coverage ratio of not less than 1.25 to 1.00. The other financial covenant requires the Company to maintain, as of the end of each of its fiscal quarters commencing with the fiscal quarter ended May 31, 2019, a total leverage ratio of not greater than 3.00 to 1.00 (which, during certain periods following material acquisitions, shall be increased to 3.50 to 1.00).</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580" w:right="27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gridSpan w:val="10"/>
          </w:tcPr>
          <w:p>
            <w:pPr>
              <w:jc w:val="right"/>
              <w:ind w:right="1036"/>
              <w:spacing w:after="0"/>
              <w:rPr>
                <w:sz w:val="20"/>
                <w:szCs w:val="20"/>
                <w:color w:val="auto"/>
              </w:rPr>
            </w:pPr>
            <w:r>
              <w:rPr>
                <w:rFonts w:ascii="Arial" w:cs="Arial" w:eastAsia="Arial" w:hAnsi="Arial"/>
                <w:sz w:val="14"/>
                <w:szCs w:val="14"/>
                <w:color w:val="auto"/>
              </w:rPr>
              <w:t>SCHEDULE II -VALUATION AND QUALIFYING ACCOUNTS</w:t>
            </w:r>
          </w:p>
        </w:tc>
      </w:tr>
      <w:tr>
        <w:trPr>
          <w:trHeight w:val="244"/>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Column A</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color w:val="auto"/>
                <w:w w:val="97"/>
              </w:rPr>
              <w:t>Column B</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96"/>
              </w:rPr>
              <w:t>Column C</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Column 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4"/>
              </w:rPr>
              <w:t>Column E</w:t>
            </w:r>
          </w:p>
        </w:tc>
      </w:tr>
      <w:tr>
        <w:trPr>
          <w:trHeight w:val="156"/>
        </w:trPr>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7" w:lineRule="exact"/>
              <w:rPr>
                <w:sz w:val="20"/>
                <w:szCs w:val="20"/>
                <w:color w:val="auto"/>
              </w:rPr>
            </w:pPr>
            <w:r>
              <w:rPr>
                <w:rFonts w:ascii="Arial" w:cs="Arial" w:eastAsia="Arial" w:hAnsi="Arial"/>
                <w:sz w:val="14"/>
                <w:szCs w:val="14"/>
                <w:color w:val="auto"/>
                <w:w w:val="96"/>
              </w:rPr>
              <w:t>Additions -</w:t>
            </w: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49"/>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Balance at</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8"/>
              </w:rPr>
              <w:t>Charged to</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Beginning</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costs and</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color w:val="auto"/>
                <w:w w:val="90"/>
              </w:rPr>
              <w:t>Balance at</w:t>
            </w:r>
          </w:p>
        </w:tc>
      </w:tr>
      <w:tr>
        <w:trPr>
          <w:trHeight w:val="188"/>
        </w:trPr>
        <w:tc>
          <w:tcPr>
            <w:tcW w:w="5260" w:type="dxa"/>
            <w:vAlign w:val="bottom"/>
          </w:tcPr>
          <w:p>
            <w:pPr>
              <w:ind w:left="40"/>
              <w:spacing w:after="0"/>
              <w:rPr>
                <w:sz w:val="20"/>
                <w:szCs w:val="20"/>
                <w:color w:val="auto"/>
              </w:rPr>
            </w:pPr>
            <w:r>
              <w:rPr>
                <w:rFonts w:ascii="Arial" w:cs="Arial" w:eastAsia="Arial" w:hAnsi="Arial"/>
                <w:sz w:val="14"/>
                <w:szCs w:val="14"/>
                <w:color w:val="auto"/>
              </w:rPr>
              <w:t>Description</w:t>
            </w:r>
          </w:p>
        </w:tc>
        <w:tc>
          <w:tcPr>
            <w:tcW w:w="28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of Year</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w w:val="86"/>
              </w:rPr>
              <w:t>expenses</w:t>
            </w:r>
          </w:p>
        </w:tc>
        <w:tc>
          <w:tcPr>
            <w:tcW w:w="4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Deductions</w:t>
            </w:r>
          </w:p>
        </w:tc>
        <w:tc>
          <w:tcPr>
            <w:tcW w:w="240" w:type="dxa"/>
            <w:vAlign w:val="bottom"/>
          </w:tcPr>
          <w:p>
            <w:pPr>
              <w:spacing w:after="0"/>
              <w:rPr>
                <w:sz w:val="16"/>
                <w:szCs w:val="16"/>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color w:val="auto"/>
                <w:w w:val="94"/>
              </w:rPr>
              <w:t>End of Period</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May 31, 2017</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Allowance for deferred tax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42,209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48,348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 and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2,945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Year Ended May 31, 2018</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26,607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Allowance for sales returns and doubtful accounts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2,466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May 31, 2019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Allowance for deferred tax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26,607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11,688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for sales returns and doubtful accounts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1,906</w:t>
            </w:r>
          </w:p>
        </w:tc>
      </w:tr>
      <w:tr>
        <w:trPr>
          <w:trHeight w:val="27"/>
        </w:trPr>
        <w:tc>
          <w:tcPr>
            <w:tcW w:w="5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904"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1"/>
          </w:tcPr>
          <w:p>
            <w:pPr>
              <w:ind w:left="180"/>
              <w:spacing w:after="0"/>
              <w:rPr>
                <w:sz w:val="20"/>
                <w:szCs w:val="20"/>
                <w:color w:val="auto"/>
              </w:rPr>
            </w:pPr>
            <w:r>
              <w:rPr>
                <w:rFonts w:ascii="Arial" w:cs="Arial" w:eastAsia="Arial" w:hAnsi="Arial"/>
                <w:sz w:val="18"/>
                <w:szCs w:val="18"/>
                <w:color w:val="auto"/>
              </w:rPr>
              <w:t>EXHIBITS</w:t>
            </w: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7"/>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6"/>
              </w:rPr>
              <w:t>Exhibit</w:t>
            </w: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60" w:type="dxa"/>
            <w:vAlign w:val="bottom"/>
            <w:gridSpan w:val="26"/>
          </w:tcPr>
          <w:p>
            <w:pPr>
              <w:ind w:left="1100"/>
              <w:spacing w:after="0"/>
              <w:rPr>
                <w:sz w:val="20"/>
                <w:szCs w:val="20"/>
                <w:color w:val="auto"/>
              </w:rPr>
            </w:pPr>
            <w:r>
              <w:rPr>
                <w:rFonts w:ascii="Arial" w:cs="Arial" w:eastAsia="Arial" w:hAnsi="Arial"/>
                <w:sz w:val="18"/>
                <w:szCs w:val="18"/>
                <w:color w:val="auto"/>
              </w:rPr>
              <w:t>Description of Exhibits</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0"/>
              </w:rPr>
              <w:t>Form</w:t>
            </w:r>
          </w:p>
        </w:tc>
        <w:tc>
          <w:tcPr>
            <w:tcW w:w="1500" w:type="dxa"/>
            <w:vAlign w:val="bottom"/>
          </w:tcPr>
          <w:p>
            <w:pPr>
              <w:ind w:left="680"/>
              <w:spacing w:after="0"/>
              <w:rPr>
                <w:sz w:val="20"/>
                <w:szCs w:val="20"/>
                <w:color w:val="auto"/>
              </w:rPr>
            </w:pPr>
            <w:r>
              <w:rPr>
                <w:rFonts w:ascii="Arial" w:cs="Arial" w:eastAsia="Arial" w:hAnsi="Arial"/>
                <w:sz w:val="18"/>
                <w:szCs w:val="18"/>
                <w:color w:val="auto"/>
              </w:rPr>
              <w:t>Exhibit</w:t>
            </w:r>
          </w:p>
        </w:tc>
        <w:tc>
          <w:tcPr>
            <w:tcW w:w="1660" w:type="dxa"/>
            <w:vAlign w:val="bottom"/>
          </w:tcPr>
          <w:p>
            <w:pPr>
              <w:jc w:val="center"/>
              <w:ind w:left="110"/>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2.2</w:t>
            </w:r>
          </w:p>
        </w:tc>
        <w:tc>
          <w:tcPr>
            <w:tcW w:w="6020" w:type="dxa"/>
            <w:vAlign w:val="bottom"/>
            <w:gridSpan w:val="29"/>
            <w:shd w:val="clear" w:color="auto" w:fill="CCEEFF"/>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Stock Purchase Agreement, dated as of October 8, 2012, by and among</w:t>
              </w:r>
            </w:hyperlink>
          </w:p>
        </w:tc>
        <w:tc>
          <w:tcPr>
            <w:tcW w:w="1060" w:type="dxa"/>
            <w:vAlign w:val="bottom"/>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99"/>
              </w:rPr>
              <w:t>8-K</w:t>
            </w:r>
          </w:p>
        </w:tc>
        <w:tc>
          <w:tcPr>
            <w:tcW w:w="1500" w:type="dxa"/>
            <w:vAlign w:val="bottom"/>
            <w:shd w:val="clear" w:color="auto" w:fill="CCEEFF"/>
          </w:tcPr>
          <w:p>
            <w:pPr>
              <w:jc w:val="center"/>
              <w:ind w:left="310"/>
              <w:spacing w:after="0" w:line="196" w:lineRule="exact"/>
              <w:rPr>
                <w:sz w:val="20"/>
                <w:szCs w:val="20"/>
                <w:color w:val="auto"/>
              </w:rPr>
            </w:pPr>
            <w:r>
              <w:rPr>
                <w:rFonts w:ascii="Arial" w:cs="Arial" w:eastAsia="Arial" w:hAnsi="Arial"/>
                <w:sz w:val="18"/>
                <w:szCs w:val="18"/>
                <w:color w:val="auto"/>
                <w:w w:val="87"/>
              </w:rPr>
              <w:t>2.1</w:t>
            </w:r>
          </w:p>
        </w:tc>
        <w:tc>
          <w:tcPr>
            <w:tcW w:w="166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0"/>
              </w:rPr>
              <w:t>October 12, 2012</w:t>
            </w:r>
          </w:p>
        </w:tc>
        <w:tc>
          <w:tcPr>
            <w:tcW w:w="0" w:type="dxa"/>
            <w:vAlign w:val="bottom"/>
          </w:tcPr>
          <w:p>
            <w:pPr>
              <w:spacing w:after="0"/>
              <w:rPr>
                <w:sz w:val="1"/>
                <w:szCs w:val="1"/>
                <w:color w:val="auto"/>
              </w:rPr>
            </w:pPr>
          </w:p>
        </w:tc>
      </w:tr>
      <w:tr>
        <w:trPr>
          <w:trHeight w:val="20"/>
        </w:trPr>
        <w:tc>
          <w:tcPr>
            <w:tcW w:w="1180" w:type="dxa"/>
            <w:vAlign w:val="bottom"/>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CCEE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AngioDynamics, Inc., Vortex Medical, Inc. (“Vortex”), the stockholders of Vortex</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6020" w:type="dxa"/>
            <w:vAlign w:val="bottom"/>
            <w:gridSpan w:val="29"/>
            <w:shd w:val="clear" w:color="auto" w:fill="CCEEFF"/>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set forth on the signature pages thereto, the option holders of Vortex set forth on</w:t>
              </w:r>
            </w:hyperlink>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5580" w:type="dxa"/>
            <w:vAlign w:val="bottom"/>
            <w:tcBorders>
              <w:top w:val="single" w:sz="8" w:color="0000FF"/>
              <w:bottom w:val="single" w:sz="8" w:color="0000FF"/>
            </w:tcBorders>
            <w:gridSpan w:val="20"/>
            <w:shd w:val="clear" w:color="auto" w:fill="CCEEFF"/>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the signature pages thereto and CHTP Management Services, Inc., as sellers’</w:t>
              </w:r>
            </w:hyperlink>
          </w:p>
        </w:tc>
        <w:tc>
          <w:tcPr>
            <w:tcW w:w="18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7"/>
              </w:rPr>
            </w:pPr>
            <w:hyperlink r:id="rId33">
              <w:r>
                <w:rPr>
                  <w:rFonts w:ascii="Arial" w:cs="Arial" w:eastAsia="Arial" w:hAnsi="Arial"/>
                  <w:sz w:val="18"/>
                  <w:szCs w:val="18"/>
                  <w:color w:val="0000FF"/>
                  <w:w w:val="87"/>
                </w:rPr>
                <w:t>representative.</w:t>
              </w:r>
            </w:hyperlink>
          </w:p>
        </w:tc>
        <w:tc>
          <w:tcPr>
            <w:tcW w:w="4960" w:type="dxa"/>
            <w:vAlign w:val="bottom"/>
            <w:tcBorders>
              <w:bottom w:val="single" w:sz="8" w:color="CCEEFF"/>
            </w:tcBorders>
            <w:gridSpan w:val="26"/>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5"/>
              </w:rPr>
              <w:t>2.3</w:t>
            </w:r>
          </w:p>
        </w:tc>
        <w:tc>
          <w:tcPr>
            <w:tcW w:w="6020" w:type="dxa"/>
            <w:vAlign w:val="bottom"/>
            <w:gridSpan w:val="29"/>
          </w:tcPr>
          <w:p>
            <w:pPr>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Asset Purchase Agreement dated as of April 17, 2019 by and between</w:t>
              </w:r>
            </w:hyperlink>
          </w:p>
        </w:tc>
        <w:tc>
          <w:tcPr>
            <w:tcW w:w="106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87"/>
              </w:rPr>
              <w:t>2.1</w:t>
            </w:r>
          </w:p>
        </w:tc>
        <w:tc>
          <w:tcPr>
            <w:tcW w:w="16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5"/>
              </w:rPr>
              <w:t>April 18, 2019</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0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AngioDynamics, Inc. and Medline Industries Inc.</w:t>
              </w:r>
            </w:hyperlink>
          </w:p>
        </w:tc>
        <w:tc>
          <w:tcPr>
            <w:tcW w:w="980" w:type="dxa"/>
            <w:vAlign w:val="bottom"/>
            <w:gridSpan w:val="15"/>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3.1.1</w:t>
            </w:r>
          </w:p>
        </w:tc>
        <w:tc>
          <w:tcPr>
            <w:tcW w:w="6020" w:type="dxa"/>
            <w:vAlign w:val="bottom"/>
            <w:gridSpan w:val="29"/>
            <w:shd w:val="clear" w:color="auto" w:fill="CCEEFF"/>
          </w:tcPr>
          <w:p>
            <w:pPr>
              <w:spacing w:after="0" w:line="202" w:lineRule="exact"/>
              <w:rPr>
                <w:rFonts w:ascii="Arial" w:cs="Arial" w:eastAsia="Arial" w:hAnsi="Arial"/>
                <w:sz w:val="18"/>
                <w:szCs w:val="18"/>
                <w:color w:val="0000FF"/>
              </w:rPr>
            </w:pPr>
            <w:hyperlink r:id="rId35">
              <w:r>
                <w:rPr>
                  <w:rFonts w:ascii="Arial" w:cs="Arial" w:eastAsia="Arial" w:hAnsi="Arial"/>
                  <w:sz w:val="18"/>
                  <w:szCs w:val="18"/>
                  <w:color w:val="0000FF"/>
                </w:rPr>
                <w:t>Amended and Restated Certificate of Incorporation.</w:t>
              </w:r>
            </w:hyperlink>
          </w:p>
        </w:tc>
        <w:tc>
          <w:tcPr>
            <w:tcW w:w="106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4"/>
              </w:rPr>
              <w:t>10-Q</w:t>
            </w:r>
          </w:p>
        </w:tc>
        <w:tc>
          <w:tcPr>
            <w:tcW w:w="1500" w:type="dxa"/>
            <w:vAlign w:val="bottom"/>
            <w:shd w:val="clear" w:color="auto" w:fill="CCEEFF"/>
          </w:tcPr>
          <w:p>
            <w:pPr>
              <w:jc w:val="center"/>
              <w:ind w:left="310"/>
              <w:spacing w:after="0" w:line="202" w:lineRule="exact"/>
              <w:rPr>
                <w:sz w:val="20"/>
                <w:szCs w:val="20"/>
                <w:color w:val="auto"/>
              </w:rPr>
            </w:pPr>
            <w:r>
              <w:rPr>
                <w:rFonts w:ascii="Arial" w:cs="Arial" w:eastAsia="Arial" w:hAnsi="Arial"/>
                <w:sz w:val="18"/>
                <w:szCs w:val="18"/>
                <w:color w:val="auto"/>
                <w:w w:val="87"/>
              </w:rPr>
              <w:t>3.1</w:t>
            </w:r>
          </w:p>
        </w:tc>
        <w:tc>
          <w:tcPr>
            <w:tcW w:w="166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October 7, 2005</w:t>
            </w: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9"/>
              </w:rPr>
              <w:t>3.1.2</w:t>
            </w:r>
          </w:p>
        </w:tc>
        <w:tc>
          <w:tcPr>
            <w:tcW w:w="5060" w:type="dxa"/>
            <w:vAlign w:val="bottom"/>
            <w:tcBorders>
              <w:bottom w:val="single" w:sz="8" w:color="0000FF"/>
            </w:tcBorders>
            <w:gridSpan w:val="15"/>
          </w:tcPr>
          <w:p>
            <w:pPr>
              <w:spacing w:after="0" w:line="202"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Certificate of Amendment to the Amended and Restated Certificate of</w:t>
              </w:r>
            </w:hyperlink>
          </w:p>
        </w:tc>
        <w:tc>
          <w:tcPr>
            <w:tcW w:w="960" w:type="dxa"/>
            <w:vAlign w:val="bottom"/>
            <w:gridSpan w:val="14"/>
          </w:tcPr>
          <w:p>
            <w:pPr>
              <w:spacing w:after="0"/>
              <w:rPr>
                <w:sz w:val="17"/>
                <w:szCs w:val="17"/>
                <w:color w:val="auto"/>
              </w:rPr>
            </w:pPr>
          </w:p>
        </w:tc>
        <w:tc>
          <w:tcPr>
            <w:tcW w:w="10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9"/>
              </w:rPr>
              <w:t>10-K</w:t>
            </w:r>
          </w:p>
        </w:tc>
        <w:tc>
          <w:tcPr>
            <w:tcW w:w="150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89"/>
              </w:rPr>
              <w:t>3.1.2</w:t>
            </w:r>
          </w:p>
        </w:tc>
        <w:tc>
          <w:tcPr>
            <w:tcW w:w="1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1"/>
              </w:rPr>
              <w:t>August 10, 2015</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020" w:type="dxa"/>
            <w:vAlign w:val="bottom"/>
            <w:gridSpan w:val="29"/>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Incorporation of AngioDynamics, Inc.</w:t>
              </w:r>
            </w:hyperlink>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3.2</w:t>
            </w:r>
          </w:p>
        </w:tc>
        <w:tc>
          <w:tcPr>
            <w:tcW w:w="502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Second Amended and Restated By-Laws, effective October 16, 2015.</w:t>
              </w:r>
            </w:hyperlink>
          </w:p>
        </w:tc>
        <w:tc>
          <w:tcPr>
            <w:tcW w:w="1000" w:type="dxa"/>
            <w:vAlign w:val="bottom"/>
            <w:tcBorders>
              <w:bottom w:val="single" w:sz="8" w:color="CCEEFF"/>
            </w:tcBorders>
            <w:gridSpan w:val="16"/>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Borders>
              <w:bottom w:val="single" w:sz="8" w:color="CCEEFF"/>
            </w:tcBorders>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1"/>
              </w:rPr>
              <w:t>10.1</w:t>
            </w:r>
          </w:p>
        </w:tc>
        <w:tc>
          <w:tcPr>
            <w:tcW w:w="166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0"/>
              </w:rPr>
              <w:t>October 21, 2015</w:t>
            </w: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1"/>
              </w:rPr>
              <w:t>10.1</w:t>
            </w:r>
          </w:p>
        </w:tc>
        <w:tc>
          <w:tcPr>
            <w:tcW w:w="5940" w:type="dxa"/>
            <w:vAlign w:val="bottom"/>
            <w:tcBorders>
              <w:bottom w:val="single" w:sz="8" w:color="0000FF"/>
            </w:tcBorders>
            <w:gridSpan w:val="28"/>
          </w:tcPr>
          <w:p>
            <w:pPr>
              <w:spacing w:after="0" w:line="202"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Credit Agreement, dated as of November 7, 2016, by and among AngioDynamics,</w:t>
              </w:r>
            </w:hyperlink>
          </w:p>
        </w:tc>
        <w:tc>
          <w:tcPr>
            <w:tcW w:w="80" w:type="dxa"/>
            <w:vAlign w:val="bottom"/>
          </w:tcPr>
          <w:p>
            <w:pPr>
              <w:spacing w:after="0"/>
              <w:rPr>
                <w:sz w:val="17"/>
                <w:szCs w:val="17"/>
                <w:color w:val="auto"/>
              </w:rPr>
            </w:pPr>
          </w:p>
        </w:tc>
        <w:tc>
          <w:tcPr>
            <w:tcW w:w="106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1"/>
              </w:rPr>
              <w:t>November 10,</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020" w:type="dxa"/>
            <w:vAlign w:val="bottom"/>
            <w:gridSpan w:val="29"/>
          </w:tcPr>
          <w:p>
            <w:pPr>
              <w:spacing w:after="0" w:line="196" w:lineRule="exact"/>
              <w:rPr>
                <w:rFonts w:ascii="Arial" w:cs="Arial" w:eastAsia="Arial" w:hAnsi="Arial"/>
                <w:sz w:val="18"/>
                <w:szCs w:val="18"/>
                <w:color w:val="0000FF"/>
                <w:w w:val="96"/>
              </w:rPr>
            </w:pPr>
            <w:hyperlink r:id="rId38">
              <w:r>
                <w:rPr>
                  <w:rFonts w:ascii="Arial" w:cs="Arial" w:eastAsia="Arial" w:hAnsi="Arial"/>
                  <w:sz w:val="18"/>
                  <w:szCs w:val="18"/>
                  <w:color w:val="0000FF"/>
                  <w:w w:val="96"/>
                </w:rPr>
                <w:t>Inc., the lenders party thereto, JPMorgan Chase Bank, N.A., as administrative</w:t>
              </w:r>
            </w:hyperlink>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jc w:val="center"/>
              <w:ind w:left="90"/>
              <w:spacing w:after="0" w:line="196" w:lineRule="exact"/>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26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agent, Bank of America, N.A. and Keybank National Association as co-</w:t>
              </w:r>
            </w:hyperlink>
          </w:p>
        </w:tc>
        <w:tc>
          <w:tcPr>
            <w:tcW w:w="340" w:type="dxa"/>
            <w:vAlign w:val="bottom"/>
            <w:tcBorders>
              <w:top w:val="single" w:sz="8" w:color="0000FF"/>
            </w:tcBorders>
            <w:gridSpan w:val="5"/>
          </w:tcPr>
          <w:p>
            <w:pPr>
              <w:spacing w:after="0"/>
              <w:rPr>
                <w:sz w:val="17"/>
                <w:szCs w:val="17"/>
                <w:color w:val="auto"/>
              </w:rPr>
            </w:pPr>
          </w:p>
        </w:tc>
        <w:tc>
          <w:tcPr>
            <w:tcW w:w="420" w:type="dxa"/>
            <w:vAlign w:val="bottom"/>
            <w:gridSpan w:val="8"/>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56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syndication agents, and JPMorgan Chase Bank, N.A., Merrill Lynch, Pierce,</w:t>
              </w:r>
            </w:hyperlink>
          </w:p>
        </w:tc>
        <w:tc>
          <w:tcPr>
            <w:tcW w:w="460" w:type="dxa"/>
            <w:vAlign w:val="bottom"/>
            <w:gridSpan w:val="10"/>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26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Fenner &amp; Smith Incorporated and Keybank National Association as joint</w:t>
              </w:r>
            </w:hyperlink>
          </w:p>
        </w:tc>
        <w:tc>
          <w:tcPr>
            <w:tcW w:w="76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020" w:type="dxa"/>
            <w:vAlign w:val="bottom"/>
            <w:gridSpan w:val="2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bookrunners and joint lead arrangers.</w:t>
              </w:r>
            </w:hyperlink>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162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10.1.1</w:t>
            </w:r>
          </w:p>
        </w:tc>
        <w:tc>
          <w:tcPr>
            <w:tcW w:w="456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Amendment One to the Credit Agreement dated May 24, 2018.</w:t>
              </w:r>
            </w:hyperlink>
          </w:p>
        </w:tc>
        <w:tc>
          <w:tcPr>
            <w:tcW w:w="1460" w:type="dxa"/>
            <w:vAlign w:val="bottom"/>
            <w:tcBorders>
              <w:bottom w:val="single" w:sz="8" w:color="CCEEFF"/>
            </w:tcBorders>
            <w:gridSpan w:val="19"/>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9"/>
              </w:rPr>
              <w:t>10-K</w:t>
            </w:r>
          </w:p>
        </w:tc>
        <w:tc>
          <w:tcPr>
            <w:tcW w:w="1500" w:type="dxa"/>
            <w:vAlign w:val="bottom"/>
            <w:tcBorders>
              <w:bottom w:val="single" w:sz="8" w:color="CCEEFF"/>
            </w:tcBorders>
            <w:shd w:val="clear" w:color="auto" w:fill="CCEEFF"/>
          </w:tcPr>
          <w:p>
            <w:pPr>
              <w:jc w:val="center"/>
              <w:ind w:left="310"/>
              <w:spacing w:after="0" w:line="202" w:lineRule="exact"/>
              <w:rPr>
                <w:sz w:val="20"/>
                <w:szCs w:val="20"/>
                <w:color w:val="auto"/>
              </w:rPr>
            </w:pPr>
            <w:r>
              <w:rPr>
                <w:rFonts w:ascii="Arial" w:cs="Arial" w:eastAsia="Arial" w:hAnsi="Arial"/>
                <w:sz w:val="18"/>
                <w:szCs w:val="18"/>
                <w:color w:val="auto"/>
                <w:w w:val="91"/>
              </w:rPr>
              <w:t>10.1.1</w:t>
            </w:r>
          </w:p>
        </w:tc>
        <w:tc>
          <w:tcPr>
            <w:tcW w:w="166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1"/>
              </w:rPr>
              <w:t>July 23, 2018</w:t>
            </w: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7"/>
              </w:rPr>
              <w:t>10.1.2</w:t>
            </w:r>
          </w:p>
        </w:tc>
        <w:tc>
          <w:tcPr>
            <w:tcW w:w="5880" w:type="dxa"/>
            <w:vAlign w:val="bottom"/>
            <w:tcBorders>
              <w:bottom w:val="single" w:sz="8" w:color="0000FF"/>
            </w:tcBorders>
            <w:gridSpan w:val="25"/>
          </w:tcPr>
          <w:p>
            <w:pPr>
              <w:spacing w:after="0" w:line="202"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Credit Agreement, dated as of June 3, 2019, by and among AngioDynamics, Inc.,</w:t>
              </w:r>
            </w:hyperlink>
          </w:p>
        </w:tc>
        <w:tc>
          <w:tcPr>
            <w:tcW w:w="140" w:type="dxa"/>
            <w:vAlign w:val="bottom"/>
            <w:gridSpan w:val="4"/>
          </w:tcPr>
          <w:p>
            <w:pPr>
              <w:spacing w:after="0"/>
              <w:rPr>
                <w:sz w:val="17"/>
                <w:szCs w:val="17"/>
                <w:color w:val="auto"/>
              </w:rPr>
            </w:pPr>
          </w:p>
        </w:tc>
        <w:tc>
          <w:tcPr>
            <w:tcW w:w="106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88"/>
              </w:rPr>
              <w:t>June 6, 2019</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7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the lenders party thereto, JPMorgan Chase Bank, N.A., as administrative agent,</w:t>
              </w:r>
            </w:hyperlink>
          </w:p>
        </w:tc>
        <w:tc>
          <w:tcPr>
            <w:tcW w:w="30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020" w:type="dxa"/>
            <w:vAlign w:val="bottom"/>
            <w:gridSpan w:val="29"/>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Bank of America, N.A. and Keybank National Association as co-syndication</w:t>
              </w:r>
            </w:hyperlink>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5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agents.</w:t>
              </w:r>
            </w:hyperlink>
          </w:p>
        </w:tc>
        <w:tc>
          <w:tcPr>
            <w:tcW w:w="480" w:type="dxa"/>
            <w:vAlign w:val="bottom"/>
            <w:gridSpan w:val="11"/>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10.1.3</w:t>
            </w:r>
          </w:p>
        </w:tc>
        <w:tc>
          <w:tcPr>
            <w:tcW w:w="6020" w:type="dxa"/>
            <w:vAlign w:val="bottom"/>
            <w:gridSpan w:val="29"/>
            <w:shd w:val="clear" w:color="auto" w:fill="CCEEFF"/>
          </w:tcPr>
          <w:p>
            <w:pPr>
              <w:spacing w:after="0" w:line="202" w:lineRule="exact"/>
              <w:rPr>
                <w:rFonts w:ascii="Arial" w:cs="Arial" w:eastAsia="Arial" w:hAnsi="Arial"/>
                <w:sz w:val="18"/>
                <w:szCs w:val="18"/>
                <w:color w:val="0000FF"/>
              </w:rPr>
            </w:pPr>
            <w:hyperlink r:id="rId41">
              <w:r>
                <w:rPr>
                  <w:rFonts w:ascii="Arial" w:cs="Arial" w:eastAsia="Arial" w:hAnsi="Arial"/>
                  <w:sz w:val="18"/>
                  <w:szCs w:val="18"/>
                  <w:color w:val="0000FF"/>
                </w:rPr>
                <w:t>AngioDynamics, Inc. 2004 Stock and Incentive Award Plan (as amended).</w:t>
              </w:r>
            </w:hyperlink>
          </w:p>
        </w:tc>
        <w:tc>
          <w:tcPr>
            <w:tcW w:w="106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5"/>
              </w:rPr>
              <w:t>DEF 14A</w:t>
            </w:r>
          </w:p>
        </w:tc>
        <w:tc>
          <w:tcPr>
            <w:tcW w:w="15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91"/>
              </w:rPr>
              <w:t>August 30, 2018</w:t>
            </w: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right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7"/>
              </w:rPr>
              <w:t>10.1.5</w:t>
            </w:r>
          </w:p>
        </w:tc>
        <w:tc>
          <w:tcPr>
            <w:tcW w:w="6020" w:type="dxa"/>
            <w:vAlign w:val="bottom"/>
            <w:gridSpan w:val="29"/>
          </w:tcPr>
          <w:p>
            <w:pPr>
              <w:spacing w:after="0" w:line="202" w:lineRule="exact"/>
              <w:rPr>
                <w:rFonts w:ascii="Arial" w:cs="Arial" w:eastAsia="Arial" w:hAnsi="Arial"/>
                <w:sz w:val="18"/>
                <w:szCs w:val="18"/>
                <w:color w:val="0000FF"/>
                <w:w w:val="97"/>
              </w:rPr>
            </w:pPr>
            <w:hyperlink r:id="rId42">
              <w:r>
                <w:rPr>
                  <w:rFonts w:ascii="Arial" w:cs="Arial" w:eastAsia="Arial" w:hAnsi="Arial"/>
                  <w:sz w:val="18"/>
                  <w:szCs w:val="18"/>
                  <w:color w:val="0000FF"/>
                  <w:w w:val="97"/>
                </w:rPr>
                <w:t>AngioDynamics 2016 Total Shareholder Return Performance Unit Agreement</w:t>
              </w:r>
            </w:hyperlink>
          </w:p>
        </w:tc>
        <w:tc>
          <w:tcPr>
            <w:tcW w:w="10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4"/>
              </w:rPr>
              <w:t>10-Q</w:t>
            </w:r>
          </w:p>
        </w:tc>
        <w:tc>
          <w:tcPr>
            <w:tcW w:w="150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89"/>
              </w:rPr>
              <w:t>October 5, 2016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Program.</w:t>
              </w:r>
            </w:hyperlink>
          </w:p>
        </w:tc>
        <w:tc>
          <w:tcPr>
            <w:tcW w:w="40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10.1.6</w:t>
            </w:r>
          </w:p>
        </w:tc>
        <w:tc>
          <w:tcPr>
            <w:tcW w:w="6020" w:type="dxa"/>
            <w:vAlign w:val="bottom"/>
            <w:gridSpan w:val="29"/>
            <w:shd w:val="clear" w:color="auto" w:fill="CCEEFF"/>
          </w:tcPr>
          <w:p>
            <w:pPr>
              <w:spacing w:after="0" w:line="202" w:lineRule="exact"/>
              <w:rPr>
                <w:rFonts w:ascii="Arial" w:cs="Arial" w:eastAsia="Arial" w:hAnsi="Arial"/>
                <w:sz w:val="18"/>
                <w:szCs w:val="18"/>
                <w:color w:val="0000FF"/>
                <w:w w:val="97"/>
              </w:rPr>
            </w:pPr>
            <w:hyperlink r:id="rId43">
              <w:r>
                <w:rPr>
                  <w:rFonts w:ascii="Arial" w:cs="Arial" w:eastAsia="Arial" w:hAnsi="Arial"/>
                  <w:sz w:val="18"/>
                  <w:szCs w:val="18"/>
                  <w:color w:val="0000FF"/>
                  <w:w w:val="97"/>
                </w:rPr>
                <w:t>AngioDynamics 2017 Total Shareholder Return Performance Unit Agreement</w:t>
              </w:r>
            </w:hyperlink>
          </w:p>
        </w:tc>
        <w:tc>
          <w:tcPr>
            <w:tcW w:w="106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4"/>
              </w:rPr>
              <w:t>10-Q</w:t>
            </w:r>
          </w:p>
        </w:tc>
        <w:tc>
          <w:tcPr>
            <w:tcW w:w="1500" w:type="dxa"/>
            <w:vAlign w:val="bottom"/>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1"/>
              </w:rPr>
              <w:t>10.1</w:t>
            </w:r>
          </w:p>
        </w:tc>
        <w:tc>
          <w:tcPr>
            <w:tcW w:w="166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8"/>
              </w:rPr>
              <w:t>September 29,</w:t>
            </w: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Program.</w:t>
              </w:r>
            </w:hyperlink>
          </w:p>
        </w:tc>
        <w:tc>
          <w:tcPr>
            <w:tcW w:w="400" w:type="dxa"/>
            <w:vAlign w:val="bottom"/>
            <w:tcBorders>
              <w:top w:val="single" w:sz="8" w:color="CCEEFF"/>
            </w:tcBorders>
            <w:gridSpan w:val="7"/>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64"/>
        </w:trPr>
        <w:tc>
          <w:tcPr>
            <w:tcW w:w="11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7"/>
              </w:rPr>
              <w:t>10.1.7</w:t>
            </w:r>
          </w:p>
        </w:tc>
        <w:tc>
          <w:tcPr>
            <w:tcW w:w="6020" w:type="dxa"/>
            <w:vAlign w:val="bottom"/>
            <w:gridSpan w:val="29"/>
          </w:tcPr>
          <w:p>
            <w:pPr>
              <w:spacing w:after="0" w:line="202" w:lineRule="exact"/>
              <w:rPr>
                <w:rFonts w:ascii="Arial" w:cs="Arial" w:eastAsia="Arial" w:hAnsi="Arial"/>
                <w:sz w:val="18"/>
                <w:szCs w:val="18"/>
                <w:color w:val="0000FF"/>
                <w:w w:val="97"/>
              </w:rPr>
            </w:pPr>
            <w:hyperlink r:id="rId44">
              <w:r>
                <w:rPr>
                  <w:rFonts w:ascii="Arial" w:cs="Arial" w:eastAsia="Arial" w:hAnsi="Arial"/>
                  <w:sz w:val="18"/>
                  <w:szCs w:val="18"/>
                  <w:color w:val="0000FF"/>
                  <w:w w:val="97"/>
                </w:rPr>
                <w:t>AngioDynamics 2018 Total Shareholder Return Performance Unit Agreement</w:t>
              </w:r>
            </w:hyperlink>
          </w:p>
        </w:tc>
        <w:tc>
          <w:tcPr>
            <w:tcW w:w="10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9"/>
              </w:rPr>
              <w:t>10-K</w:t>
            </w:r>
          </w:p>
        </w:tc>
        <w:tc>
          <w:tcPr>
            <w:tcW w:w="150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1"/>
              </w:rPr>
              <w:t>10.1.7</w:t>
            </w:r>
          </w:p>
        </w:tc>
        <w:tc>
          <w:tcPr>
            <w:tcW w:w="16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1"/>
              </w:rPr>
              <w:t>July 23, 2018</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Program.</w:t>
              </w:r>
            </w:hyperlink>
          </w:p>
        </w:tc>
        <w:tc>
          <w:tcPr>
            <w:tcW w:w="40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10.2</w:t>
            </w:r>
          </w:p>
        </w:tc>
        <w:tc>
          <w:tcPr>
            <w:tcW w:w="490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AngioDynamics, Inc. Employee Stock Purchase Plan (as amended).</w:t>
              </w:r>
            </w:hyperlink>
          </w:p>
        </w:tc>
        <w:tc>
          <w:tcPr>
            <w:tcW w:w="1120" w:type="dxa"/>
            <w:vAlign w:val="bottom"/>
            <w:tcBorders>
              <w:bottom w:val="single" w:sz="8" w:color="CCEEFF"/>
            </w:tcBorders>
            <w:gridSpan w:val="17"/>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5"/>
              </w:rPr>
              <w:t>DEF 14A</w:t>
            </w: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91"/>
              </w:rPr>
              <w:t>August 30, 2018</w:t>
            </w: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1"/>
              </w:rPr>
              <w:t>10.3</w:t>
            </w:r>
          </w:p>
        </w:tc>
        <w:tc>
          <w:tcPr>
            <w:tcW w:w="5900" w:type="dxa"/>
            <w:vAlign w:val="bottom"/>
            <w:tcBorders>
              <w:bottom w:val="single" w:sz="8" w:color="0000FF"/>
            </w:tcBorders>
            <w:gridSpan w:val="26"/>
          </w:tcPr>
          <w:p>
            <w:pPr>
              <w:spacing w:after="0" w:line="202"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Form of Non-Statutory Stock Option Agreement pursuant to the AngioDynamics,</w:t>
              </w:r>
            </w:hyperlink>
          </w:p>
        </w:tc>
        <w:tc>
          <w:tcPr>
            <w:tcW w:w="120" w:type="dxa"/>
            <w:vAlign w:val="bottom"/>
            <w:gridSpan w:val="3"/>
          </w:tcPr>
          <w:p>
            <w:pPr>
              <w:spacing w:after="0"/>
              <w:rPr>
                <w:sz w:val="17"/>
                <w:szCs w:val="17"/>
                <w:color w:val="auto"/>
              </w:rPr>
            </w:pPr>
          </w:p>
        </w:tc>
        <w:tc>
          <w:tcPr>
            <w:tcW w:w="10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4"/>
              </w:rPr>
              <w:t>10-Q</w:t>
            </w:r>
          </w:p>
        </w:tc>
        <w:tc>
          <w:tcPr>
            <w:tcW w:w="150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0"/>
              </w:rPr>
              <w:t>October 12, 2004</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020" w:type="dxa"/>
            <w:vAlign w:val="bottom"/>
            <w:gridSpan w:val="29"/>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Inc. Stock and Incentive Award Plan.</w:t>
              </w:r>
            </w:hyperlink>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10.3.1</w:t>
            </w:r>
          </w:p>
        </w:tc>
        <w:tc>
          <w:tcPr>
            <w:tcW w:w="5900" w:type="dxa"/>
            <w:vAlign w:val="bottom"/>
            <w:tcBorders>
              <w:bottom w:val="single" w:sz="8" w:color="0000FF"/>
            </w:tcBorders>
            <w:gridSpan w:val="26"/>
            <w:shd w:val="clear" w:color="auto" w:fill="CCEEFF"/>
          </w:tcPr>
          <w:p>
            <w:pPr>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Form of Non-Statutory Stock Option Agreement pursuant to the AngioDynamics,</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9"/>
              </w:rPr>
              <w:t>10-K</w:t>
            </w:r>
          </w:p>
        </w:tc>
        <w:tc>
          <w:tcPr>
            <w:tcW w:w="1500" w:type="dxa"/>
            <w:vAlign w:val="bottom"/>
            <w:tcBorders>
              <w:bottom w:val="single" w:sz="8" w:color="CCEEFF"/>
            </w:tcBorders>
            <w:shd w:val="clear" w:color="auto" w:fill="CCEEFF"/>
          </w:tcPr>
          <w:p>
            <w:pPr>
              <w:jc w:val="center"/>
              <w:ind w:left="310"/>
              <w:spacing w:after="0" w:line="202" w:lineRule="exact"/>
              <w:rPr>
                <w:sz w:val="20"/>
                <w:szCs w:val="20"/>
                <w:color w:val="auto"/>
              </w:rPr>
            </w:pPr>
            <w:r>
              <w:rPr>
                <w:rFonts w:ascii="Arial" w:cs="Arial" w:eastAsia="Arial" w:hAnsi="Arial"/>
                <w:sz w:val="18"/>
                <w:szCs w:val="18"/>
                <w:color w:val="auto"/>
                <w:w w:val="91"/>
              </w:rPr>
              <w:t>10.3.1</w:t>
            </w:r>
          </w:p>
        </w:tc>
        <w:tc>
          <w:tcPr>
            <w:tcW w:w="166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1"/>
              </w:rPr>
              <w:t>July 23, 2018</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6020" w:type="dxa"/>
            <w:vAlign w:val="bottom"/>
            <w:gridSpan w:val="29"/>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Inc. Stock and Incentive Award Plan.</w:t>
              </w:r>
            </w:hyperlink>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7"/>
              </w:rPr>
              <w:t>10.4.3</w:t>
            </w:r>
          </w:p>
        </w:tc>
        <w:tc>
          <w:tcPr>
            <w:tcW w:w="6020" w:type="dxa"/>
            <w:vAlign w:val="bottom"/>
            <w:gridSpan w:val="29"/>
          </w:tcPr>
          <w:p>
            <w:pPr>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Form of 2016 Performance Share Award Agreement pursuant to the</w:t>
              </w:r>
            </w:hyperlink>
          </w:p>
        </w:tc>
        <w:tc>
          <w:tcPr>
            <w:tcW w:w="10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4"/>
              </w:rPr>
              <w:t>10-Q</w:t>
            </w:r>
          </w:p>
        </w:tc>
        <w:tc>
          <w:tcPr>
            <w:tcW w:w="150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89"/>
              </w:rPr>
              <w:t>October 5, 2016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8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AngioDynamics, Inc. 2004 Stock and Incentive Award Plan.</w:t>
              </w:r>
            </w:hyperlink>
          </w:p>
        </w:tc>
        <w:tc>
          <w:tcPr>
            <w:tcW w:w="1140" w:type="dxa"/>
            <w:vAlign w:val="bottom"/>
            <w:gridSpan w:val="18"/>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10.4.4</w:t>
            </w:r>
          </w:p>
        </w:tc>
        <w:tc>
          <w:tcPr>
            <w:tcW w:w="6020" w:type="dxa"/>
            <w:vAlign w:val="bottom"/>
            <w:gridSpan w:val="29"/>
            <w:shd w:val="clear" w:color="auto" w:fill="CCEEFF"/>
          </w:tcPr>
          <w:p>
            <w:pPr>
              <w:spacing w:after="0" w:line="202" w:lineRule="exact"/>
              <w:rPr>
                <w:rFonts w:ascii="Arial" w:cs="Arial" w:eastAsia="Arial" w:hAnsi="Arial"/>
                <w:sz w:val="18"/>
                <w:szCs w:val="18"/>
                <w:color w:val="0000FF"/>
              </w:rPr>
            </w:pPr>
            <w:hyperlink r:id="rId48">
              <w:r>
                <w:rPr>
                  <w:rFonts w:ascii="Arial" w:cs="Arial" w:eastAsia="Arial" w:hAnsi="Arial"/>
                  <w:sz w:val="18"/>
                  <w:szCs w:val="18"/>
                  <w:color w:val="0000FF"/>
                </w:rPr>
                <w:t>Form of 2017 Performance Share Award Agreement pursuant to the</w:t>
              </w:r>
            </w:hyperlink>
          </w:p>
        </w:tc>
        <w:tc>
          <w:tcPr>
            <w:tcW w:w="106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4"/>
              </w:rPr>
              <w:t>10-Q</w:t>
            </w:r>
          </w:p>
        </w:tc>
        <w:tc>
          <w:tcPr>
            <w:tcW w:w="1500" w:type="dxa"/>
            <w:vAlign w:val="bottom"/>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1"/>
              </w:rPr>
              <w:t>10.2</w:t>
            </w:r>
          </w:p>
        </w:tc>
        <w:tc>
          <w:tcPr>
            <w:tcW w:w="166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8"/>
              </w:rPr>
              <w:t>September 29,</w:t>
            </w:r>
          </w:p>
        </w:tc>
        <w:tc>
          <w:tcPr>
            <w:tcW w:w="0" w:type="dxa"/>
            <w:vAlign w:val="bottom"/>
          </w:tcPr>
          <w:p>
            <w:pPr>
              <w:spacing w:after="0"/>
              <w:rPr>
                <w:sz w:val="1"/>
                <w:szCs w:val="1"/>
                <w:color w:val="auto"/>
              </w:rPr>
            </w:pPr>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436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AngioDynamics, Inc. 2004 Stock and Incentive Award Plan.</w:t>
              </w:r>
            </w:hyperlink>
          </w:p>
        </w:tc>
        <w:tc>
          <w:tcPr>
            <w:tcW w:w="52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1140" w:type="dxa"/>
            <w:vAlign w:val="bottom"/>
            <w:tcBorders>
              <w:top w:val="single" w:sz="8" w:color="CCEEFF"/>
              <w:bottom w:val="single" w:sz="8" w:color="CCEEFF"/>
            </w:tcBorders>
            <w:gridSpan w:val="18"/>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CCEEFF"/>
              <w:bottom w:val="single" w:sz="8" w:color="CCEEFF"/>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7"/>
              </w:rPr>
              <w:t>10.4.5</w:t>
            </w:r>
          </w:p>
        </w:tc>
        <w:tc>
          <w:tcPr>
            <w:tcW w:w="6020" w:type="dxa"/>
            <w:vAlign w:val="bottom"/>
            <w:gridSpan w:val="29"/>
          </w:tcPr>
          <w:p>
            <w:pPr>
              <w:spacing w:after="0" w:line="202" w:lineRule="exact"/>
              <w:rPr>
                <w:rFonts w:ascii="Arial" w:cs="Arial" w:eastAsia="Arial" w:hAnsi="Arial"/>
                <w:sz w:val="18"/>
                <w:szCs w:val="18"/>
                <w:color w:val="0000FF"/>
              </w:rPr>
            </w:pPr>
            <w:hyperlink r:id="rId49">
              <w:r>
                <w:rPr>
                  <w:rFonts w:ascii="Arial" w:cs="Arial" w:eastAsia="Arial" w:hAnsi="Arial"/>
                  <w:sz w:val="18"/>
                  <w:szCs w:val="18"/>
                  <w:color w:val="0000FF"/>
                </w:rPr>
                <w:t>Form of 2018 Performance Share Award Agreement pursuant to the</w:t>
              </w:r>
            </w:hyperlink>
          </w:p>
        </w:tc>
        <w:tc>
          <w:tcPr>
            <w:tcW w:w="10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9"/>
              </w:rPr>
              <w:t>10-K</w:t>
            </w:r>
          </w:p>
        </w:tc>
        <w:tc>
          <w:tcPr>
            <w:tcW w:w="150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1"/>
              </w:rPr>
              <w:t>10.4.5</w:t>
            </w:r>
          </w:p>
        </w:tc>
        <w:tc>
          <w:tcPr>
            <w:tcW w:w="16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1"/>
              </w:rPr>
              <w:t>July 23, 2018</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8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AngioDynamics, Inc. 2004 Stock and Incentive Award Plan.</w:t>
              </w:r>
            </w:hyperlink>
          </w:p>
        </w:tc>
        <w:tc>
          <w:tcPr>
            <w:tcW w:w="1140" w:type="dxa"/>
            <w:vAlign w:val="bottom"/>
            <w:gridSpan w:val="18"/>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10.5</w:t>
            </w:r>
          </w:p>
        </w:tc>
        <w:tc>
          <w:tcPr>
            <w:tcW w:w="6020" w:type="dxa"/>
            <w:vAlign w:val="bottom"/>
            <w:gridSpan w:val="29"/>
            <w:shd w:val="clear" w:color="auto" w:fill="CCEEFF"/>
          </w:tcPr>
          <w:p>
            <w:pPr>
              <w:spacing w:after="0" w:line="202"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Form of Restricted Stock Award Agreement pursuant to the AngioDynamics, Inc.</w:t>
              </w:r>
            </w:hyperlink>
          </w:p>
        </w:tc>
        <w:tc>
          <w:tcPr>
            <w:tcW w:w="106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1"/>
              </w:rPr>
              <w:t>10.3</w:t>
            </w:r>
          </w:p>
        </w:tc>
        <w:tc>
          <w:tcPr>
            <w:tcW w:w="166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91"/>
              </w:rPr>
              <w:t>May 12, 2005</w:t>
            </w: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5880" w:type="dxa"/>
            <w:vAlign w:val="bottom"/>
            <w:tcBorders>
              <w:top w:val="single" w:sz="8" w:color="0000FF"/>
            </w:tcBorders>
            <w:gridSpan w:val="25"/>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2004 Stock and Incentive Award Plan.</w:t>
              </w:r>
            </w:hyperlink>
          </w:p>
        </w:tc>
        <w:tc>
          <w:tcPr>
            <w:tcW w:w="140" w:type="dxa"/>
            <w:vAlign w:val="bottom"/>
            <w:tcBorders>
              <w:top w:val="single" w:sz="8" w:color="CCEEFF"/>
            </w:tcBorders>
            <w:gridSpan w:val="4"/>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1"/>
              </w:rPr>
              <w:t>10.6</w:t>
            </w:r>
          </w:p>
        </w:tc>
        <w:tc>
          <w:tcPr>
            <w:tcW w:w="3940" w:type="dxa"/>
            <w:vAlign w:val="bottom"/>
            <w:tcBorders>
              <w:bottom w:val="single" w:sz="8" w:color="0000FF"/>
            </w:tcBorders>
            <w:gridSpan w:val="8"/>
          </w:tcPr>
          <w:p>
            <w:pPr>
              <w:spacing w:after="0" w:line="202"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Rita Medical Systems, Inc. 1994 Incentive Stock Plan.</w:t>
              </w:r>
            </w:hyperlink>
          </w:p>
        </w:tc>
        <w:tc>
          <w:tcPr>
            <w:tcW w:w="2080" w:type="dxa"/>
            <w:vAlign w:val="bottom"/>
            <w:gridSpan w:val="21"/>
          </w:tcPr>
          <w:p>
            <w:pPr>
              <w:spacing w:after="0"/>
              <w:rPr>
                <w:sz w:val="17"/>
                <w:szCs w:val="17"/>
                <w:color w:val="auto"/>
              </w:rPr>
            </w:pPr>
          </w:p>
        </w:tc>
        <w:tc>
          <w:tcPr>
            <w:tcW w:w="10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2"/>
              </w:rPr>
              <w:t>S-1</w:t>
            </w:r>
          </w:p>
        </w:tc>
        <w:tc>
          <w:tcPr>
            <w:tcW w:w="150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2"/>
              </w:rPr>
              <w:t>May 3, 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584" w:right="2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7"/>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6"/>
              </w:rPr>
              <w:t>Exhibit</w:t>
            </w: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60" w:type="dxa"/>
            <w:vAlign w:val="bottom"/>
            <w:gridSpan w:val="20"/>
          </w:tcPr>
          <w:p>
            <w:pPr>
              <w:ind w:left="100"/>
              <w:spacing w:after="0"/>
              <w:rPr>
                <w:sz w:val="20"/>
                <w:szCs w:val="20"/>
                <w:color w:val="auto"/>
              </w:rPr>
            </w:pPr>
            <w:r>
              <w:rPr>
                <w:rFonts w:ascii="Arial" w:cs="Arial" w:eastAsia="Arial" w:hAnsi="Arial"/>
                <w:sz w:val="18"/>
                <w:szCs w:val="18"/>
                <w:color w:val="auto"/>
              </w:rPr>
              <w:t>Description of Exhibits</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0"/>
              </w:rPr>
              <w:t>Form</w:t>
            </w:r>
          </w:p>
        </w:tc>
        <w:tc>
          <w:tcPr>
            <w:tcW w:w="1500" w:type="dxa"/>
            <w:vAlign w:val="bottom"/>
          </w:tcPr>
          <w:p>
            <w:pPr>
              <w:ind w:left="700"/>
              <w:spacing w:after="0"/>
              <w:rPr>
                <w:sz w:val="20"/>
                <w:szCs w:val="20"/>
                <w:color w:val="auto"/>
              </w:rPr>
            </w:pPr>
            <w:r>
              <w:rPr>
                <w:rFonts w:ascii="Arial" w:cs="Arial" w:eastAsia="Arial" w:hAnsi="Arial"/>
                <w:sz w:val="18"/>
                <w:szCs w:val="18"/>
                <w:color w:val="auto"/>
              </w:rPr>
              <w:t>Exhibit</w:t>
            </w:r>
          </w:p>
        </w:tc>
        <w:tc>
          <w:tcPr>
            <w:tcW w:w="1680" w:type="dxa"/>
            <w:vAlign w:val="bottom"/>
          </w:tcPr>
          <w:p>
            <w:pPr>
              <w:jc w:val="center"/>
              <w:ind w:left="130"/>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10.7</w:t>
            </w:r>
          </w:p>
        </w:tc>
        <w:tc>
          <w:tcPr>
            <w:tcW w:w="426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Horizon Medical Products, Inc. 1998 Stock Incentive Plan.</w:t>
              </w:r>
            </w:hyperlink>
          </w:p>
        </w:tc>
        <w:tc>
          <w:tcPr>
            <w:tcW w:w="1760" w:type="dxa"/>
            <w:vAlign w:val="bottom"/>
            <w:tcBorders>
              <w:bottom w:val="single" w:sz="8" w:color="CCEEFF"/>
            </w:tcBorders>
            <w:gridSpan w:val="11"/>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92"/>
              </w:rPr>
              <w:t>S-1</w:t>
            </w:r>
          </w:p>
        </w:tc>
        <w:tc>
          <w:tcPr>
            <w:tcW w:w="1500" w:type="dxa"/>
            <w:vAlign w:val="bottom"/>
            <w:tcBorders>
              <w:bottom w:val="single" w:sz="8" w:color="CCEEFF"/>
            </w:tcBorders>
            <w:shd w:val="clear" w:color="auto" w:fill="CCEEFF"/>
          </w:tcPr>
          <w:p>
            <w:pPr>
              <w:jc w:val="center"/>
              <w:ind w:left="330"/>
              <w:spacing w:after="0" w:line="196" w:lineRule="exact"/>
              <w:rPr>
                <w:sz w:val="20"/>
                <w:szCs w:val="20"/>
                <w:color w:val="auto"/>
              </w:rPr>
            </w:pPr>
            <w:r>
              <w:rPr>
                <w:rFonts w:ascii="Arial" w:cs="Arial" w:eastAsia="Arial" w:hAnsi="Arial"/>
                <w:sz w:val="18"/>
                <w:szCs w:val="18"/>
                <w:color w:val="auto"/>
                <w:w w:val="88"/>
              </w:rPr>
              <w:t>10.11</w:t>
            </w:r>
          </w:p>
        </w:tc>
        <w:tc>
          <w:tcPr>
            <w:tcW w:w="1680" w:type="dxa"/>
            <w:vAlign w:val="bottom"/>
            <w:tcBorders>
              <w:bottom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9"/>
              </w:rPr>
              <w:t>February 13, 1998</w:t>
            </w: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1"/>
              </w:rPr>
              <w:t>10.8</w:t>
            </w:r>
          </w:p>
        </w:tc>
        <w:tc>
          <w:tcPr>
            <w:tcW w:w="6020" w:type="dxa"/>
            <w:vAlign w:val="bottom"/>
            <w:gridSpan w:val="26"/>
          </w:tcPr>
          <w:p>
            <w:pPr>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Rita Medical Systems, Inc. 2000 Stock Plan.</w:t>
              </w:r>
            </w:hyperlink>
          </w:p>
        </w:tc>
        <w:tc>
          <w:tcPr>
            <w:tcW w:w="10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3"/>
              </w:rPr>
              <w:t>S-1/A</w:t>
            </w:r>
          </w:p>
        </w:tc>
        <w:tc>
          <w:tcPr>
            <w:tcW w:w="150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1"/>
              </w:rPr>
              <w:t>10.3</w:t>
            </w:r>
          </w:p>
        </w:tc>
        <w:tc>
          <w:tcPr>
            <w:tcW w:w="16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87"/>
              </w:rPr>
              <w:t>June 14, 2000</w:t>
            </w: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10.9</w:t>
            </w:r>
          </w:p>
        </w:tc>
        <w:tc>
          <w:tcPr>
            <w:tcW w:w="6020" w:type="dxa"/>
            <w:vAlign w:val="bottom"/>
            <w:gridSpan w:val="26"/>
            <w:shd w:val="clear" w:color="auto" w:fill="CCEEFF"/>
          </w:tcPr>
          <w:p>
            <w:pPr>
              <w:spacing w:after="0" w:line="202"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Rita Medical Systems, Inc. 2000 Directors’ Stock Plan, as amended on June 8,</w:t>
              </w:r>
            </w:hyperlink>
          </w:p>
        </w:tc>
        <w:tc>
          <w:tcPr>
            <w:tcW w:w="10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2"/>
              </w:rPr>
              <w:t>S-8</w:t>
            </w:r>
          </w:p>
        </w:tc>
        <w:tc>
          <w:tcPr>
            <w:tcW w:w="1500" w:type="dxa"/>
            <w:vAlign w:val="bottom"/>
            <w:shd w:val="clear" w:color="auto" w:fill="CCEEFF"/>
          </w:tcPr>
          <w:p>
            <w:pPr>
              <w:jc w:val="center"/>
              <w:ind w:left="330"/>
              <w:spacing w:after="0" w:line="202" w:lineRule="exact"/>
              <w:rPr>
                <w:sz w:val="20"/>
                <w:szCs w:val="20"/>
                <w:color w:val="auto"/>
              </w:rPr>
            </w:pPr>
            <w:r>
              <w:rPr>
                <w:rFonts w:ascii="Arial" w:cs="Arial" w:eastAsia="Arial" w:hAnsi="Arial"/>
                <w:sz w:val="18"/>
                <w:szCs w:val="18"/>
                <w:color w:val="auto"/>
                <w:w w:val="91"/>
              </w:rPr>
              <w:t>99.2</w:t>
            </w:r>
          </w:p>
        </w:tc>
        <w:tc>
          <w:tcPr>
            <w:tcW w:w="16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0"/>
              </w:rPr>
              <w:t>July 8, 2005</w:t>
            </w: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2005.</w:t>
              </w:r>
            </w:hyperlink>
          </w:p>
        </w:tc>
        <w:tc>
          <w:tcPr>
            <w:tcW w:w="2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0000FF"/>
            </w:tcBorders>
            <w:shd w:val="clear" w:color="auto" w:fill="CCEEFF"/>
          </w:tcPr>
          <w:p>
            <w:pPr>
              <w:spacing w:after="0"/>
              <w:rPr>
                <w:sz w:val="17"/>
                <w:szCs w:val="17"/>
                <w:color w:val="auto"/>
              </w:rPr>
            </w:pPr>
          </w:p>
        </w:tc>
        <w:tc>
          <w:tcPr>
            <w:tcW w:w="80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3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9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8"/>
              </w:rPr>
              <w:t>10.10</w:t>
            </w:r>
          </w:p>
        </w:tc>
        <w:tc>
          <w:tcPr>
            <w:tcW w:w="6020" w:type="dxa"/>
            <w:vAlign w:val="bottom"/>
            <w:gridSpan w:val="26"/>
          </w:tcPr>
          <w:p>
            <w:pPr>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Rita Medical Systems, Inc. 2005 Stock and Incentive Plan.</w:t>
              </w:r>
            </w:hyperlink>
          </w:p>
        </w:tc>
        <w:tc>
          <w:tcPr>
            <w:tcW w:w="10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2"/>
              </w:rPr>
              <w:t>S-8</w:t>
            </w:r>
          </w:p>
        </w:tc>
        <w:tc>
          <w:tcPr>
            <w:tcW w:w="150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1"/>
              </w:rPr>
              <w:t>99.1</w:t>
            </w:r>
          </w:p>
        </w:tc>
        <w:tc>
          <w:tcPr>
            <w:tcW w:w="16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0"/>
              </w:rPr>
              <w:t>July 8, 2005</w:t>
            </w: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10.11</w:t>
            </w:r>
          </w:p>
        </w:tc>
        <w:tc>
          <w:tcPr>
            <w:tcW w:w="442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Form of Indemnification Agreement of AngioDynamics, Inc.</w:t>
              </w:r>
            </w:hyperlink>
          </w:p>
        </w:tc>
        <w:tc>
          <w:tcPr>
            <w:tcW w:w="1600" w:type="dxa"/>
            <w:vAlign w:val="bottom"/>
            <w:tcBorders>
              <w:bottom w:val="single" w:sz="8" w:color="CCEEFF"/>
            </w:tcBorders>
            <w:gridSpan w:val="10"/>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Borders>
              <w:bottom w:val="single" w:sz="8" w:color="CCEEFF"/>
            </w:tcBorders>
            <w:shd w:val="clear" w:color="auto" w:fill="CCEEFF"/>
          </w:tcPr>
          <w:p>
            <w:pPr>
              <w:jc w:val="center"/>
              <w:ind w:left="330"/>
              <w:spacing w:after="0" w:line="202" w:lineRule="exact"/>
              <w:rPr>
                <w:sz w:val="20"/>
                <w:szCs w:val="20"/>
                <w:color w:val="auto"/>
              </w:rPr>
            </w:pPr>
            <w:r>
              <w:rPr>
                <w:rFonts w:ascii="Arial" w:cs="Arial" w:eastAsia="Arial" w:hAnsi="Arial"/>
                <w:sz w:val="18"/>
                <w:szCs w:val="18"/>
                <w:color w:val="auto"/>
                <w:w w:val="91"/>
              </w:rPr>
              <w:t>10.1</w:t>
            </w:r>
          </w:p>
        </w:tc>
        <w:tc>
          <w:tcPr>
            <w:tcW w:w="168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1"/>
              </w:rPr>
              <w:t>May 12, 2006</w:t>
            </w: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6"/>
              </w:rPr>
              <w:t>10.11.1</w:t>
            </w:r>
          </w:p>
        </w:tc>
        <w:tc>
          <w:tcPr>
            <w:tcW w:w="5860" w:type="dxa"/>
            <w:vAlign w:val="bottom"/>
            <w:tcBorders>
              <w:bottom w:val="single" w:sz="8" w:color="0000FF"/>
            </w:tcBorders>
            <w:gridSpan w:val="23"/>
          </w:tcPr>
          <w:p>
            <w:pPr>
              <w:spacing w:after="0" w:line="202"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Employment Agreement, dated April 1, 2016, between AngioDynamics, Inc. and</w:t>
              </w:r>
            </w:hyperlink>
          </w:p>
        </w:tc>
        <w:tc>
          <w:tcPr>
            <w:tcW w:w="160" w:type="dxa"/>
            <w:vAlign w:val="bottom"/>
            <w:gridSpan w:val="3"/>
          </w:tcPr>
          <w:p>
            <w:pPr>
              <w:spacing w:after="0"/>
              <w:rPr>
                <w:sz w:val="17"/>
                <w:szCs w:val="17"/>
                <w:color w:val="auto"/>
              </w:rPr>
            </w:pPr>
          </w:p>
        </w:tc>
        <w:tc>
          <w:tcPr>
            <w:tcW w:w="104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020" w:type="dxa"/>
            <w:vAlign w:val="bottom"/>
            <w:gridSpan w:val="26"/>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James C. Clemmer.</w:t>
              </w:r>
            </w:hyperlink>
          </w:p>
        </w:tc>
        <w:tc>
          <w:tcPr>
            <w:tcW w:w="1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10.11.2</w:t>
            </w:r>
          </w:p>
        </w:tc>
        <w:tc>
          <w:tcPr>
            <w:tcW w:w="6020" w:type="dxa"/>
            <w:vAlign w:val="bottom"/>
            <w:gridSpan w:val="26"/>
            <w:shd w:val="clear" w:color="auto" w:fill="CCEEFF"/>
          </w:tcPr>
          <w:p>
            <w:pPr>
              <w:spacing w:after="0" w:line="202" w:lineRule="exact"/>
              <w:rPr>
                <w:rFonts w:ascii="Arial" w:cs="Arial" w:eastAsia="Arial" w:hAnsi="Arial"/>
                <w:sz w:val="18"/>
                <w:szCs w:val="18"/>
                <w:color w:val="0000FF"/>
                <w:w w:val="97"/>
              </w:rPr>
            </w:pPr>
            <w:hyperlink r:id="rId58">
              <w:r>
                <w:rPr>
                  <w:rFonts w:ascii="Arial" w:cs="Arial" w:eastAsia="Arial" w:hAnsi="Arial"/>
                  <w:sz w:val="18"/>
                  <w:szCs w:val="18"/>
                  <w:color w:val="0000FF"/>
                  <w:w w:val="97"/>
                </w:rPr>
                <w:t>Employment letter, dated August 18, 2016, between AngioDynamics, Inc. and</w:t>
              </w:r>
            </w:hyperlink>
          </w:p>
        </w:tc>
        <w:tc>
          <w:tcPr>
            <w:tcW w:w="1040" w:type="dxa"/>
            <w:vAlign w:val="bottom"/>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shd w:val="clear" w:color="auto" w:fill="CCEEFF"/>
          </w:tcPr>
          <w:p>
            <w:pPr>
              <w:jc w:val="center"/>
              <w:ind w:left="330"/>
              <w:spacing w:after="0" w:line="202" w:lineRule="exact"/>
              <w:rPr>
                <w:sz w:val="20"/>
                <w:szCs w:val="20"/>
                <w:color w:val="auto"/>
              </w:rPr>
            </w:pPr>
            <w:r>
              <w:rPr>
                <w:rFonts w:ascii="Arial" w:cs="Arial" w:eastAsia="Arial" w:hAnsi="Arial"/>
                <w:sz w:val="18"/>
                <w:szCs w:val="18"/>
                <w:color w:val="auto"/>
                <w:w w:val="91"/>
              </w:rPr>
              <w:t>10.1</w:t>
            </w:r>
          </w:p>
        </w:tc>
        <w:tc>
          <w:tcPr>
            <w:tcW w:w="168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July 25, 2016</w:t>
            </w:r>
          </w:p>
        </w:tc>
        <w:tc>
          <w:tcPr>
            <w:tcW w:w="0" w:type="dxa"/>
            <w:vAlign w:val="bottom"/>
          </w:tcPr>
          <w:p>
            <w:pPr>
              <w:spacing w:after="0"/>
              <w:rPr>
                <w:sz w:val="1"/>
                <w:szCs w:val="1"/>
                <w:color w:val="auto"/>
              </w:rPr>
            </w:pPr>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Michael C. Greiner.</w:t>
              </w:r>
            </w:hyperlink>
          </w:p>
        </w:tc>
        <w:tc>
          <w:tcPr>
            <w:tcW w:w="4200" w:type="dxa"/>
            <w:vAlign w:val="bottom"/>
            <w:tcBorders>
              <w:top w:val="single" w:sz="8" w:color="0000FF"/>
              <w:bottom w:val="single" w:sz="8" w:color="CCEEFF"/>
            </w:tcBorders>
            <w:gridSpan w:val="17"/>
            <w:shd w:val="clear" w:color="auto" w:fill="CCEEFF"/>
          </w:tcPr>
          <w:p>
            <w:pPr>
              <w:spacing w:after="0"/>
              <w:rPr>
                <w:sz w:val="21"/>
                <w:szCs w:val="21"/>
                <w:color w:val="auto"/>
              </w:rPr>
            </w:pPr>
          </w:p>
        </w:tc>
        <w:tc>
          <w:tcPr>
            <w:tcW w:w="38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8"/>
              </w:rPr>
              <w:t>10.12</w:t>
            </w:r>
          </w:p>
        </w:tc>
        <w:tc>
          <w:tcPr>
            <w:tcW w:w="6020" w:type="dxa"/>
            <w:vAlign w:val="bottom"/>
            <w:gridSpan w:val="26"/>
          </w:tcPr>
          <w:p>
            <w:pPr>
              <w:spacing w:after="0" w:line="202"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Change in Control Agreement, dated April 1, 2016, between AngioDynamics, Inc.</w:t>
              </w:r>
            </w:hyperlink>
          </w:p>
        </w:tc>
        <w:tc>
          <w:tcPr>
            <w:tcW w:w="104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1"/>
              </w:rPr>
              <w:t>10.2</w:t>
            </w:r>
          </w:p>
        </w:tc>
        <w:tc>
          <w:tcPr>
            <w:tcW w:w="16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9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and James C. Clemmer.</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10.12.1</w:t>
            </w:r>
          </w:p>
        </w:tc>
        <w:tc>
          <w:tcPr>
            <w:tcW w:w="6020" w:type="dxa"/>
            <w:vAlign w:val="bottom"/>
            <w:gridSpan w:val="26"/>
            <w:shd w:val="clear" w:color="auto" w:fill="CCEEFF"/>
          </w:tcPr>
          <w:p>
            <w:pPr>
              <w:spacing w:after="0" w:line="202" w:lineRule="exact"/>
              <w:rPr>
                <w:rFonts w:ascii="Arial" w:cs="Arial" w:eastAsia="Arial" w:hAnsi="Arial"/>
                <w:sz w:val="18"/>
                <w:szCs w:val="18"/>
                <w:color w:val="0000FF"/>
              </w:rPr>
            </w:pPr>
            <w:hyperlink r:id="rId60">
              <w:r>
                <w:rPr>
                  <w:rFonts w:ascii="Arial" w:cs="Arial" w:eastAsia="Arial" w:hAnsi="Arial"/>
                  <w:sz w:val="18"/>
                  <w:szCs w:val="18"/>
                  <w:color w:val="0000FF"/>
                </w:rPr>
                <w:t>Form of Severance Agreement of AngioDynamics, Inc.</w:t>
              </w:r>
            </w:hyperlink>
          </w:p>
        </w:tc>
        <w:tc>
          <w:tcPr>
            <w:tcW w:w="1040" w:type="dxa"/>
            <w:vAlign w:val="bottom"/>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shd w:val="clear" w:color="auto" w:fill="CCEEFF"/>
          </w:tcPr>
          <w:p>
            <w:pPr>
              <w:jc w:val="center"/>
              <w:ind w:left="330"/>
              <w:spacing w:after="0" w:line="202" w:lineRule="exact"/>
              <w:rPr>
                <w:sz w:val="20"/>
                <w:szCs w:val="20"/>
                <w:color w:val="auto"/>
              </w:rPr>
            </w:pPr>
            <w:r>
              <w:rPr>
                <w:rFonts w:ascii="Arial" w:cs="Arial" w:eastAsia="Arial" w:hAnsi="Arial"/>
                <w:sz w:val="18"/>
                <w:szCs w:val="18"/>
                <w:color w:val="auto"/>
                <w:w w:val="91"/>
              </w:rPr>
              <w:t>10.1</w:t>
            </w:r>
          </w:p>
        </w:tc>
        <w:tc>
          <w:tcPr>
            <w:tcW w:w="168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0"/>
              </w:rPr>
              <w:t>October 31, 2007</w:t>
            </w: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auto"/>
                <w:w w:val="88"/>
              </w:rPr>
              <w:t>10.13</w:t>
            </w:r>
          </w:p>
        </w:tc>
        <w:tc>
          <w:tcPr>
            <w:tcW w:w="4000" w:type="dxa"/>
            <w:vAlign w:val="bottom"/>
            <w:tcBorders>
              <w:top w:val="single" w:sz="8" w:color="0000FF"/>
            </w:tcBorders>
            <w:gridSpan w:val="13"/>
          </w:tcPr>
          <w:p>
            <w:pPr>
              <w:spacing w:after="0" w:line="202" w:lineRule="exact"/>
              <w:rPr>
                <w:rFonts w:ascii="Arial" w:cs="Arial" w:eastAsia="Arial" w:hAnsi="Arial"/>
                <w:sz w:val="18"/>
                <w:szCs w:val="18"/>
                <w:color w:val="0000FF"/>
              </w:rPr>
            </w:pPr>
            <w:hyperlink r:id="rId61">
              <w:r>
                <w:rPr>
                  <w:rFonts w:ascii="Arial" w:cs="Arial" w:eastAsia="Arial" w:hAnsi="Arial"/>
                  <w:sz w:val="18"/>
                  <w:szCs w:val="18"/>
                  <w:color w:val="0000FF"/>
                </w:rPr>
                <w:t>Form of Change in Control Agreement.</w:t>
              </w:r>
            </w:hyperlink>
          </w:p>
        </w:tc>
        <w:tc>
          <w:tcPr>
            <w:tcW w:w="2020" w:type="dxa"/>
            <w:vAlign w:val="bottom"/>
            <w:tcBorders>
              <w:top w:val="single" w:sz="8" w:color="CCEEFF"/>
            </w:tcBorders>
            <w:gridSpan w:val="13"/>
          </w:tcPr>
          <w:p>
            <w:pPr>
              <w:spacing w:after="0"/>
              <w:rPr>
                <w:sz w:val="17"/>
                <w:szCs w:val="17"/>
                <w:color w:val="auto"/>
              </w:rPr>
            </w:pPr>
          </w:p>
        </w:tc>
        <w:tc>
          <w:tcPr>
            <w:tcW w:w="1040" w:type="dxa"/>
            <w:vAlign w:val="bottom"/>
            <w:tcBorders>
              <w:top w:val="single" w:sz="8" w:color="CCEEFF"/>
            </w:tcBorders>
          </w:tcPr>
          <w:p>
            <w:pPr>
              <w:jc w:val="center"/>
              <w:ind w:left="130"/>
              <w:spacing w:after="0" w:line="202" w:lineRule="exact"/>
              <w:rPr>
                <w:sz w:val="20"/>
                <w:szCs w:val="20"/>
                <w:color w:val="auto"/>
              </w:rPr>
            </w:pPr>
            <w:r>
              <w:rPr>
                <w:rFonts w:ascii="Arial" w:cs="Arial" w:eastAsia="Arial" w:hAnsi="Arial"/>
                <w:sz w:val="18"/>
                <w:szCs w:val="18"/>
                <w:color w:val="auto"/>
                <w:w w:val="98"/>
              </w:rPr>
              <w:t>10-K/A</w:t>
            </w:r>
          </w:p>
        </w:tc>
        <w:tc>
          <w:tcPr>
            <w:tcW w:w="1500" w:type="dxa"/>
            <w:vAlign w:val="bottom"/>
            <w:tcBorders>
              <w:top w:val="single" w:sz="8" w:color="CCEEFF"/>
            </w:tcBorders>
          </w:tcPr>
          <w:p>
            <w:pPr>
              <w:jc w:val="center"/>
              <w:ind w:left="330"/>
              <w:spacing w:after="0" w:line="202" w:lineRule="exact"/>
              <w:rPr>
                <w:sz w:val="20"/>
                <w:szCs w:val="20"/>
                <w:color w:val="auto"/>
              </w:rPr>
            </w:pPr>
            <w:r>
              <w:rPr>
                <w:rFonts w:ascii="Arial" w:cs="Arial" w:eastAsia="Arial" w:hAnsi="Arial"/>
                <w:sz w:val="18"/>
                <w:szCs w:val="18"/>
                <w:color w:val="auto"/>
                <w:w w:val="88"/>
              </w:rPr>
              <w:t>10.13</w:t>
            </w:r>
          </w:p>
        </w:tc>
        <w:tc>
          <w:tcPr>
            <w:tcW w:w="1680" w:type="dxa"/>
            <w:vAlign w:val="bottom"/>
            <w:tcBorders>
              <w:top w:val="single" w:sz="8" w:color="CCEEFF"/>
            </w:tcBorders>
          </w:tcPr>
          <w:p>
            <w:pPr>
              <w:jc w:val="center"/>
              <w:ind w:left="110"/>
              <w:spacing w:after="0" w:line="202" w:lineRule="exact"/>
              <w:rPr>
                <w:sz w:val="20"/>
                <w:szCs w:val="20"/>
                <w:color w:val="auto"/>
              </w:rPr>
            </w:pPr>
            <w:r>
              <w:rPr>
                <w:rFonts w:ascii="Arial" w:cs="Arial" w:eastAsia="Arial" w:hAnsi="Arial"/>
                <w:sz w:val="18"/>
                <w:szCs w:val="18"/>
                <w:color w:val="auto"/>
                <w:w w:val="89"/>
              </w:rPr>
              <w:t>January 12, 2015</w:t>
            </w: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10.13.1</w:t>
            </w:r>
          </w:p>
        </w:tc>
        <w:tc>
          <w:tcPr>
            <w:tcW w:w="586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Change in Control Agreement, dated August 18, 2016, between AngioDynamics,</w:t>
              </w:r>
            </w:hyperlink>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4"/>
              </w:rPr>
              <w:t>10-Q</w:t>
            </w:r>
          </w:p>
        </w:tc>
        <w:tc>
          <w:tcPr>
            <w:tcW w:w="1500" w:type="dxa"/>
            <w:vAlign w:val="bottom"/>
            <w:tcBorders>
              <w:bottom w:val="single" w:sz="8" w:color="CCEEFF"/>
            </w:tcBorders>
            <w:shd w:val="clear" w:color="auto" w:fill="CCEEFF"/>
          </w:tcPr>
          <w:p>
            <w:pPr>
              <w:jc w:val="center"/>
              <w:ind w:left="330"/>
              <w:spacing w:after="0" w:line="202" w:lineRule="exact"/>
              <w:rPr>
                <w:sz w:val="20"/>
                <w:szCs w:val="20"/>
                <w:color w:val="auto"/>
              </w:rPr>
            </w:pPr>
            <w:r>
              <w:rPr>
                <w:rFonts w:ascii="Arial" w:cs="Arial" w:eastAsia="Arial" w:hAnsi="Arial"/>
                <w:sz w:val="18"/>
                <w:szCs w:val="18"/>
                <w:color w:val="auto"/>
                <w:w w:val="91"/>
              </w:rPr>
              <w:t>10.3</w:t>
            </w:r>
          </w:p>
        </w:tc>
        <w:tc>
          <w:tcPr>
            <w:tcW w:w="168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89"/>
              </w:rPr>
              <w:t>October 5, 2016</w:t>
            </w:r>
          </w:p>
        </w:tc>
        <w:tc>
          <w:tcPr>
            <w:tcW w:w="0" w:type="dxa"/>
            <w:vAlign w:val="bottom"/>
          </w:tcPr>
          <w:p>
            <w:pPr>
              <w:spacing w:after="0"/>
              <w:rPr>
                <w:sz w:val="1"/>
                <w:szCs w:val="1"/>
                <w:color w:val="auto"/>
              </w:rPr>
            </w:pPr>
          </w:p>
        </w:tc>
      </w:tr>
      <w:tr>
        <w:trPr>
          <w:trHeight w:val="244"/>
        </w:trPr>
        <w:tc>
          <w:tcPr>
            <w:tcW w:w="11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Inc. and Michael C. Greiner.</w:t>
              </w:r>
            </w:hyperlink>
          </w:p>
        </w:tc>
        <w:tc>
          <w:tcPr>
            <w:tcW w:w="3960" w:type="dxa"/>
            <w:vAlign w:val="bottom"/>
            <w:tcBorders>
              <w:bottom w:val="single" w:sz="8" w:color="CCEEFF"/>
            </w:tcBorders>
            <w:gridSpan w:val="20"/>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8"/>
              </w:rPr>
              <w:t>10.14</w:t>
            </w:r>
          </w:p>
        </w:tc>
        <w:tc>
          <w:tcPr>
            <w:tcW w:w="6020" w:type="dxa"/>
            <w:vAlign w:val="bottom"/>
            <w:gridSpan w:val="26"/>
          </w:tcPr>
          <w:p>
            <w:pPr>
              <w:spacing w:after="0" w:line="202"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Performance Share Award Agreement, with a grant date of April 4, 2016, between</w:t>
              </w:r>
            </w:hyperlink>
          </w:p>
        </w:tc>
        <w:tc>
          <w:tcPr>
            <w:tcW w:w="104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1"/>
              </w:rPr>
              <w:t>10.3</w:t>
            </w:r>
          </w:p>
        </w:tc>
        <w:tc>
          <w:tcPr>
            <w:tcW w:w="16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9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AngioDynamics, Inc. and James C. Clemmer.</w:t>
              </w:r>
            </w:hyperlink>
          </w:p>
        </w:tc>
        <w:tc>
          <w:tcPr>
            <w:tcW w:w="10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10.15</w:t>
            </w:r>
          </w:p>
        </w:tc>
        <w:tc>
          <w:tcPr>
            <w:tcW w:w="6020" w:type="dxa"/>
            <w:vAlign w:val="bottom"/>
            <w:gridSpan w:val="26"/>
            <w:shd w:val="clear" w:color="auto" w:fill="CCEEFF"/>
          </w:tcPr>
          <w:p>
            <w:pPr>
              <w:spacing w:after="0" w:line="202" w:lineRule="exact"/>
              <w:rPr>
                <w:rFonts w:ascii="Arial" w:cs="Arial" w:eastAsia="Arial" w:hAnsi="Arial"/>
                <w:sz w:val="18"/>
                <w:szCs w:val="18"/>
                <w:color w:val="0000FF"/>
              </w:rPr>
            </w:pPr>
            <w:hyperlink r:id="rId64">
              <w:r>
                <w:rPr>
                  <w:rFonts w:ascii="Arial" w:cs="Arial" w:eastAsia="Arial" w:hAnsi="Arial"/>
                  <w:sz w:val="18"/>
                  <w:szCs w:val="18"/>
                  <w:color w:val="0000FF"/>
                </w:rPr>
                <w:t>AngioDynamics, Inc. Total Shareholder Return Performance Share Award</w:t>
              </w:r>
            </w:hyperlink>
          </w:p>
        </w:tc>
        <w:tc>
          <w:tcPr>
            <w:tcW w:w="1040" w:type="dxa"/>
            <w:vAlign w:val="bottom"/>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shd w:val="clear" w:color="auto" w:fill="CCEEFF"/>
          </w:tcPr>
          <w:p>
            <w:pPr>
              <w:jc w:val="center"/>
              <w:ind w:left="330"/>
              <w:spacing w:after="0" w:line="202" w:lineRule="exact"/>
              <w:rPr>
                <w:sz w:val="20"/>
                <w:szCs w:val="20"/>
                <w:color w:val="auto"/>
              </w:rPr>
            </w:pPr>
            <w:r>
              <w:rPr>
                <w:rFonts w:ascii="Arial" w:cs="Arial" w:eastAsia="Arial" w:hAnsi="Arial"/>
                <w:sz w:val="18"/>
                <w:szCs w:val="18"/>
                <w:color w:val="auto"/>
                <w:w w:val="91"/>
              </w:rPr>
              <w:t>10.4</w:t>
            </w:r>
          </w:p>
        </w:tc>
        <w:tc>
          <w:tcPr>
            <w:tcW w:w="16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534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Program - Performance Period Ending July 2019.</w:t>
              </w:r>
            </w:hyperlink>
          </w:p>
        </w:tc>
        <w:tc>
          <w:tcPr>
            <w:tcW w:w="680" w:type="dxa"/>
            <w:vAlign w:val="bottom"/>
            <w:tcBorders>
              <w:top w:val="single" w:sz="8" w:color="CCEEFF"/>
            </w:tcBorders>
            <w:gridSpan w:val="9"/>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8"/>
              </w:rPr>
              <w:t>10.16</w:t>
            </w:r>
          </w:p>
        </w:tc>
        <w:tc>
          <w:tcPr>
            <w:tcW w:w="6020" w:type="dxa"/>
            <w:vAlign w:val="bottom"/>
            <w:gridSpan w:val="26"/>
          </w:tcPr>
          <w:p>
            <w:pPr>
              <w:spacing w:after="0" w:line="202" w:lineRule="exact"/>
              <w:rPr>
                <w:rFonts w:ascii="Arial" w:cs="Arial" w:eastAsia="Arial" w:hAnsi="Arial"/>
                <w:sz w:val="18"/>
                <w:szCs w:val="18"/>
                <w:color w:val="0000FF"/>
              </w:rPr>
            </w:pPr>
            <w:hyperlink r:id="rId65">
              <w:r>
                <w:rPr>
                  <w:rFonts w:ascii="Arial" w:cs="Arial" w:eastAsia="Arial" w:hAnsi="Arial"/>
                  <w:sz w:val="18"/>
                  <w:szCs w:val="18"/>
                  <w:color w:val="0000FF"/>
                </w:rPr>
                <w:t>Stock Option Award Agreement, with a grant date of April 4, 2016, between</w:t>
              </w:r>
            </w:hyperlink>
          </w:p>
        </w:tc>
        <w:tc>
          <w:tcPr>
            <w:tcW w:w="104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1"/>
              </w:rPr>
              <w:t>10.5</w:t>
            </w:r>
          </w:p>
        </w:tc>
        <w:tc>
          <w:tcPr>
            <w:tcW w:w="16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AngioDynamics, Inc. and James C. Clemmer.</w:t>
              </w:r>
            </w:hyperlink>
          </w:p>
        </w:tc>
        <w:tc>
          <w:tcPr>
            <w:tcW w:w="52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10.17</w:t>
            </w:r>
          </w:p>
        </w:tc>
        <w:tc>
          <w:tcPr>
            <w:tcW w:w="6020" w:type="dxa"/>
            <w:vAlign w:val="bottom"/>
            <w:gridSpan w:val="26"/>
            <w:shd w:val="clear" w:color="auto" w:fill="CCEEFF"/>
          </w:tcPr>
          <w:p>
            <w:pPr>
              <w:spacing w:after="0" w:line="202" w:lineRule="exact"/>
              <w:rPr>
                <w:rFonts w:ascii="Arial" w:cs="Arial" w:eastAsia="Arial" w:hAnsi="Arial"/>
                <w:sz w:val="18"/>
                <w:szCs w:val="18"/>
                <w:color w:val="0000FF"/>
              </w:rPr>
            </w:pPr>
            <w:hyperlink r:id="rId66">
              <w:r>
                <w:rPr>
                  <w:rFonts w:ascii="Arial" w:cs="Arial" w:eastAsia="Arial" w:hAnsi="Arial"/>
                  <w:sz w:val="18"/>
                  <w:szCs w:val="18"/>
                  <w:color w:val="0000FF"/>
                </w:rPr>
                <w:t>Restricted Stock Unit Award Agreement, with a grant date of April 4, 2016,</w:t>
              </w:r>
            </w:hyperlink>
          </w:p>
        </w:tc>
        <w:tc>
          <w:tcPr>
            <w:tcW w:w="1040" w:type="dxa"/>
            <w:vAlign w:val="bottom"/>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shd w:val="clear" w:color="auto" w:fill="CCEEFF"/>
          </w:tcPr>
          <w:p>
            <w:pPr>
              <w:jc w:val="center"/>
              <w:ind w:left="330"/>
              <w:spacing w:after="0" w:line="202" w:lineRule="exact"/>
              <w:rPr>
                <w:sz w:val="20"/>
                <w:szCs w:val="20"/>
                <w:color w:val="auto"/>
              </w:rPr>
            </w:pPr>
            <w:r>
              <w:rPr>
                <w:rFonts w:ascii="Arial" w:cs="Arial" w:eastAsia="Arial" w:hAnsi="Arial"/>
                <w:sz w:val="18"/>
                <w:szCs w:val="18"/>
                <w:color w:val="auto"/>
                <w:w w:val="91"/>
              </w:rPr>
              <w:t>10.6</w:t>
            </w:r>
          </w:p>
        </w:tc>
        <w:tc>
          <w:tcPr>
            <w:tcW w:w="16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between AngioDynamics, Inc. and James C. Clemmer.</w:t>
              </w:r>
            </w:hyperlink>
          </w:p>
        </w:tc>
        <w:tc>
          <w:tcPr>
            <w:tcW w:w="560" w:type="dxa"/>
            <w:vAlign w:val="bottom"/>
            <w:tcBorders>
              <w:top w:val="single" w:sz="8" w:color="CCEEFF"/>
            </w:tcBorders>
            <w:gridSpan w:val="7"/>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8"/>
              </w:rPr>
              <w:t>10.18</w:t>
            </w:r>
          </w:p>
        </w:tc>
        <w:tc>
          <w:tcPr>
            <w:tcW w:w="5420" w:type="dxa"/>
            <w:vAlign w:val="bottom"/>
            <w:tcBorders>
              <w:bottom w:val="single" w:sz="8" w:color="0000FF"/>
            </w:tcBorders>
            <w:gridSpan w:val="18"/>
          </w:tcPr>
          <w:p>
            <w:pPr>
              <w:spacing w:after="0" w:line="202" w:lineRule="exact"/>
              <w:rPr>
                <w:rFonts w:ascii="Arial" w:cs="Arial" w:eastAsia="Arial" w:hAnsi="Arial"/>
                <w:sz w:val="18"/>
                <w:szCs w:val="18"/>
                <w:color w:val="0000FF"/>
                <w:w w:val="89"/>
              </w:rPr>
            </w:pPr>
            <w:hyperlink r:id="rId67">
              <w:r>
                <w:rPr>
                  <w:rFonts w:ascii="Arial" w:cs="Arial" w:eastAsia="Arial" w:hAnsi="Arial"/>
                  <w:sz w:val="18"/>
                  <w:szCs w:val="18"/>
                  <w:color w:val="0000FF"/>
                  <w:w w:val="89"/>
                </w:rPr>
                <w:t>Separation Agreement and General Release, dated April 22, 2016, between</w:t>
              </w:r>
            </w:hyperlink>
          </w:p>
        </w:tc>
        <w:tc>
          <w:tcPr>
            <w:tcW w:w="600" w:type="dxa"/>
            <w:vAlign w:val="bottom"/>
            <w:gridSpan w:val="8"/>
          </w:tcPr>
          <w:p>
            <w:pPr>
              <w:spacing w:after="0"/>
              <w:rPr>
                <w:sz w:val="17"/>
                <w:szCs w:val="17"/>
                <w:color w:val="auto"/>
              </w:rPr>
            </w:pPr>
          </w:p>
        </w:tc>
        <w:tc>
          <w:tcPr>
            <w:tcW w:w="104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5"/>
              </w:rPr>
              <w:t>April 27, 2016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020" w:type="dxa"/>
            <w:vAlign w:val="bottom"/>
            <w:gridSpan w:val="26"/>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AngioDynamics, Inc. and Joseph M. DeVivo.</w:t>
              </w:r>
            </w:hyperlink>
          </w:p>
        </w:tc>
        <w:tc>
          <w:tcPr>
            <w:tcW w:w="1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14</w:t>
            </w:r>
          </w:p>
        </w:tc>
        <w:tc>
          <w:tcPr>
            <w:tcW w:w="6020" w:type="dxa"/>
            <w:vAlign w:val="bottom"/>
            <w:gridSpan w:val="26"/>
            <w:shd w:val="clear" w:color="auto" w:fill="CCEEFF"/>
          </w:tcPr>
          <w:p>
            <w:pPr>
              <w:spacing w:after="0" w:line="202" w:lineRule="exact"/>
              <w:rPr>
                <w:rFonts w:ascii="Arial" w:cs="Arial" w:eastAsia="Arial" w:hAnsi="Arial"/>
                <w:sz w:val="18"/>
                <w:szCs w:val="18"/>
                <w:color w:val="0000FF"/>
              </w:rPr>
            </w:pPr>
            <w:hyperlink r:id="rId68">
              <w:r>
                <w:rPr>
                  <w:rFonts w:ascii="Arial" w:cs="Arial" w:eastAsia="Arial" w:hAnsi="Arial"/>
                  <w:sz w:val="18"/>
                  <w:szCs w:val="18"/>
                  <w:color w:val="0000FF"/>
                </w:rPr>
                <w:t>Code of Ethics.</w:t>
              </w:r>
            </w:hyperlink>
          </w:p>
        </w:tc>
        <w:tc>
          <w:tcPr>
            <w:tcW w:w="1040" w:type="dxa"/>
            <w:vAlign w:val="bottom"/>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9"/>
              </w:rPr>
              <w:t>8-K</w:t>
            </w:r>
          </w:p>
        </w:tc>
        <w:tc>
          <w:tcPr>
            <w:tcW w:w="1500" w:type="dxa"/>
            <w:vAlign w:val="bottom"/>
            <w:shd w:val="clear" w:color="auto" w:fill="CCEEFF"/>
          </w:tcPr>
          <w:p>
            <w:pPr>
              <w:jc w:val="center"/>
              <w:ind w:left="350"/>
              <w:spacing w:after="0" w:line="202" w:lineRule="exact"/>
              <w:rPr>
                <w:sz w:val="20"/>
                <w:szCs w:val="20"/>
                <w:color w:val="auto"/>
              </w:rPr>
            </w:pPr>
            <w:r>
              <w:rPr>
                <w:rFonts w:ascii="Arial" w:cs="Arial" w:eastAsia="Arial" w:hAnsi="Arial"/>
                <w:sz w:val="18"/>
                <w:szCs w:val="18"/>
                <w:color w:val="auto"/>
                <w:w w:val="89"/>
              </w:rPr>
              <w:t>14</w:t>
            </w:r>
          </w:p>
        </w:tc>
        <w:tc>
          <w:tcPr>
            <w:tcW w:w="16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1"/>
              </w:rPr>
              <w:t>May 21, 2006</w:t>
            </w: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hanging="688"/>
        <w:spacing w:after="0"/>
        <w:tabs>
          <w:tab w:leader="none" w:pos="1180" w:val="left"/>
        </w:tabs>
        <w:numPr>
          <w:ilvl w:val="0"/>
          <w:numId w:val="72"/>
        </w:numPr>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180" w:hanging="688"/>
        <w:spacing w:after="0"/>
        <w:tabs>
          <w:tab w:leader="none" w:pos="1180" w:val="left"/>
        </w:tabs>
        <w:numPr>
          <w:ilvl w:val="0"/>
          <w:numId w:val="73"/>
        </w:numPr>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Consent of Deloitte &amp; Touche LLP, an independent registered public accounting firm.</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240" w:type="dxa"/>
            <w:vAlign w:val="bottom"/>
            <w:gridSpan w:val="6"/>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Certification by the Chief Executive Officer Pursuant to Section 302 of the Sarbanes-Oxley Act of 2002.</w:t>
              </w:r>
            </w:hyperlink>
          </w:p>
        </w:tc>
      </w:tr>
      <w:tr>
        <w:trPr>
          <w:trHeight w:val="48"/>
        </w:trPr>
        <w:tc>
          <w:tcPr>
            <w:tcW w:w="118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31.2</w:t>
            </w:r>
          </w:p>
        </w:tc>
        <w:tc>
          <w:tcPr>
            <w:tcW w:w="10240" w:type="dxa"/>
            <w:vAlign w:val="bottom"/>
            <w:gridSpan w:val="6"/>
            <w:shd w:val="clear" w:color="auto" w:fill="CCEEFF"/>
          </w:tcPr>
          <w:p>
            <w:pPr>
              <w:spacing w:after="0" w:line="202" w:lineRule="exact"/>
              <w:rPr>
                <w:rFonts w:ascii="Arial" w:cs="Arial" w:eastAsia="Arial" w:hAnsi="Arial"/>
                <w:sz w:val="18"/>
                <w:szCs w:val="18"/>
                <w:color w:val="0000FF"/>
              </w:rPr>
            </w:pPr>
            <w:hyperlink w:anchor="page112">
              <w:r>
                <w:rPr>
                  <w:rFonts w:ascii="Arial" w:cs="Arial" w:eastAsia="Arial" w:hAnsi="Arial"/>
                  <w:sz w:val="18"/>
                  <w:szCs w:val="18"/>
                  <w:color w:val="0000FF"/>
                </w:rPr>
                <w:t>Certification by the Chief Financial Officer Pursuant to Section 302 of the Sarbanes-Oxley Act of 2002.</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5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1"/>
              </w:rPr>
              <w:t>32.1</w:t>
            </w:r>
          </w:p>
        </w:tc>
        <w:tc>
          <w:tcPr>
            <w:tcW w:w="10100" w:type="dxa"/>
            <w:vAlign w:val="bottom"/>
            <w:tcBorders>
              <w:bottom w:val="single" w:sz="8" w:color="0000FF"/>
            </w:tcBorders>
            <w:gridSpan w:val="5"/>
          </w:tcPr>
          <w:p>
            <w:pPr>
              <w:spacing w:after="0" w:line="202" w:lineRule="exact"/>
              <w:rPr>
                <w:rFonts w:ascii="Arial" w:cs="Arial" w:eastAsia="Arial" w:hAnsi="Arial"/>
                <w:sz w:val="18"/>
                <w:szCs w:val="18"/>
                <w:color w:val="0000FF"/>
                <w:w w:val="90"/>
              </w:rPr>
            </w:pPr>
            <w:hyperlink w:anchor="page113">
              <w:r>
                <w:rPr>
                  <w:rFonts w:ascii="Arial" w:cs="Arial" w:eastAsia="Arial" w:hAnsi="Arial"/>
                  <w:sz w:val="18"/>
                  <w:szCs w:val="18"/>
                  <w:color w:val="0000FF"/>
                  <w:w w:val="90"/>
                </w:rPr>
                <w:t>Certification by the Chief Executive Officer Pursuant to 18 U.S.C. Section 1350, as Adopted Pursuant to Section 906 of the Sarbanes-Oxley</w:t>
              </w:r>
            </w:hyperlink>
          </w:p>
        </w:tc>
        <w:tc>
          <w:tcPr>
            <w:tcW w:w="1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6"/>
          </w:tcPr>
          <w:p>
            <w:pPr>
              <w:spacing w:after="0" w:line="196" w:lineRule="exact"/>
              <w:rPr>
                <w:rFonts w:ascii="Arial" w:cs="Arial" w:eastAsia="Arial" w:hAnsi="Arial"/>
                <w:sz w:val="18"/>
                <w:szCs w:val="18"/>
                <w:color w:val="0000FF"/>
              </w:rPr>
            </w:pPr>
            <w:hyperlink w:anchor="page113">
              <w:r>
                <w:rPr>
                  <w:rFonts w:ascii="Arial" w:cs="Arial" w:eastAsia="Arial" w:hAnsi="Arial"/>
                  <w:sz w:val="18"/>
                  <w:szCs w:val="18"/>
                  <w:color w:val="0000FF"/>
                </w:rPr>
                <w:t>Act of 2002.</w:t>
              </w:r>
            </w:hyperlink>
          </w:p>
        </w:tc>
      </w:tr>
      <w:tr>
        <w:trPr>
          <w:trHeight w:val="48"/>
        </w:trPr>
        <w:tc>
          <w:tcPr>
            <w:tcW w:w="118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32.2</w:t>
            </w:r>
          </w:p>
        </w:tc>
        <w:tc>
          <w:tcPr>
            <w:tcW w:w="10240" w:type="dxa"/>
            <w:vAlign w:val="bottom"/>
            <w:gridSpan w:val="6"/>
            <w:shd w:val="clear" w:color="auto" w:fill="CCEEFF"/>
          </w:tcPr>
          <w:p>
            <w:pPr>
              <w:spacing w:after="0" w:line="202" w:lineRule="exact"/>
              <w:rPr>
                <w:rFonts w:ascii="Arial" w:cs="Arial" w:eastAsia="Arial" w:hAnsi="Arial"/>
                <w:sz w:val="18"/>
                <w:szCs w:val="18"/>
                <w:color w:val="0000FF"/>
                <w:w w:val="92"/>
              </w:rPr>
            </w:pPr>
            <w:hyperlink w:anchor="page114">
              <w:r>
                <w:rPr>
                  <w:rFonts w:ascii="Arial" w:cs="Arial" w:eastAsia="Arial" w:hAnsi="Arial"/>
                  <w:sz w:val="18"/>
                  <w:szCs w:val="18"/>
                  <w:color w:val="0000FF"/>
                  <w:w w:val="92"/>
                </w:rPr>
                <w:t>Certification by the Chief Financial Officer Pursuant to 18 U.S.C. Section 1350, as Adopted Pursuant to Section 906 of the Sarbanes-Oxley</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040" w:type="dxa"/>
            <w:vAlign w:val="bottom"/>
            <w:tcBorders>
              <w:top w:val="single" w:sz="8" w:color="0000FF"/>
            </w:tcBorders>
            <w:gridSpan w:val="4"/>
            <w:shd w:val="clear" w:color="auto" w:fill="CCEEFF"/>
          </w:tcPr>
          <w:p>
            <w:pPr>
              <w:spacing w:after="0" w:line="196" w:lineRule="exact"/>
              <w:rPr>
                <w:rFonts w:ascii="Arial" w:cs="Arial" w:eastAsia="Arial" w:hAnsi="Arial"/>
                <w:sz w:val="18"/>
                <w:szCs w:val="18"/>
                <w:color w:val="0000FF"/>
              </w:rPr>
            </w:pPr>
            <w:hyperlink w:anchor="page114">
              <w:r>
                <w:rPr>
                  <w:rFonts w:ascii="Arial" w:cs="Arial" w:eastAsia="Arial" w:hAnsi="Arial"/>
                  <w:sz w:val="18"/>
                  <w:szCs w:val="18"/>
                  <w:color w:val="0000FF"/>
                </w:rPr>
                <w:t>Act of 2002.</w:t>
              </w:r>
            </w:hyperlink>
          </w:p>
        </w:tc>
        <w:tc>
          <w:tcPr>
            <w:tcW w:w="20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43"/>
        </w:trPr>
        <w:tc>
          <w:tcPr>
            <w:tcW w:w="11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2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7"/>
        </w:trPr>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101.SCH</w:t>
            </w:r>
          </w:p>
        </w:tc>
        <w:tc>
          <w:tcPr>
            <w:tcW w:w="102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Schema Document</w:t>
            </w:r>
          </w:p>
        </w:tc>
      </w:tr>
      <w:tr>
        <w:trPr>
          <w:trHeight w:val="243"/>
        </w:trPr>
        <w:tc>
          <w:tcPr>
            <w:tcW w:w="11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240" w:type="dxa"/>
            <w:vAlign w:val="bottom"/>
            <w:gridSpan w:val="6"/>
          </w:tcPr>
          <w:p>
            <w:pPr>
              <w:spacing w:after="0"/>
              <w:rPr>
                <w:sz w:val="20"/>
                <w:szCs w:val="20"/>
                <w:color w:val="auto"/>
              </w:rPr>
            </w:pPr>
            <w:r>
              <w:rPr>
                <w:rFonts w:ascii="Arial" w:cs="Arial" w:eastAsia="Arial" w:hAnsi="Arial"/>
                <w:sz w:val="18"/>
                <w:szCs w:val="18"/>
                <w:color w:val="auto"/>
              </w:rPr>
              <w:t>XBRL Calculation Linkbase Documents</w:t>
            </w:r>
          </w:p>
        </w:tc>
      </w:tr>
      <w:tr>
        <w:trPr>
          <w:trHeight w:val="27"/>
        </w:trPr>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101.DEF</w:t>
            </w:r>
          </w:p>
        </w:tc>
        <w:tc>
          <w:tcPr>
            <w:tcW w:w="102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1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240" w:type="dxa"/>
            <w:vAlign w:val="bottom"/>
            <w:gridSpan w:val="6"/>
          </w:tcPr>
          <w:p>
            <w:pPr>
              <w:spacing w:after="0"/>
              <w:rPr>
                <w:sz w:val="20"/>
                <w:szCs w:val="20"/>
                <w:color w:val="auto"/>
              </w:rPr>
            </w:pPr>
            <w:r>
              <w:rPr>
                <w:rFonts w:ascii="Arial" w:cs="Arial" w:eastAsia="Arial" w:hAnsi="Arial"/>
                <w:sz w:val="18"/>
                <w:szCs w:val="18"/>
                <w:color w:val="auto"/>
              </w:rPr>
              <w:t>XBRL Labels Linkbase Documents</w:t>
            </w:r>
          </w:p>
        </w:tc>
      </w:tr>
      <w:tr>
        <w:trPr>
          <w:trHeight w:val="27"/>
        </w:trPr>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10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Presentation Linkbase Documents</w:t>
            </w:r>
          </w:p>
        </w:tc>
      </w:tr>
      <w:tr>
        <w:trPr>
          <w:trHeight w:val="27"/>
        </w:trPr>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74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746" w:right="239" w:bottom="1440" w:gutter="0" w:footer="0" w:header="0"/>
          <w:type w:val="continuous"/>
        </w:sectPr>
      </w:pPr>
    </w:p>
    <w:bookmarkStart w:id="107" w:name="page108"/>
    <w:bookmarkEnd w:id="107"/>
    <w:p>
      <w:pPr>
        <w:ind w:left="5760"/>
        <w:spacing w:after="0"/>
        <w:rPr>
          <w:sz w:val="20"/>
          <w:szCs w:val="20"/>
          <w:color w:val="auto"/>
        </w:rPr>
      </w:pPr>
      <w:r>
        <w:rPr>
          <w:rFonts w:ascii="Arial" w:cs="Arial" w:eastAsia="Arial" w:hAnsi="Arial"/>
          <w:sz w:val="18"/>
          <w:szCs w:val="18"/>
          <w:b w:val="1"/>
          <w:bCs w:val="1"/>
          <w:color w:val="auto"/>
        </w:rPr>
        <w:t>ANGIODYNAMICS, INC.</w:t>
      </w:r>
    </w:p>
    <w:p>
      <w:pPr>
        <w:spacing w:after="0" w:line="67" w:lineRule="exact"/>
        <w:rPr>
          <w:sz w:val="20"/>
          <w:szCs w:val="20"/>
          <w:color w:val="auto"/>
        </w:rPr>
      </w:pPr>
    </w:p>
    <w:p>
      <w:pPr>
        <w:ind w:left="40"/>
        <w:spacing w:after="0"/>
        <w:tabs>
          <w:tab w:leader="none" w:pos="720" w:val="left"/>
          <w:tab w:leader="none" w:pos="5740" w:val="left"/>
          <w:tab w:leader="none" w:pos="772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w:t>
      </w:r>
      <w:r>
        <w:rPr>
          <w:rFonts w:ascii="Arial" w:cs="Arial" w:eastAsia="Arial" w:hAnsi="Arial"/>
          <w:sz w:val="13"/>
          <w:szCs w:val="13"/>
          <w:color w:val="auto"/>
        </w:rPr>
        <w:t>OWARD</w:t>
      </w:r>
      <w:r>
        <w:rPr>
          <w:rFonts w:ascii="Arial" w:cs="Arial" w:eastAsia="Arial" w:hAnsi="Arial"/>
          <w:sz w:val="17"/>
          <w:szCs w:val="17"/>
          <w:color w:val="auto"/>
        </w:rPr>
        <w:t xml:space="preserve"> W. D</w:t>
      </w:r>
      <w:r>
        <w:rPr>
          <w:rFonts w:ascii="Arial" w:cs="Arial" w:eastAsia="Arial" w:hAnsi="Arial"/>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8"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Howard W. Donnelly,</w:t>
      </w:r>
    </w:p>
    <w:p>
      <w:pPr>
        <w:spacing w:after="0" w:line="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Chairman of the Board, Director</w:t>
      </w:r>
    </w:p>
    <w:p>
      <w:pPr>
        <w:spacing w:after="0" w:line="14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gridSpan w:val="3"/>
          </w:tcPr>
          <w:p>
            <w:pPr>
              <w:jc w:val="center"/>
              <w:ind w:right="1665"/>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OWARD</w:t>
            </w:r>
            <w:r>
              <w:rPr>
                <w:rFonts w:ascii="Arial" w:cs="Arial" w:eastAsia="Arial" w:hAnsi="Arial"/>
                <w:sz w:val="18"/>
                <w:szCs w:val="18"/>
                <w:color w:val="auto"/>
                <w:w w:val="98"/>
              </w:rPr>
              <w:t xml:space="preserve"> W. D</w:t>
            </w:r>
            <w:r>
              <w:rPr>
                <w:rFonts w:ascii="Arial" w:cs="Arial" w:eastAsia="Arial" w:hAnsi="Arial"/>
                <w:sz w:val="14"/>
                <w:szCs w:val="14"/>
                <w:color w:val="auto"/>
                <w:w w:val="98"/>
              </w:rPr>
              <w:t>ONNELLY</w:t>
            </w: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6"/>
              </w:rPr>
              <w:t>Howard W. Donnelly,</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Chairman of the Board, 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4"/>
                <w:szCs w:val="24"/>
                <w:color w:val="auto"/>
              </w:rPr>
            </w:pPr>
          </w:p>
        </w:tc>
        <w:tc>
          <w:tcPr>
            <w:tcW w:w="570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JAMES C. CLEMMER</w:t>
            </w: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1"/>
              </w:rPr>
              <w:t>James C. Clemmer,</w:t>
            </w:r>
          </w:p>
        </w:tc>
      </w:tr>
      <w:tr>
        <w:trPr>
          <w:trHeight w:val="165"/>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President, Chief Executive Officer</w:t>
            </w:r>
          </w:p>
        </w:tc>
      </w:tr>
      <w:tr>
        <w:trPr>
          <w:trHeight w:val="186"/>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840" w:type="dxa"/>
            <w:vAlign w:val="bottom"/>
            <w:gridSpan w:val="3"/>
          </w:tcPr>
          <w:p>
            <w:pPr>
              <w:jc w:val="center"/>
              <w:ind w:right="1785"/>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4"/>
                <w:szCs w:val="24"/>
                <w:color w:val="auto"/>
              </w:rPr>
            </w:pPr>
          </w:p>
        </w:tc>
        <w:tc>
          <w:tcPr>
            <w:tcW w:w="2100" w:type="dxa"/>
            <w:vAlign w:val="bottom"/>
            <w:gridSpan w:val="2"/>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gridSpan w:val="2"/>
          </w:tcPr>
          <w:p>
            <w:pPr>
              <w:jc w:val="center"/>
              <w:ind w:right="1665"/>
              <w:spacing w:after="0"/>
              <w:rPr>
                <w:sz w:val="20"/>
                <w:szCs w:val="20"/>
                <w:color w:val="auto"/>
              </w:rPr>
            </w:pPr>
            <w:r>
              <w:rPr>
                <w:rFonts w:ascii="Arial" w:cs="Arial" w:eastAsia="Arial" w:hAnsi="Arial"/>
                <w:sz w:val="18"/>
                <w:szCs w:val="18"/>
                <w:color w:val="auto"/>
                <w:w w:val="97"/>
              </w:rPr>
              <w:t>MICHAEL C. GREINER</w:t>
            </w: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5"/>
              </w:rPr>
              <w:t>Michael C. Greiner</w:t>
            </w:r>
          </w:p>
        </w:tc>
      </w:tr>
      <w:tr>
        <w:trPr>
          <w:trHeight w:val="165"/>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Executive Vice President, Chief Financial Officer, (Principal Financial and Accounting</w:t>
            </w:r>
          </w:p>
        </w:tc>
      </w:tr>
      <w:tr>
        <w:trPr>
          <w:trHeight w:val="186"/>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rPr>
              <w:t>Officer)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4"/>
                <w:szCs w:val="24"/>
                <w:color w:val="auto"/>
              </w:rPr>
            </w:pPr>
          </w:p>
        </w:tc>
        <w:tc>
          <w:tcPr>
            <w:tcW w:w="1860" w:type="dxa"/>
            <w:vAlign w:val="bottom"/>
          </w:tcPr>
          <w:p>
            <w:pPr>
              <w:jc w:val="right"/>
              <w:ind w:right="17"/>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gridSpan w:val="3"/>
          </w:tcPr>
          <w:p>
            <w:pPr>
              <w:jc w:val="center"/>
              <w:ind w:right="1785"/>
              <w:spacing w:after="0"/>
              <w:rPr>
                <w:sz w:val="20"/>
                <w:szCs w:val="20"/>
                <w:color w:val="auto"/>
              </w:rPr>
            </w:pPr>
            <w:r>
              <w:rPr>
                <w:rFonts w:ascii="Arial" w:cs="Arial" w:eastAsia="Arial" w:hAnsi="Arial"/>
                <w:sz w:val="18"/>
                <w:szCs w:val="18"/>
                <w:color w:val="auto"/>
                <w:w w:val="93"/>
              </w:rPr>
              <w:t>W</w:t>
            </w:r>
            <w:r>
              <w:rPr>
                <w:rFonts w:ascii="Arial" w:cs="Arial" w:eastAsia="Arial" w:hAnsi="Arial"/>
                <w:sz w:val="14"/>
                <w:szCs w:val="14"/>
                <w:color w:val="auto"/>
                <w:w w:val="93"/>
              </w:rPr>
              <w:t>ESLEY</w:t>
            </w:r>
            <w:r>
              <w:rPr>
                <w:rFonts w:ascii="Arial" w:cs="Arial" w:eastAsia="Arial" w:hAnsi="Arial"/>
                <w:sz w:val="18"/>
                <w:szCs w:val="18"/>
                <w:color w:val="auto"/>
                <w:w w:val="93"/>
              </w:rPr>
              <w:t xml:space="preserve"> E. J</w:t>
            </w:r>
            <w:r>
              <w:rPr>
                <w:rFonts w:ascii="Arial" w:cs="Arial" w:eastAsia="Arial" w:hAnsi="Arial"/>
                <w:sz w:val="14"/>
                <w:szCs w:val="14"/>
                <w:color w:val="auto"/>
                <w:w w:val="93"/>
              </w:rPr>
              <w:t>OHNSON</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0"/>
              </w:rPr>
              <w:t>Wesley E. Johnson, Jr.,</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gridSpan w:val="2"/>
          </w:tcPr>
          <w:p>
            <w:pPr>
              <w:jc w:val="center"/>
              <w:ind w:right="1945"/>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EFFREY</w:t>
            </w:r>
            <w:r>
              <w:rPr>
                <w:rFonts w:ascii="Arial" w:cs="Arial" w:eastAsia="Arial" w:hAnsi="Arial"/>
                <w:sz w:val="18"/>
                <w:szCs w:val="18"/>
                <w:color w:val="auto"/>
                <w:w w:val="95"/>
              </w:rPr>
              <w:t xml:space="preserve"> G. G</w:t>
            </w:r>
            <w:r>
              <w:rPr>
                <w:rFonts w:ascii="Arial" w:cs="Arial" w:eastAsia="Arial" w:hAnsi="Arial"/>
                <w:sz w:val="14"/>
                <w:szCs w:val="14"/>
                <w:color w:val="auto"/>
                <w:w w:val="95"/>
              </w:rPr>
              <w:t>OLD</w:t>
            </w: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3"/>
              </w:rPr>
              <w:t>Jeffrey G. Gold,</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4"/>
                <w:szCs w:val="24"/>
                <w:color w:val="auto"/>
              </w:rPr>
            </w:pPr>
          </w:p>
        </w:tc>
        <w:tc>
          <w:tcPr>
            <w:tcW w:w="2100" w:type="dxa"/>
            <w:vAlign w:val="bottom"/>
            <w:gridSpan w:val="2"/>
          </w:tcPr>
          <w:p>
            <w:pPr>
              <w:ind w:left="1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gridSpan w:val="2"/>
          </w:tcPr>
          <w:p>
            <w:pPr>
              <w:jc w:val="center"/>
              <w:ind w:right="1945"/>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S. M</w:t>
            </w:r>
            <w:r>
              <w:rPr>
                <w:rFonts w:ascii="Arial" w:cs="Arial" w:eastAsia="Arial" w:hAnsi="Arial"/>
                <w:sz w:val="14"/>
                <w:szCs w:val="14"/>
                <w:color w:val="auto"/>
                <w:w w:val="98"/>
              </w:rPr>
              <w:t>ETENY</w:t>
            </w: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1"/>
              </w:rPr>
              <w:t>Dennis S. Meteny,</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600" w:type="dxa"/>
            <w:vAlign w:val="bottom"/>
            <w:gridSpan w:val="2"/>
          </w:tcPr>
          <w:p>
            <w:pPr>
              <w:jc w:val="center"/>
              <w:ind w:right="1945"/>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EVIN</w:t>
            </w:r>
            <w:r>
              <w:rPr>
                <w:rFonts w:ascii="Arial" w:cs="Arial" w:eastAsia="Arial" w:hAnsi="Arial"/>
                <w:sz w:val="18"/>
                <w:szCs w:val="18"/>
                <w:color w:val="auto"/>
              </w:rPr>
              <w:t xml:space="preserve"> J. G</w:t>
            </w:r>
            <w:r>
              <w:rPr>
                <w:rFonts w:ascii="Arial" w:cs="Arial" w:eastAsia="Arial" w:hAnsi="Arial"/>
                <w:sz w:val="14"/>
                <w:szCs w:val="14"/>
                <w:color w:val="auto"/>
              </w:rPr>
              <w:t>OULD</w:t>
            </w: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6"/>
              </w:rPr>
              <w:t>Kevin J. Gould,</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360" w:type="dxa"/>
            <w:vAlign w:val="bottom"/>
          </w:tcPr>
          <w:p>
            <w:pPr>
              <w:jc w:val="center"/>
              <w:ind w:right="1905"/>
              <w:spacing w:after="0"/>
              <w:rPr>
                <w:sz w:val="20"/>
                <w:szCs w:val="20"/>
                <w:color w:val="auto"/>
              </w:rPr>
            </w:pPr>
            <w:r>
              <w:rPr>
                <w:rFonts w:ascii="Arial" w:cs="Arial" w:eastAsia="Arial" w:hAnsi="Arial"/>
                <w:sz w:val="18"/>
                <w:szCs w:val="18"/>
                <w:color w:val="auto"/>
                <w:w w:val="91"/>
              </w:rPr>
              <w:t>JAN S. REED</w:t>
            </w: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tcPr>
          <w:p>
            <w:pPr>
              <w:jc w:val="center"/>
              <w:ind w:right="2245"/>
              <w:spacing w:after="0"/>
              <w:rPr>
                <w:sz w:val="20"/>
                <w:szCs w:val="20"/>
                <w:color w:val="auto"/>
              </w:rPr>
            </w:pPr>
            <w:r>
              <w:rPr>
                <w:rFonts w:ascii="Arial" w:cs="Arial" w:eastAsia="Arial" w:hAnsi="Arial"/>
                <w:sz w:val="14"/>
                <w:szCs w:val="14"/>
                <w:b w:val="1"/>
                <w:bCs w:val="1"/>
                <w:color w:val="auto"/>
                <w:w w:val="91"/>
              </w:rPr>
              <w:t>Jan S. Reed,</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905"/>
              <w:spacing w:after="0"/>
              <w:rPr>
                <w:sz w:val="20"/>
                <w:szCs w:val="20"/>
                <w:color w:val="auto"/>
              </w:rPr>
            </w:pPr>
            <w:r>
              <w:rPr>
                <w:rFonts w:ascii="Arial" w:cs="Arial" w:eastAsia="Arial" w:hAnsi="Arial"/>
                <w:sz w:val="18"/>
                <w:szCs w:val="18"/>
                <w:color w:val="auto"/>
                <w:w w:val="96"/>
              </w:rPr>
              <w:t>EILEEN O. AUEN</w:t>
            </w: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5"/>
              </w:rPr>
              <w:t>Eileen O. Auen,</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July 25, 2019</w:t>
            </w:r>
          </w:p>
        </w:tc>
        <w:tc>
          <w:tcPr>
            <w:tcW w:w="2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8"/>
              </w:rPr>
              <w:t>Karen A. Licitra,</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Pr>
          <w:p>
            <w:pPr>
              <w:jc w:val="center"/>
              <w:ind w:right="2265"/>
              <w:spacing w:after="0"/>
              <w:rPr>
                <w:sz w:val="20"/>
                <w:szCs w:val="20"/>
                <w:color w:val="auto"/>
              </w:rPr>
            </w:pPr>
            <w:r>
              <w:rPr>
                <w:rFonts w:ascii="Arial" w:cs="Arial" w:eastAsia="Arial" w:hAnsi="Arial"/>
                <w:sz w:val="14"/>
                <w:szCs w:val="14"/>
                <w:b w:val="1"/>
                <w:bCs w:val="1"/>
                <w:color w:val="auto"/>
                <w:w w:val="93"/>
              </w:rPr>
              <w:t>Director</w:t>
            </w:r>
          </w:p>
        </w:tc>
      </w:tr>
      <w:tr>
        <w:trPr>
          <w:trHeight w:val="471"/>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40" w:type="dxa"/>
            <w:vAlign w:val="bottom"/>
            <w:gridSpan w:val="2"/>
          </w:tcPr>
          <w:p>
            <w:pPr>
              <w:jc w:val="right"/>
              <w:ind w:right="1657"/>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Subsidiaries of AngioDynamics, Inc.</w:t>
      </w:r>
    </w:p>
    <w:p>
      <w:pPr>
        <w:sectPr>
          <w:pgSz w:w="11900" w:h="16838" w:orient="portrait"/>
          <w:cols w:equalWidth="0" w:num="1">
            <w:col w:w="11380"/>
          </w:cols>
          <w:pgMar w:left="28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102870</wp:posOffset>
            </wp:positionV>
            <wp:extent cx="3696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Vortex Medical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Holding Company,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Navilyst Medical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Navilyst Medical,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AngioDynamics UK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AngioDynamics Netherlands B. 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RITA Medical Systems,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AngioDynamics France, SARL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AngioDynamics Canada Inc.</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AngioDynamics Medical Brasil Participacoes Ltda.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RadiaDyne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117475</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British Columbia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Sao Paulo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ectPr>
          <w:pgSz w:w="11900" w:h="16838" w:orient="portrait"/>
          <w:cols w:equalWidth="0" w:num="2">
            <w:col w:w="5320" w:space="720"/>
            <w:col w:w="5340"/>
          </w:cols>
          <w:pgMar w:left="280" w:top="283" w:right="2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333-120057, 333-138456, 333-140627, 333-161355, 333-162844, 333-170619, 333-190640, 333-203441 and 333-229814 on Form S-8 and No. 333-190642 on Form S-3 of our reports dated July 25, 2019 relating to the financial statements and financial statement schedule of AngioDynamics, Inc., and the effectiveness of AngioDynamics Inc.'s internal control over financial reporting, appearing in this Annual Report on Form 10-K of AngioDynamics, Inc. for the year ended May 31,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25, 2019</w:t>
      </w:r>
    </w:p>
    <w:p>
      <w:pPr>
        <w:sectPr>
          <w:pgSz w:w="11900" w:h="16838" w:orient="portrait"/>
          <w:cols w:equalWidth="0" w:num="1">
            <w:col w:w="11420"/>
          </w:cols>
          <w:pgMar w:left="240" w:top="283"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360" w:lineRule="exact"/>
        <w:rPr>
          <w:sz w:val="20"/>
          <w:szCs w:val="20"/>
          <w:color w:val="auto"/>
        </w:rPr>
      </w:pPr>
    </w:p>
    <w:p>
      <w:pPr>
        <w:ind w:left="720" w:hanging="577"/>
        <w:spacing w:after="0"/>
        <w:tabs>
          <w:tab w:leader="none" w:pos="7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373" w:lineRule="exact"/>
        <w:rPr>
          <w:rFonts w:ascii="Arial" w:cs="Arial" w:eastAsia="Arial" w:hAnsi="Arial"/>
          <w:sz w:val="18"/>
          <w:szCs w:val="18"/>
          <w:color w:val="auto"/>
        </w:rPr>
      </w:pPr>
    </w:p>
    <w:p>
      <w:pPr>
        <w:jc w:val="both"/>
        <w:ind w:left="720" w:right="240" w:hanging="577"/>
        <w:spacing w:after="0" w:line="264" w:lineRule="auto"/>
        <w:tabs>
          <w:tab w:leader="none" w:pos="7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9" w:lineRule="exact"/>
        <w:rPr>
          <w:rFonts w:ascii="Arial" w:cs="Arial" w:eastAsia="Arial" w:hAnsi="Arial"/>
          <w:sz w:val="18"/>
          <w:szCs w:val="18"/>
          <w:color w:val="auto"/>
        </w:rPr>
      </w:pPr>
    </w:p>
    <w:p>
      <w:pPr>
        <w:ind w:left="720" w:right="200" w:hanging="577"/>
        <w:spacing w:after="0" w:line="308" w:lineRule="auto"/>
        <w:tabs>
          <w:tab w:leader="none" w:pos="7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5" w:lineRule="exact"/>
        <w:rPr>
          <w:rFonts w:ascii="Arial" w:cs="Arial" w:eastAsia="Arial" w:hAnsi="Arial"/>
          <w:sz w:val="17"/>
          <w:szCs w:val="17"/>
          <w:color w:val="auto"/>
        </w:rPr>
      </w:pPr>
    </w:p>
    <w:p>
      <w:pPr>
        <w:ind w:left="720" w:right="240" w:hanging="577"/>
        <w:spacing w:after="0" w:line="264" w:lineRule="auto"/>
        <w:tabs>
          <w:tab w:leader="none" w:pos="7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820" w:right="380" w:hanging="812"/>
        <w:spacing w:after="0" w:line="297"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820" w:right="80" w:hanging="812"/>
        <w:spacing w:after="0" w:line="297"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20" w:right="880" w:hanging="812"/>
        <w:spacing w:after="0" w:line="334"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20" w:right="100" w:hanging="812"/>
        <w:spacing w:after="0" w:line="311"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5" w:lineRule="exact"/>
        <w:rPr>
          <w:rFonts w:ascii="Arial" w:cs="Arial" w:eastAsia="Arial" w:hAnsi="Arial"/>
          <w:sz w:val="18"/>
          <w:szCs w:val="18"/>
          <w:color w:val="auto"/>
        </w:rPr>
      </w:pPr>
    </w:p>
    <w:p>
      <w:pPr>
        <w:ind w:left="720" w:right="120" w:hanging="577"/>
        <w:spacing w:after="0" w:line="298" w:lineRule="auto"/>
        <w:tabs>
          <w:tab w:leader="none" w:pos="72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820" w:right="300" w:hanging="812"/>
        <w:spacing w:after="0" w:line="297"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240" w:hanging="812"/>
        <w:spacing w:after="0" w:line="324"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200" w:lineRule="exact"/>
        <w:rPr>
          <w:sz w:val="20"/>
          <w:szCs w:val="20"/>
          <w:color w:val="auto"/>
        </w:rPr>
      </w:pPr>
    </w:p>
    <w:p>
      <w:pPr>
        <w:spacing w:after="0" w:line="309" w:lineRule="exact"/>
        <w:rPr>
          <w:sz w:val="20"/>
          <w:szCs w:val="20"/>
          <w:color w:val="auto"/>
        </w:rPr>
      </w:pPr>
    </w:p>
    <w:p>
      <w:pPr>
        <w:ind w:left="240" w:hanging="97"/>
        <w:spacing w:after="0"/>
        <w:tabs>
          <w:tab w:leader="none" w:pos="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 / JAMES C. CLEMMER</w:t>
      </w:r>
    </w:p>
    <w:p>
      <w:pPr>
        <w:spacing w:after="0" w:line="90" w:lineRule="exact"/>
        <w:rPr>
          <w:rFonts w:ascii="Arial" w:cs="Arial" w:eastAsia="Arial" w:hAnsi="Arial"/>
          <w:sz w:val="18"/>
          <w:szCs w:val="18"/>
          <w:color w:val="auto"/>
        </w:rPr>
      </w:pPr>
    </w:p>
    <w:p>
      <w:pPr>
        <w:ind w:left="140" w:right="9120"/>
        <w:spacing w:after="0" w:line="456" w:lineRule="auto"/>
        <w:rPr>
          <w:rFonts w:ascii="Arial" w:cs="Arial" w:eastAsia="Arial" w:hAnsi="Arial"/>
          <w:sz w:val="18"/>
          <w:szCs w:val="18"/>
          <w:color w:val="auto"/>
        </w:rPr>
      </w:pPr>
      <w:r>
        <w:rPr>
          <w:rFonts w:ascii="Arial" w:cs="Arial" w:eastAsia="Arial" w:hAnsi="Arial"/>
          <w:sz w:val="15"/>
          <w:szCs w:val="15"/>
          <w:color w:val="auto"/>
        </w:rPr>
        <w:t>James C. Clemmer, 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-432435</wp:posOffset>
            </wp:positionV>
            <wp:extent cx="7212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360" w:lineRule="exact"/>
        <w:rPr>
          <w:sz w:val="20"/>
          <w:szCs w:val="20"/>
          <w:color w:val="auto"/>
        </w:rPr>
      </w:pPr>
    </w:p>
    <w:p>
      <w:pPr>
        <w:ind w:left="720" w:hanging="577"/>
        <w:spacing w:after="0"/>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373" w:lineRule="exact"/>
        <w:rPr>
          <w:rFonts w:ascii="Arial" w:cs="Arial" w:eastAsia="Arial" w:hAnsi="Arial"/>
          <w:sz w:val="18"/>
          <w:szCs w:val="18"/>
          <w:color w:val="auto"/>
        </w:rPr>
      </w:pPr>
    </w:p>
    <w:p>
      <w:pPr>
        <w:jc w:val="both"/>
        <w:ind w:left="720" w:right="240" w:hanging="577"/>
        <w:spacing w:after="0" w:line="264" w:lineRule="auto"/>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9" w:lineRule="exact"/>
        <w:rPr>
          <w:rFonts w:ascii="Arial" w:cs="Arial" w:eastAsia="Arial" w:hAnsi="Arial"/>
          <w:sz w:val="18"/>
          <w:szCs w:val="18"/>
          <w:color w:val="auto"/>
        </w:rPr>
      </w:pPr>
    </w:p>
    <w:p>
      <w:pPr>
        <w:ind w:left="720" w:right="200" w:hanging="577"/>
        <w:spacing w:after="0" w:line="308" w:lineRule="auto"/>
        <w:tabs>
          <w:tab w:leader="none" w:pos="7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5" w:lineRule="exact"/>
        <w:rPr>
          <w:rFonts w:ascii="Arial" w:cs="Arial" w:eastAsia="Arial" w:hAnsi="Arial"/>
          <w:sz w:val="17"/>
          <w:szCs w:val="17"/>
          <w:color w:val="auto"/>
        </w:rPr>
      </w:pPr>
    </w:p>
    <w:p>
      <w:pPr>
        <w:ind w:left="720" w:right="240" w:hanging="577"/>
        <w:spacing w:after="0" w:line="264" w:lineRule="auto"/>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820" w:right="380" w:hanging="812"/>
        <w:spacing w:after="0" w:line="297"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820" w:right="80" w:hanging="812"/>
        <w:spacing w:after="0" w:line="297"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20" w:right="880" w:hanging="812"/>
        <w:spacing w:after="0" w:line="334" w:lineRule="auto"/>
        <w:tabs>
          <w:tab w:leader="none" w:pos="8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20" w:right="100" w:hanging="812"/>
        <w:spacing w:after="0" w:line="311"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5" w:lineRule="exact"/>
        <w:rPr>
          <w:rFonts w:ascii="Arial" w:cs="Arial" w:eastAsia="Arial" w:hAnsi="Arial"/>
          <w:sz w:val="18"/>
          <w:szCs w:val="18"/>
          <w:color w:val="auto"/>
        </w:rPr>
      </w:pPr>
    </w:p>
    <w:p>
      <w:pPr>
        <w:ind w:left="720" w:right="120" w:hanging="577"/>
        <w:spacing w:after="0" w:line="298" w:lineRule="auto"/>
        <w:tabs>
          <w:tab w:leader="none" w:pos="7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820" w:right="300" w:hanging="812"/>
        <w:spacing w:after="0" w:line="297"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240" w:hanging="812"/>
        <w:spacing w:after="0" w:line="324"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169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Michael C. Greiner, Executive Vice President,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jc w:val="center"/>
        <w:spacing w:after="0" w:line="311"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360" w:lineRule="exact"/>
        <w:rPr>
          <w:sz w:val="20"/>
          <w:szCs w:val="20"/>
          <w:color w:val="auto"/>
        </w:rPr>
      </w:pPr>
    </w:p>
    <w:p>
      <w:pPr>
        <w:ind w:left="720" w:right="400" w:hanging="577"/>
        <w:spacing w:after="0" w:line="277"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2019 (the “Report”) fully complies with the requirements of Section 13(a) or 15(d) of the Securities Exchange Act of 1934 (15 U.S.C. 78m or 78o(d)); and</w:t>
      </w:r>
    </w:p>
    <w:p>
      <w:pPr>
        <w:spacing w:after="0" w:line="319" w:lineRule="exact"/>
        <w:rPr>
          <w:rFonts w:ascii="Arial" w:cs="Arial" w:eastAsia="Arial" w:hAnsi="Arial"/>
          <w:sz w:val="18"/>
          <w:szCs w:val="18"/>
          <w:color w:val="auto"/>
        </w:rPr>
      </w:pPr>
    </w:p>
    <w:p>
      <w:pPr>
        <w:ind w:right="320" w:firstLine="143"/>
        <w:spacing w:after="0" w:line="528" w:lineRule="auto"/>
        <w:tabs>
          <w:tab w:leader="none" w:pos="70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25, 2019</w:t>
      </w:r>
    </w:p>
    <w:p>
      <w:pPr>
        <w:spacing w:after="0" w:line="34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212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James C. Clemmer, President,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16" w:lineRule="exact"/>
        <w:rPr>
          <w:sz w:val="20"/>
          <w:szCs w:val="20"/>
          <w:color w:val="auto"/>
        </w:rPr>
      </w:pPr>
    </w:p>
    <w:p>
      <w:pPr>
        <w:jc w:val="center"/>
        <w:spacing w:after="0" w:line="311"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27" w:lineRule="exact"/>
        <w:rPr>
          <w:sz w:val="20"/>
          <w:szCs w:val="20"/>
          <w:color w:val="auto"/>
        </w:rPr>
      </w:pPr>
    </w:p>
    <w:p>
      <w:pPr>
        <w:ind w:right="180"/>
        <w:spacing w:after="0" w:line="324" w:lineRule="auto"/>
        <w:rPr>
          <w:sz w:val="20"/>
          <w:szCs w:val="20"/>
          <w:color w:val="auto"/>
        </w:rPr>
      </w:pPr>
      <w:r>
        <w:rPr>
          <w:rFonts w:ascii="Arial" w:cs="Arial" w:eastAsia="Arial" w:hAnsi="Arial"/>
          <w:sz w:val="18"/>
          <w:szCs w:val="18"/>
          <w:color w:val="auto"/>
        </w:rPr>
        <w:t>I, Michael C. Greiner, Chief Financial Officer of ANGIODYNAMICS, Inc. (the “Company”), certify, pursuant to Section 906 of the Sarbanes-Oxley Act of 2002, 18 U.S.C. Section 1350, that, to the best of my knowledge:</w:t>
      </w:r>
    </w:p>
    <w:p>
      <w:pPr>
        <w:spacing w:after="0" w:line="265" w:lineRule="exact"/>
        <w:rPr>
          <w:sz w:val="20"/>
          <w:szCs w:val="20"/>
          <w:color w:val="auto"/>
        </w:rPr>
      </w:pPr>
    </w:p>
    <w:p>
      <w:pPr>
        <w:ind w:left="720" w:right="400" w:hanging="577"/>
        <w:spacing w:after="0" w:line="277"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2019 (the “Report”) fully complies with the requirements of Section 13(a) or 15(d) of the Securities Exchange Act of 1934 (15 U.S.C. 78m or 78o(d)); and</w:t>
      </w:r>
    </w:p>
    <w:p>
      <w:pPr>
        <w:spacing w:after="0" w:line="319" w:lineRule="exact"/>
        <w:rPr>
          <w:rFonts w:ascii="Arial" w:cs="Arial" w:eastAsia="Arial" w:hAnsi="Arial"/>
          <w:sz w:val="18"/>
          <w:szCs w:val="18"/>
          <w:color w:val="auto"/>
        </w:rPr>
      </w:pPr>
    </w:p>
    <w:p>
      <w:pPr>
        <w:ind w:right="320" w:firstLine="143"/>
        <w:spacing w:after="0" w:line="481" w:lineRule="auto"/>
        <w:tabs>
          <w:tab w:leader="none" w:pos="7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25, 2019</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212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Michael C. Greiner, Executive Vice President,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x"/>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¹"/>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upperLetter"/>
      <w:start w:val="6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2"/>
    </w:lvl>
  </w:abstractNum>
  <w:abstractNum w:abstractNumId="59">
    <w:nsid w:val="799D0247"/>
    <w:multiLevelType w:val="hybridMultilevel"/>
    <w:lvl w:ilvl="0">
      <w:lvlJc w:val="left"/>
      <w:lvlText w:val="%1."/>
      <w:numFmt w:val="decimal"/>
      <w:start w:val="2"/>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21"/>
    </w:lvl>
  </w:abstractNum>
  <w:abstractNum w:abstractNumId="72">
    <w:nsid w:val="42963E5A"/>
    <w:multiLevelType w:val="hybridMultilevel"/>
    <w:lvl w:ilvl="0">
      <w:lvlJc w:val="left"/>
      <w:lvlText w:val="%1"/>
      <w:numFmt w:val="decimal"/>
      <w:start w:val="23"/>
    </w:lvl>
  </w:abstractNum>
  <w:abstractNum w:abstractNumId="73">
    <w:nsid w:val="A0382C5"/>
    <w:multiLevelType w:val="hybridMultilevel"/>
    <w:lvl w:ilvl="0">
      <w:lvlJc w:val="left"/>
      <w:lvlText w:val="%1"/>
      <w:numFmt w:val="lowerLetter"/>
      <w:start w:val="1"/>
    </w:lvl>
    <w:lvl w:ilvl="1">
      <w:lvlJc w:val="left"/>
      <w:lvlText w:val="%2."/>
      <w:numFmt w:val="decimal"/>
      <w:start w:val="1"/>
    </w:lvl>
  </w:abstractNum>
  <w:abstractNum w:abstractNumId="74">
    <w:nsid w:val="8F2B15E"/>
    <w:multiLevelType w:val="hybridMultilevel"/>
    <w:lvl w:ilvl="0">
      <w:lvlJc w:val="left"/>
      <w:lvlText w:val="(%1)"/>
      <w:numFmt w:val="lowerLetter"/>
      <w:start w:val="1"/>
    </w:lvl>
    <w:lvl w:ilvl="1">
      <w:lvlJc w:val="left"/>
      <w:lvlText w:val="%2."/>
      <w:numFmt w:val="decimal"/>
      <w:start w:val="5"/>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1"/>
      <w:numFmt w:val="lowerLetter"/>
      <w:start w:val="1"/>
    </w:lvl>
    <w:lvl w:ilvl="1">
      <w:lvlJc w:val="left"/>
      <w:lvlText w:val="%2."/>
      <w:numFmt w:val="decimal"/>
      <w:start w:val="1"/>
    </w:lvl>
  </w:abstractNum>
  <w:abstractNum w:abstractNumId="78">
    <w:nsid w:val="4962813B"/>
    <w:multiLevelType w:val="hybridMultilevel"/>
    <w:lvl w:ilvl="0">
      <w:lvlJc w:val="left"/>
      <w:lvlText w:val="(%1)"/>
      <w:numFmt w:val="lowerLetter"/>
      <w:start w:val="1"/>
    </w:lvl>
    <w:lvl w:ilvl="1">
      <w:lvlJc w:val="left"/>
      <w:lvlText w:val="%2."/>
      <w:numFmt w:val="decimal"/>
      <w:start w:val="5"/>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69" Type="http://schemas.openxmlformats.org/officeDocument/2006/relationships/image" Target="media/image26.png"/><Relationship Id="rId70" Type="http://schemas.openxmlformats.org/officeDocument/2006/relationships/image" Target="media/image27.png"/><Relationship Id="rId71" Type="http://schemas.openxmlformats.org/officeDocument/2006/relationships/image" Target="media/image28.png"/><Relationship Id="rId72" Type="http://schemas.openxmlformats.org/officeDocument/2006/relationships/image" Target="media/image29.png"/><Relationship Id="rId73" Type="http://schemas.openxmlformats.org/officeDocument/2006/relationships/image" Target="media/image30.png"/><Relationship Id="rId74" Type="http://schemas.openxmlformats.org/officeDocument/2006/relationships/image" Target="media/image31.png"/><Relationship Id="rId75" Type="http://schemas.openxmlformats.org/officeDocument/2006/relationships/image" Target="media/image32.png"/><Relationship Id="rId76" Type="http://schemas.openxmlformats.org/officeDocument/2006/relationships/image" Target="media/image33.png"/><Relationship Id="rId33" Type="http://schemas.openxmlformats.org/officeDocument/2006/relationships/hyperlink" Target="http://www.sec.gov/Archives/edgar/data/1275187/000091412112000534/an26859490-ex2_1.htm" TargetMode="External"/><Relationship Id="rId34" Type="http://schemas.openxmlformats.org/officeDocument/2006/relationships/hyperlink" Target="http://www.sec.gov/Archives/edgar/data/1275187/000091412119000934/an53548547-2_1.htm" TargetMode="External"/><Relationship Id="rId35" Type="http://schemas.openxmlformats.org/officeDocument/2006/relationships/hyperlink" Target="http://www.sec.gov/Archives/edgar/data/1275187/000119312505198180/dex31.htm" TargetMode="External"/><Relationship Id="rId36" Type="http://schemas.openxmlformats.org/officeDocument/2006/relationships/hyperlink" Target="http://www.sec.gov/Archives/edgar/data/1275187/000127518715000018/ex31253115.htm" TargetMode="External"/><Relationship Id="rId37" Type="http://schemas.openxmlformats.org/officeDocument/2006/relationships/hyperlink" Target="http://www.sec.gov/Archives/edgar/data/1275187/000091412115000548/an33460072-ex3_1.htm" TargetMode="External"/><Relationship Id="rId38" Type="http://schemas.openxmlformats.org/officeDocument/2006/relationships/hyperlink" Target="http://www.sec.gov/Archives/edgar/data/1275187/000091412116001647/an36158110-ex10_1.htm" TargetMode="External"/><Relationship Id="rId39" Type="http://schemas.openxmlformats.org/officeDocument/2006/relationships/hyperlink" Target="http://www.sec.gov/Archives/edgar/data/1275187/000127518718000011/ex1011amendmentno1.htm" TargetMode="External"/><Relationship Id="rId40" Type="http://schemas.openxmlformats.org/officeDocument/2006/relationships/hyperlink" Target="http://www.sec.gov/Archives/edgar/data/1275187/000091412119001482/an53830394-10_1.htm" TargetMode="External"/><Relationship Id="rId41" Type="http://schemas.openxmlformats.org/officeDocument/2006/relationships/hyperlink" Target="http://www.sec.gov/Archives/edgar/data/1275187/000127518718000016/angoproxy-53118.htm" TargetMode="External"/><Relationship Id="rId42" Type="http://schemas.openxmlformats.org/officeDocument/2006/relationships/hyperlink" Target="http://www.sec.gov/Archives/edgar/data/1275187/000127518716000037/ex101-2016tsrpsuprogram.htm" TargetMode="External"/><Relationship Id="rId43" Type="http://schemas.openxmlformats.org/officeDocument/2006/relationships/hyperlink" Target="http://www.sec.gov/Archives/edgar/data/1275187/000127518717000034/a83117-exx101.htm" TargetMode="External"/><Relationship Id="rId44" Type="http://schemas.openxmlformats.org/officeDocument/2006/relationships/hyperlink" Target="http://www.sec.gov/Archives/edgar/data/1275187/000127518718000011/ex1017totalshareholderretu.htm" TargetMode="External"/><Relationship Id="rId45" Type="http://schemas.openxmlformats.org/officeDocument/2006/relationships/hyperlink" Target="http://www.sec.gov/Archives/edgar/data/1275187/000119312504169832/dex101.htm" TargetMode="External"/><Relationship Id="rId46" Type="http://schemas.openxmlformats.org/officeDocument/2006/relationships/hyperlink" Target="http://www.sec.gov/Archives/edgar/data/1275187/000127518718000011/ex1031stockoptionagreement.htm" TargetMode="External"/><Relationship Id="rId47" Type="http://schemas.openxmlformats.org/officeDocument/2006/relationships/hyperlink" Target="http://www.sec.gov/Archives/edgar/data/1275187/000127518716000037/ex102-2016psuagreement.htm" TargetMode="External"/><Relationship Id="rId48" Type="http://schemas.openxmlformats.org/officeDocument/2006/relationships/hyperlink" Target="http://www.sec.gov/Archives/edgar/data/1275187/000127518717000034/a83117-exx102.htm" TargetMode="External"/><Relationship Id="rId49" Type="http://schemas.openxmlformats.org/officeDocument/2006/relationships/hyperlink" Target="http://www.sec.gov/Archives/edgar/data/1275187/000127518718000011/ex1045performanceunitaward.htm" TargetMode="External"/><Relationship Id="rId50" Type="http://schemas.openxmlformats.org/officeDocument/2006/relationships/hyperlink" Target="http://www.sec.gov/Archives/edgar/data/1275187/000116923205002637/d63831_ex10-3.htm" TargetMode="External"/><Relationship Id="rId51" Type="http://schemas.openxmlformats.org/officeDocument/2006/relationships/hyperlink" Target="http://www.sec.gov/Archives/edgar/data/1056421/0001012870-00-002503-index.html" TargetMode="External"/><Relationship Id="rId52" Type="http://schemas.openxmlformats.org/officeDocument/2006/relationships/hyperlink" Target="http://www.sec.gov/Archives/edgar/data/1052958/0000950144-98-001576-index.html" TargetMode="External"/><Relationship Id="rId53" Type="http://schemas.openxmlformats.org/officeDocument/2006/relationships/hyperlink" Target="http://www.sec.gov/Archives/edgar/data/1056421/000101287000003359/0001012870-00-003359-index.htm" TargetMode="External"/><Relationship Id="rId54" Type="http://schemas.openxmlformats.org/officeDocument/2006/relationships/hyperlink" Target="http://www.sec.gov/Archives/edgar/data/1056421/000114420405021015/v021182_ex99-2.htm" TargetMode="External"/><Relationship Id="rId55" Type="http://schemas.openxmlformats.org/officeDocument/2006/relationships/hyperlink" Target="http://www.sec.gov/Archives/edgar/data/1056421/000114420405021015/v021182_ex99-1.htm" TargetMode="External"/><Relationship Id="rId56" Type="http://schemas.openxmlformats.org/officeDocument/2006/relationships/hyperlink" Target="http://www.sec.gov/Archives/edgar/data/1275187/000116923206002370/d68040_ex10-1.htm" TargetMode="External"/><Relationship Id="rId57" Type="http://schemas.openxmlformats.org/officeDocument/2006/relationships/hyperlink" Target="http://www.sec.gov/Archives/edgar/data/1275187/000091412116001069/an35192888-ex10_1.htm" TargetMode="External"/><Relationship Id="rId58" Type="http://schemas.openxmlformats.org/officeDocument/2006/relationships/hyperlink" Target="http://www.sec.gov/Archives/edgar/data/1275187/000091412116001373/an35680916-ex10_1.htm" TargetMode="External"/><Relationship Id="rId59" Type="http://schemas.openxmlformats.org/officeDocument/2006/relationships/hyperlink" Target="http://www.sec.gov/Archives/edgar/data/1275187/000091412116001069/an35192888-ex10_2.htm" TargetMode="External"/><Relationship Id="rId60" Type="http://schemas.openxmlformats.org/officeDocument/2006/relationships/hyperlink" Target="http://www.sec.gov/Archives/edgar/data/1275187/000134100407002882/ex10.htm" TargetMode="External"/><Relationship Id="rId61" Type="http://schemas.openxmlformats.org/officeDocument/2006/relationships/hyperlink" Target="http://www.sec.gov/Archives/edgar/data/1275187/000127518715000011/ex101353114a.htm" TargetMode="External"/><Relationship Id="rId62" Type="http://schemas.openxmlformats.org/officeDocument/2006/relationships/hyperlink" Target="http://www.sec.gov/Archives/edgar/data/1275187/000127518716000037/ex103-changeincontrolmgrei.htm" TargetMode="External"/><Relationship Id="rId63" Type="http://schemas.openxmlformats.org/officeDocument/2006/relationships/hyperlink" Target="http://www.sec.gov/Archives/edgar/data/1275187/000091412116001069/an35192888-ex10_3.htm" TargetMode="External"/><Relationship Id="rId64" Type="http://schemas.openxmlformats.org/officeDocument/2006/relationships/hyperlink" Target="http://www.sec.gov/Archives/edgar/data/1275187/000091412116001069/an35192888-ex10_4.htm" TargetMode="External"/><Relationship Id="rId65" Type="http://schemas.openxmlformats.org/officeDocument/2006/relationships/hyperlink" Target="http://www.sec.gov/Archives/edgar/data/1275187/000091412116001069/an35192888-ex10_5.htm" TargetMode="External"/><Relationship Id="rId66" Type="http://schemas.openxmlformats.org/officeDocument/2006/relationships/hyperlink" Target="http://www.sec.gov/Archives/edgar/data/1275187/000091412116001069/an35192888-ex10_6.htm" TargetMode="External"/><Relationship Id="rId67" Type="http://schemas.openxmlformats.org/officeDocument/2006/relationships/hyperlink" Target="http://www.sec.gov/Archives/edgar/data/1275187/000091412116001150/an35296029-ex10_1.htm" TargetMode="External"/><Relationship Id="rId68" Type="http://schemas.openxmlformats.org/officeDocument/2006/relationships/hyperlink" Target="http://www.sec.gov/Archives/edgar/data/1275187/000116923206002370/d68040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2019-12-28T09:57:32Z</dcterms:created>
  <dcterms:modified xsi:type="dcterms:W3CDTF">2019-12-28T09:57:32Z</dcterms:modified>
</cp:coreProperties>
</file>