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629920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595630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62865</wp:posOffset>
            </wp:positionV>
            <wp:extent cx="3823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364"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78740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5" w:lineRule="exact"/>
        <w:rPr>
          <w:sz w:val="24"/>
          <w:szCs w:val="24"/>
          <w:color w:val="auto"/>
        </w:rPr>
      </w:pPr>
    </w:p>
    <w:p>
      <w:pPr>
        <w:ind w:left="680" w:right="4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August 31, 2023</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3"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91440</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664845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82"/>
              <w:spacing w:after="0"/>
              <w:rPr>
                <w:sz w:val="20"/>
                <w:szCs w:val="20"/>
                <w:color w:val="auto"/>
              </w:rPr>
            </w:pPr>
            <w:r>
              <w:rPr>
                <w:rFonts w:ascii="Arial" w:cs="Arial" w:eastAsia="Arial" w:hAnsi="Arial"/>
                <w:sz w:val="18"/>
                <w:szCs w:val="18"/>
                <w:b w:val="1"/>
                <w:bCs w:val="1"/>
                <w:color w:val="auto"/>
                <w:w w:val="89"/>
              </w:rPr>
              <w:t>11-3146460</w:t>
            </w:r>
          </w:p>
        </w:tc>
      </w:tr>
      <w:tr>
        <w:trPr>
          <w:trHeight w:val="149"/>
        </w:trPr>
        <w:tc>
          <w:tcPr>
            <w:tcW w:w="4000" w:type="dxa"/>
            <w:vAlign w:val="bottom"/>
          </w:tcPr>
          <w:p>
            <w:pPr>
              <w:jc w:val="center"/>
              <w:ind w:right="2062"/>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3"/>
              </w:rPr>
              <w:t>incorporation or organization)</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33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14 Plaza Drive, Latham, New York 12110</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5" w:lineRule="exact"/>
        <w:rPr>
          <w:sz w:val="24"/>
          <w:szCs w:val="24"/>
          <w:color w:val="auto"/>
        </w:rPr>
      </w:pPr>
    </w:p>
    <w:tbl>
      <w:tblPr>
        <w:tblLayout w:type="fixed"/>
        <w:tblInd w:w="1040" w:type="dxa"/>
        <w:tblCellMar>
          <w:top w:w="0" w:type="dxa"/>
          <w:left w:w="0" w:type="dxa"/>
          <w:bottom w:w="0" w:type="dxa"/>
          <w:right w:w="0" w:type="dxa"/>
        </w:tblCellMar>
      </w:tblPr>
      <w:tr>
        <w:trPr>
          <w:trHeight w:val="186"/>
        </w:trPr>
        <w:tc>
          <w:tcPr>
            <w:tcW w:w="3300" w:type="dxa"/>
            <w:vAlign w:val="bottom"/>
          </w:tcPr>
          <w:p>
            <w:pPr>
              <w:jc w:val="center"/>
              <w:ind w:right="696"/>
              <w:spacing w:after="0"/>
              <w:rPr>
                <w:sz w:val="20"/>
                <w:szCs w:val="20"/>
                <w:color w:val="auto"/>
              </w:rPr>
            </w:pPr>
            <w:r>
              <w:rPr>
                <w:rFonts w:ascii="Arial" w:cs="Arial" w:eastAsia="Arial" w:hAnsi="Arial"/>
                <w:sz w:val="14"/>
                <w:szCs w:val="14"/>
                <w:b w:val="1"/>
                <w:bCs w:val="1"/>
                <w:color w:val="auto"/>
                <w:w w:val="89"/>
              </w:rPr>
              <w:t>Title of each class</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3420" w:type="dxa"/>
            <w:vAlign w:val="bottom"/>
          </w:tcPr>
          <w:p>
            <w:pPr>
              <w:jc w:val="center"/>
              <w:ind w:left="6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0"/>
        </w:trPr>
        <w:tc>
          <w:tcPr>
            <w:tcW w:w="3300" w:type="dxa"/>
            <w:vAlign w:val="bottom"/>
          </w:tcPr>
          <w:p>
            <w:pPr>
              <w:jc w:val="center"/>
              <w:ind w:right="696"/>
              <w:spacing w:after="0"/>
              <w:rPr>
                <w:sz w:val="20"/>
                <w:szCs w:val="20"/>
                <w:color w:val="auto"/>
              </w:rPr>
            </w:pPr>
            <w:r>
              <w:rPr>
                <w:rFonts w:ascii="Arial" w:cs="Arial" w:eastAsia="Arial" w:hAnsi="Arial"/>
                <w:sz w:val="18"/>
                <w:szCs w:val="18"/>
                <w:b w:val="1"/>
                <w:bCs w:val="1"/>
                <w:color w:val="auto"/>
                <w:w w:val="90"/>
              </w:rPr>
              <w:t>Common Stock, par value $.01</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34"/>
        </w:trPr>
        <w:tc>
          <w:tcPr>
            <w:tcW w:w="3300" w:type="dxa"/>
            <w:vAlign w:val="bottom"/>
          </w:tcPr>
          <w:p>
            <w:pPr>
              <w:jc w:val="center"/>
              <w:ind w:right="696"/>
              <w:spacing w:after="0"/>
              <w:rPr>
                <w:sz w:val="20"/>
                <w:szCs w:val="20"/>
                <w:color w:val="auto"/>
              </w:rPr>
            </w:pPr>
            <w:r>
              <w:rPr>
                <w:rFonts w:ascii="Arial" w:cs="Arial" w:eastAsia="Arial" w:hAnsi="Arial"/>
                <w:sz w:val="18"/>
                <w:szCs w:val="18"/>
                <w:b w:val="1"/>
                <w:bCs w:val="1"/>
                <w:color w:val="auto"/>
                <w:w w:val="89"/>
              </w:rPr>
              <w:t>Preferred Stock Purchase Rights</w:t>
            </w:r>
          </w:p>
        </w:tc>
        <w:tc>
          <w:tcPr>
            <w:tcW w:w="252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sz w:val="20"/>
          <w:szCs w:val="20"/>
          <w:color w:val="auto"/>
        </w:rPr>
      </w:pPr>
      <w:r>
        <w:rPr>
          <w:rFonts w:ascii="Arial" w:cs="Arial" w:eastAsia="Arial" w:hAnsi="Arial"/>
          <w:sz w:val="13"/>
          <w:szCs w:val="13"/>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33" w:lineRule="exact"/>
        <w:rPr>
          <w:sz w:val="20"/>
          <w:szCs w:val="20"/>
          <w:color w:val="auto"/>
        </w:rPr>
      </w:pPr>
    </w:p>
    <w:p>
      <w:pPr>
        <w:sectPr>
          <w:pgSz w:w="11900" w:h="16838" w:orient="portrait"/>
          <w:cols w:equalWidth="0" w:num="4">
            <w:col w:w="8900" w:space="180"/>
            <w:col w:w="260" w:space="100"/>
            <w:col w:w="160" w:space="180"/>
            <w:col w:w="1460"/>
          </w:cols>
          <w:pgMar w:left="320" w:top="121" w:right="3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280" w:lineRule="exact"/>
        <w:rPr>
          <w:sz w:val="20"/>
          <w:szCs w:val="20"/>
          <w:color w:val="auto"/>
        </w:rPr>
      </w:pPr>
    </w:p>
    <w:p>
      <w:pPr>
        <w:sectPr>
          <w:pgSz w:w="11900" w:h="16838" w:orient="portrait"/>
          <w:cols w:equalWidth="0" w:num="5">
            <w:col w:w="8480" w:space="180"/>
            <w:col w:w="260" w:space="80"/>
            <w:col w:w="180" w:space="180"/>
            <w:col w:w="220" w:space="80"/>
            <w:col w:w="1580"/>
          </w:cols>
          <w:pgMar w:left="320" w:top="121" w:right="3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0"/>
          <w:szCs w:val="20"/>
          <w:color w:val="auto"/>
        </w:rPr>
      </w:pPr>
    </w:p>
    <w:p>
      <w:pPr>
        <w:ind w:right="60"/>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0"/>
          <w:szCs w:val="20"/>
          <w:color w:val="auto"/>
        </w:rPr>
      </w:pPr>
    </w:p>
    <w:p>
      <w:pPr>
        <w:ind w:right="100" w:firstLine="445"/>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89"/>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21"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2780" w:type="dxa"/>
            <w:vAlign w:val="bottom"/>
          </w:tcPr>
          <w:p>
            <w:pPr>
              <w:spacing w:after="0"/>
              <w:rPr>
                <w:sz w:val="14"/>
                <w:szCs w:val="14"/>
                <w:color w:val="auto"/>
              </w:rPr>
            </w:pPr>
          </w:p>
        </w:tc>
        <w:tc>
          <w:tcPr>
            <w:tcW w:w="552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92"/>
              </w:rPr>
              <w:t>Outstanding as of October 3, 2023</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7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Common Stock, par value $.01</w:t>
            </w:r>
          </w:p>
        </w:tc>
        <w:tc>
          <w:tcPr>
            <w:tcW w:w="38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39,846,641</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8"/>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23"/>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gridSpan w:val="4"/>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6360" w:type="dxa"/>
            <w:vAlign w:val="bottom"/>
            <w:gridSpan w:val="12"/>
            <w:vMerge w:val="restart"/>
          </w:tcPr>
          <w:p>
            <w:pPr>
              <w:jc w:val="center"/>
              <w:ind w:right="2980"/>
              <w:spacing w:after="0"/>
              <w:rPr>
                <w:sz w:val="20"/>
                <w:szCs w:val="20"/>
                <w:color w:val="auto"/>
              </w:rPr>
            </w:pPr>
            <w:r>
              <w:rPr>
                <w:rFonts w:ascii="Arial" w:cs="Arial" w:eastAsia="Arial" w:hAnsi="Arial"/>
                <w:sz w:val="18"/>
                <w:szCs w:val="18"/>
                <w:b w:val="1"/>
                <w:bCs w:val="1"/>
                <w:color w:val="0000FF"/>
                <w:w w:val="94"/>
              </w:rPr>
              <w:t>Part I: Financial Information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360" w:type="dxa"/>
            <w:vAlign w:val="bottom"/>
            <w:gridSpan w:val="12"/>
            <w:vMerge w:val="continue"/>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88"/>
              </w:rPr>
              <w:t>Financial Statements</w:t>
            </w:r>
          </w:p>
        </w:tc>
        <w:tc>
          <w:tcPr>
            <w:tcW w:w="1900" w:type="dxa"/>
            <w:vAlign w:val="bottom"/>
            <w:gridSpan w:val="5"/>
          </w:tcPr>
          <w:p>
            <w:pPr>
              <w:spacing w:after="0"/>
              <w:rPr>
                <w:sz w:val="22"/>
                <w:szCs w:val="22"/>
                <w:color w:val="auto"/>
              </w:rPr>
            </w:pPr>
          </w:p>
        </w:tc>
        <w:tc>
          <w:tcPr>
            <w:tcW w:w="2260" w:type="dxa"/>
            <w:vAlign w:val="bottom"/>
            <w:tcBorders>
              <w:top w:val="single" w:sz="8" w:color="0000FF"/>
            </w:tcBorders>
            <w:gridSpan w:val="9"/>
          </w:tcPr>
          <w:p>
            <w:pPr>
              <w:spacing w:after="0"/>
              <w:rPr>
                <w:sz w:val="22"/>
                <w:szCs w:val="22"/>
                <w:color w:val="auto"/>
              </w:rPr>
            </w:pPr>
          </w:p>
        </w:tc>
        <w:tc>
          <w:tcPr>
            <w:tcW w:w="354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37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Consolidated Statements of Operations (unaudited)</w:t>
            </w:r>
          </w:p>
        </w:tc>
        <w:tc>
          <w:tcPr>
            <w:tcW w:w="5580" w:type="dxa"/>
            <w:vAlign w:val="bottom"/>
            <w:gridSpan w:val="9"/>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1"/>
          </w:tcPr>
          <w:p>
            <w:pPr>
              <w:spacing w:after="0"/>
              <w:rPr>
                <w:sz w:val="20"/>
                <w:szCs w:val="20"/>
                <w:color w:val="auto"/>
              </w:rPr>
            </w:pPr>
            <w:r>
              <w:rPr>
                <w:rFonts w:ascii="Arial" w:cs="Arial" w:eastAsia="Arial" w:hAnsi="Arial"/>
                <w:sz w:val="18"/>
                <w:szCs w:val="18"/>
                <w:color w:val="0000FF"/>
              </w:rPr>
              <w:t>Consolidated Statements of Comprehensive Income (Loss) (unaudited)</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512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Consolidated Balance Sheets (unaudited)</w:t>
            </w:r>
          </w:p>
        </w:tc>
        <w:tc>
          <w:tcPr>
            <w:tcW w:w="4200" w:type="dxa"/>
            <w:vAlign w:val="bottom"/>
            <w:gridSpan w:val="4"/>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1"/>
          </w:tcPr>
          <w:p>
            <w:pPr>
              <w:spacing w:after="0"/>
              <w:rPr>
                <w:sz w:val="20"/>
                <w:szCs w:val="20"/>
                <w:color w:val="auto"/>
              </w:rPr>
            </w:pPr>
            <w:r>
              <w:rPr>
                <w:rFonts w:ascii="Arial" w:cs="Arial" w:eastAsia="Arial" w:hAnsi="Arial"/>
                <w:sz w:val="18"/>
                <w:szCs w:val="18"/>
                <w:color w:val="0000FF"/>
              </w:rPr>
              <w:t>Consolidated Statements of Cash Flows (unaudited)</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1"/>
          </w:tcPr>
          <w:p>
            <w:pPr>
              <w:spacing w:after="0"/>
              <w:rPr>
                <w:sz w:val="20"/>
                <w:szCs w:val="20"/>
                <w:color w:val="auto"/>
              </w:rPr>
            </w:pPr>
            <w:r>
              <w:rPr>
                <w:rFonts w:ascii="Arial" w:cs="Arial" w:eastAsia="Arial" w:hAnsi="Arial"/>
                <w:sz w:val="18"/>
                <w:szCs w:val="18"/>
                <w:color w:val="0000FF"/>
              </w:rPr>
              <w:t>Consolidated Statements of Stockholders’ Equity (unaudited)</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w w:val="98"/>
              </w:rPr>
              <w:t>Notes to Consolidated Financial Statements (unaudited)</w:t>
            </w:r>
          </w:p>
        </w:tc>
        <w:tc>
          <w:tcPr>
            <w:tcW w:w="4900" w:type="dxa"/>
            <w:vAlign w:val="bottom"/>
            <w:gridSpan w:val="7"/>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20"/>
          </w:tcPr>
          <w:p>
            <w:pPr>
              <w:spacing w:after="0"/>
              <w:rPr>
                <w:sz w:val="20"/>
                <w:szCs w:val="20"/>
                <w:color w:val="auto"/>
              </w:rPr>
            </w:pPr>
            <w:r>
              <w:rPr>
                <w:rFonts w:ascii="Arial" w:cs="Arial" w:eastAsia="Arial" w:hAnsi="Arial"/>
                <w:sz w:val="18"/>
                <w:szCs w:val="18"/>
                <w:b w:val="1"/>
                <w:bCs w:val="1"/>
                <w:color w:val="0000FF"/>
                <w:w w:val="89"/>
              </w:rPr>
              <w:t>Management’s Discussion and Analysis of Financial Condition and Results of Operations</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20"/>
          </w:tcPr>
          <w:p>
            <w:pPr>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6"/>
          </w:tcPr>
          <w:p>
            <w:pPr>
              <w:spacing w:after="0"/>
              <w:rPr>
                <w:sz w:val="20"/>
                <w:szCs w:val="20"/>
                <w:color w:val="auto"/>
              </w:rPr>
            </w:pPr>
            <w:r>
              <w:rPr>
                <w:rFonts w:ascii="Arial" w:cs="Arial" w:eastAsia="Arial" w:hAnsi="Arial"/>
                <w:sz w:val="18"/>
                <w:szCs w:val="18"/>
                <w:b w:val="1"/>
                <w:bCs w:val="1"/>
                <w:color w:val="0000FF"/>
              </w:rPr>
              <w:t>Controls and Procedures</w:t>
            </w:r>
          </w:p>
        </w:tc>
        <w:tc>
          <w:tcPr>
            <w:tcW w:w="466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700" w:type="dxa"/>
            <w:vAlign w:val="bottom"/>
            <w:gridSpan w:val="10"/>
          </w:tcPr>
          <w:p>
            <w:pPr>
              <w:jc w:val="center"/>
              <w:ind w:right="3640"/>
              <w:spacing w:after="0"/>
              <w:rPr>
                <w:sz w:val="20"/>
                <w:szCs w:val="20"/>
                <w:color w:val="auto"/>
              </w:rPr>
            </w:pPr>
            <w:r>
              <w:rPr>
                <w:rFonts w:ascii="Arial" w:cs="Arial" w:eastAsia="Arial" w:hAnsi="Arial"/>
                <w:sz w:val="18"/>
                <w:szCs w:val="18"/>
                <w:b w:val="1"/>
                <w:bCs w:val="1"/>
                <w:color w:val="0000FF"/>
                <w:w w:val="96"/>
              </w:rPr>
              <w:t>Part II: Other Information</w:t>
            </w:r>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620" w:type="dxa"/>
            <w:vAlign w:val="bottom"/>
            <w:gridSpan w:val="11"/>
          </w:tcPr>
          <w:p>
            <w:pPr>
              <w:spacing w:after="0"/>
              <w:rPr>
                <w:sz w:val="20"/>
                <w:szCs w:val="20"/>
                <w:color w:val="auto"/>
              </w:rPr>
            </w:pPr>
            <w:r>
              <w:rPr>
                <w:rFonts w:ascii="Arial" w:cs="Arial" w:eastAsia="Arial" w:hAnsi="Arial"/>
                <w:sz w:val="18"/>
                <w:szCs w:val="18"/>
                <w:b w:val="1"/>
                <w:bCs w:val="1"/>
                <w:color w:val="0000FF"/>
              </w:rPr>
              <w:t>Legal Proceedings</w:t>
            </w:r>
          </w:p>
        </w:tc>
        <w:tc>
          <w:tcPr>
            <w:tcW w:w="2060" w:type="dxa"/>
            <w:vAlign w:val="bottom"/>
            <w:tcBorders>
              <w:top w:val="single" w:sz="8" w:color="0000FF"/>
            </w:tcBorders>
            <w:gridSpan w:val="7"/>
          </w:tcPr>
          <w:p>
            <w:pPr>
              <w:spacing w:after="0"/>
              <w:rPr>
                <w:sz w:val="22"/>
                <w:szCs w:val="22"/>
                <w:color w:val="auto"/>
              </w:rPr>
            </w:pPr>
          </w:p>
        </w:tc>
        <w:tc>
          <w:tcPr>
            <w:tcW w:w="364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2"/>
          </w:tcPr>
          <w:p>
            <w:pPr>
              <w:spacing w:after="0"/>
              <w:rPr>
                <w:sz w:val="20"/>
                <w:szCs w:val="20"/>
                <w:color w:val="auto"/>
              </w:rPr>
            </w:pPr>
            <w:r>
              <w:rPr>
                <w:rFonts w:ascii="Arial" w:cs="Arial" w:eastAsia="Arial" w:hAnsi="Arial"/>
                <w:sz w:val="18"/>
                <w:szCs w:val="18"/>
                <w:b w:val="1"/>
                <w:bCs w:val="1"/>
                <w:color w:val="0000FF"/>
                <w:w w:val="88"/>
              </w:rPr>
              <w:t>Risk Factors</w:t>
            </w:r>
          </w:p>
        </w:tc>
        <w:tc>
          <w:tcPr>
            <w:tcW w:w="420" w:type="dxa"/>
            <w:vAlign w:val="bottom"/>
          </w:tcPr>
          <w:p>
            <w:pPr>
              <w:spacing w:after="0"/>
              <w:rPr>
                <w:sz w:val="22"/>
                <w:szCs w:val="22"/>
                <w:color w:val="auto"/>
              </w:rPr>
            </w:pPr>
          </w:p>
        </w:tc>
        <w:tc>
          <w:tcPr>
            <w:tcW w:w="7920" w:type="dxa"/>
            <w:vAlign w:val="bottom"/>
            <w:gridSpan w:val="18"/>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gridSpan w:val="15"/>
          </w:tcPr>
          <w:p>
            <w:pPr>
              <w:spacing w:after="0"/>
              <w:rPr>
                <w:sz w:val="20"/>
                <w:szCs w:val="20"/>
                <w:color w:val="auto"/>
              </w:rPr>
            </w:pPr>
            <w:r>
              <w:rPr>
                <w:rFonts w:ascii="Arial" w:cs="Arial" w:eastAsia="Arial" w:hAnsi="Arial"/>
                <w:sz w:val="18"/>
                <w:szCs w:val="18"/>
                <w:b w:val="1"/>
                <w:bCs w:val="1"/>
                <w:color w:val="0000FF"/>
                <w:w w:val="87"/>
              </w:rPr>
              <w:t>Unregistered Sales of Equity Securities and Use of Proceeds</w:t>
            </w:r>
          </w:p>
        </w:tc>
        <w:tc>
          <w:tcPr>
            <w:tcW w:w="4740" w:type="dxa"/>
            <w:vAlign w:val="bottom"/>
            <w:gridSpan w:val="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220" w:type="dxa"/>
            <w:vAlign w:val="bottom"/>
            <w:gridSpan w:val="8"/>
          </w:tcPr>
          <w:p>
            <w:pPr>
              <w:spacing w:after="0"/>
              <w:rPr>
                <w:sz w:val="20"/>
                <w:szCs w:val="20"/>
                <w:color w:val="auto"/>
              </w:rPr>
            </w:pPr>
            <w:r>
              <w:rPr>
                <w:rFonts w:ascii="Arial" w:cs="Arial" w:eastAsia="Arial" w:hAnsi="Arial"/>
                <w:sz w:val="18"/>
                <w:szCs w:val="18"/>
                <w:b w:val="1"/>
                <w:bCs w:val="1"/>
                <w:color w:val="0000FF"/>
                <w:w w:val="87"/>
              </w:rPr>
              <w:t>Defaults on Senior Securities</w:t>
            </w:r>
          </w:p>
        </w:tc>
        <w:tc>
          <w:tcPr>
            <w:tcW w:w="2360" w:type="dxa"/>
            <w:vAlign w:val="bottom"/>
            <w:gridSpan w:val="7"/>
          </w:tcPr>
          <w:p>
            <w:pPr>
              <w:spacing w:after="0"/>
              <w:rPr>
                <w:sz w:val="22"/>
                <w:szCs w:val="22"/>
                <w:color w:val="auto"/>
              </w:rPr>
            </w:pPr>
          </w:p>
        </w:tc>
        <w:tc>
          <w:tcPr>
            <w:tcW w:w="4740" w:type="dxa"/>
            <w:vAlign w:val="bottom"/>
            <w:gridSpan w:val="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0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220" w:type="dxa"/>
            <w:vAlign w:val="bottom"/>
            <w:gridSpan w:val="8"/>
          </w:tcPr>
          <w:p>
            <w:pPr>
              <w:spacing w:after="0"/>
              <w:rPr>
                <w:sz w:val="20"/>
                <w:szCs w:val="20"/>
                <w:color w:val="auto"/>
              </w:rPr>
            </w:pPr>
            <w:r>
              <w:rPr>
                <w:rFonts w:ascii="Arial" w:cs="Arial" w:eastAsia="Arial" w:hAnsi="Arial"/>
                <w:sz w:val="18"/>
                <w:szCs w:val="18"/>
                <w:b w:val="1"/>
                <w:bCs w:val="1"/>
                <w:color w:val="0000FF"/>
              </w:rPr>
              <w:t>Mine Safety Disclosures</w:t>
            </w:r>
          </w:p>
        </w:tc>
        <w:tc>
          <w:tcPr>
            <w:tcW w:w="7100" w:type="dxa"/>
            <w:vAlign w:val="bottom"/>
            <w:gridSpan w:val="1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8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840" w:type="dxa"/>
            <w:vAlign w:val="bottom"/>
            <w:gridSpan w:val="6"/>
          </w:tcPr>
          <w:p>
            <w:pPr>
              <w:spacing w:after="0"/>
              <w:rPr>
                <w:sz w:val="20"/>
                <w:szCs w:val="20"/>
                <w:color w:val="auto"/>
              </w:rPr>
            </w:pPr>
            <w:r>
              <w:rPr>
                <w:rFonts w:ascii="Arial" w:cs="Arial" w:eastAsia="Arial" w:hAnsi="Arial"/>
                <w:sz w:val="18"/>
                <w:szCs w:val="18"/>
                <w:b w:val="1"/>
                <w:bCs w:val="1"/>
                <w:color w:val="0000FF"/>
              </w:rPr>
              <w:t>Other Information</w:t>
            </w:r>
          </w:p>
        </w:tc>
        <w:tc>
          <w:tcPr>
            <w:tcW w:w="7480" w:type="dxa"/>
            <w:vAlign w:val="bottom"/>
            <w:gridSpan w:val="1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0000FF"/>
              </w:rPr>
              <w:t>Exhibits</w:t>
            </w:r>
          </w:p>
        </w:tc>
        <w:tc>
          <w:tcPr>
            <w:tcW w:w="7880" w:type="dxa"/>
            <w:vAlign w:val="bottom"/>
            <w:gridSpan w:val="17"/>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4"/>
          </w:tcPr>
          <w:p>
            <w:pPr>
              <w:jc w:val="right"/>
              <w:ind w:right="771"/>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Aug 31, 2023</w:t>
            </w:r>
          </w:p>
        </w:tc>
        <w:tc>
          <w:tcPr>
            <w:tcW w:w="200" w:type="dxa"/>
            <w:vAlign w:val="bottom"/>
          </w:tcPr>
          <w:p>
            <w:pPr>
              <w:spacing w:after="0"/>
              <w:rPr>
                <w:sz w:val="15"/>
                <w:szCs w:val="15"/>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color w:val="auto"/>
              </w:rPr>
              <w:t>Aug 31, 2022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81,537</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42,305</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26,543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 restructuring and other items,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55,606</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Gain on sale of assets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Other expense: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 benefit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(13,857)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196"/>
        </w:trPr>
        <w:tc>
          <w:tcPr>
            <w:tcW w:w="8320" w:type="dxa"/>
            <w:vAlign w:val="bottom"/>
          </w:tcPr>
          <w:p>
            <w:pPr>
              <w:ind w:left="680"/>
              <w:spacing w:after="0" w:line="196" w:lineRule="exact"/>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45,884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(13,004)</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Earnings (loss) per share</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2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39,302</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39,302</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4"/>
          </w:tcPr>
          <w:p>
            <w:pPr>
              <w:jc w:val="right"/>
              <w:ind w:right="773"/>
              <w:spacing w:after="0"/>
              <w:rPr>
                <w:sz w:val="20"/>
                <w:szCs w:val="20"/>
                <w:color w:val="auto"/>
              </w:rPr>
            </w:pPr>
            <w:r>
              <w:rPr>
                <w:rFonts w:ascii="Arial" w:cs="Arial" w:eastAsia="Arial" w:hAnsi="Arial"/>
                <w:sz w:val="14"/>
                <w:szCs w:val="14"/>
                <w:color w:val="auto"/>
              </w:rPr>
              <w:t>Three Months Ended</w:t>
            </w:r>
          </w:p>
        </w:tc>
      </w:tr>
      <w:tr>
        <w:trPr>
          <w:trHeight w:val="26"/>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6"/>
        </w:trPr>
        <w:tc>
          <w:tcPr>
            <w:tcW w:w="8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Aug 31, 2023</w:t>
            </w:r>
          </w:p>
        </w:tc>
        <w:tc>
          <w:tcPr>
            <w:tcW w:w="200" w:type="dxa"/>
            <w:vAlign w:val="bottom"/>
          </w:tcPr>
          <w:p>
            <w:pPr>
              <w:spacing w:after="0"/>
              <w:rPr>
                <w:sz w:val="15"/>
                <w:szCs w:val="15"/>
                <w:color w:val="auto"/>
              </w:rPr>
            </w:pPr>
          </w:p>
        </w:tc>
        <w:tc>
          <w:tcPr>
            <w:tcW w:w="1200" w:type="dxa"/>
            <w:vAlign w:val="bottom"/>
          </w:tcPr>
          <w:p>
            <w:pPr>
              <w:jc w:val="right"/>
              <w:ind w:right="213"/>
              <w:spacing w:after="0"/>
              <w:rPr>
                <w:sz w:val="20"/>
                <w:szCs w:val="20"/>
                <w:color w:val="auto"/>
              </w:rPr>
            </w:pPr>
            <w:r>
              <w:rPr>
                <w:rFonts w:ascii="Arial" w:cs="Arial" w:eastAsia="Arial" w:hAnsi="Arial"/>
                <w:sz w:val="14"/>
                <w:szCs w:val="14"/>
                <w:color w:val="auto"/>
              </w:rPr>
              <w:t>Aug 31, 2022</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w:t>
            </w: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Other comprehensive loss, before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loss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Other comprehensive loss, before tax</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 expense related to items of other comprehensive loss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(loss),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Aug 31, 2023</w:t>
            </w:r>
          </w:p>
        </w:tc>
        <w:tc>
          <w:tcPr>
            <w:tcW w:w="200" w:type="dxa"/>
            <w:vAlign w:val="bottom"/>
          </w:tcPr>
          <w:p>
            <w:pPr>
              <w:spacing w:after="0"/>
              <w:rPr>
                <w:sz w:val="15"/>
                <w:szCs w:val="15"/>
                <w:color w:val="auto"/>
              </w:rPr>
            </w:pPr>
          </w:p>
        </w:tc>
        <w:tc>
          <w:tcPr>
            <w:tcW w:w="1240" w:type="dxa"/>
            <w:vAlign w:val="bottom"/>
          </w:tcPr>
          <w:p>
            <w:pPr>
              <w:jc w:val="right"/>
              <w:ind w:right="231"/>
              <w:spacing w:after="0"/>
              <w:rPr>
                <w:sz w:val="20"/>
                <w:szCs w:val="20"/>
                <w:color w:val="auto"/>
              </w:rPr>
            </w:pPr>
            <w:r>
              <w:rPr>
                <w:rFonts w:ascii="Arial" w:cs="Arial" w:eastAsia="Arial" w:hAnsi="Arial"/>
                <w:sz w:val="14"/>
                <w:szCs w:val="14"/>
                <w:color w:val="auto"/>
              </w:rPr>
              <w:t>May 31, 2023</w:t>
            </w:r>
          </w:p>
        </w:tc>
      </w:tr>
      <w:tr>
        <w:trPr>
          <w:trHeight w:val="26"/>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 of allowances of $1,878 and $2,150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52,826</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55,325</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4,617</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assets held for sale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175,475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163,542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106,671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111,144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159,238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10,676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 held for sale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43,653</w:t>
            </w: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493,949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532,637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40,445</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26,617</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contingent consideration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14,761</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49,818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Contingent consideration, net of current portion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154,341</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par value $0.01 per share, 75,000,000 shares authorized; 40,586,641 and 39,981,422 shares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w w:val="89"/>
              </w:rPr>
              <w:t>issued and 40,216,641 and 39,611,422 shares outstanding at August 31, 2023 and May 31, 2023, respectively</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599,206</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(164,971)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(210,855)</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370,000 shares at August 31, 2023 and May 31, 2023, respectively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378,296</w:t>
            </w: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493,949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532,637</w:t>
            </w:r>
          </w:p>
        </w:tc>
      </w:tr>
      <w:tr>
        <w:trPr>
          <w:trHeight w:val="21"/>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8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4"/>
          </w:tcPr>
          <w:p>
            <w:pPr>
              <w:jc w:val="right"/>
              <w:ind w:right="711"/>
              <w:spacing w:after="0"/>
              <w:rPr>
                <w:sz w:val="20"/>
                <w:szCs w:val="20"/>
                <w:color w:val="auto"/>
              </w:rPr>
            </w:pPr>
            <w:r>
              <w:rPr>
                <w:rFonts w:ascii="Arial" w:cs="Arial" w:eastAsia="Arial" w:hAnsi="Arial"/>
                <w:sz w:val="14"/>
                <w:szCs w:val="14"/>
                <w:color w:val="auto"/>
              </w:rPr>
              <w:t>Three Months Ended</w:t>
            </w:r>
          </w:p>
        </w:tc>
      </w:tr>
      <w:tr>
        <w:trPr>
          <w:trHeight w:val="26"/>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8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Aug 31, 2023</w:t>
            </w:r>
          </w:p>
        </w:tc>
        <w:tc>
          <w:tcPr>
            <w:tcW w:w="200" w:type="dxa"/>
            <w:vAlign w:val="bottom"/>
          </w:tcPr>
          <w:p>
            <w:pPr>
              <w:spacing w:after="0"/>
              <w:rPr>
                <w:sz w:val="15"/>
                <w:szCs w:val="15"/>
                <w:color w:val="auto"/>
              </w:rPr>
            </w:pPr>
          </w:p>
        </w:tc>
        <w:tc>
          <w:tcPr>
            <w:tcW w:w="1100" w:type="dxa"/>
            <w:vAlign w:val="bottom"/>
          </w:tcPr>
          <w:p>
            <w:pPr>
              <w:jc w:val="right"/>
              <w:ind w:right="151"/>
              <w:spacing w:after="0"/>
              <w:rPr>
                <w:sz w:val="20"/>
                <w:szCs w:val="20"/>
                <w:color w:val="auto"/>
              </w:rPr>
            </w:pPr>
            <w:r>
              <w:rPr>
                <w:rFonts w:ascii="Arial" w:cs="Arial" w:eastAsia="Arial" w:hAnsi="Arial"/>
                <w:sz w:val="14"/>
                <w:szCs w:val="14"/>
                <w:color w:val="auto"/>
              </w:rPr>
              <w:t>Aug 31, 2022</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3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45,884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(13,004)</w:t>
            </w: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7,660</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Non-cash lease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Stock based compensation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3,024</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Gain on disposal of assets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Transaction costs for disposition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accounts receivable allowances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Fixed and intangible asset impairments and disposals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8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Write-off of other assets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32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30"/>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w:t>
            </w:r>
          </w:p>
        </w:tc>
      </w:tr>
      <w:tr>
        <w:trPr>
          <w:trHeight w:val="229"/>
        </w:trPr>
        <w:tc>
          <w:tcPr>
            <w:tcW w:w="8320" w:type="dxa"/>
            <w:vAlign w:val="bottom"/>
          </w:tcPr>
          <w:p>
            <w:pPr>
              <w:ind w:left="112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(5,733)</w:t>
            </w:r>
          </w:p>
        </w:tc>
      </w:tr>
      <w:tr>
        <w:trPr>
          <w:trHeight w:val="229"/>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 accrued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w:t>
            </w:r>
          </w:p>
        </w:tc>
      </w:tr>
      <w:tr>
        <w:trPr>
          <w:trHeight w:val="223"/>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(24,745)</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placement and evaluation units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Acquisition of intangibles</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assets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Repayment of long-term debt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borrowings on long-term debt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Deferred financing costs on long-term debt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acquisition related contingent consideration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24,376</w:t>
            </w:r>
          </w:p>
        </w:tc>
      </w:tr>
      <w:tr>
        <w:trPr>
          <w:trHeight w:val="223"/>
        </w:trPr>
        <w:tc>
          <w:tcPr>
            <w:tcW w:w="83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r>
      <w:tr>
        <w:trPr>
          <w:trHeight w:val="230"/>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28,825</w:t>
            </w:r>
          </w:p>
        </w:tc>
      </w:tr>
      <w:tr>
        <w:trPr>
          <w:trHeight w:val="248"/>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 for capital expenditures incurred during the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520" w:type="dxa"/>
            <w:vAlign w:val="bottom"/>
            <w:gridSpan w:val="3"/>
          </w:tcPr>
          <w:p>
            <w:pPr>
              <w:jc w:val="right"/>
              <w:ind w:right="22"/>
              <w:spacing w:after="0"/>
              <w:rPr>
                <w:sz w:val="20"/>
                <w:szCs w:val="20"/>
                <w:color w:val="auto"/>
              </w:rPr>
            </w:pPr>
            <w:r>
              <w:rPr>
                <w:rFonts w:ascii="Arial" w:cs="Arial" w:eastAsia="Arial" w:hAnsi="Arial"/>
                <w:sz w:val="14"/>
                <w:szCs w:val="14"/>
                <w:color w:val="auto"/>
              </w:rPr>
              <w:t>Common Stock</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980" w:type="dxa"/>
            <w:vAlign w:val="bottom"/>
            <w:gridSpan w:val="5"/>
          </w:tcPr>
          <w:p>
            <w:pPr>
              <w:ind w:left="50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43"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43" w:lineRule="exact"/>
              <w:rPr>
                <w:sz w:val="20"/>
                <w:szCs w:val="20"/>
                <w:color w:val="auto"/>
              </w:rPr>
            </w:pPr>
            <w:r>
              <w:rPr>
                <w:rFonts w:ascii="Arial" w:cs="Arial" w:eastAsia="Arial" w:hAnsi="Arial"/>
                <w:sz w:val="14"/>
                <w:szCs w:val="14"/>
                <w:color w:val="auto"/>
                <w:w w:val="93"/>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6"/>
              </w:rPr>
              <w:t>paid in</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2"/>
              </w:rPr>
              <w:t>comprehensive</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rPr>
              <w:t>Shares</w:t>
            </w:r>
          </w:p>
        </w:tc>
        <w:tc>
          <w:tcPr>
            <w:tcW w:w="820" w:type="dxa"/>
            <w:vAlign w:val="bottom"/>
            <w:gridSpan w:val="3"/>
          </w:tcPr>
          <w:p>
            <w:pPr>
              <w:ind w:left="1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loss</w:t>
            </w:r>
          </w:p>
        </w:tc>
        <w:tc>
          <w:tcPr>
            <w:tcW w:w="108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7"/>
                <w:szCs w:val="17"/>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6"/>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May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39,981,422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599,206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378,296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45,884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45,884</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386,031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2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Issuance/Cancellation of performance</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87,377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4,144</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07"/>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Balance at August 31, 2023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40,586,641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603,759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(164,971)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(5,653)</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427,804</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7"/>
        </w:trPr>
        <w:tc>
          <w:tcPr>
            <w:tcW w:w="2720" w:type="dxa"/>
            <w:vAlign w:val="bottom"/>
          </w:tcPr>
          <w:p>
            <w:pPr>
              <w:spacing w:after="0"/>
              <w:rPr>
                <w:sz w:val="24"/>
                <w:szCs w:val="24"/>
                <w:color w:val="auto"/>
              </w:rPr>
            </w:pPr>
          </w:p>
        </w:tc>
        <w:tc>
          <w:tcPr>
            <w:tcW w:w="1520" w:type="dxa"/>
            <w:vAlign w:val="bottom"/>
            <w:gridSpan w:val="3"/>
          </w:tcPr>
          <w:p>
            <w:pPr>
              <w:jc w:val="right"/>
              <w:ind w:right="22"/>
              <w:spacing w:after="0"/>
              <w:rPr>
                <w:sz w:val="20"/>
                <w:szCs w:val="20"/>
                <w:color w:val="auto"/>
              </w:rPr>
            </w:pPr>
            <w:r>
              <w:rPr>
                <w:rFonts w:ascii="Arial" w:cs="Arial" w:eastAsia="Arial" w:hAnsi="Arial"/>
                <w:sz w:val="14"/>
                <w:szCs w:val="14"/>
                <w:color w:val="auto"/>
              </w:rPr>
              <w:t>Common Stock</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980" w:type="dxa"/>
            <w:vAlign w:val="bottom"/>
            <w:gridSpan w:val="5"/>
          </w:tcPr>
          <w:p>
            <w:pPr>
              <w:ind w:left="50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color w:val="auto"/>
                <w:w w:val="93"/>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paid in</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comprehensive</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rPr>
              <w:t>Shares</w:t>
            </w:r>
          </w:p>
        </w:tc>
        <w:tc>
          <w:tcPr>
            <w:tcW w:w="820" w:type="dxa"/>
            <w:vAlign w:val="bottom"/>
            <w:gridSpan w:val="3"/>
          </w:tcPr>
          <w:p>
            <w:pPr>
              <w:ind w:left="1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income</w:t>
            </w:r>
          </w:p>
        </w:tc>
        <w:tc>
          <w:tcPr>
            <w:tcW w:w="108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7"/>
                <w:szCs w:val="17"/>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May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39,541,173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586,879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424,489</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(13,004)</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6"/>
        </w:trPr>
        <w:tc>
          <w:tcPr>
            <w:tcW w:w="2720" w:type="dxa"/>
            <w:vAlign w:val="bottom"/>
          </w:tcPr>
          <w:p>
            <w:pPr>
              <w:ind w:left="20"/>
              <w:spacing w:after="0" w:line="166" w:lineRule="exact"/>
              <w:rPr>
                <w:sz w:val="20"/>
                <w:szCs w:val="20"/>
                <w:color w:val="auto"/>
              </w:rPr>
            </w:pPr>
            <w:r>
              <w:rPr>
                <w:rFonts w:ascii="Arial" w:cs="Arial" w:eastAsia="Arial" w:hAnsi="Arial"/>
                <w:sz w:val="16"/>
                <w:szCs w:val="16"/>
                <w:color w:val="auto"/>
                <w:w w:val="93"/>
              </w:rPr>
              <w:t>Issuance/Cancellation of restricted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213,241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Issuance/Cancellation of performance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29,826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tcPr>
          <w:p>
            <w:pPr>
              <w:jc w:val="right"/>
              <w:spacing w:after="0"/>
              <w:rPr>
                <w:sz w:val="20"/>
                <w:szCs w:val="20"/>
                <w:color w:val="auto"/>
              </w:rPr>
            </w:pPr>
            <w:r>
              <w:rPr>
                <w:rFonts w:ascii="Arial" w:cs="Arial" w:eastAsia="Arial" w:hAnsi="Arial"/>
                <w:sz w:val="16"/>
                <w:szCs w:val="16"/>
                <w:color w:val="auto"/>
              </w:rPr>
              <w:t>56,894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August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39,847,751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589,984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414,041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Consolidated Statements of Operations and the Consolidated Statements of Comprehensive Income (Loss) for the three months ended August 31,</w:t>
      </w:r>
    </w:p>
    <w:p>
      <w:pPr>
        <w:spacing w:after="0" w:line="4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2023 and 2022, the Consolidated Balance Sheet as of August 31, 2023, the Consolidated Statements of Cash Flows for the three months ended August 31, 2023 and 2022, and the Consolidated Statements of Stockholders’ Equity for the three months ended August 31, 2023 and 2022 have been prepared by the Company and are unaudited. The Consolidated Balance Sheet as of May 31, 2023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August 31, 2023 (and for all periods presented) have been made.</w:t>
      </w:r>
    </w:p>
    <w:p>
      <w:pPr>
        <w:spacing w:after="0" w:line="110"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The unaudited interim consolidated financial statements for the three months ended August 31, 2023 and 2022 include the accounts of AngioDynamics, Inc. and its wholly owned subsidiaries (collectively, the "Company", "we", "our" or "us"). All intercompany balances and transactions have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DIVESTITURES</w:t>
      </w:r>
    </w:p>
    <w:p>
      <w:pPr>
        <w:spacing w:after="0" w:line="229" w:lineRule="exact"/>
        <w:rPr>
          <w:sz w:val="20"/>
          <w:szCs w:val="20"/>
          <w:color w:val="auto"/>
        </w:rPr>
      </w:pPr>
    </w:p>
    <w:p>
      <w:pPr>
        <w:ind w:right="220" w:firstLine="405"/>
        <w:spacing w:after="0" w:line="311" w:lineRule="auto"/>
        <w:rPr>
          <w:sz w:val="20"/>
          <w:szCs w:val="20"/>
          <w:color w:val="auto"/>
        </w:rPr>
      </w:pPr>
      <w:r>
        <w:rPr>
          <w:rFonts w:ascii="Arial" w:cs="Arial" w:eastAsia="Arial" w:hAnsi="Arial"/>
          <w:sz w:val="16"/>
          <w:szCs w:val="16"/>
          <w:color w:val="auto"/>
        </w:rPr>
        <w:t>Pursuant to an asset purchase agreement dated June 8, 2023 (the "Asset Purchase Agreement"), the Company completed the sale of the dialysis and BioSentry tract sealant system biopsy businesses (the "Divestiture") to Merit Medical Systems, Inc. ("Merit"). Total consideration received by the Company for the Divestiture in the first quarter of fiscal year 2024 was $100.0 million in cash and resulted in a pre-tax book gain of $47.8 million.</w:t>
      </w:r>
    </w:p>
    <w:p>
      <w:pPr>
        <w:spacing w:after="0" w:line="149"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The Company and Merit entered into various agreements to facilitate the transition of the divested businesses to Merit, including a Transition Services Agreement and Contract Manufacturing Agreement. The Company determined that the sale of the businesses did not constitute a strategic shift that had a major effect on the Company's operations or financial results and as a result, this transaction will not be classified as discontinued operations.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major classes of assets sold on the date of the sale: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5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5"/>
                <w:szCs w:val="15"/>
                <w:color w:val="auto"/>
              </w:rPr>
            </w:pPr>
          </w:p>
        </w:tc>
        <w:tc>
          <w:tcPr>
            <w:tcW w:w="1520" w:type="dxa"/>
            <w:vAlign w:val="bottom"/>
          </w:tcPr>
          <w:p>
            <w:pPr>
              <w:jc w:val="right"/>
              <w:ind w:right="232"/>
              <w:spacing w:after="0"/>
              <w:rPr>
                <w:sz w:val="20"/>
                <w:szCs w:val="20"/>
                <w:color w:val="auto"/>
              </w:rPr>
            </w:pPr>
            <w:r>
              <w:rPr>
                <w:rFonts w:ascii="Arial" w:cs="Arial" w:eastAsia="Arial" w:hAnsi="Arial"/>
                <w:sz w:val="14"/>
                <w:szCs w:val="14"/>
                <w:color w:val="auto"/>
              </w:rPr>
              <w:t>As of June 8, 2023</w:t>
            </w:r>
          </w:p>
        </w:tc>
      </w:tr>
      <w:tr>
        <w:trPr>
          <w:trHeight w:val="25"/>
        </w:trPr>
        <w:tc>
          <w:tcPr>
            <w:tcW w:w="9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95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4,068</w:t>
            </w:r>
          </w:p>
        </w:tc>
      </w:tr>
      <w:tr>
        <w:trPr>
          <w:trHeight w:val="230"/>
        </w:trPr>
        <w:tc>
          <w:tcPr>
            <w:tcW w:w="9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95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9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Non-current assets:</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952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9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r>
      <w:tr>
        <w:trPr>
          <w:trHeight w:val="230"/>
        </w:trPr>
        <w:tc>
          <w:tcPr>
            <w:tcW w:w="9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25,980</w:t>
            </w:r>
          </w:p>
        </w:tc>
      </w:tr>
      <w:tr>
        <w:trPr>
          <w:trHeight w:val="248"/>
        </w:trPr>
        <w:tc>
          <w:tcPr>
            <w:tcW w:w="9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660" w:firstLine="8"/>
        <w:spacing w:after="0" w:line="440"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spacing w:after="0" w:line="1"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 xml:space="preserve">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net sales by Med Tech, Med Device and by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8"/>
          </w:tcPr>
          <w:p>
            <w:pPr>
              <w:jc w:val="center"/>
              <w:ind w:right="240"/>
              <w:spacing w:after="0"/>
              <w:rPr>
                <w:sz w:val="20"/>
                <w:szCs w:val="20"/>
                <w:color w:val="auto"/>
              </w:rPr>
            </w:pPr>
            <w:r>
              <w:rPr>
                <w:rFonts w:ascii="Arial" w:cs="Arial" w:eastAsia="Arial" w:hAnsi="Arial"/>
                <w:sz w:val="14"/>
                <w:szCs w:val="14"/>
                <w:color w:val="auto"/>
                <w:w w:val="92"/>
              </w:rPr>
              <w:t>Three Months Ended August 31, 2023</w:t>
            </w:r>
          </w:p>
        </w:tc>
        <w:tc>
          <w:tcPr>
            <w:tcW w:w="140" w:type="dxa"/>
            <w:vAlign w:val="bottom"/>
          </w:tcPr>
          <w:p>
            <w:pPr>
              <w:spacing w:after="0"/>
              <w:rPr>
                <w:sz w:val="15"/>
                <w:szCs w:val="15"/>
                <w:color w:val="auto"/>
              </w:rPr>
            </w:pPr>
          </w:p>
        </w:tc>
        <w:tc>
          <w:tcPr>
            <w:tcW w:w="3340" w:type="dxa"/>
            <w:vAlign w:val="bottom"/>
            <w:gridSpan w:val="7"/>
          </w:tcPr>
          <w:p>
            <w:pPr>
              <w:jc w:val="center"/>
              <w:ind w:right="55"/>
              <w:spacing w:after="0"/>
              <w:rPr>
                <w:sz w:val="20"/>
                <w:szCs w:val="20"/>
                <w:color w:val="auto"/>
              </w:rPr>
            </w:pPr>
            <w:r>
              <w:rPr>
                <w:rFonts w:ascii="Arial" w:cs="Arial" w:eastAsia="Arial" w:hAnsi="Arial"/>
                <w:sz w:val="14"/>
                <w:szCs w:val="14"/>
                <w:color w:val="auto"/>
                <w:w w:val="92"/>
              </w:rPr>
              <w:t>Three Months Ended August 31, 2022</w:t>
            </w:r>
          </w:p>
        </w:tc>
        <w:tc>
          <w:tcPr>
            <w:tcW w:w="0" w:type="dxa"/>
            <w:vAlign w:val="bottom"/>
          </w:tcPr>
          <w:p>
            <w:pPr>
              <w:spacing w:after="0"/>
              <w:rPr>
                <w:sz w:val="1"/>
                <w:szCs w:val="1"/>
                <w:color w:val="auto"/>
              </w:rPr>
            </w:pPr>
          </w:p>
        </w:tc>
      </w:tr>
      <w:tr>
        <w:trPr>
          <w:trHeight w:val="26"/>
        </w:trPr>
        <w:tc>
          <w:tcPr>
            <w:tcW w:w="41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18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United States</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3"/>
              </w:rPr>
              <w:t>International</w:t>
            </w: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United States</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3"/>
              </w:rPr>
              <w:t>International</w:t>
            </w: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360"/>
              <w:spacing w:after="0"/>
              <w:rPr>
                <w:sz w:val="20"/>
                <w:szCs w:val="20"/>
                <w:color w:val="auto"/>
              </w:rPr>
            </w:pPr>
            <w:r>
              <w:rPr>
                <w:rFonts w:ascii="Arial" w:cs="Arial" w:eastAsia="Arial" w:hAnsi="Arial"/>
                <w:sz w:val="18"/>
                <w:szCs w:val="18"/>
                <w:color w:val="auto"/>
              </w:rPr>
              <w:t>Med Tech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3,618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25,860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22,817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 Device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58,720</w:t>
            </w:r>
          </w:p>
        </w:tc>
        <w:tc>
          <w:tcPr>
            <w:tcW w:w="0" w:type="dxa"/>
            <w:vAlign w:val="bottom"/>
          </w:tcPr>
          <w:p>
            <w:pPr>
              <w:spacing w:after="0"/>
              <w:rPr>
                <w:sz w:val="1"/>
                <w:szCs w:val="1"/>
                <w:color w:val="auto"/>
              </w:rPr>
            </w:pPr>
          </w:p>
        </w:tc>
      </w:tr>
      <w:tr>
        <w:trPr>
          <w:trHeight w:val="223"/>
        </w:trPr>
        <w:tc>
          <w:tcPr>
            <w:tcW w:w="4180" w:type="dxa"/>
            <w:vAlign w:val="bottom"/>
          </w:tcPr>
          <w:p>
            <w:pPr>
              <w:ind w:left="6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69,023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81,537</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75"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71"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71"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92"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3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71" w:lineRule="exact"/>
        <w:rPr>
          <w:sz w:val="20"/>
          <w:szCs w:val="20"/>
          <w:color w:val="auto"/>
        </w:rPr>
      </w:pPr>
    </w:p>
    <w:p>
      <w:pPr>
        <w:ind w:right="300" w:firstLine="405"/>
        <w:spacing w:after="0" w:line="311" w:lineRule="auto"/>
        <w:rPr>
          <w:sz w:val="20"/>
          <w:szCs w:val="20"/>
          <w:color w:val="auto"/>
        </w:rPr>
      </w:pPr>
      <w:r>
        <w:rPr>
          <w:rFonts w:ascii="Arial" w:cs="Arial" w:eastAsia="Arial" w:hAnsi="Arial"/>
          <w:sz w:val="16"/>
          <w:szCs w:val="16"/>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9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3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three months ended August 31, 2023, such product returns were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with Customers</w:t>
      </w:r>
    </w:p>
    <w:p>
      <w:pPr>
        <w:spacing w:after="0" w:line="17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Aug 31, 2023</w:t>
            </w:r>
          </w:p>
        </w:tc>
        <w:tc>
          <w:tcPr>
            <w:tcW w:w="220" w:type="dxa"/>
            <w:vAlign w:val="bottom"/>
          </w:tcPr>
          <w:p>
            <w:pPr>
              <w:spacing w:after="0"/>
              <w:rPr>
                <w:sz w:val="15"/>
                <w:szCs w:val="15"/>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color w:val="auto"/>
              </w:rPr>
              <w:t>May 31, 2023</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bl>
    <w:p>
      <w:pPr>
        <w:spacing w:after="0" w:line="24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During the three months ended August 31, 2023, the Company had immaterial additions to contract liabilities. This was offset by $0.1 million in revenue that was recognized during the three months ended August 31,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Customer Contract</w:t>
      </w:r>
    </w:p>
    <w:p>
      <w:pPr>
        <w:spacing w:after="0" w:line="17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3"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Inventories are stated at lower of cost and net realizable value (using the first-in, first-out method). Inventories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Aug 31, 2023</w:t>
            </w:r>
          </w:p>
        </w:tc>
        <w:tc>
          <w:tcPr>
            <w:tcW w:w="220" w:type="dxa"/>
            <w:vAlign w:val="bottom"/>
          </w:tcPr>
          <w:p>
            <w:pPr>
              <w:spacing w:after="0"/>
              <w:rPr>
                <w:sz w:val="15"/>
                <w:szCs w:val="15"/>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color w:val="auto"/>
              </w:rPr>
              <w:t>May 31, 2023</w:t>
            </w:r>
          </w:p>
        </w:tc>
      </w:tr>
      <w:tr>
        <w:trPr>
          <w:trHeight w:val="26"/>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28,679</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6,708</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19,938</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55,325</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August 31, 2023 and May 31, 2023 was $3.1 million and $3.1 million,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92" w:lineRule="exact"/>
        <w:rPr>
          <w:sz w:val="20"/>
          <w:szCs w:val="20"/>
          <w:color w:val="auto"/>
        </w:rPr>
      </w:pPr>
    </w:p>
    <w:p>
      <w:pPr>
        <w:ind w:right="120" w:firstLine="405"/>
        <w:spacing w:after="0" w:line="311" w:lineRule="auto"/>
        <w:rPr>
          <w:sz w:val="20"/>
          <w:szCs w:val="20"/>
          <w:color w:val="auto"/>
        </w:rPr>
      </w:pPr>
      <w:r>
        <w:rPr>
          <w:rFonts w:ascii="Arial" w:cs="Arial" w:eastAsia="Arial" w:hAnsi="Arial"/>
          <w:sz w:val="16"/>
          <w:szCs w:val="16"/>
          <w:color w:val="auto"/>
        </w:rPr>
        <w:t>The Company's annual testing for impairment of goodwill was completed as of April 30, 2023. To determine the fair value of the two reporting units as of April 30, 2023, the Company utilized the income approach for Med Tech and a combination of the income approach and market approach for Med Device. Based on the results of this evaluation, there were no adjustments to goodwill for either reporting unit as of April 30, 2023.</w:t>
      </w:r>
    </w:p>
    <w:p>
      <w:pPr>
        <w:spacing w:after="0" w:line="9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In the fourth quarter of fiscal year 2023, the Company concluded that the sale of the dialysis and BioSentry businesses to Merit Medical Systems, Inc. was a triggering event for the Med Device report unit. As the Company concluded that this was the sale of a business, goodwill was allocated to the sale based on the relative fair value of the dialysis and BioSentry businesses and is included in assets held for sale as of May 31, 2023. To determine the fair value of the remaining Med Device reporting unit as of May 31, 2023, the Company utilized the income approach, as it was determined to be a better representation of the remaining Med Device reporting unit's projected long-term performance. Based on the results of this evaluation, the Company recorded a goodwill impairment charge of $14.5 million for the year ended May 31, 2023 to write down the carrying value of the Med Device reporting unit to fair value.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Goodwill for each reporting unit is allocated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color w:val="auto"/>
                <w:w w:val="92"/>
              </w:rPr>
              <w:t>Three months ended Aug 31, 2023</w:t>
            </w: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1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1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635"/>
              <w:spacing w:after="0"/>
              <w:rPr>
                <w:sz w:val="20"/>
                <w:szCs w:val="20"/>
                <w:color w:val="auto"/>
              </w:rPr>
            </w:pPr>
            <w:r>
              <w:rPr>
                <w:rFonts w:ascii="Arial" w:cs="Arial" w:eastAsia="Arial" w:hAnsi="Arial"/>
                <w:sz w:val="14"/>
                <w:szCs w:val="14"/>
                <w:color w:val="auto"/>
              </w:rPr>
              <w:t>Med Tech</w:t>
            </w:r>
          </w:p>
        </w:tc>
        <w:tc>
          <w:tcPr>
            <w:tcW w:w="440" w:type="dxa"/>
            <w:vAlign w:val="bottom"/>
          </w:tcPr>
          <w:p>
            <w:pPr>
              <w:spacing w:after="0"/>
              <w:rPr>
                <w:sz w:val="15"/>
                <w:szCs w:val="15"/>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Med Device</w:t>
            </w:r>
          </w:p>
        </w:tc>
        <w:tc>
          <w:tcPr>
            <w:tcW w:w="480" w:type="dxa"/>
            <w:vAlign w:val="bottom"/>
          </w:tcPr>
          <w:p>
            <w:pPr>
              <w:spacing w:after="0"/>
              <w:rPr>
                <w:sz w:val="15"/>
                <w:szCs w:val="15"/>
                <w:color w:val="auto"/>
              </w:rPr>
            </w:pPr>
          </w:p>
        </w:tc>
        <w:tc>
          <w:tcPr>
            <w:tcW w:w="1500" w:type="dxa"/>
            <w:vAlign w:val="bottom"/>
          </w:tcPr>
          <w:p>
            <w:pPr>
              <w:jc w:val="right"/>
              <w:ind w:right="75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1, 2023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159,238</w:t>
            </w:r>
          </w:p>
        </w:tc>
        <w:tc>
          <w:tcPr>
            <w:tcW w:w="4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159,238</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(221)</w:t>
            </w:r>
          </w:p>
        </w:tc>
        <w:tc>
          <w:tcPr>
            <w:tcW w:w="44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August 31, 2023</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159,017</w:t>
            </w:r>
          </w:p>
        </w:tc>
        <w:tc>
          <w:tcPr>
            <w:tcW w:w="4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adjustments to goodwill for the three months ended August 31, 2023 other than foreign currency translation adjustments.</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Even though the Company determined that there was no goodwill impairment at August 31, 2023, the future occurrence of a potential indicator of impairment, such as a significant adverse change in legal, regulatory, business or economic conditions or a more-likely-than-not expectation that one of the reporting units or a significant portion of either of the reporting units will be sold or disposed of, would require an interim assessment for the reporting units prior to the next required annual assessment as of April 30,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 Lived Intangible Assets</w:t>
      </w:r>
    </w:p>
    <w:p>
      <w:pPr>
        <w:spacing w:after="0" w:line="171"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Intangible assets other than goodwill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Aug 31, 2023</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6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Arial" w:cs="Arial" w:eastAsia="Arial" w:hAnsi="Arial"/>
                <w:sz w:val="14"/>
                <w:szCs w:val="14"/>
                <w:color w:val="auto"/>
                <w:w w:val="95"/>
              </w:rPr>
              <w:t>Net carrying value</w:t>
            </w:r>
          </w:p>
        </w:tc>
        <w:tc>
          <w:tcPr>
            <w:tcW w:w="0" w:type="dxa"/>
            <w:vAlign w:val="bottom"/>
          </w:tcPr>
          <w:p>
            <w:pPr>
              <w:spacing w:after="0"/>
              <w:rPr>
                <w:sz w:val="1"/>
                <w:szCs w:val="1"/>
                <w:color w:val="auto"/>
              </w:rPr>
            </w:pPr>
          </w:p>
        </w:tc>
      </w:tr>
      <w:tr>
        <w:trPr>
          <w:trHeight w:val="188"/>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15,814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May 31, 2023</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Arial" w:cs="Arial" w:eastAsia="Arial" w:hAnsi="Arial"/>
                <w:sz w:val="14"/>
                <w:szCs w:val="14"/>
                <w:color w:val="auto"/>
                <w:w w:val="95"/>
              </w:rPr>
              <w:t>Net carrying value</w:t>
            </w:r>
          </w:p>
        </w:tc>
        <w:tc>
          <w:tcPr>
            <w:tcW w:w="0" w:type="dxa"/>
            <w:vAlign w:val="bottom"/>
          </w:tcPr>
          <w:p>
            <w:pPr>
              <w:spacing w:after="0"/>
              <w:rPr>
                <w:sz w:val="1"/>
                <w:szCs w:val="1"/>
                <w:color w:val="auto"/>
              </w:rPr>
            </w:pPr>
          </w:p>
        </w:tc>
      </w:tr>
      <w:tr>
        <w:trPr>
          <w:trHeight w:val="182"/>
        </w:trPr>
        <w:tc>
          <w:tcPr>
            <w:tcW w:w="6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amortization</w:t>
            </w: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93,437</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16,754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111,144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for the three months ended August 31, 2023 and 2022 was $3.6 million and $4.8 million,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Expected future amortization expense related to the intangible assets for each of the following fiscal years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14,303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13,980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 and thereafter</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ACCRUED LIABILITIES</w:t>
            </w: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tcPr>
          <w:p>
            <w:pPr>
              <w:ind w:left="420"/>
              <w:spacing w:after="0"/>
              <w:rPr>
                <w:sz w:val="20"/>
                <w:szCs w:val="20"/>
                <w:color w:val="auto"/>
              </w:rPr>
            </w:pPr>
            <w:r>
              <w:rPr>
                <w:rFonts w:ascii="Arial" w:cs="Arial" w:eastAsia="Arial" w:hAnsi="Arial"/>
                <w:sz w:val="18"/>
                <w:szCs w:val="18"/>
                <w:color w:val="auto"/>
              </w:rPr>
              <w:t>Accrued liabilities consisted of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Aug 31, 2023</w:t>
            </w:r>
          </w:p>
        </w:tc>
        <w:tc>
          <w:tcPr>
            <w:tcW w:w="220" w:type="dxa"/>
            <w:vAlign w:val="bottom"/>
          </w:tcPr>
          <w:p>
            <w:pPr>
              <w:spacing w:after="0"/>
              <w:rPr>
                <w:sz w:val="17"/>
                <w:szCs w:val="17"/>
                <w:color w:val="auto"/>
              </w:rPr>
            </w:pPr>
          </w:p>
        </w:tc>
        <w:tc>
          <w:tcPr>
            <w:tcW w:w="1220" w:type="dxa"/>
            <w:vAlign w:val="bottom"/>
          </w:tcPr>
          <w:p>
            <w:pPr>
              <w:jc w:val="right"/>
              <w:ind w:right="231"/>
              <w:spacing w:after="0"/>
              <w:rPr>
                <w:sz w:val="20"/>
                <w:szCs w:val="20"/>
                <w:color w:val="auto"/>
              </w:rPr>
            </w:pPr>
            <w:r>
              <w:rPr>
                <w:rFonts w:ascii="Arial" w:cs="Arial" w:eastAsia="Arial" w:hAnsi="Arial"/>
                <w:sz w:val="14"/>
                <w:szCs w:val="14"/>
                <w:color w:val="auto"/>
              </w:rPr>
              <w:t>May 31, 2023</w:t>
            </w:r>
          </w:p>
        </w:tc>
        <w:tc>
          <w:tcPr>
            <w:tcW w:w="0" w:type="dxa"/>
            <w:vAlign w:val="bottom"/>
          </w:tcPr>
          <w:p>
            <w:pPr>
              <w:spacing w:after="0"/>
              <w:rPr>
                <w:sz w:val="1"/>
                <w:szCs w:val="1"/>
                <w:color w:val="auto"/>
              </w:rPr>
            </w:pP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related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Outside services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franchise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Accrued payroll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Accrued Freight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Warranties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Accrued severance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75" w:lineRule="exact"/>
        <w:rPr>
          <w:sz w:val="20"/>
          <w:szCs w:val="20"/>
          <w:color w:val="auto"/>
        </w:rPr>
      </w:pPr>
    </w:p>
    <w:p>
      <w:pPr>
        <w:ind w:right="20" w:firstLine="389"/>
        <w:spacing w:after="0" w:line="257" w:lineRule="auto"/>
        <w:rPr>
          <w:sz w:val="20"/>
          <w:szCs w:val="20"/>
          <w:color w:val="auto"/>
        </w:rPr>
      </w:pPr>
      <w:r>
        <w:rPr>
          <w:rFonts w:ascii="Arial" w:cs="Arial" w:eastAsia="Arial" w:hAnsi="Arial"/>
          <w:sz w:val="18"/>
          <w:szCs w:val="18"/>
          <w:color w:val="auto"/>
        </w:rPr>
        <w:t>On June 8, 2023 and in connection with the completion of the dialysis and BioSentry divestiture, the Company repaid all amounts outstanding under its then existing Credit Agreement, dated as of August 30, 2022, with the lender parties thereto, JPMorgan Chase Bank, N.A., as administrative agent, Bank of America, N.A. and KeyBank National Association, as co-syndication agents, and JPMorgan Chase Bank, N.A. as sole bookrunner and sole lead arranger (the "Credit Agreement"), and as a result, the Credit Agreement was extinguished. Pursuant to the terms of the Credit Agreement, AngioDynamics had the option to repay this facility prior to the maturity date without penalty.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32.0% as of the first quarter of fiscal year 2024, as compared to 5.5% for the same period in fiscal year 2023. In fiscal year 2024,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0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3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August 31, 2023.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75"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3, 2022 the Company's shareholders approved an amendment to the 2020 Plan to increase the reserve of shares of common stock available for future grants by 1,950,000 shares. As of August 31, 2023, there was a maximum of 1.1 million shares of common stock available for future grant under the 2020 Plan.</w:t>
      </w:r>
    </w:p>
    <w:p>
      <w:pPr>
        <w:spacing w:after="0" w:line="107"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30"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The Company also has an employee stock purchase plan. On November 3, 2022 the Company's shareholders approved an amendment to the employee stock purchase plan to increase the reserve of shares of common stock available for future grants by 1,000,000 shares. As of August 31, 2023, there was a maximum of 3.0 million shares of common stock available for future grant under the employee stock purchase plan.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three months ended August 31, 2023 and 2022, share-based compensation expense was $4.1 million and $3.0 million, respectively.</w:t>
      </w:r>
    </w:p>
    <w:p>
      <w:pPr>
        <w:spacing w:after="0" w:line="183" w:lineRule="exact"/>
        <w:rPr>
          <w:sz w:val="20"/>
          <w:szCs w:val="20"/>
          <w:color w:val="auto"/>
        </w:rPr>
      </w:pPr>
    </w:p>
    <w:p>
      <w:pPr>
        <w:ind w:right="400" w:firstLine="405"/>
        <w:spacing w:after="0" w:line="255" w:lineRule="auto"/>
        <w:rPr>
          <w:sz w:val="20"/>
          <w:szCs w:val="20"/>
          <w:color w:val="auto"/>
        </w:rPr>
      </w:pPr>
      <w:r>
        <w:rPr>
          <w:rFonts w:ascii="Arial" w:cs="Arial" w:eastAsia="Arial" w:hAnsi="Arial"/>
          <w:sz w:val="18"/>
          <w:szCs w:val="18"/>
          <w:color w:val="auto"/>
        </w:rPr>
        <w:t>During the three months ended August 31, 2023 and 2022, the Company granted stock options and restricted stock units under the 2020 Plan to certain employees and members of the Board of Directors. Stock option awards are valued using the Black-Scholes option-pricing model and then amortized on a straight-line basis over the requisite service period of the award. Generally, restricted stock unit awards are valued based on the closing trading value of the Company’s common stock on the date of grant and then amortized on a straight-line basis over the requisite service period of the award. In July 2023, the Board of Directors approved a change in terms of restricted stock units granted to non-employee directors to provide for immediate vesting upon grant of the award.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During the three months ended August 31, 2023 and 2022,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w:t>
      </w:r>
    </w:p>
    <w:p>
      <w:pPr>
        <w:spacing w:after="0" w:line="117"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As of August 31, 2023, there was $25.3 million of unrecognized compensation expense related to share-based payment arrangements. These costs are expected to be recognized over a weighted-average period of approximately three years. The Company has sufficient shares to satisfy expected share-based payment arrangements.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7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basic to diluted weighted-average shares outstanding: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60" w:type="dxa"/>
            <w:vAlign w:val="bottom"/>
          </w:tcPr>
          <w:p>
            <w:pPr>
              <w:spacing w:after="0"/>
              <w:rPr>
                <w:sz w:val="15"/>
                <w:szCs w:val="15"/>
                <w:color w:val="auto"/>
              </w:rPr>
            </w:pPr>
          </w:p>
        </w:tc>
        <w:tc>
          <w:tcPr>
            <w:tcW w:w="2980" w:type="dxa"/>
            <w:vAlign w:val="bottom"/>
            <w:gridSpan w:val="3"/>
          </w:tcPr>
          <w:p>
            <w:pPr>
              <w:jc w:val="right"/>
              <w:ind w:right="79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
        </w:trPr>
        <w:tc>
          <w:tcPr>
            <w:tcW w:w="82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1540" w:type="dxa"/>
            <w:vAlign w:val="bottom"/>
            <w:gridSpan w:val="2"/>
          </w:tcPr>
          <w:p>
            <w:pPr>
              <w:ind w:left="340"/>
              <w:spacing w:after="0"/>
              <w:rPr>
                <w:sz w:val="20"/>
                <w:szCs w:val="20"/>
                <w:color w:val="auto"/>
              </w:rPr>
            </w:pPr>
            <w:r>
              <w:rPr>
                <w:rFonts w:ascii="Arial" w:cs="Arial" w:eastAsia="Arial" w:hAnsi="Arial"/>
                <w:sz w:val="14"/>
                <w:szCs w:val="14"/>
                <w:color w:val="auto"/>
              </w:rPr>
              <w:t>Aug 31, 2023</w:t>
            </w:r>
          </w:p>
        </w:tc>
        <w:tc>
          <w:tcPr>
            <w:tcW w:w="1440" w:type="dxa"/>
            <w:vAlign w:val="bottom"/>
          </w:tcPr>
          <w:p>
            <w:pPr>
              <w:jc w:val="right"/>
              <w:ind w:right="234"/>
              <w:spacing w:after="0"/>
              <w:rPr>
                <w:sz w:val="20"/>
                <w:szCs w:val="20"/>
                <w:color w:val="auto"/>
              </w:rPr>
            </w:pPr>
            <w:r>
              <w:rPr>
                <w:rFonts w:ascii="Arial" w:cs="Arial" w:eastAsia="Arial" w:hAnsi="Arial"/>
                <w:sz w:val="14"/>
                <w:szCs w:val="14"/>
                <w:color w:val="auto"/>
              </w:rPr>
              <w:t>Aug 31, 2022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excluded as their inclusion would be anti-dilutive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20" w:firstLine="389"/>
        <w:spacing w:after="0" w:line="255" w:lineRule="auto"/>
        <w:rPr>
          <w:sz w:val="20"/>
          <w:szCs w:val="20"/>
          <w:color w:val="auto"/>
        </w:rPr>
      </w:pPr>
      <w:r>
        <w:rPr>
          <w:rFonts w:ascii="Arial" w:cs="Arial" w:eastAsia="Arial" w:hAnsi="Arial"/>
          <w:sz w:val="18"/>
          <w:szCs w:val="18"/>
          <w:color w:val="auto"/>
        </w:rPr>
        <w:t>The Company regularly reviews its segments and the approach used by the chief operating decision maker, the President and Chief Executive Officer ("CEO"), and management to evaluate performance and allocate resources. The Company manages its operations through two segments, Med Tech and Med Device. The CEO evaluates these two segments based on net sales and gross margin to, among other items, allocate resources and assess performance. Executives reporting to the CEO include those responsible for commercial operations, manufacturing operations, regulatory and quality and certain corporate functions. The CEO evaluates all other elements of profitability, investment and cash flow metrics on a consolidated global basis due to shared infrastructure and resources.</w:t>
      </w:r>
    </w:p>
    <w:p>
      <w:pPr>
        <w:spacing w:after="0" w:line="125" w:lineRule="exact"/>
        <w:rPr>
          <w:sz w:val="20"/>
          <w:szCs w:val="20"/>
          <w:color w:val="auto"/>
        </w:rPr>
      </w:pPr>
    </w:p>
    <w:p>
      <w:pPr>
        <w:ind w:right="80" w:firstLine="405"/>
        <w:spacing w:after="0" w:line="248" w:lineRule="auto"/>
        <w:rPr>
          <w:sz w:val="20"/>
          <w:szCs w:val="20"/>
          <w:color w:val="auto"/>
        </w:rPr>
      </w:pPr>
      <w:r>
        <w:rPr>
          <w:rFonts w:ascii="Arial" w:cs="Arial" w:eastAsia="Arial" w:hAnsi="Arial"/>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 Total assets were $493.9 million as of August 31, 2023.</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net sales and gross margin by Med Tech and Med Device: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8020" w:type="dxa"/>
            <w:vAlign w:val="bottom"/>
            <w:gridSpan w:val="2"/>
          </w:tcPr>
          <w:p>
            <w:pPr>
              <w:spacing w:after="0"/>
              <w:rPr>
                <w:sz w:val="20"/>
                <w:szCs w:val="20"/>
                <w:color w:val="auto"/>
              </w:rPr>
            </w:pPr>
            <w:r>
              <w:rPr>
                <w:rFonts w:ascii="Arial" w:cs="Arial" w:eastAsia="Arial" w:hAnsi="Arial"/>
                <w:sz w:val="14"/>
                <w:szCs w:val="14"/>
                <w:color w:val="0000FF"/>
              </w:rPr>
              <w:t>Table of Content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8"/>
        </w:trPr>
        <w:tc>
          <w:tcPr>
            <w:tcW w:w="980" w:type="dxa"/>
            <w:vAlign w:val="bottom"/>
            <w:tcBorders>
              <w:top w:val="single" w:sz="8" w:color="0000FF"/>
            </w:tcBorders>
          </w:tcPr>
          <w:p>
            <w:pPr>
              <w:spacing w:after="0"/>
              <w:rPr>
                <w:sz w:val="24"/>
                <w:szCs w:val="24"/>
                <w:color w:val="auto"/>
              </w:rPr>
            </w:pPr>
          </w:p>
        </w:tc>
        <w:tc>
          <w:tcPr>
            <w:tcW w:w="7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6"/>
          </w:tcPr>
          <w:p>
            <w:pPr>
              <w:jc w:val="right"/>
              <w:ind w:right="91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Aug 31, 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93"/>
              <w:spacing w:after="0"/>
              <w:rPr>
                <w:sz w:val="20"/>
                <w:szCs w:val="20"/>
                <w:color w:val="auto"/>
              </w:rPr>
            </w:pPr>
            <w:r>
              <w:rPr>
                <w:rFonts w:ascii="Arial" w:cs="Arial" w:eastAsia="Arial" w:hAnsi="Arial"/>
                <w:sz w:val="14"/>
                <w:szCs w:val="14"/>
                <w:color w:val="auto"/>
              </w:rPr>
              <w:t>Aug 31, 2022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80" w:type="dxa"/>
            <w:vAlign w:val="bottom"/>
            <w:shd w:val="clear" w:color="auto" w:fill="CCEEFF"/>
          </w:tcPr>
          <w:p>
            <w:pPr>
              <w:spacing w:after="0"/>
              <w:rPr>
                <w:sz w:val="20"/>
                <w:szCs w:val="20"/>
                <w:color w:val="auto"/>
              </w:rPr>
            </w:pPr>
          </w:p>
        </w:tc>
        <w:tc>
          <w:tcPr>
            <w:tcW w:w="7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Med Tech 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25,860</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22,817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16,727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14,429</w:t>
            </w:r>
          </w:p>
        </w:tc>
        <w:tc>
          <w:tcPr>
            <w:tcW w:w="0" w:type="dxa"/>
            <w:vAlign w:val="bottom"/>
          </w:tcPr>
          <w:p>
            <w:pPr>
              <w:spacing w:after="0"/>
              <w:rPr>
                <w:sz w:val="1"/>
                <w:szCs w:val="1"/>
                <w:color w:val="auto"/>
              </w:rPr>
            </w:pPr>
          </w:p>
        </w:tc>
      </w:tr>
      <w:tr>
        <w:trPr>
          <w:trHeight w:val="229"/>
        </w:trPr>
        <w:tc>
          <w:tcPr>
            <w:tcW w:w="8020" w:type="dxa"/>
            <w:vAlign w:val="bottom"/>
            <w:gridSpan w:val="2"/>
          </w:tcPr>
          <w:p>
            <w:pPr>
              <w:ind w:left="36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Med Device 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52,819</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58,720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23,333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27,876</w:t>
            </w:r>
          </w:p>
        </w:tc>
        <w:tc>
          <w:tcPr>
            <w:tcW w:w="0" w:type="dxa"/>
            <w:vAlign w:val="bottom"/>
          </w:tcPr>
          <w:p>
            <w:pPr>
              <w:spacing w:after="0"/>
              <w:rPr>
                <w:sz w:val="1"/>
                <w:szCs w:val="1"/>
                <w:color w:val="auto"/>
              </w:rPr>
            </w:pPr>
          </w:p>
        </w:tc>
      </w:tr>
      <w:tr>
        <w:trPr>
          <w:trHeight w:val="229"/>
        </w:trPr>
        <w:tc>
          <w:tcPr>
            <w:tcW w:w="8020" w:type="dxa"/>
            <w:vAlign w:val="bottom"/>
            <w:gridSpan w:val="2"/>
          </w:tcPr>
          <w:p>
            <w:pPr>
              <w:ind w:left="36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78,679</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81,537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40,060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42,305</w:t>
            </w:r>
          </w:p>
        </w:tc>
        <w:tc>
          <w:tcPr>
            <w:tcW w:w="0" w:type="dxa"/>
            <w:vAlign w:val="bottom"/>
          </w:tcPr>
          <w:p>
            <w:pPr>
              <w:spacing w:after="0"/>
              <w:rPr>
                <w:sz w:val="1"/>
                <w:szCs w:val="1"/>
                <w:color w:val="auto"/>
              </w:rPr>
            </w:pPr>
          </w:p>
        </w:tc>
      </w:tr>
      <w:tr>
        <w:trPr>
          <w:trHeight w:val="230"/>
        </w:trPr>
        <w:tc>
          <w:tcPr>
            <w:tcW w:w="8020" w:type="dxa"/>
            <w:vAlign w:val="bottom"/>
            <w:gridSpan w:val="2"/>
          </w:tcPr>
          <w:p>
            <w:pPr>
              <w:ind w:left="36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r>
        <w:trPr>
          <w:trHeight w:val="472"/>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ind w:left="460"/>
              <w:spacing w:after="0"/>
              <w:rPr>
                <w:sz w:val="20"/>
                <w:szCs w:val="20"/>
                <w:color w:val="auto"/>
              </w:rPr>
            </w:pPr>
            <w:r>
              <w:rPr>
                <w:rFonts w:ascii="Arial" w:cs="Arial" w:eastAsia="Arial" w:hAnsi="Arial"/>
                <w:sz w:val="18"/>
                <w:szCs w:val="18"/>
                <w:color w:val="auto"/>
                <w:w w:val="98"/>
              </w:rPr>
              <w:t>The table below summarizes net sales by geographic area based on external customer location:</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gridSpan w:val="6"/>
          </w:tcPr>
          <w:p>
            <w:pPr>
              <w:ind w:left="7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Aug 31, 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color w:val="auto"/>
              </w:rPr>
              <w:t>Aug 31, 2022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gridSpan w:val="2"/>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United States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40"/>
              <w:spacing w:after="0"/>
              <w:rPr>
                <w:sz w:val="20"/>
                <w:szCs w:val="20"/>
                <w:color w:val="auto"/>
              </w:rPr>
            </w:pPr>
            <w:r>
              <w:rPr>
                <w:rFonts w:ascii="Arial" w:cs="Arial" w:eastAsia="Arial" w:hAnsi="Arial"/>
                <w:sz w:val="18"/>
                <w:szCs w:val="18"/>
                <w:color w:val="auto"/>
                <w:w w:val="94"/>
              </w:rPr>
              <w:t>64,399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69,023</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w w:val="94"/>
              </w:rPr>
              <w:t>14,280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12,514</w:t>
            </w:r>
          </w:p>
        </w:tc>
        <w:tc>
          <w:tcPr>
            <w:tcW w:w="0" w:type="dxa"/>
            <w:vAlign w:val="bottom"/>
          </w:tcPr>
          <w:p>
            <w:pPr>
              <w:spacing w:after="0"/>
              <w:rPr>
                <w:sz w:val="1"/>
                <w:szCs w:val="1"/>
                <w:color w:val="auto"/>
              </w:rPr>
            </w:pPr>
          </w:p>
        </w:tc>
      </w:tr>
      <w:tr>
        <w:trPr>
          <w:trHeight w:val="223"/>
        </w:trPr>
        <w:tc>
          <w:tcPr>
            <w:tcW w:w="8020" w:type="dxa"/>
            <w:vAlign w:val="bottom"/>
            <w:gridSpan w:val="2"/>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w w:val="94"/>
              </w:rPr>
              <w:t>78,679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81,537</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80" w:firstLine="445"/>
        <w:spacing w:after="0" w:line="243" w:lineRule="auto"/>
        <w:rPr>
          <w:sz w:val="20"/>
          <w:szCs w:val="20"/>
          <w:color w:val="auto"/>
        </w:rPr>
      </w:pPr>
      <w:r>
        <w:rPr>
          <w:rFonts w:ascii="Arial" w:cs="Arial" w:eastAsia="Arial" w:hAnsi="Arial"/>
          <w:sz w:val="18"/>
          <w:szCs w:val="18"/>
          <w:color w:val="auto"/>
        </w:rPr>
        <w:t>For the three months ended August 31, 2023 and 2022, international sales as a percentage of total net sales were 18.1% and 15.3%, respectively. Sales to any one country outside the U.S., as determined by shipment destination, did not comprise a material portion of net sales in any of the last three fiscal years. In addition, no one customer represents more than 10% of consolidated net sales and 83% of long-lived assets are located within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w:t>
      </w:r>
    </w:p>
    <w:p>
      <w:pPr>
        <w:spacing w:after="0" w:line="175"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16" w:lineRule="exact"/>
        <w:rPr>
          <w:rFonts w:ascii="Arial" w:cs="Arial" w:eastAsia="Arial" w:hAnsi="Arial"/>
          <w:sz w:val="18"/>
          <w:szCs w:val="18"/>
          <w:color w:val="auto"/>
        </w:rPr>
      </w:pPr>
    </w:p>
    <w:p>
      <w:pPr>
        <w:ind w:left="660" w:right="7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Inputs to the valuation methodology are significant unobservable inputs based on management’s best estimate of inputs market participants would use in pricing the asset or liability at the measurement date, including assumptions about risk.</w:t>
      </w:r>
    </w:p>
    <w:p>
      <w:pPr>
        <w:spacing w:after="0" w:line="92" w:lineRule="exact"/>
        <w:rPr>
          <w:sz w:val="20"/>
          <w:szCs w:val="20"/>
          <w:color w:val="auto"/>
        </w:rPr>
      </w:pPr>
    </w:p>
    <w:p>
      <w:pPr>
        <w:jc w:val="both"/>
        <w:ind w:right="340" w:firstLine="405"/>
        <w:spacing w:after="0" w:line="311" w:lineRule="auto"/>
        <w:rPr>
          <w:sz w:val="20"/>
          <w:szCs w:val="20"/>
          <w:color w:val="auto"/>
        </w:rPr>
      </w:pPr>
      <w:r>
        <w:rPr>
          <w:rFonts w:ascii="Arial" w:cs="Arial" w:eastAsia="Arial" w:hAnsi="Arial"/>
          <w:sz w:val="16"/>
          <w:szCs w:val="16"/>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64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91"/>
              </w:rPr>
              <w:t>Fair Value Measurements using inputs considered as:</w:t>
            </w:r>
          </w:p>
        </w:tc>
        <w:tc>
          <w:tcPr>
            <w:tcW w:w="1440" w:type="dxa"/>
            <w:vAlign w:val="bottom"/>
          </w:tcPr>
          <w:p>
            <w:pPr>
              <w:jc w:val="center"/>
              <w:spacing w:after="0"/>
              <w:rPr>
                <w:sz w:val="20"/>
                <w:szCs w:val="20"/>
                <w:color w:val="auto"/>
              </w:rPr>
            </w:pPr>
            <w:r>
              <w:rPr>
                <w:rFonts w:ascii="Arial" w:cs="Arial" w:eastAsia="Arial" w:hAnsi="Arial"/>
                <w:sz w:val="14"/>
                <w:szCs w:val="14"/>
                <w:color w:val="auto"/>
                <w:w w:val="94"/>
              </w:rPr>
              <w:t>Fair Value at Aug 31,</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4640" w:type="dxa"/>
            <w:vAlign w:val="bottom"/>
            <w:gridSpan w:val="4"/>
            <w:vMerge w:val="continue"/>
          </w:tcPr>
          <w:p>
            <w:pPr>
              <w:spacing w:after="0"/>
              <w:rPr>
                <w:sz w:val="16"/>
                <w:szCs w:val="16"/>
                <w:color w:val="auto"/>
              </w:rPr>
            </w:pPr>
          </w:p>
        </w:tc>
        <w:tc>
          <w:tcPr>
            <w:tcW w:w="1440" w:type="dxa"/>
            <w:vAlign w:val="bottom"/>
          </w:tcPr>
          <w:p>
            <w:pPr>
              <w:jc w:val="right"/>
              <w:ind w:right="50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2"/>
        </w:trPr>
        <w:tc>
          <w:tcPr>
            <w:tcW w:w="5100" w:type="dxa"/>
            <w:vAlign w:val="bottom"/>
          </w:tcPr>
          <w:p>
            <w:pPr>
              <w:spacing w:after="0"/>
              <w:rPr>
                <w:sz w:val="20"/>
                <w:szCs w:val="20"/>
                <w:color w:val="auto"/>
              </w:rPr>
            </w:pPr>
            <w:r>
              <w:rPr>
                <w:rFonts w:ascii="Arial" w:cs="Arial" w:eastAsia="Arial" w:hAnsi="Arial"/>
                <w:sz w:val="14"/>
                <w:szCs w:val="14"/>
                <w:color w:val="auto"/>
              </w:rPr>
              <w:t>(in thousands)</w:t>
            </w:r>
          </w:p>
        </w:tc>
        <w:tc>
          <w:tcPr>
            <w:tcW w:w="1500" w:type="dxa"/>
            <w:vAlign w:val="bottom"/>
            <w:tcBorders>
              <w:top w:val="single" w:sz="8" w:color="auto"/>
            </w:tcBorders>
          </w:tcPr>
          <w:p>
            <w:pPr>
              <w:ind w:left="500"/>
              <w:spacing w:after="0"/>
              <w:rPr>
                <w:sz w:val="20"/>
                <w:szCs w:val="20"/>
                <w:color w:val="auto"/>
              </w:rPr>
            </w:pPr>
            <w:r>
              <w:rPr>
                <w:rFonts w:ascii="Arial" w:cs="Arial" w:eastAsia="Arial" w:hAnsi="Arial"/>
                <w:sz w:val="14"/>
                <w:szCs w:val="14"/>
                <w:color w:val="auto"/>
              </w:rPr>
              <w:t>Level 1</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Level 2</w:t>
            </w:r>
          </w:p>
        </w:tc>
        <w:tc>
          <w:tcPr>
            <w:tcW w:w="1500" w:type="dxa"/>
            <w:vAlign w:val="bottom"/>
            <w:tcBorders>
              <w:top w:val="single" w:sz="8" w:color="auto"/>
            </w:tcBorders>
          </w:tcPr>
          <w:p>
            <w:pPr>
              <w:ind w:left="56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Financial Liabilities</w:t>
            </w:r>
          </w:p>
        </w:tc>
        <w:tc>
          <w:tcPr>
            <w:tcW w:w="36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9,167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40" w:type="dxa"/>
            <w:vAlign w:val="bottom"/>
            <w:gridSpan w:val="9"/>
            <w:vMerge w:val="restart"/>
          </w:tcPr>
          <w:p>
            <w:pPr>
              <w:ind w:left="440"/>
              <w:spacing w:after="0"/>
              <w:rPr>
                <w:sz w:val="20"/>
                <w:szCs w:val="20"/>
                <w:color w:val="auto"/>
              </w:rPr>
            </w:pPr>
            <w:r>
              <w:rPr>
                <w:rFonts w:ascii="Arial" w:cs="Arial" w:eastAsia="Arial" w:hAnsi="Arial"/>
                <w:sz w:val="14"/>
                <w:szCs w:val="14"/>
                <w:color w:val="auto"/>
              </w:rPr>
              <w:t>Fair Value Measurements using inputs considered as:</w:t>
            </w:r>
          </w:p>
        </w:tc>
        <w:tc>
          <w:tcPr>
            <w:tcW w:w="148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Fair Value at May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40" w:type="dxa"/>
            <w:vAlign w:val="bottom"/>
            <w:gridSpan w:val="9"/>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95"/>
              <w:spacing w:after="0"/>
              <w:rPr>
                <w:sz w:val="20"/>
                <w:szCs w:val="20"/>
                <w:color w:val="auto"/>
              </w:rPr>
            </w:pPr>
            <w:r>
              <w:rPr>
                <w:rFonts w:ascii="Arial" w:cs="Arial" w:eastAsia="Arial" w:hAnsi="Arial"/>
                <w:sz w:val="14"/>
                <w:szCs w:val="14"/>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rPr>
              <w:t>Level 1</w:t>
            </w:r>
          </w:p>
        </w:tc>
        <w:tc>
          <w:tcPr>
            <w:tcW w:w="3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rPr>
              <w:t>Level 2</w:t>
            </w: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424"/>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5"/>
              </w:rPr>
              <w:t>Financial Liabilities</w:t>
            </w:r>
          </w:p>
        </w:tc>
        <w:tc>
          <w:tcPr>
            <w:tcW w:w="36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
              <w:spacing w:after="0"/>
              <w:rPr>
                <w:sz w:val="20"/>
                <w:szCs w:val="20"/>
                <w:color w:val="auto"/>
              </w:rPr>
            </w:pPr>
            <w:r>
              <w:rPr>
                <w:rFonts w:ascii="Arial" w:cs="Arial" w:eastAsia="Arial" w:hAnsi="Arial"/>
                <w:sz w:val="18"/>
                <w:szCs w:val="18"/>
                <w:color w:val="auto"/>
              </w:rPr>
              <w:t>19,296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19,296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19,296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8200" w:type="dxa"/>
            <w:vAlign w:val="bottom"/>
            <w:gridSpan w:val="8"/>
          </w:tcPr>
          <w:p>
            <w:pPr>
              <w:ind w:left="400"/>
              <w:spacing w:after="0"/>
              <w:rPr>
                <w:sz w:val="20"/>
                <w:szCs w:val="20"/>
                <w:color w:val="auto"/>
              </w:rPr>
            </w:pPr>
            <w:r>
              <w:rPr>
                <w:rFonts w:ascii="Arial" w:cs="Arial" w:eastAsia="Arial" w:hAnsi="Arial"/>
                <w:sz w:val="18"/>
                <w:szCs w:val="18"/>
                <w:color w:val="auto"/>
                <w:w w:val="92"/>
              </w:rPr>
              <w:t>There were no transfers between Level 1, 2 and 3 for the three months ended August 31, 2023 and 2022.</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640" w:type="dxa"/>
            <w:vAlign w:val="bottom"/>
            <w:gridSpan w:val="5"/>
          </w:tcPr>
          <w:p>
            <w:pPr>
              <w:ind w:left="400"/>
              <w:spacing w:after="0"/>
              <w:rPr>
                <w:sz w:val="20"/>
                <w:szCs w:val="20"/>
                <w:color w:val="auto"/>
              </w:rPr>
            </w:pPr>
            <w:r>
              <w:rPr>
                <w:rFonts w:ascii="Arial" w:cs="Arial" w:eastAsia="Arial" w:hAnsi="Arial"/>
                <w:sz w:val="18"/>
                <w:szCs w:val="18"/>
                <w:color w:val="auto"/>
                <w:w w:val="90"/>
              </w:rPr>
              <w:t>The table below presents the changes in fair value components of Level 3 instruments: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gridSpan w:val="5"/>
          </w:tcPr>
          <w:p>
            <w:pPr>
              <w:jc w:val="center"/>
              <w:spacing w:after="0"/>
              <w:rPr>
                <w:sz w:val="20"/>
                <w:szCs w:val="20"/>
                <w:color w:val="auto"/>
              </w:rPr>
            </w:pPr>
            <w:r>
              <w:rPr>
                <w:rFonts w:ascii="Arial" w:cs="Arial" w:eastAsia="Arial" w:hAnsi="Arial"/>
                <w:sz w:val="14"/>
                <w:szCs w:val="14"/>
                <w:color w:val="auto"/>
                <w:w w:val="94"/>
              </w:rPr>
              <w:t>Three Months Ended Aug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535"/>
              <w:spacing w:after="0"/>
              <w:rPr>
                <w:sz w:val="20"/>
                <w:szCs w:val="20"/>
                <w:color w:val="auto"/>
              </w:rPr>
            </w:pPr>
            <w:r>
              <w:rPr>
                <w:rFonts w:ascii="Arial" w:cs="Arial" w:eastAsia="Arial" w:hAnsi="Arial"/>
                <w:sz w:val="14"/>
                <w:szCs w:val="14"/>
                <w:color w:val="auto"/>
                <w:w w:val="89"/>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gridSpan w:val="5"/>
          </w:tcPr>
          <w:p>
            <w:pPr>
              <w:jc w:val="center"/>
              <w:spacing w:after="0" w:line="129" w:lineRule="exact"/>
              <w:rPr>
                <w:sz w:val="20"/>
                <w:szCs w:val="20"/>
                <w:color w:val="auto"/>
              </w:rPr>
            </w:pPr>
            <w:r>
              <w:rPr>
                <w:rFonts w:ascii="Arial" w:cs="Arial" w:eastAsia="Arial" w:hAnsi="Arial"/>
                <w:sz w:val="14"/>
                <w:szCs w:val="14"/>
                <w:color w:val="auto"/>
                <w:w w:val="93"/>
              </w:rPr>
              <w:t>Fair Value Measurements Using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gridSpan w:val="5"/>
          </w:tcPr>
          <w:p>
            <w:pPr>
              <w:jc w:val="center"/>
              <w:spacing w:after="0" w:line="143" w:lineRule="exact"/>
              <w:rPr>
                <w:sz w:val="20"/>
                <w:szCs w:val="20"/>
                <w:color w:val="auto"/>
              </w:rPr>
            </w:pPr>
            <w:r>
              <w:rPr>
                <w:rFonts w:ascii="Arial" w:cs="Arial" w:eastAsia="Arial" w:hAnsi="Arial"/>
                <w:sz w:val="14"/>
                <w:szCs w:val="14"/>
                <w:color w:val="auto"/>
                <w:w w:val="94"/>
              </w:rPr>
              <w:t>Significant Unobservable Inputs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May 31, 2023</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ind w:left="340"/>
              <w:spacing w:after="0" w:line="230" w:lineRule="exact"/>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Currency gain from remeasurement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Contingent consideration payment</w:t>
            </w: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August 31, 2023</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20" w:firstLine="8"/>
        <w:spacing w:after="0" w:line="293"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Contingent Liability for Acquisition Earn Outs</w:t>
      </w:r>
    </w:p>
    <w:p>
      <w:pPr>
        <w:spacing w:after="0" w:line="17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2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recurring Level 3 fair value measurements of the contingent consideration liabilities include the following significant unobservable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2023: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2"/>
              </w:rPr>
              <w:t>Table of Content</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81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Fair Value</w:t>
            </w:r>
          </w:p>
        </w:tc>
        <w:tc>
          <w:tcPr>
            <w:tcW w:w="2140" w:type="dxa"/>
            <w:vAlign w:val="bottom"/>
            <w:gridSpan w:val="2"/>
          </w:tcPr>
          <w:p>
            <w:pPr>
              <w:ind w:left="420"/>
              <w:spacing w:after="0"/>
              <w:rPr>
                <w:sz w:val="20"/>
                <w:szCs w:val="20"/>
                <w:color w:val="auto"/>
              </w:rPr>
            </w:pPr>
            <w:r>
              <w:rPr>
                <w:rFonts w:ascii="Arial" w:cs="Arial" w:eastAsia="Arial" w:hAnsi="Arial"/>
                <w:sz w:val="14"/>
                <w:szCs w:val="14"/>
                <w:color w:val="auto"/>
              </w:rPr>
              <w:t>Valuation Technique</w:t>
            </w:r>
          </w:p>
        </w:tc>
        <w:tc>
          <w:tcPr>
            <w:tcW w:w="32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Unobservable Input</w:t>
            </w:r>
          </w:p>
        </w:tc>
        <w:tc>
          <w:tcPr>
            <w:tcW w:w="1400" w:type="dxa"/>
            <w:vAlign w:val="bottom"/>
          </w:tcPr>
          <w:p>
            <w:pPr>
              <w:ind w:left="520"/>
              <w:spacing w:after="0"/>
              <w:rPr>
                <w:sz w:val="20"/>
                <w:szCs w:val="20"/>
                <w:color w:val="auto"/>
              </w:rPr>
            </w:pPr>
            <w:r>
              <w:rPr>
                <w:rFonts w:ascii="Arial" w:cs="Arial" w:eastAsia="Arial" w:hAnsi="Arial"/>
                <w:sz w:val="14"/>
                <w:szCs w:val="14"/>
                <w:color w:val="auto"/>
              </w:rPr>
              <w:t>Range</w:t>
            </w:r>
          </w:p>
        </w:tc>
      </w:tr>
      <w:tr>
        <w:trPr>
          <w:trHeight w:val="26"/>
        </w:trPr>
        <w:tc>
          <w:tcPr>
            <w:tcW w:w="29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based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120" w:type="dxa"/>
            <w:vAlign w:val="bottom"/>
            <w:shd w:val="clear" w:color="auto" w:fill="CCEEFF"/>
          </w:tcPr>
          <w:p>
            <w:pPr>
              <w:spacing w:after="0"/>
              <w:rPr>
                <w:sz w:val="19"/>
                <w:szCs w:val="19"/>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29"/>
        </w:trPr>
        <w:tc>
          <w:tcPr>
            <w:tcW w:w="9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Probability of payment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90% - 100%</w:t>
            </w:r>
          </w:p>
        </w:tc>
      </w:tr>
      <w:tr>
        <w:trPr>
          <w:trHeight w:val="230"/>
        </w:trPr>
        <w:tc>
          <w:tcPr>
            <w:tcW w:w="9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Projected fiscal year of payment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2024 - 2025</w:t>
            </w:r>
          </w:p>
        </w:tc>
      </w:tr>
    </w:tbl>
    <w:p>
      <w:pPr>
        <w:spacing w:after="0" w:line="242" w:lineRule="exact"/>
        <w:rPr>
          <w:sz w:val="20"/>
          <w:szCs w:val="20"/>
          <w:color w:val="auto"/>
        </w:rPr>
      </w:pPr>
    </w:p>
    <w:p>
      <w:pPr>
        <w:jc w:val="both"/>
        <w:ind w:right="640" w:firstLine="405"/>
        <w:spacing w:after="0" w:line="311" w:lineRule="auto"/>
        <w:rPr>
          <w:sz w:val="20"/>
          <w:szCs w:val="20"/>
          <w:color w:val="auto"/>
        </w:rPr>
      </w:pPr>
      <w:r>
        <w:rPr>
          <w:rFonts w:ascii="Arial" w:cs="Arial" w:eastAsia="Arial" w:hAnsi="Arial"/>
          <w:sz w:val="16"/>
          <w:szCs w:val="16"/>
          <w:color w:val="auto"/>
        </w:rPr>
        <w:t>At August 31, 2023, the amount of undiscounted future contingent consideration that the Company expects to pay as a result of all completed acquisitions is approximately $10.0 million. The milestones, including revenue projections and technical milestones associated with the contingent consideration, must be reached in future periods ranging from fiscal years 2024 to 2029 in order for the associated consideration to be paid.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7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determines if an arrangement is a lease at inception of the contract. The Company has operating leases for buildings, primarily for office space, R&amp;D, manufacturing and warehousing.</w:t>
      </w:r>
    </w:p>
    <w:p>
      <w:pPr>
        <w:spacing w:after="0" w:line="11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supplemental balance sheet information related to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80" w:type="dxa"/>
            <w:vAlign w:val="bottom"/>
            <w:gridSpan w:val="2"/>
          </w:tcPr>
          <w:p>
            <w:pPr>
              <w:ind w:left="620"/>
              <w:spacing w:after="0"/>
              <w:rPr>
                <w:sz w:val="20"/>
                <w:szCs w:val="20"/>
                <w:color w:val="auto"/>
              </w:rPr>
            </w:pPr>
            <w:r>
              <w:rPr>
                <w:rFonts w:ascii="Arial" w:cs="Arial" w:eastAsia="Arial" w:hAnsi="Arial"/>
                <w:sz w:val="14"/>
                <w:szCs w:val="14"/>
                <w:color w:val="auto"/>
              </w:rPr>
              <w:t>Balance Sheet Location</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Aug 31, 2023</w:t>
            </w:r>
          </w:p>
        </w:tc>
        <w:tc>
          <w:tcPr>
            <w:tcW w:w="220" w:type="dxa"/>
            <w:vAlign w:val="bottom"/>
          </w:tcPr>
          <w:p>
            <w:pPr>
              <w:spacing w:after="0"/>
              <w:rPr>
                <w:sz w:val="15"/>
                <w:szCs w:val="15"/>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May 31, 2023</w:t>
            </w:r>
          </w:p>
        </w:tc>
      </w:tr>
      <w:tr>
        <w:trPr>
          <w:trHeight w:val="26"/>
        </w:trPr>
        <w:tc>
          <w:tcPr>
            <w:tcW w:w="55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580" w:type="dxa"/>
            <w:vAlign w:val="bottom"/>
          </w:tcPr>
          <w:p>
            <w:pPr>
              <w:ind w:left="220"/>
              <w:spacing w:after="0"/>
              <w:rPr>
                <w:sz w:val="20"/>
                <w:szCs w:val="20"/>
                <w:color w:val="auto"/>
              </w:rPr>
            </w:pPr>
            <w:r>
              <w:rPr>
                <w:rFonts w:ascii="Arial" w:cs="Arial" w:eastAsia="Arial" w:hAnsi="Arial"/>
                <w:sz w:val="18"/>
                <w:szCs w:val="18"/>
                <w:color w:val="auto"/>
              </w:rPr>
              <w:t>Operating lease ROU asset</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5,113</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58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1,922</w:t>
            </w:r>
          </w:p>
        </w:tc>
      </w:tr>
      <w:tr>
        <w:trPr>
          <w:trHeight w:val="229"/>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liabilities</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w:t>
            </w:r>
          </w:p>
        </w:tc>
      </w:tr>
      <w:tr>
        <w:trPr>
          <w:trHeight w:val="20"/>
        </w:trPr>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93"/>
              <w:spacing w:after="0"/>
              <w:rPr>
                <w:sz w:val="20"/>
                <w:szCs w:val="20"/>
                <w:color w:val="auto"/>
              </w:rPr>
            </w:pPr>
            <w:r>
              <w:rPr>
                <w:rFonts w:ascii="Arial" w:cs="Arial" w:eastAsia="Arial" w:hAnsi="Arial"/>
                <w:sz w:val="14"/>
                <w:szCs w:val="14"/>
                <w:color w:val="auto"/>
              </w:rPr>
              <w:t>Aug 31, 2023</w:t>
            </w:r>
          </w:p>
        </w:tc>
      </w:tr>
      <w:tr>
        <w:trPr>
          <w:trHeight w:val="25"/>
        </w:trPr>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term (in years)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472"/>
        </w:trPr>
        <w:tc>
          <w:tcPr>
            <w:tcW w:w="9680" w:type="dxa"/>
            <w:vAlign w:val="bottom"/>
          </w:tcPr>
          <w:p>
            <w:pPr>
              <w:ind w:left="420"/>
              <w:spacing w:after="0"/>
              <w:rPr>
                <w:sz w:val="20"/>
                <w:szCs w:val="20"/>
                <w:color w:val="auto"/>
              </w:rPr>
            </w:pPr>
            <w:r>
              <w:rPr>
                <w:rFonts w:ascii="Arial" w:cs="Arial" w:eastAsia="Arial" w:hAnsi="Arial"/>
                <w:sz w:val="18"/>
                <w:szCs w:val="18"/>
                <w:color w:val="auto"/>
              </w:rPr>
              <w:t>The maturities of the lease liabilities for each of the following fiscal years is: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96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color w:val="auto"/>
              </w:rPr>
              <w:t>Aug 31, 2023</w:t>
            </w:r>
          </w:p>
        </w:tc>
      </w:tr>
      <w:tr>
        <w:trPr>
          <w:trHeight w:val="25"/>
        </w:trPr>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 and thereafter</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5,035</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lease obligations</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4,700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lease obligations</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Long-term lease obligations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r>
      <w:tr>
        <w:trPr>
          <w:trHeight w:val="21"/>
        </w:trPr>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20" w:firstLine="405"/>
        <w:spacing w:after="0" w:line="305" w:lineRule="auto"/>
        <w:rPr>
          <w:sz w:val="20"/>
          <w:szCs w:val="20"/>
          <w:color w:val="auto"/>
        </w:rPr>
      </w:pPr>
      <w:r>
        <w:rPr>
          <w:rFonts w:ascii="Arial" w:cs="Arial" w:eastAsia="Arial" w:hAnsi="Arial"/>
          <w:sz w:val="16"/>
          <w:szCs w:val="16"/>
          <w:color w:val="auto"/>
        </w:rPr>
        <w:t>During the three months ended August 31, 2023 and 2022, the Company recognized $0.6 million and $0.7 million of operating lease expense, respectively, which includes immaterial short-term leases. The expenses on the Consolidated Statement of Operations were classified as follows:</w:t>
      </w:r>
    </w:p>
    <w:tbl>
      <w:tblPr>
        <w:tblLayout w:type="fixed"/>
        <w:tblInd w:w="0" w:type="dxa"/>
        <w:tblCellMar>
          <w:top w:w="0" w:type="dxa"/>
          <w:left w:w="0" w:type="dxa"/>
          <w:bottom w:w="0" w:type="dxa"/>
          <w:right w:w="0" w:type="dxa"/>
        </w:tblCellMar>
      </w:tblPr>
      <w:tr>
        <w:trPr>
          <w:trHeight w:val="182"/>
        </w:trPr>
        <w:tc>
          <w:tcPr>
            <w:tcW w:w="8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4"/>
          </w:tcPr>
          <w:p>
            <w:pPr>
              <w:jc w:val="right"/>
              <w:ind w:right="79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
        </w:trPr>
        <w:tc>
          <w:tcPr>
            <w:tcW w:w="82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Aug 31, 2023</w:t>
            </w:r>
          </w:p>
        </w:tc>
        <w:tc>
          <w:tcPr>
            <w:tcW w:w="220" w:type="dxa"/>
            <w:vAlign w:val="bottom"/>
          </w:tcPr>
          <w:p>
            <w:pPr>
              <w:spacing w:after="0"/>
              <w:rPr>
                <w:sz w:val="15"/>
                <w:szCs w:val="15"/>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Aug 31, 2022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following table presents supplemental cash flow and other information related to leases: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4"/>
          </w:tcPr>
          <w:p>
            <w:pPr>
              <w:jc w:val="right"/>
              <w:ind w:right="79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
        </w:trPr>
        <w:tc>
          <w:tcPr>
            <w:tcW w:w="82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Aug 31, 2023</w:t>
            </w:r>
          </w:p>
        </w:tc>
        <w:tc>
          <w:tcPr>
            <w:tcW w:w="220" w:type="dxa"/>
            <w:vAlign w:val="bottom"/>
          </w:tcPr>
          <w:p>
            <w:pPr>
              <w:spacing w:after="0"/>
              <w:rPr>
                <w:sz w:val="15"/>
                <w:szCs w:val="15"/>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Aug 31, 2022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97"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 Bard, Inc. v. AngioDynamics, Inc.</w:t>
      </w:r>
    </w:p>
    <w:p>
      <w:pPr>
        <w:spacing w:after="0" w:line="283"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On January 11, 2012, C.R. Bard, Inc. (“Bard”) filed a suit in the United States District Court of Utah claiming certain of the Company's implantable port products infringe on three U.S. patents held by Bard (US Patent Nos. 7,785,302 ("302"), 7,959,615 (“615”) and 7,947,022 ("022")).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the case was transferred from the District of Utah to the United States District Court for the District of Delaware (“District of Delaware”). On July 22, 2021, in another case against a different defendant, the District of Utah invalidated multiple claims of the ‘302, ‘022, and ‘615 Patents under 35 USC §101, including claims asserted against the Company. On December 27, 2021, the District of Delaware stayed the case pending the Federal Circuit's resolution of Bard's appeal from the Utah Decision. On February 17, 2023, the Federal Circuit Reversed-in-Part, Vacated-in-Part, and Remanded the Utah Decision. The District of Delaware lifted the stay on February 28, 2023 and held a status conference on March 23, 2023. A scheduling order has been entered, and a jury trial is currently scheduled for April 29, 2024. The Company has not recorded an expense related to the outcome of this litigation because it is not yet possible to determine if a potential loss is probable nor reasonably estimable.</w:t>
      </w:r>
    </w:p>
    <w:p>
      <w:pPr>
        <w:spacing w:after="0" w:line="24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At the close of Bard’s case, the Court granted the Company's oral motion for judgment as a matter of law as well as its motions for summary judgment on the grounds that the asserted patents are invalid, ineligible, not infringed and not willfully infringed. Bard appealed the judgment to the Federal Circuit and on November 10, 2020, the Federal Circuit reversed the judgment in part with respect to Section 101 (subject matter eligibility), and vacated and remanded the trial court’s invalidity and non-infringement judgments. Following remand from the Federal Circuit, a jury trial commenced in the District of Delaware beginning November 14, 2022. On November 22, 2022, a jury entered a verdict finding that certain of the Company’s implantable port products infringe certain claims of U.S. patents held by Bard. The issue of damages was bifurcated by the Court during trial, and was not determined by the jury. On June 1,</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2023, following post-trial briefing, the Court issued its decision on the Company's Renewed Judgement as a Matter of Law. The Court held the asserted patent claims were invalid as anticipated, indefinite, ineligible and not willfully infringed. The Court entered Judgement the same day in favor of the Company. Bard has filed a Notice of Appeal to the Federal Circuit and that appeal remains pending.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242"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On March 8, 2021, Bard filed suit in the District of Delaware asserting certain of the Company’s port products (including certain related infusion sets) infringe U.S. Patent Nos. 8,025,639, 9,603,992 and 9,603,993. On December 27, 2021, the District of Delaware stayed the case pending the Federal Circuit's resolution of Bard's appeal of the Utah decision invalidating multiple claims of the ‘302, ‘022, and ‘615 patents under 35 USC §101. Following the Federal Circuit’s decision on appeal, the District of Delaware lifted the stay on February 28, 2023, and held a scheduling conference on March 23,</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2023. A scheduling order has been entered, and a jury trial is currently scheduled for June 9, 2025.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 RESTRUCTURING, AND OTHER ITEMS,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 restructuring and other items, net, consisted of: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4"/>
          </w:tcPr>
          <w:p>
            <w:pPr>
              <w:jc w:val="right"/>
              <w:ind w:right="77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
        </w:trPr>
        <w:tc>
          <w:tcPr>
            <w:tcW w:w="83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Aug 31, 2023</w:t>
            </w:r>
          </w:p>
        </w:tc>
        <w:tc>
          <w:tcPr>
            <w:tcW w:w="220" w:type="dxa"/>
            <w:vAlign w:val="bottom"/>
          </w:tcPr>
          <w:p>
            <w:pPr>
              <w:spacing w:after="0"/>
              <w:rPr>
                <w:sz w:val="15"/>
                <w:szCs w:val="15"/>
                <w:color w:val="auto"/>
              </w:rPr>
            </w:pPr>
          </w:p>
        </w:tc>
        <w:tc>
          <w:tcPr>
            <w:tcW w:w="1200" w:type="dxa"/>
            <w:vAlign w:val="bottom"/>
          </w:tcPr>
          <w:p>
            <w:pPr>
              <w:jc w:val="right"/>
              <w:ind w:right="233"/>
              <w:spacing w:after="0"/>
              <w:rPr>
                <w:sz w:val="20"/>
                <w:szCs w:val="20"/>
                <w:color w:val="auto"/>
              </w:rPr>
            </w:pPr>
            <w:r>
              <w:rPr>
                <w:rFonts w:ascii="Arial" w:cs="Arial" w:eastAsia="Arial" w:hAnsi="Arial"/>
                <w:sz w:val="14"/>
                <w:szCs w:val="14"/>
                <w:color w:val="auto"/>
              </w:rPr>
              <w:t>Aug 31, 2022</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Legal </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Manufacturing relocation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Transition service agreement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Israeli Innovation Authority prepayment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(5)</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30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22" w:lineRule="exact"/>
        <w:rPr>
          <w:rFonts w:ascii="Arial" w:cs="Arial" w:eastAsia="Arial" w:hAnsi="Arial"/>
          <w:sz w:val="16"/>
          <w:szCs w:val="16"/>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Expenses to relocate certain manufacturing lines from Queensbury, NY to Costa Rica.</w:t>
      </w:r>
    </w:p>
    <w:p>
      <w:pPr>
        <w:spacing w:after="0" w:line="15" w:lineRule="exact"/>
        <w:rPr>
          <w:rFonts w:ascii="Arial" w:cs="Arial" w:eastAsia="Arial" w:hAnsi="Arial"/>
          <w:sz w:val="16"/>
          <w:szCs w:val="16"/>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Transition services agreement that was entered into as a result of the sale of the dialysis and BioSentry businesses.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 the first quarter of fiscal year 2023, a $3.5 million payment was made to the Israeli Innovation Authority to fully satisfy the obligation related to grant funds that were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provided to Eximo for development of the Auryon laser prior to the acquisition in the second quarter of fiscal year 2020.</w:t>
      </w:r>
    </w:p>
    <w:p>
      <w:pPr>
        <w:spacing w:after="0" w:line="15" w:lineRule="exact"/>
        <w:rPr>
          <w:sz w:val="20"/>
          <w:szCs w:val="20"/>
          <w:color w:val="auto"/>
        </w:rPr>
      </w:pPr>
    </w:p>
    <w:p>
      <w:pPr>
        <w:ind w:right="300" w:firstLine="8"/>
        <w:spacing w:after="0" w:line="275"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other is $0.9 million of deferred financing fees that were written-off in conjunction with the sale of the Dialysis and BioSentry businesses and concurrent extinguishment of the debt.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each component of accumulated other comprehensive income, net of tax,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ind w:right="19"/>
              <w:spacing w:after="0"/>
              <w:rPr>
                <w:sz w:val="20"/>
                <w:szCs w:val="20"/>
                <w:color w:val="auto"/>
              </w:rPr>
            </w:pPr>
            <w:r>
              <w:rPr>
                <w:rFonts w:ascii="Arial" w:cs="Arial" w:eastAsia="Arial" w:hAnsi="Arial"/>
                <w:sz w:val="14"/>
                <w:szCs w:val="14"/>
                <w:color w:val="auto"/>
                <w:w w:val="94"/>
              </w:rPr>
              <w:t>Three Months Ended Aug 31,</w:t>
            </w:r>
          </w:p>
        </w:tc>
        <w:tc>
          <w:tcPr>
            <w:tcW w:w="0" w:type="dxa"/>
            <w:vAlign w:val="bottom"/>
          </w:tcPr>
          <w:p>
            <w:pPr>
              <w:spacing w:after="0"/>
              <w:rPr>
                <w:sz w:val="1"/>
                <w:szCs w:val="1"/>
                <w:color w:val="auto"/>
              </w:rPr>
            </w:pPr>
          </w:p>
        </w:tc>
      </w:tr>
      <w:tr>
        <w:trPr>
          <w:trHeight w:val="188"/>
        </w:trPr>
        <w:tc>
          <w:tcPr>
            <w:tcW w:w="9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43"/>
        </w:trPr>
        <w:tc>
          <w:tcPr>
            <w:tcW w:w="93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1820" w:type="dxa"/>
            <w:vAlign w:val="bottom"/>
          </w:tcPr>
          <w:p>
            <w:pPr>
              <w:jc w:val="center"/>
              <w:ind w:right="39"/>
              <w:spacing w:after="0" w:line="143" w:lineRule="exact"/>
              <w:rPr>
                <w:sz w:val="20"/>
                <w:szCs w:val="20"/>
                <w:color w:val="auto"/>
              </w:rPr>
            </w:pPr>
            <w:r>
              <w:rPr>
                <w:rFonts w:ascii="Arial" w:cs="Arial" w:eastAsia="Arial" w:hAnsi="Arial"/>
                <w:sz w:val="14"/>
                <w:szCs w:val="14"/>
                <w:color w:val="auto"/>
                <w:w w:val="93"/>
              </w:rPr>
              <w:t>Foreign currency translation</w:t>
            </w:r>
          </w:p>
        </w:tc>
        <w:tc>
          <w:tcPr>
            <w:tcW w:w="0" w:type="dxa"/>
            <w:vAlign w:val="bottom"/>
          </w:tcPr>
          <w:p>
            <w:pPr>
              <w:spacing w:after="0"/>
              <w:rPr>
                <w:sz w:val="1"/>
                <w:szCs w:val="1"/>
                <w:color w:val="auto"/>
              </w:rPr>
            </w:pPr>
          </w:p>
        </w:tc>
      </w:tr>
      <w:tr>
        <w:trPr>
          <w:trHeight w:val="188"/>
        </w:trPr>
        <w:tc>
          <w:tcPr>
            <w:tcW w:w="93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May 31,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29"/>
        </w:trPr>
        <w:tc>
          <w:tcPr>
            <w:tcW w:w="9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other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3"/>
        </w:trPr>
        <w:tc>
          <w:tcPr>
            <w:tcW w:w="9300" w:type="dxa"/>
            <w:vAlign w:val="bottom"/>
          </w:tcPr>
          <w:p>
            <w:pPr>
              <w:ind w:left="20"/>
              <w:spacing w:after="0"/>
              <w:rPr>
                <w:sz w:val="20"/>
                <w:szCs w:val="20"/>
                <w:color w:val="auto"/>
              </w:rPr>
            </w:pPr>
            <w:r>
              <w:rPr>
                <w:rFonts w:ascii="Arial" w:cs="Arial" w:eastAsia="Arial" w:hAnsi="Arial"/>
                <w:sz w:val="18"/>
                <w:szCs w:val="18"/>
                <w:color w:val="auto"/>
              </w:rPr>
              <w:t>Balance at August 31,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right="6080" w:hanging="12"/>
        <w:spacing w:after="0" w:line="516" w:lineRule="auto"/>
        <w:tabs>
          <w:tab w:leader="none" w:pos="27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Recently Issued Accounting Pronouncements - Adopted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tcPr>
          <w:p>
            <w:pPr>
              <w:ind w:left="900"/>
              <w:spacing w:after="0"/>
              <w:rPr>
                <w:sz w:val="20"/>
                <w:szCs w:val="20"/>
                <w:color w:val="auto"/>
              </w:rPr>
            </w:pPr>
            <w:r>
              <w:rPr>
                <w:rFonts w:ascii="Arial" w:cs="Arial" w:eastAsia="Arial" w:hAnsi="Arial"/>
                <w:sz w:val="14"/>
                <w:szCs w:val="14"/>
                <w:b w:val="1"/>
                <w:bCs w:val="1"/>
                <w:color w:val="auto"/>
              </w:rPr>
              <w:t>Standard</w:t>
            </w:r>
          </w:p>
        </w:tc>
        <w:tc>
          <w:tcPr>
            <w:tcW w:w="3800" w:type="dxa"/>
            <w:vAlign w:val="bottom"/>
          </w:tcPr>
          <w:p>
            <w:pPr>
              <w:ind w:left="152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Pr>
          <w:p>
            <w:pPr>
              <w:ind w:left="180"/>
              <w:spacing w:after="0"/>
              <w:rPr>
                <w:sz w:val="20"/>
                <w:szCs w:val="20"/>
                <w:color w:val="auto"/>
              </w:rPr>
            </w:pPr>
            <w:r>
              <w:rPr>
                <w:rFonts w:ascii="Arial" w:cs="Arial" w:eastAsia="Arial" w:hAnsi="Arial"/>
                <w:sz w:val="14"/>
                <w:szCs w:val="14"/>
                <w:b w:val="1"/>
                <w:bCs w:val="1"/>
                <w:color w:val="auto"/>
              </w:rPr>
              <w:t>Effective Date</w:t>
            </w:r>
          </w:p>
        </w:tc>
        <w:tc>
          <w:tcPr>
            <w:tcW w:w="3720" w:type="dxa"/>
            <w:vAlign w:val="bottom"/>
          </w:tcPr>
          <w:p>
            <w:pPr>
              <w:ind w:left="36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6"/>
        </w:trPr>
        <w:tc>
          <w:tcPr>
            <w:tcW w:w="24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r>
      <w:tr>
        <w:trPr>
          <w:trHeight w:val="169"/>
        </w:trPr>
        <w:tc>
          <w:tcPr>
            <w:tcW w:w="24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 xml:space="preserve">ASU 2021-08, </w:t>
            </w:r>
            <w:r>
              <w:rPr>
                <w:rFonts w:ascii="Arial" w:cs="Arial" w:eastAsia="Arial" w:hAnsi="Arial"/>
                <w:sz w:val="18"/>
                <w:szCs w:val="18"/>
                <w:i w:val="1"/>
                <w:iCs w:val="1"/>
                <w:color w:val="auto"/>
              </w:rPr>
              <w:t>Business</w:t>
            </w:r>
          </w:p>
        </w:tc>
        <w:tc>
          <w:tcPr>
            <w:tcW w:w="38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w w:val="99"/>
              </w:rPr>
              <w:t>This ASU improves the accounting for acquired</w:t>
            </w:r>
          </w:p>
        </w:tc>
        <w:tc>
          <w:tcPr>
            <w:tcW w:w="1260" w:type="dxa"/>
            <w:vAlign w:val="bottom"/>
            <w:tcBorders>
              <w:right w:val="single" w:sz="8" w:color="auto"/>
            </w:tcBorders>
          </w:tcPr>
          <w:p>
            <w:pPr>
              <w:ind w:left="160"/>
              <w:spacing w:after="0" w:line="169" w:lineRule="exact"/>
              <w:rPr>
                <w:sz w:val="20"/>
                <w:szCs w:val="20"/>
                <w:color w:val="auto"/>
              </w:rPr>
            </w:pPr>
            <w:r>
              <w:rPr>
                <w:rFonts w:ascii="Arial" w:cs="Arial" w:eastAsia="Arial" w:hAnsi="Arial"/>
                <w:sz w:val="18"/>
                <w:szCs w:val="18"/>
                <w:color w:val="auto"/>
              </w:rPr>
              <w:t>June 1, 2023</w:t>
            </w:r>
          </w:p>
        </w:tc>
        <w:tc>
          <w:tcPr>
            <w:tcW w:w="3720" w:type="dxa"/>
            <w:vAlign w:val="bottom"/>
          </w:tcPr>
          <w:p>
            <w:pPr>
              <w:spacing w:after="0" w:line="169" w:lineRule="exact"/>
              <w:rPr>
                <w:sz w:val="20"/>
                <w:szCs w:val="20"/>
                <w:color w:val="auto"/>
              </w:rPr>
            </w:pPr>
            <w:r>
              <w:rPr>
                <w:rFonts w:ascii="Arial" w:cs="Arial" w:eastAsia="Arial" w:hAnsi="Arial"/>
                <w:sz w:val="18"/>
                <w:szCs w:val="18"/>
                <w:color w:val="auto"/>
                <w:w w:val="90"/>
              </w:rPr>
              <w:t>The Company adopted the new standard in the first</w:t>
            </w: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i w:val="1"/>
                <w:iCs w:val="1"/>
                <w:color w:val="auto"/>
              </w:rPr>
              <w:t>Combinations (Topic 805):</w:t>
            </w:r>
          </w:p>
        </w:tc>
        <w:tc>
          <w:tcPr>
            <w:tcW w:w="380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w w:val="99"/>
              </w:rPr>
              <w:t>revenue contracts with customers in a business</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Arial" w:cs="Arial" w:eastAsia="Arial" w:hAnsi="Arial"/>
                <w:sz w:val="18"/>
                <w:szCs w:val="18"/>
                <w:color w:val="auto"/>
                <w:w w:val="96"/>
              </w:rPr>
              <w:t>quarter of fiscal year 2024 and it did not have an</w:t>
            </w: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i w:val="1"/>
                <w:iCs w:val="1"/>
                <w:color w:val="auto"/>
                <w:w w:val="94"/>
              </w:rPr>
              <w:t>Accounting for Contract Assets</w:t>
            </w:r>
          </w:p>
        </w:tc>
        <w:tc>
          <w:tcPr>
            <w:tcW w:w="380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w w:val="92"/>
              </w:rPr>
              <w:t>combination by addressing diversity in practice and</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Arial" w:cs="Arial" w:eastAsia="Arial" w:hAnsi="Arial"/>
                <w:sz w:val="18"/>
                <w:szCs w:val="18"/>
                <w:color w:val="auto"/>
                <w:w w:val="97"/>
              </w:rPr>
              <w:t>impact on the Company's consolidated financial</w:t>
            </w: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i w:val="1"/>
                <w:iCs w:val="1"/>
                <w:color w:val="auto"/>
              </w:rPr>
              <w:t>and Contract Liabilities from</w:t>
            </w:r>
          </w:p>
        </w:tc>
        <w:tc>
          <w:tcPr>
            <w:tcW w:w="380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w w:val="93"/>
              </w:rPr>
              <w:t>inconsistency related to recognition of an acquired</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Arial" w:cs="Arial" w:eastAsia="Arial" w:hAnsi="Arial"/>
                <w:sz w:val="18"/>
                <w:szCs w:val="18"/>
                <w:color w:val="auto"/>
              </w:rPr>
              <w:t>statements.</w:t>
            </w:r>
          </w:p>
        </w:tc>
      </w:tr>
      <w:tr>
        <w:trPr>
          <w:trHeight w:val="215"/>
        </w:trPr>
        <w:tc>
          <w:tcPr>
            <w:tcW w:w="240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Contracts with Customers</w:t>
            </w:r>
          </w:p>
        </w:tc>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contract liability and payment terms and their effect</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2400" w:type="dxa"/>
            <w:vAlign w:val="bottom"/>
            <w:tcBorders>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on subsequent revenue recognized by the acquirer.</w:t>
            </w:r>
          </w:p>
        </w:tc>
        <w:tc>
          <w:tcPr>
            <w:tcW w:w="1260" w:type="dxa"/>
            <w:vAlign w:val="bottom"/>
            <w:tcBorders>
              <w:right w:val="single" w:sz="8" w:color="auto"/>
            </w:tcBorders>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24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have been no material changes to our critical accounting policies since our Annual Report on Form 10-K for fiscal year ended May 31,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 Not Yet Applicable or Adopted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are no new accounting pronouncements issued that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2023 Annual Report on Form 10-K, and the consolidated financial statements and notes thereto included elsewhere in the Form 10-Q.</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7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11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Trademarks</w:t>
      </w:r>
    </w:p>
    <w:p>
      <w:pPr>
        <w:spacing w:after="0" w:line="175"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71"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AngioDynamics is a leading and transformative medical technology company focused on restoring healthy blood flow in the body's vascular system, expanding cancer treatment options and improving quality of life for patients.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12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3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3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33"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current macroeconomic environment continues to impact our business and may continue to pose future risks.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71"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On June 8, 2023, the Company completed the sale of the dialysis and BioSentry businesses to Merit Medical Systems, Inc. The Company also entered into various agreements to facilitate the transition to Merit, including a Transition Services Agreement and Contract Manufacturing Agreement. Total consideration received by the Company for the Divestiture was $100.0 million in cash and resulted in a pre-tax book gain of $47.8 million.</w:t>
      </w:r>
    </w:p>
    <w:p>
      <w:pPr>
        <w:spacing w:after="0" w:line="9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On June 8, 2023 and in connection with the completion of the Divestiture, the Company repaid all amounts outstanding under its existing Credit Agreement, and as a result, the Credit Agreement was extinguished.</w:t>
      </w:r>
    </w:p>
    <w:p>
      <w:pPr>
        <w:spacing w:after="0" w:line="116"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In evaluating the operating performance of our business, management focuses on company-wide and segment revenue and gross margin and company-wide operating income, earnings per share and cash flow from operations. A summary of these key financial metrics for the three months ended August 31, 2023 compared to the three months ended August 31, 2022 are as follows: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Three months ended August 31, 2023:</w:t>
      </w:r>
    </w:p>
    <w:p>
      <w:pPr>
        <w:spacing w:after="0" w:line="16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decreased by 3.5% to $78.7 million</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 Tech growth of 13.3% and Med Device declined by 10.0%</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decreased 100 bps to 50.9%</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 Tech gross profit increased 150 bps to 64.7% and Med Device gross profit decreased 330 bps to 44.2%</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increased by $58.9 million to $45.9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 increased by $1.48 to $1.15</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used in operations increased by $1.2 million to $25.9 million</w:t>
      </w:r>
    </w:p>
    <w:p>
      <w:pPr>
        <w:spacing w:after="0" w:line="238"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The decrease in revenue is due to the sale of the dialysis and BioSentry businesses which closed on June 8, 2023 and impacted sales by $7.1 million compared to the prior year. Our Med Tech revenue, comprised of Auryon, the thrombus management platform and NanoKnife, grew 13.3% in the first quarter of fiscal year 2024. The growth in Auryon and NanoKnife was partially offset by continued softness in the thrombus management platform. Our Med Device revenue declined by 10.0% in the first quarter of fiscal year 2024 driven mainly by the sale of the dialysis and BioSentry businesses.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For the three months ended August 31, 2023, the Company reported net income of $45.9 million, or diluted earnings per share of $1.15, on net sales of $78.7 million, compared with a net loss of $13.0 million, or a loss of $0.33 per diluted share, on net sales of $81.5 million during the same quarter of the prior year.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products and related freight charges, less discounts, rebates and returns.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6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Aug 31, 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ind w:left="180"/>
              <w:spacing w:after="0"/>
              <w:rPr>
                <w:sz w:val="20"/>
                <w:szCs w:val="20"/>
                <w:color w:val="auto"/>
              </w:rPr>
            </w:pPr>
            <w:r>
              <w:rPr>
                <w:rFonts w:ascii="Arial" w:cs="Arial" w:eastAsia="Arial" w:hAnsi="Arial"/>
                <w:sz w:val="14"/>
                <w:szCs w:val="14"/>
                <w:color w:val="auto"/>
              </w:rPr>
              <w:t>Aug 31, 2022</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Med Tech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25,860</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22,817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Med Device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0" w:type="dxa"/>
            <w:vAlign w:val="bottom"/>
          </w:tcPr>
          <w:p>
            <w:pPr>
              <w:ind w:left="6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78,679</w:t>
            </w:r>
          </w:p>
        </w:tc>
        <w:tc>
          <w:tcPr>
            <w:tcW w:w="12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66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600" w:type="dxa"/>
            <w:vAlign w:val="bottom"/>
            <w:vMerge w:val="continue"/>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Aug 31, 2023</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color w:val="auto"/>
              </w:rPr>
              <w:t>Aug 31, 2022</w:t>
            </w: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64,399</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69,023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International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0" w:type="dxa"/>
            <w:vAlign w:val="bottom"/>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81,537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For the three months ended August 31, 2023, net sales decreased $2.9 million to $78.7 million compared to the same period in the prior year. At August 31, 2023, the Company had a backlog of $3.3 million, an increase of $0.6 million from May 31, 2023.</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Med Tech segment net sales increased $3.0 million for the three months ended August 31, 2023 compared to the same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sales from the prior year was primarily driven by:</w:t>
      </w:r>
    </w:p>
    <w:p>
      <w:pPr>
        <w:spacing w:after="0" w:line="15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Auryon sales of $2.3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Decreased sales of the thrombus management platform of $0.7 million, which was driven by a decrease in AngioVac sales of $0.5 million;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NanoKnife sales of $1.4 million, which was driven by increased capital and disposable sales both domestically and internationally.</w:t>
      </w:r>
    </w:p>
    <w:p>
      <w:pPr>
        <w:spacing w:after="0" w:line="168"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The Med Device segment net sales decreased $5.9 million for the three months ended August 31, 2023 compared to the same period in the prior year. The backlog, which primarily impacted sales of Core and Vascular Access products, was $3.3 million, an increase of $0.6 million from May 31, 2023. The change in sales from the prior year was primarily driven by:</w:t>
      </w:r>
    </w:p>
    <w:p>
      <w:pPr>
        <w:spacing w:after="0" w:line="130" w:lineRule="exact"/>
        <w:rPr>
          <w:sz w:val="20"/>
          <w:szCs w:val="20"/>
          <w:color w:val="auto"/>
        </w:rPr>
      </w:pPr>
    </w:p>
    <w:p>
      <w:pPr>
        <w:ind w:left="660" w:right="22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sales of dialysis and BioSentry of $5.5 million and $1.6 million, respectively, which was due to the divestiture of these businesses on June 8, 2023; and</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sales of PICCs, Core and Other Oncology and Vascular Access sales of $0.8 million, $0.1 million and $0.5 million, respectively. These decreases were partially offset by increased sales of Ports, Midlines and Microwave products of $1.5 million, $0.3 million and $1.1 million,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60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rPr>
              <w:t>Aug 31, 2023</w:t>
            </w:r>
          </w:p>
        </w:tc>
        <w:tc>
          <w:tcPr>
            <w:tcW w:w="120" w:type="dxa"/>
            <w:vAlign w:val="bottom"/>
          </w:tcPr>
          <w:p>
            <w:pPr>
              <w:spacing w:after="0"/>
              <w:rPr>
                <w:sz w:val="15"/>
                <w:szCs w:val="15"/>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color w:val="auto"/>
              </w:rPr>
              <w:t>Aug 31, 2022</w:t>
            </w:r>
          </w:p>
        </w:tc>
        <w:tc>
          <w:tcPr>
            <w:tcW w:w="26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 Tech</w:t>
            </w:r>
          </w:p>
        </w:tc>
        <w:tc>
          <w:tcPr>
            <w:tcW w:w="28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16,727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14,429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8"/>
              </w:rPr>
              <w:t>2,298</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63.2 %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Med Device</w:t>
            </w:r>
          </w:p>
        </w:tc>
        <w:tc>
          <w:tcPr>
            <w:tcW w:w="3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23,333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27,876</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475"/>
              <w:spacing w:after="0"/>
              <w:rPr>
                <w:sz w:val="20"/>
                <w:szCs w:val="20"/>
                <w:color w:val="auto"/>
              </w:rPr>
            </w:pPr>
            <w:r>
              <w:rPr>
                <w:rFonts w:ascii="Arial" w:cs="Arial" w:eastAsia="Arial" w:hAnsi="Arial"/>
                <w:sz w:val="18"/>
                <w:szCs w:val="18"/>
                <w:color w:val="auto"/>
                <w:w w:val="94"/>
              </w:rPr>
              <w:t>(4,543)</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 of sales</w:t>
            </w:r>
          </w:p>
        </w:tc>
        <w:tc>
          <w:tcPr>
            <w:tcW w:w="2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42,305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94"/>
              </w:rPr>
              <w:t>(2,245)</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51.9 %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3600" w:type="dxa"/>
            <w:vAlign w:val="bottom"/>
          </w:tcPr>
          <w:p>
            <w:pPr>
              <w:spacing w:after="0"/>
              <w:rPr>
                <w:sz w:val="24"/>
                <w:szCs w:val="24"/>
                <w:color w:val="auto"/>
              </w:rPr>
            </w:pPr>
          </w:p>
        </w:tc>
        <w:tc>
          <w:tcPr>
            <w:tcW w:w="2880" w:type="dxa"/>
            <w:vAlign w:val="bottom"/>
          </w:tcPr>
          <w:p>
            <w:pPr>
              <w:jc w:val="right"/>
              <w:ind w:right="67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Company gross profit decreased by $2.2 million for the three months ended August 31, 2023 compared to the same period in the prior year. The change from the prior year was primarily driven by:</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of the dialysis and BioSentry businesses, which negatively impacted gross profit by $4.2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volume, which positively impacted gross profit by $2.2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Production volume, price and other incentives which positively impacted gross profit by $1.5 million;</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mix, which negatively impacted gross profit by $0.8 million;</w:t>
      </w: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Inflationary costs on raw materials, labor shortages and freight costs, which negatively impacted gross profit by $0.4 million;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Incremental depreciation on placement units of $0.4 million.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Med Tech segment gross profit increased by $2.3 million for the three months ended August 31, 2023 compared to the same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from the prior year was primarily driven by:</w:t>
      </w:r>
    </w:p>
    <w:p>
      <w:pPr>
        <w:spacing w:after="0" w:line="15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volume, which positively impacted gross profit by $2.1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and other incentives which positively impacted gross profit by $1.2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mix, which negatively impacted gross profit by $0.6 million;</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Inflationary costs on raw materials, labor shortages and freight costs, which negatively impacted gross profit by $0.1 million;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Incremental depreciation on placement units of $0.2 million.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Med Device segment gross profit decreased by $4.5 million for the three months ended August 31, 2023 compared to the same period in the prior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change from the prior year was primarily driven by:</w:t>
      </w:r>
    </w:p>
    <w:p>
      <w:pPr>
        <w:spacing w:after="0" w:line="19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sale of the dialysis and BioSentry businesses, which negatively impacted gross profit by $4.2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volume, which positively impacted gross profit by $0.5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volume and price, which positively impacted gross profit by $0.4 million;</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mix, which negatively impacted gross profit by $0.7 million;</w:t>
      </w:r>
    </w:p>
    <w:p>
      <w:pPr>
        <w:ind w:left="660" w:hanging="328"/>
        <w:spacing w:after="0" w:line="21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Inflationary costs on raw materials, labor shortages and freight costs, which negatively impacted gross profit by $0.3 million;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Incremental depreciation on placement units of $0.1 million.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and Other Income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rPr>
              <w:t>Aug 31, 2023</w:t>
            </w:r>
          </w:p>
        </w:tc>
        <w:tc>
          <w:tcPr>
            <w:tcW w:w="120" w:type="dxa"/>
            <w:vAlign w:val="bottom"/>
          </w:tcPr>
          <w:p>
            <w:pPr>
              <w:spacing w:after="0"/>
              <w:rPr>
                <w:sz w:val="15"/>
                <w:szCs w:val="15"/>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color w:val="auto"/>
              </w:rPr>
              <w:t>Aug 31, 2022</w:t>
            </w:r>
          </w:p>
        </w:tc>
        <w:tc>
          <w:tcPr>
            <w:tcW w:w="26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7,941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8,333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615"/>
              <w:spacing w:after="0"/>
              <w:rPr>
                <w:sz w:val="20"/>
                <w:szCs w:val="20"/>
                <w:color w:val="auto"/>
              </w:rPr>
            </w:pPr>
            <w:r>
              <w:rPr>
                <w:rFonts w:ascii="Arial" w:cs="Arial" w:eastAsia="Arial" w:hAnsi="Arial"/>
                <w:sz w:val="18"/>
                <w:szCs w:val="18"/>
                <w:color w:val="auto"/>
                <w:w w:val="95"/>
              </w:rPr>
              <w:t>(392)</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27,368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26,543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635"/>
              <w:spacing w:after="0"/>
              <w:rPr>
                <w:sz w:val="20"/>
                <w:szCs w:val="20"/>
                <w:color w:val="auto"/>
              </w:rPr>
            </w:pPr>
            <w:r>
              <w:rPr>
                <w:rFonts w:ascii="Arial" w:cs="Arial" w:eastAsia="Arial" w:hAnsi="Arial"/>
                <w:sz w:val="18"/>
                <w:szCs w:val="18"/>
                <w:color w:val="auto"/>
                <w:w w:val="86"/>
              </w:rPr>
              <w:t>825</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32.6 %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10,856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10,101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635"/>
              <w:spacing w:after="0"/>
              <w:rPr>
                <w:sz w:val="20"/>
                <w:szCs w:val="20"/>
                <w:color w:val="auto"/>
              </w:rPr>
            </w:pPr>
            <w:r>
              <w:rPr>
                <w:rFonts w:ascii="Arial" w:cs="Arial" w:eastAsia="Arial" w:hAnsi="Arial"/>
                <w:sz w:val="18"/>
                <w:szCs w:val="18"/>
                <w:color w:val="auto"/>
                <w:w w:val="86"/>
              </w:rPr>
              <w:t>755</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u w:val="single" w:color="auto"/>
          <w:color w:val="auto"/>
        </w:rPr>
        <w:t>Research and development expense</w:t>
      </w:r>
      <w:r>
        <w:rPr>
          <w:rFonts w:ascii="Arial" w:cs="Arial" w:eastAsia="Arial" w:hAnsi="Arial"/>
          <w:sz w:val="18"/>
          <w:szCs w:val="18"/>
          <w:color w:val="auto"/>
        </w:rPr>
        <w:t xml:space="preserve"> - Research and development (“R&amp;D”) expense includes internal and external costs to develop new products, enhance existing products, validate new and enhanced products, and manage clinical, regulatory and medical affairs.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R&amp;D expense decreased $0.4 million for the three months ended August 31, 2023 compared to the same period in the prior year. The change from the prior year was primarily driven by:</w:t>
      </w:r>
    </w:p>
    <w:p>
      <w:pPr>
        <w:spacing w:after="0" w:line="11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timing of certain projects and clinical spend associated with the ongoing clinical trials, which decreased R&amp;D expense by $0.6 million; and</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and benefits expenses, which increased $0.2 million.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Sales and marketing expense</w:t>
      </w:r>
      <w:r>
        <w:rPr>
          <w:rFonts w:ascii="Arial" w:cs="Arial" w:eastAsia="Arial" w:hAnsi="Arial"/>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S&amp;M expense increased $0.8 million for the three months ended August 31, 2023 compared to the same period in the prior year. The change from the prior year was primarily driven by:</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and benefits expense, which increased by $1.4 million;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Trade show expenses, which increased $0.3 million. This was partially offset by travel and other selling expenses, which decreased $0.8 million.</w:t>
      </w:r>
    </w:p>
    <w:p>
      <w:pPr>
        <w:spacing w:after="0" w:line="26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u w:val="single" w:color="auto"/>
          <w:color w:val="auto"/>
        </w:rPr>
        <w:t>General and administrative expense</w:t>
      </w:r>
      <w:r>
        <w:rPr>
          <w:rFonts w:ascii="Arial" w:cs="Arial" w:eastAsia="Arial" w:hAnsi="Arial"/>
          <w:sz w:val="17"/>
          <w:szCs w:val="17"/>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G&amp;A expense increased $0.8 million for the three months ended August 31, 2023 compared to the same period in the prior year. The change from the prior year was primarily driven by:</w:t>
      </w:r>
    </w:p>
    <w:p>
      <w:pPr>
        <w:spacing w:after="0" w:line="116" w:lineRule="exact"/>
        <w:rPr>
          <w:sz w:val="20"/>
          <w:szCs w:val="20"/>
          <w:color w:val="auto"/>
        </w:rPr>
      </w:pPr>
    </w:p>
    <w:p>
      <w:pPr>
        <w:jc w:val="both"/>
        <w:ind w:left="660" w:right="8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and benefits expenses, which increased $0.9 million. This increase was primarily driven by a change in the vesting of equity grants to members of the Board from a one-year vest period to immediate vesting which resulted in additional expense of $1.1 million in the first quarter of fiscal year 2024; and</w:t>
      </w:r>
    </w:p>
    <w:p>
      <w:pPr>
        <w:spacing w:after="0" w:line="2" w:lineRule="exact"/>
        <w:rPr>
          <w:rFonts w:ascii="Arial" w:cs="Arial" w:eastAsia="Arial" w:hAnsi="Arial"/>
          <w:sz w:val="18"/>
          <w:szCs w:val="18"/>
          <w:color w:val="auto"/>
        </w:rPr>
      </w:pPr>
    </w:p>
    <w:p>
      <w:pPr>
        <w:ind w:left="660" w:right="52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outside consultant spend for legal and IT, which increased $0.1 million. This was partially offset by decreased travel expenses of $0.2 million.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Three Months Ended</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7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Aug 31, 2023</w:t>
            </w:r>
          </w:p>
        </w:tc>
        <w:tc>
          <w:tcPr>
            <w:tcW w:w="12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Aug 31, 2022</w:t>
            </w:r>
          </w:p>
        </w:tc>
        <w:tc>
          <w:tcPr>
            <w:tcW w:w="280" w:type="dxa"/>
            <w:vAlign w:val="bottom"/>
          </w:tcPr>
          <w:p>
            <w:pPr>
              <w:spacing w:after="0"/>
              <w:rPr>
                <w:sz w:val="15"/>
                <w:szCs w:val="15"/>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171" w:lineRule="exact"/>
        <w:rPr>
          <w:sz w:val="20"/>
          <w:szCs w:val="20"/>
          <w:color w:val="auto"/>
        </w:rPr>
      </w:pPr>
    </w:p>
    <w:p>
      <w:pPr>
        <w:ind w:left="660" w:right="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expense decreased $1.2 million for the three months ended August 31, 2023 compared to the same period in the prior year due to the intangible assets that were included in the sale of the dialysis and BioSentry businesses.</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9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change in the fair value for the three months ended August 31, 2023 is related to the Eximo contingent consideration.</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-293370</wp:posOffset>
            </wp:positionV>
            <wp:extent cx="47320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32020" cy="128905"/>
                    </a:xfrm>
                    <a:prstGeom prst="rect">
                      <a:avLst/>
                    </a:prstGeom>
                    <a:noFill/>
                  </pic:spPr>
                </pic:pic>
              </a:graphicData>
            </a:graphic>
          </wp:anchor>
        </w:drawing>
      </w:r>
    </w:p>
    <w:p>
      <w:pPr>
        <w:spacing w:after="0" w:line="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Acquisition, restructuring and other items, net, decreased by $2.4 million for the three months ended August 31, 2023, compared to the same period in the prior year. The change from the prior year was primarily driven by:</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relocation expense related to the move of certain manufacturing lines to Costa Rica, which increased $0.5 million;</w:t>
      </w:r>
    </w:p>
    <w:p>
      <w:pPr>
        <w:spacing w:after="0" w:line="23"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transition services agreement that was entered into as a result of the sale of the dialysis and BioSentry businesses. The Company invoiced Merit Medical Systems, Inc. $0.2 million in the first quarter of fiscal year 2024;</w:t>
      </w:r>
    </w:p>
    <w:p>
      <w:pPr>
        <w:ind w:left="660" w:right="280" w:hanging="328"/>
        <w:spacing w:after="0" w:line="265"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payment to the Israeli Innovation Authority of $3.5 million related to grant funds that were provided to Eximo to develop the Auryon laser prior to the acquisition in the second quarter of fiscal year 2020. These grant funds were fully repaid in the first quarter of fiscal year 2023 to satisfy the obligation which was otherwise being paid as a royalty based on a percentage of sales; and</w:t>
      </w:r>
    </w:p>
    <w:p>
      <w:pPr>
        <w:ind w:left="660" w:right="140" w:hanging="328"/>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$0.9 million of deferred financing fees that were written-off in conjunction with the sale of the Dialysis and BioSentry businesses and concurrent extinguishment of the debt.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expense, net</w:t>
      </w:r>
      <w:r>
        <w:rPr>
          <w:rFonts w:ascii="Arial" w:cs="Arial" w:eastAsia="Arial" w:hAnsi="Arial"/>
          <w:sz w:val="17"/>
          <w:szCs w:val="17"/>
          <w:color w:val="auto"/>
        </w:rPr>
        <w:t xml:space="preserve"> - Other expenses include interest expense, foreign currency impacts, bank fees, and amortization of deferred financing costs.</w:t>
      </w:r>
    </w:p>
    <w:p>
      <w:pPr>
        <w:spacing w:after="0" w:line="183" w:lineRule="exact"/>
        <w:rPr>
          <w:sz w:val="20"/>
          <w:szCs w:val="20"/>
          <w:color w:val="auto"/>
        </w:rPr>
      </w:pPr>
    </w:p>
    <w:p>
      <w:pPr>
        <w:ind w:left="660" w:right="8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change in other expense of $0.4 million for the three months ended August 31, 2023, compared to the same period in the prior year, is primarily due to decreased interest expense of $0.3 million, increased interest income of $0.2 million and unrealized foreign currency fluctuations of $0.1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4"/>
          </w:tcPr>
          <w:p>
            <w:pPr>
              <w:ind w:left="7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6"/>
        </w:trPr>
        <w:tc>
          <w:tcPr>
            <w:tcW w:w="80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Aug 31, 2023</w:t>
            </w:r>
          </w:p>
        </w:tc>
        <w:tc>
          <w:tcPr>
            <w:tcW w:w="260" w:type="dxa"/>
            <w:vAlign w:val="bottom"/>
          </w:tcPr>
          <w:p>
            <w:pPr>
              <w:spacing w:after="0"/>
              <w:rPr>
                <w:sz w:val="15"/>
                <w:szCs w:val="15"/>
                <w:color w:val="auto"/>
              </w:rPr>
            </w:pPr>
          </w:p>
        </w:tc>
        <w:tc>
          <w:tcPr>
            <w:tcW w:w="1300" w:type="dxa"/>
            <w:vAlign w:val="bottom"/>
          </w:tcPr>
          <w:p>
            <w:pPr>
              <w:jc w:val="right"/>
              <w:ind w:right="296"/>
              <w:spacing w:after="0"/>
              <w:rPr>
                <w:sz w:val="20"/>
                <w:szCs w:val="20"/>
                <w:color w:val="auto"/>
              </w:rPr>
            </w:pPr>
            <w:r>
              <w:rPr>
                <w:rFonts w:ascii="Arial" w:cs="Arial" w:eastAsia="Arial" w:hAnsi="Arial"/>
                <w:sz w:val="14"/>
                <w:szCs w:val="14"/>
                <w:color w:val="auto"/>
              </w:rPr>
              <w:t>Aug 31, 2022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60" w:type="dxa"/>
            <w:vAlign w:val="bottom"/>
          </w:tcPr>
          <w:p>
            <w:pPr>
              <w:spacing w:after="0"/>
              <w:rPr>
                <w:sz w:val="20"/>
                <w:szCs w:val="20"/>
                <w:color w:val="auto"/>
              </w:rPr>
            </w:pPr>
          </w:p>
        </w:tc>
        <w:tc>
          <w:tcPr>
            <w:tcW w:w="1300" w:type="dxa"/>
            <w:vAlign w:val="bottom"/>
          </w:tcPr>
          <w:p>
            <w:pPr>
              <w:ind w:left="680"/>
              <w:spacing w:after="0"/>
              <w:rPr>
                <w:sz w:val="20"/>
                <w:szCs w:val="20"/>
                <w:color w:val="auto"/>
              </w:rPr>
            </w:pPr>
            <w:r>
              <w:rPr>
                <w:rFonts w:ascii="Arial" w:cs="Arial" w:eastAsia="Arial" w:hAnsi="Arial"/>
                <w:sz w:val="18"/>
                <w:szCs w:val="18"/>
                <w:color w:val="auto"/>
                <w:w w:val="95"/>
              </w:rPr>
              <w:t>(31.6)%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Our effective tax rate including discrete items for the three months ended August 31, 2023 and 2022 was (31.6)% and 6.2%, respectively. In fiscal year 2024,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regularly review our liquidity and anticipated capital requirements and we believe that our current cash on hand provides sufficient liquidity to meet our anticipated needs for capital for at least the next 12 months.</w:t>
      </w:r>
    </w:p>
    <w:p>
      <w:pPr>
        <w:spacing w:after="0" w:line="116"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cash and cash equivalents totaled $57.6 million as of August 31, 2023, compared with $44.6 million as of May 31, 2023. As of August 31, 2023 there was no outstanding debt as the Credit Agreement was extinguished in connection with the Divestiture (see Note 7 "Long-Term Debt" set forth in the Notes to our consolidated financial statements included in this Quarterly Report on Form 10-Q). As of May 31, 2023, total debt outstanding related to the Credit Agreement was $50.0 million. The fair value of contingent consideration liability as of August 31, 2023 and May 31, 2023, was $9.2 million and $19.3 million, respectively.</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our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4"/>
          </w:tcPr>
          <w:p>
            <w:pPr>
              <w:jc w:val="right"/>
              <w:ind w:right="79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25"/>
        </w:trPr>
        <w:tc>
          <w:tcPr>
            <w:tcW w:w="82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Aug 31, 2023</w:t>
            </w:r>
          </w:p>
        </w:tc>
        <w:tc>
          <w:tcPr>
            <w:tcW w:w="220" w:type="dxa"/>
            <w:vAlign w:val="bottom"/>
          </w:tcPr>
          <w:p>
            <w:pPr>
              <w:spacing w:after="0"/>
              <w:rPr>
                <w:sz w:val="15"/>
                <w:szCs w:val="15"/>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color w:val="auto"/>
              </w:rPr>
              <w:t>Aug 31, 2022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(25,899)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(24,745)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24,376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quarters ended August 31, 2023 and 2022, cash flows consisted of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August 31, 2023 and 2022:</w:t>
      </w:r>
    </w:p>
    <w:p>
      <w:pPr>
        <w:spacing w:after="0" w:line="171" w:lineRule="exact"/>
        <w:rPr>
          <w:sz w:val="20"/>
          <w:szCs w:val="20"/>
          <w:color w:val="auto"/>
        </w:rPr>
      </w:pPr>
    </w:p>
    <w:p>
      <w:pPr>
        <w:ind w:left="660" w:right="42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of $45.9 million and a net loss of $13.0 million, respectively, plus the non-cash items, primarily driven by depreciation and amortization and stock based compensation, along with the changes in working capital below, contributed to cash used in operations of $25.9 million and $24.7 million, respectively, for these periods.</w:t>
      </w:r>
    </w:p>
    <w:p>
      <w:pPr>
        <w:spacing w:after="0" w:line="2"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period ended August 31, 2023, working capital was unfavorably impacted by decreased accounts payable, accrued liabilities and other liabilities of $16.5 million, along with increased inventory and prepaid expenses of $4.6 million and $4.2 million, respectively. This was partially offset by decreased accounts receivable of $3.2 million.</w:t>
      </w:r>
    </w:p>
    <w:p>
      <w:pPr>
        <w:spacing w:after="0" w:line="1" w:lineRule="exact"/>
        <w:rPr>
          <w:rFonts w:ascii="Arial" w:cs="Arial" w:eastAsia="Arial" w:hAnsi="Arial"/>
          <w:sz w:val="18"/>
          <w:szCs w:val="18"/>
          <w:color w:val="auto"/>
        </w:rPr>
      </w:pPr>
    </w:p>
    <w:p>
      <w:pPr>
        <w:ind w:left="660" w:right="36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period ended August 31, 2022, working capital was unfavorably impacted by decreased accounts payable, accrued liabilities and other liabilities of $9.0 million, along with increased receivables, inventory and prepaid expenses of $1.4 million, $6.2 million and $5.7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(used in) investing activities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August 31, 2023 and 2022:</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$0.8 million and $0.8 million, respectively, of cash was used for fixed asset additions;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$0.8 million and $2.2 million, respectively, of cash was used for Auryon placement and evaluation unit additions;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$100.0 million of cash was received for the divestiture of the dialysis and BioSentry businesses in the first quarter of fiscal year 2024;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$0.5 million of cash was used for the acquisition of an exclusive license in the first quarter of fiscal year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August 31, 2023 and 2022:</w:t>
      </w:r>
    </w:p>
    <w:p>
      <w:pPr>
        <w:spacing w:after="0" w:line="171" w:lineRule="exact"/>
        <w:rPr>
          <w:sz w:val="20"/>
          <w:szCs w:val="20"/>
          <w:color w:val="auto"/>
        </w:rPr>
      </w:pPr>
    </w:p>
    <w:p>
      <w:pPr>
        <w:ind w:left="660" w:hanging="328"/>
        <w:spacing w:after="0" w:line="25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$50.0 million repayment of the Credit Agreement in connection with the completion of the dialysis and BioSentry divestiture in the first quarter of fiscal year 2024;</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$70.0 million in proceeds on long-term debt less the repayment of $45.0 million associated with the then new Credit Agreement in the first quarter of fiscal year 2023;</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$0.7 million of deferred financing costs associated with the then new Credit Agreement in the first quarter of fiscal year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million contingent consideration payment made in the first quarter of fiscal year 2024;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$0.4 million and $0.1 million, respectively, of proceeds from stock option and ESPP activity.</w:t>
      </w:r>
    </w:p>
    <w:p>
      <w:pPr>
        <w:spacing w:after="0" w:line="157"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On June 8, 2023 and in connection with the completion of the dialysis and BioSentry divestiture, the Company repaid all amounts outstanding under its existing Credit Agreement, and as a result, the Credit Agreement was extinguished. Pursuant to the terms of the Credit Agreement, AngioDynamics had the option to repay this facility prior to the maturity date without penalty.</w:t>
      </w:r>
    </w:p>
    <w:p>
      <w:pPr>
        <w:spacing w:after="0" w:line="130"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we may require external financing.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17 to our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We are exposed to market risk from changes in currency exchange rates and investments that could impact our results of operations and financial position.</w:t>
      </w:r>
    </w:p>
    <w:p>
      <w:pPr>
        <w:spacing w:after="0" w:line="1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For the three months ended August 31, 2023, approximately 3.75%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and trade accounts receivable.</w:t>
      </w:r>
    </w:p>
    <w:p>
      <w:pPr>
        <w:spacing w:after="0" w:line="11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Company maintains cash and cash equivalents at various institutions and performs periodic evaluations of the relative credit standings of these financial institutions to ensure their credit worthiness.</w:t>
      </w:r>
    </w:p>
    <w:p>
      <w:pPr>
        <w:spacing w:after="0" w:line="11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August 31,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640" w:firstLine="389"/>
        <w:spacing w:after="0" w:line="277" w:lineRule="auto"/>
        <w:rPr>
          <w:sz w:val="20"/>
          <w:szCs w:val="20"/>
          <w:color w:val="auto"/>
        </w:rPr>
      </w:pPr>
      <w:r>
        <w:rPr>
          <w:rFonts w:ascii="Arial" w:cs="Arial" w:eastAsia="Arial" w:hAnsi="Arial"/>
          <w:sz w:val="18"/>
          <w:szCs w:val="18"/>
          <w:color w:val="auto"/>
        </w:rPr>
        <w:t>See Note 14 "Commitments and Contingencies" set forth in the notes to our consolidated financial statements included in Part I, Item I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 addition to information set forth in this report, you should carefully consider the factors discussed in “Part I, Item 1A. Risk Factors” of our annual report on Form 10-K for our fiscal year ended May 31, 2023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w:t>
      </w:r>
    </w:p>
    <w:p>
      <w:pPr>
        <w:spacing w:after="0" w:line="158" w:lineRule="exact"/>
        <w:rPr>
          <w:sz w:val="20"/>
          <w:szCs w:val="20"/>
          <w:color w:val="auto"/>
        </w:rPr>
      </w:pPr>
    </w:p>
    <w:p>
      <w:pPr>
        <w:ind w:right="40" w:firstLine="405"/>
        <w:spacing w:after="0" w:line="255" w:lineRule="auto"/>
        <w:rPr>
          <w:sz w:val="20"/>
          <w:szCs w:val="20"/>
          <w:color w:val="auto"/>
        </w:rPr>
      </w:pPr>
      <w:r>
        <w:rPr>
          <w:rFonts w:ascii="Arial" w:cs="Arial" w:eastAsia="Arial" w:hAnsi="Arial"/>
          <w:sz w:val="17"/>
          <w:szCs w:val="17"/>
          <w:color w:val="auto"/>
        </w:rPr>
        <w:t>On June 8, 2023, the Company completed the sale of the dialysis and BioSentry businesses to Merit Medical Systems, Inc. In connection with the completion of the sale, the Company repaid all amounts outstanding under its then existing Credit Agreement, and as a result, the Credit Agreement was extinguished. 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or if circumstances materially change, we may require additional financing for liquidity, capital requirements or growth initiatives. We may not be able to obtain financing on terms and at interest rates that are favorable to us or at all. Any inability by us to obtain financing in the future could have a material adverse effect on our business, financial position, results of operations and cash flows.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with respect to the shares of the Company’s common stock repurchased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4"/>
          </w:tcPr>
          <w:p>
            <w:pPr>
              <w:spacing w:after="0"/>
              <w:rPr>
                <w:sz w:val="20"/>
                <w:szCs w:val="20"/>
                <w:color w:val="auto"/>
              </w:rPr>
            </w:pPr>
            <w:r>
              <w:rPr>
                <w:rFonts w:ascii="Arial" w:cs="Arial" w:eastAsia="Arial" w:hAnsi="Arial"/>
                <w:sz w:val="14"/>
                <w:szCs w:val="14"/>
                <w:color w:val="auto"/>
                <w:w w:val="92"/>
              </w:rPr>
              <w:t>Issuer Purchases of Equity Securities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6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2"/>
              <w:spacing w:after="0" w:line="137" w:lineRule="exact"/>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Total</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0"/>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97"/>
              </w:rPr>
              <w:t>Number of</w:t>
            </w:r>
          </w:p>
        </w:tc>
        <w:tc>
          <w:tcPr>
            <w:tcW w:w="160" w:type="dxa"/>
            <w:vAlign w:val="bottom"/>
          </w:tcPr>
          <w:p>
            <w:pPr>
              <w:spacing w:after="0"/>
              <w:rPr>
                <w:sz w:val="12"/>
                <w:szCs w:val="12"/>
                <w:color w:val="auto"/>
              </w:rPr>
            </w:pPr>
          </w:p>
        </w:tc>
        <w:tc>
          <w:tcPr>
            <w:tcW w:w="1160" w:type="dxa"/>
            <w:vAlign w:val="bottom"/>
          </w:tcPr>
          <w:p>
            <w:pPr>
              <w:jc w:val="center"/>
              <w:ind w:right="82"/>
              <w:spacing w:after="0" w:line="141" w:lineRule="exact"/>
              <w:rPr>
                <w:sz w:val="20"/>
                <w:szCs w:val="20"/>
                <w:color w:val="auto"/>
              </w:rPr>
            </w:pPr>
            <w:r>
              <w:rPr>
                <w:rFonts w:ascii="Arial" w:cs="Arial" w:eastAsia="Arial" w:hAnsi="Arial"/>
                <w:sz w:val="14"/>
                <w:szCs w:val="14"/>
                <w:color w:val="auto"/>
                <w:w w:val="94"/>
              </w:rPr>
              <w:t>Dollar Value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Shares</w:t>
            </w:r>
          </w:p>
        </w:tc>
        <w:tc>
          <w:tcPr>
            <w:tcW w:w="160" w:type="dxa"/>
            <w:vAlign w:val="bottom"/>
          </w:tcPr>
          <w:p>
            <w:pPr>
              <w:spacing w:after="0"/>
              <w:rPr>
                <w:sz w:val="12"/>
                <w:szCs w:val="12"/>
                <w:color w:val="auto"/>
              </w:rPr>
            </w:pPr>
          </w:p>
        </w:tc>
        <w:tc>
          <w:tcPr>
            <w:tcW w:w="116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3"/>
        </w:trPr>
        <w:tc>
          <w:tcPr>
            <w:tcW w:w="64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89"/>
              </w:rPr>
              <w:t>Purchased</w:t>
            </w:r>
          </w:p>
        </w:tc>
        <w:tc>
          <w:tcPr>
            <w:tcW w:w="160" w:type="dxa"/>
            <w:vAlign w:val="bottom"/>
          </w:tcPr>
          <w:p>
            <w:pPr>
              <w:spacing w:after="0"/>
              <w:rPr>
                <w:sz w:val="12"/>
                <w:szCs w:val="12"/>
                <w:color w:val="auto"/>
              </w:rPr>
            </w:pPr>
          </w:p>
        </w:tc>
        <w:tc>
          <w:tcPr>
            <w:tcW w:w="1160" w:type="dxa"/>
            <w:vAlign w:val="bottom"/>
          </w:tcPr>
          <w:p>
            <w:pPr>
              <w:jc w:val="center"/>
              <w:ind w:right="82"/>
              <w:spacing w:after="0" w:line="143" w:lineRule="exact"/>
              <w:rPr>
                <w:sz w:val="20"/>
                <w:szCs w:val="20"/>
                <w:color w:val="auto"/>
              </w:rPr>
            </w:pPr>
            <w:r>
              <w:rPr>
                <w:rFonts w:ascii="Arial" w:cs="Arial" w:eastAsia="Arial" w:hAnsi="Arial"/>
                <w:sz w:val="14"/>
                <w:szCs w:val="14"/>
                <w:color w:val="auto"/>
                <w:w w:val="96"/>
              </w:rPr>
              <w:t>that May Yet</w:t>
            </w:r>
          </w:p>
        </w:tc>
        <w:tc>
          <w:tcPr>
            <w:tcW w:w="0" w:type="dxa"/>
            <w:vAlign w:val="bottom"/>
          </w:tcPr>
          <w:p>
            <w:pPr>
              <w:spacing w:after="0"/>
              <w:rPr>
                <w:sz w:val="1"/>
                <w:szCs w:val="1"/>
                <w:color w:val="auto"/>
              </w:rPr>
            </w:pPr>
          </w:p>
        </w:tc>
      </w:tr>
      <w:tr>
        <w:trPr>
          <w:trHeight w:val="140"/>
        </w:trPr>
        <w:tc>
          <w:tcPr>
            <w:tcW w:w="6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0"/>
              </w:rPr>
              <w:t>as Part of</w:t>
            </w:r>
          </w:p>
        </w:tc>
        <w:tc>
          <w:tcPr>
            <w:tcW w:w="160" w:type="dxa"/>
            <w:vAlign w:val="bottom"/>
          </w:tcPr>
          <w:p>
            <w:pPr>
              <w:spacing w:after="0"/>
              <w:rPr>
                <w:sz w:val="12"/>
                <w:szCs w:val="12"/>
                <w:color w:val="auto"/>
              </w:rPr>
            </w:pPr>
          </w:p>
        </w:tc>
        <w:tc>
          <w:tcPr>
            <w:tcW w:w="1160" w:type="dxa"/>
            <w:vAlign w:val="bottom"/>
          </w:tcPr>
          <w:p>
            <w:pPr>
              <w:jc w:val="center"/>
              <w:ind w:right="82"/>
              <w:spacing w:after="0" w:line="141" w:lineRule="exact"/>
              <w:rPr>
                <w:sz w:val="20"/>
                <w:szCs w:val="20"/>
                <w:color w:val="auto"/>
              </w:rPr>
            </w:pPr>
            <w:r>
              <w:rPr>
                <w:rFonts w:ascii="Arial" w:cs="Arial" w:eastAsia="Arial" w:hAnsi="Arial"/>
                <w:sz w:val="14"/>
                <w:szCs w:val="14"/>
                <w:color w:val="auto"/>
                <w:w w:val="93"/>
              </w:rPr>
              <w:t>Be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Number of</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Publicly</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89"/>
              </w:rPr>
              <w:t>Purchased</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3"/>
              </w:rPr>
              <w:t>Price Paid</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3"/>
              </w:rPr>
              <w:t>Announced</w:t>
            </w:r>
          </w:p>
        </w:tc>
        <w:tc>
          <w:tcPr>
            <w:tcW w:w="16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93"/>
              </w:rPr>
              <w:t>Under Plans</w:t>
            </w: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Purchased (1)</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per Share</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Programs (2)</w:t>
            </w: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color w:val="auto"/>
                <w:w w:val="93"/>
              </w:rPr>
              <w:t>or Programs (2)</w:t>
            </w:r>
          </w:p>
        </w:tc>
        <w:tc>
          <w:tcPr>
            <w:tcW w:w="0" w:type="dxa"/>
            <w:vAlign w:val="bottom"/>
          </w:tcPr>
          <w:p>
            <w:pPr>
              <w:spacing w:after="0"/>
              <w:rPr>
                <w:sz w:val="1"/>
                <w:szCs w:val="1"/>
                <w:color w:val="auto"/>
              </w:rPr>
            </w:pPr>
          </w:p>
        </w:tc>
      </w:tr>
      <w:tr>
        <w:trPr>
          <w:trHeight w:val="22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2023 - June 30,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July 1, 2023 - July 31, 2023</w:t>
            </w:r>
          </w:p>
        </w:tc>
        <w:tc>
          <w:tcPr>
            <w:tcW w:w="1100" w:type="dxa"/>
            <w:vAlign w:val="bottom"/>
          </w:tcPr>
          <w:p>
            <w:pPr>
              <w:jc w:val="right"/>
              <w:spacing w:after="0"/>
              <w:rPr>
                <w:sz w:val="20"/>
                <w:szCs w:val="20"/>
                <w:color w:val="auto"/>
              </w:rPr>
            </w:pPr>
            <w:r>
              <w:rPr>
                <w:rFonts w:ascii="Arial" w:cs="Arial" w:eastAsia="Arial" w:hAnsi="Arial"/>
                <w:sz w:val="18"/>
                <w:szCs w:val="18"/>
                <w:color w:val="auto"/>
              </w:rPr>
              <w:t>52,538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1, 2023 - August 31, 2023</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53,938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580" w:hanging="329"/>
        <w:spacing w:after="0"/>
        <w:tabs>
          <w:tab w:leader="none" w:pos="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These shares were purchased from employees to satisfy tax withholding requirements on the vesting of restricted shares/units from equity-based awards.</w:t>
      </w:r>
    </w:p>
    <w:p>
      <w:pPr>
        <w:spacing w:after="0" w:line="33" w:lineRule="exact"/>
        <w:rPr>
          <w:rFonts w:ascii="Arial" w:cs="Arial" w:eastAsia="Arial" w:hAnsi="Arial"/>
          <w:sz w:val="15"/>
          <w:szCs w:val="15"/>
          <w:color w:val="auto"/>
        </w:rPr>
      </w:pPr>
    </w:p>
    <w:p>
      <w:pPr>
        <w:ind w:left="580" w:hanging="329"/>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amounts are not applicable as the Company currently does not have a share repurchase program in effect.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Insider Trading Arrangements</w:t>
      </w:r>
    </w:p>
    <w:p>
      <w:pPr>
        <w:spacing w:after="0" w:line="117" w:lineRule="exact"/>
        <w:rPr>
          <w:sz w:val="20"/>
          <w:szCs w:val="20"/>
          <w:color w:val="auto"/>
        </w:rPr>
      </w:pPr>
    </w:p>
    <w:p>
      <w:pPr>
        <w:jc w:val="both"/>
        <w:ind w:right="360" w:firstLine="445"/>
        <w:spacing w:after="0" w:line="263" w:lineRule="auto"/>
        <w:rPr>
          <w:sz w:val="20"/>
          <w:szCs w:val="20"/>
          <w:color w:val="auto"/>
        </w:rPr>
      </w:pPr>
      <w:r>
        <w:rPr>
          <w:rFonts w:ascii="Arial" w:cs="Arial" w:eastAsia="Arial" w:hAnsi="Arial"/>
          <w:sz w:val="18"/>
          <w:szCs w:val="18"/>
          <w:color w:val="auto"/>
        </w:rPr>
        <w:t>During the quarter ended August 31, 2023, none of our directors or officers (as defined in Section 16 of the Securities Exchange Act of 1934, as amended) or the Company adopted or terminated a "Rule 10b5-1 trading arrangement" or a "non-Rule 10b5-1 trading arrangement" (each as defined in Item 408(a) and (c), respectively, of Regulation S-K).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34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rPr>
              <w:t>EXHIBIT INDEX</w:t>
            </w:r>
          </w:p>
        </w:tc>
        <w:tc>
          <w:tcPr>
            <w:tcW w:w="14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Incorporated by Reference</w:t>
            </w: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No.</w:t>
            </w:r>
          </w:p>
        </w:tc>
        <w:tc>
          <w:tcPr>
            <w:tcW w:w="26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8"/>
                <w:szCs w:val="18"/>
                <w:b w:val="1"/>
                <w:bCs w:val="1"/>
                <w:color w:val="auto"/>
                <w:w w:val="88"/>
              </w:rPr>
              <w:t>Description</w:t>
            </w:r>
          </w:p>
        </w:tc>
        <w:tc>
          <w:tcPr>
            <w:tcW w:w="14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5"/>
              </w:rPr>
              <w:t>Form</w:t>
            </w:r>
          </w:p>
        </w:tc>
        <w:tc>
          <w:tcPr>
            <w:tcW w:w="24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Exhibit</w:t>
            </w: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5"/>
              </w:rPr>
              <w:t>Filing Date</w:t>
            </w:r>
          </w:p>
        </w:tc>
        <w:tc>
          <w:tcPr>
            <w:tcW w:w="0" w:type="dxa"/>
            <w:vAlign w:val="bottom"/>
          </w:tcPr>
          <w:p>
            <w:pPr>
              <w:spacing w:after="0"/>
              <w:rPr>
                <w:sz w:val="1"/>
                <w:szCs w:val="1"/>
                <w:color w:val="auto"/>
              </w:rPr>
            </w:pPr>
          </w:p>
        </w:tc>
      </w:tr>
      <w:tr>
        <w:trPr>
          <w:trHeight w:val="439"/>
        </w:trPr>
        <w:tc>
          <w:tcPr>
            <w:tcW w:w="1060" w:type="dxa"/>
            <w:vAlign w:val="bottom"/>
          </w:tcPr>
          <w:p>
            <w:pPr>
              <w:ind w:left="20"/>
              <w:spacing w:after="0"/>
              <w:rPr>
                <w:sz w:val="20"/>
                <w:szCs w:val="20"/>
                <w:color w:val="auto"/>
              </w:rPr>
            </w:pPr>
            <w:r>
              <w:rPr>
                <w:rFonts w:ascii="Arial" w:cs="Arial" w:eastAsia="Arial" w:hAnsi="Arial"/>
                <w:sz w:val="18"/>
                <w:szCs w:val="18"/>
                <w:color w:val="auto"/>
              </w:rPr>
              <w:t>2.1</w:t>
            </w:r>
          </w:p>
        </w:tc>
        <w:tc>
          <w:tcPr>
            <w:tcW w:w="4600" w:type="dxa"/>
            <w:vAlign w:val="bottom"/>
            <w:gridSpan w:val="10"/>
          </w:tcPr>
          <w:p>
            <w:pPr>
              <w:spacing w:after="0"/>
              <w:rPr>
                <w:rFonts w:ascii="Arial" w:cs="Arial" w:eastAsia="Arial" w:hAnsi="Arial"/>
                <w:sz w:val="18"/>
                <w:szCs w:val="18"/>
                <w:color w:val="0000FF"/>
                <w:w w:val="95"/>
              </w:rPr>
            </w:pPr>
            <w:hyperlink r:id="rId51">
              <w:r>
                <w:rPr>
                  <w:rFonts w:ascii="Arial" w:cs="Arial" w:eastAsia="Arial" w:hAnsi="Arial"/>
                  <w:sz w:val="18"/>
                  <w:szCs w:val="18"/>
                  <w:color w:val="0000FF"/>
                  <w:w w:val="95"/>
                </w:rPr>
                <w:t>Asset Purchase Agreement dated as of June 8, 2023 by and</w:t>
              </w:r>
            </w:hyperlink>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between AngioDynamics, Inc. and Merit Medical Systems,</w:t>
              </w:r>
            </w:hyperlink>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restart"/>
          </w:tcPr>
          <w:p>
            <w:pPr>
              <w:jc w:val="center"/>
              <w:ind w:left="270"/>
              <w:spacing w:after="0"/>
              <w:rPr>
                <w:sz w:val="20"/>
                <w:szCs w:val="20"/>
                <w:color w:val="auto"/>
              </w:rPr>
            </w:pPr>
            <w:r>
              <w:rPr>
                <w:rFonts w:ascii="Arial" w:cs="Arial" w:eastAsia="Arial" w:hAnsi="Arial"/>
                <w:sz w:val="18"/>
                <w:szCs w:val="18"/>
                <w:color w:val="auto"/>
                <w:w w:val="99"/>
              </w:rPr>
              <w:t>8-K</w:t>
            </w:r>
          </w:p>
        </w:tc>
        <w:tc>
          <w:tcPr>
            <w:tcW w:w="2460" w:type="dxa"/>
            <w:vAlign w:val="bottom"/>
            <w:vMerge w:val="restart"/>
          </w:tcPr>
          <w:p>
            <w:pPr>
              <w:jc w:val="center"/>
              <w:ind w:left="70"/>
              <w:spacing w:after="0"/>
              <w:rPr>
                <w:sz w:val="20"/>
                <w:szCs w:val="20"/>
                <w:color w:val="auto"/>
              </w:rPr>
            </w:pPr>
            <w:r>
              <w:rPr>
                <w:rFonts w:ascii="Arial" w:cs="Arial" w:eastAsia="Arial" w:hAnsi="Arial"/>
                <w:sz w:val="18"/>
                <w:szCs w:val="18"/>
                <w:color w:val="auto"/>
                <w:w w:val="87"/>
              </w:rPr>
              <w:t>2.1</w:t>
            </w:r>
          </w:p>
        </w:tc>
        <w:tc>
          <w:tcPr>
            <w:tcW w:w="1640" w:type="dxa"/>
            <w:vAlign w:val="bottom"/>
            <w:vMerge w:val="restart"/>
          </w:tcPr>
          <w:p>
            <w:pPr>
              <w:jc w:val="center"/>
              <w:ind w:right="130"/>
              <w:spacing w:after="0"/>
              <w:rPr>
                <w:sz w:val="20"/>
                <w:szCs w:val="20"/>
                <w:color w:val="auto"/>
              </w:rPr>
            </w:pPr>
            <w:r>
              <w:rPr>
                <w:rFonts w:ascii="Arial" w:cs="Arial" w:eastAsia="Arial" w:hAnsi="Arial"/>
                <w:sz w:val="18"/>
                <w:szCs w:val="18"/>
                <w:color w:val="auto"/>
                <w:w w:val="89"/>
              </w:rPr>
              <w:t>June 14, 2023</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4260" w:type="dxa"/>
            <w:vAlign w:val="bottom"/>
            <w:gridSpan w:val="6"/>
          </w:tcPr>
          <w:p>
            <w:pPr>
              <w:spacing w:after="0" w:line="169" w:lineRule="exact"/>
              <w:rPr>
                <w:rFonts w:ascii="Arial" w:cs="Arial" w:eastAsia="Arial" w:hAnsi="Arial"/>
                <w:sz w:val="18"/>
                <w:szCs w:val="18"/>
                <w:color w:val="0000FF"/>
              </w:rPr>
            </w:pPr>
            <w:hyperlink r:id="rId51">
              <w:r>
                <w:rPr>
                  <w:rFonts w:ascii="Arial" w:cs="Arial" w:eastAsia="Arial" w:hAnsi="Arial"/>
                  <w:sz w:val="18"/>
                  <w:szCs w:val="18"/>
                  <w:color w:val="0000FF"/>
                </w:rPr>
                <w:t>Inc.</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4600" w:type="dxa"/>
            <w:vAlign w:val="bottom"/>
            <w:gridSpan w:val="10"/>
          </w:tcPr>
          <w:p>
            <w:pPr>
              <w:spacing w:after="0"/>
              <w:rPr>
                <w:sz w:val="20"/>
                <w:szCs w:val="20"/>
                <w:color w:val="auto"/>
              </w:rPr>
            </w:pPr>
            <w:r>
              <w:rPr>
                <w:rFonts w:ascii="Arial" w:cs="Arial" w:eastAsia="Arial" w:hAnsi="Arial"/>
                <w:sz w:val="18"/>
                <w:szCs w:val="18"/>
                <w:color w:val="0000FF"/>
                <w:w w:val="95"/>
              </w:rPr>
              <w:t>Certification pursuant to Rule 13a-14(a) or 15d-14 under the</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34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4600" w:type="dxa"/>
            <w:vAlign w:val="bottom"/>
            <w:gridSpan w:val="10"/>
          </w:tcPr>
          <w:p>
            <w:pPr>
              <w:spacing w:after="0"/>
              <w:rPr>
                <w:sz w:val="20"/>
                <w:szCs w:val="20"/>
                <w:color w:val="auto"/>
              </w:rPr>
            </w:pPr>
            <w:r>
              <w:rPr>
                <w:rFonts w:ascii="Arial" w:cs="Arial" w:eastAsia="Arial" w:hAnsi="Arial"/>
                <w:sz w:val="18"/>
                <w:szCs w:val="18"/>
                <w:color w:val="0000FF"/>
                <w:w w:val="95"/>
              </w:rPr>
              <w:t>Certification pursuant to Rule 13a-14(a) or 15d-14 under the</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4600" w:type="dxa"/>
            <w:vAlign w:val="bottom"/>
            <w:gridSpan w:val="10"/>
          </w:tcPr>
          <w:p>
            <w:pPr>
              <w:spacing w:after="0"/>
              <w:rPr>
                <w:sz w:val="20"/>
                <w:szCs w:val="20"/>
                <w:color w:val="auto"/>
              </w:rPr>
            </w:pPr>
            <w:r>
              <w:rPr>
                <w:rFonts w:ascii="Arial" w:cs="Arial" w:eastAsia="Arial" w:hAnsi="Arial"/>
                <w:sz w:val="18"/>
                <w:szCs w:val="18"/>
                <w:color w:val="0000FF"/>
                <w:w w:val="98"/>
              </w:rPr>
              <w:t>Certification of Chief Executive Officer pursuant to Title 18,</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36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3"/>
              </w:rPr>
              <w:t>United States Code, Section 1350, as adopted pursuant to</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200" w:type="dxa"/>
            <w:vAlign w:val="bottom"/>
            <w:gridSpan w:val="3"/>
          </w:tcPr>
          <w:p>
            <w:pPr>
              <w:spacing w:after="0"/>
              <w:rPr>
                <w:sz w:val="14"/>
                <w:szCs w:val="14"/>
                <w:color w:val="auto"/>
              </w:rPr>
            </w:pPr>
          </w:p>
        </w:tc>
        <w:tc>
          <w:tcPr>
            <w:tcW w:w="280" w:type="dxa"/>
            <w:vAlign w:val="bottom"/>
            <w:gridSpan w:val="3"/>
          </w:tcPr>
          <w:p>
            <w:pPr>
              <w:spacing w:after="0"/>
              <w:rPr>
                <w:sz w:val="14"/>
                <w:szCs w:val="14"/>
                <w:color w:val="auto"/>
              </w:rPr>
            </w:pPr>
          </w:p>
        </w:tc>
        <w:tc>
          <w:tcPr>
            <w:tcW w:w="1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Arial" w:cs="Arial" w:eastAsia="Arial" w:hAnsi="Arial"/>
                <w:sz w:val="18"/>
                <w:szCs w:val="18"/>
                <w:color w:val="auto"/>
              </w:rPr>
              <w:t>32.2</w:t>
            </w:r>
          </w:p>
        </w:tc>
        <w:tc>
          <w:tcPr>
            <w:tcW w:w="4600" w:type="dxa"/>
            <w:vAlign w:val="bottom"/>
            <w:gridSpan w:val="10"/>
          </w:tcPr>
          <w:p>
            <w:pPr>
              <w:spacing w:after="0"/>
              <w:rPr>
                <w:sz w:val="20"/>
                <w:szCs w:val="20"/>
                <w:color w:val="auto"/>
              </w:rPr>
            </w:pPr>
            <w:r>
              <w:rPr>
                <w:rFonts w:ascii="Arial" w:cs="Arial" w:eastAsia="Arial" w:hAnsi="Arial"/>
                <w:sz w:val="18"/>
                <w:szCs w:val="18"/>
                <w:color w:val="0000FF"/>
                <w:w w:val="99"/>
              </w:rPr>
              <w:t>Certification of Chief Financial Officer pursuant to Title 18,</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2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2"/>
              </w:rPr>
              <w:t>United States Code, Section 1350, as adopted pursuant to</w:t>
            </w:r>
          </w:p>
        </w:tc>
        <w:tc>
          <w:tcPr>
            <w:tcW w:w="28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480" w:type="dxa"/>
            <w:vAlign w:val="bottom"/>
            <w:gridSpan w:val="6"/>
          </w:tcPr>
          <w:p>
            <w:pPr>
              <w:spacing w:after="0"/>
              <w:rPr>
                <w:sz w:val="14"/>
                <w:szCs w:val="14"/>
                <w:color w:val="auto"/>
              </w:rPr>
            </w:pPr>
          </w:p>
        </w:tc>
        <w:tc>
          <w:tcPr>
            <w:tcW w:w="1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4600" w:type="dxa"/>
            <w:vAlign w:val="bottom"/>
            <w:gridSpan w:val="10"/>
          </w:tcPr>
          <w:p>
            <w:pPr>
              <w:spacing w:after="0"/>
              <w:rPr>
                <w:sz w:val="20"/>
                <w:szCs w:val="20"/>
                <w:color w:val="auto"/>
              </w:rPr>
            </w:pPr>
            <w:r>
              <w:rPr>
                <w:rFonts w:ascii="Arial" w:cs="Arial" w:eastAsia="Arial" w:hAnsi="Arial"/>
                <w:sz w:val="18"/>
                <w:szCs w:val="18"/>
                <w:color w:val="auto"/>
                <w:w w:val="91"/>
              </w:rPr>
              <w:t>The instance document does not appear in the interactive data</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6"/>
                <w:szCs w:val="16"/>
                <w:color w:val="auto"/>
              </w:rPr>
            </w:pPr>
          </w:p>
        </w:tc>
        <w:tc>
          <w:tcPr>
            <w:tcW w:w="4600" w:type="dxa"/>
            <w:vAlign w:val="bottom"/>
            <w:gridSpan w:val="10"/>
          </w:tcPr>
          <w:p>
            <w:pPr>
              <w:spacing w:after="0" w:line="189" w:lineRule="exact"/>
              <w:rPr>
                <w:sz w:val="20"/>
                <w:szCs w:val="20"/>
                <w:color w:val="auto"/>
              </w:rPr>
            </w:pPr>
            <w:r>
              <w:rPr>
                <w:rFonts w:ascii="Arial" w:cs="Arial" w:eastAsia="Arial" w:hAnsi="Arial"/>
                <w:sz w:val="18"/>
                <w:szCs w:val="18"/>
                <w:color w:val="auto"/>
                <w:w w:val="99"/>
              </w:rPr>
              <w:t>file because its XBRL tags are embedded within the inline</w:t>
            </w:r>
          </w:p>
        </w:tc>
        <w:tc>
          <w:tcPr>
            <w:tcW w:w="1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600" w:type="dxa"/>
            <w:vAlign w:val="bottom"/>
            <w:gridSpan w:val="10"/>
          </w:tcPr>
          <w:p>
            <w:pPr>
              <w:spacing w:after="0"/>
              <w:rPr>
                <w:sz w:val="20"/>
                <w:szCs w:val="20"/>
                <w:color w:val="auto"/>
              </w:rPr>
            </w:pPr>
            <w:r>
              <w:rPr>
                <w:rFonts w:ascii="Arial" w:cs="Arial" w:eastAsia="Arial" w:hAnsi="Arial"/>
                <w:sz w:val="18"/>
                <w:szCs w:val="18"/>
                <w:color w:val="auto"/>
              </w:rPr>
              <w:t>XBRL document</w:t>
            </w:r>
          </w:p>
        </w:tc>
        <w:tc>
          <w:tcPr>
            <w:tcW w:w="1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4600" w:type="dxa"/>
            <w:vAlign w:val="bottom"/>
            <w:gridSpan w:val="10"/>
          </w:tcPr>
          <w:p>
            <w:pPr>
              <w:spacing w:after="0"/>
              <w:rPr>
                <w:sz w:val="20"/>
                <w:szCs w:val="20"/>
                <w:color w:val="auto"/>
              </w:rPr>
            </w:pPr>
            <w:r>
              <w:rPr>
                <w:rFonts w:ascii="Arial" w:cs="Arial" w:eastAsia="Arial" w:hAnsi="Arial"/>
                <w:sz w:val="18"/>
                <w:szCs w:val="18"/>
                <w:color w:val="auto"/>
              </w:rPr>
              <w:t>XBRL Schema Document</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101.CAL</w:t>
            </w:r>
          </w:p>
        </w:tc>
        <w:tc>
          <w:tcPr>
            <w:tcW w:w="4600" w:type="dxa"/>
            <w:vAlign w:val="bottom"/>
            <w:gridSpan w:val="10"/>
          </w:tcPr>
          <w:p>
            <w:pPr>
              <w:spacing w:after="0"/>
              <w:rPr>
                <w:sz w:val="20"/>
                <w:szCs w:val="20"/>
                <w:color w:val="auto"/>
              </w:rPr>
            </w:pPr>
            <w:r>
              <w:rPr>
                <w:rFonts w:ascii="Arial" w:cs="Arial" w:eastAsia="Arial" w:hAnsi="Arial"/>
                <w:sz w:val="18"/>
                <w:szCs w:val="18"/>
                <w:color w:val="auto"/>
              </w:rPr>
              <w:t>XBRL Calculation Linkbase Documents</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4600" w:type="dxa"/>
            <w:vAlign w:val="bottom"/>
            <w:gridSpan w:val="10"/>
          </w:tcPr>
          <w:p>
            <w:pPr>
              <w:spacing w:after="0"/>
              <w:rPr>
                <w:sz w:val="20"/>
                <w:szCs w:val="20"/>
                <w:color w:val="auto"/>
              </w:rPr>
            </w:pPr>
            <w:r>
              <w:rPr>
                <w:rFonts w:ascii="Arial" w:cs="Arial" w:eastAsia="Arial" w:hAnsi="Arial"/>
                <w:sz w:val="18"/>
                <w:szCs w:val="18"/>
                <w:color w:val="auto"/>
                <w:w w:val="98"/>
              </w:rPr>
              <w:t>XBRL Taxonomy Extension Definition Linkbase Document</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8"/>
                <w:szCs w:val="18"/>
                <w:color w:val="auto"/>
              </w:rPr>
              <w:t>101.LAB</w:t>
            </w:r>
          </w:p>
        </w:tc>
        <w:tc>
          <w:tcPr>
            <w:tcW w:w="4600" w:type="dxa"/>
            <w:vAlign w:val="bottom"/>
            <w:gridSpan w:val="10"/>
          </w:tcPr>
          <w:p>
            <w:pPr>
              <w:spacing w:after="0"/>
              <w:rPr>
                <w:sz w:val="20"/>
                <w:szCs w:val="20"/>
                <w:color w:val="auto"/>
              </w:rPr>
            </w:pPr>
            <w:r>
              <w:rPr>
                <w:rFonts w:ascii="Arial" w:cs="Arial" w:eastAsia="Arial" w:hAnsi="Arial"/>
                <w:sz w:val="18"/>
                <w:szCs w:val="18"/>
                <w:color w:val="auto"/>
              </w:rPr>
              <w:t>XBRL Labels Linkbase Documents</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4600" w:type="dxa"/>
            <w:vAlign w:val="bottom"/>
            <w:gridSpan w:val="10"/>
          </w:tcPr>
          <w:p>
            <w:pPr>
              <w:spacing w:after="0"/>
              <w:rPr>
                <w:sz w:val="20"/>
                <w:szCs w:val="20"/>
                <w:color w:val="auto"/>
              </w:rPr>
            </w:pPr>
            <w:r>
              <w:rPr>
                <w:rFonts w:ascii="Arial" w:cs="Arial" w:eastAsia="Arial" w:hAnsi="Arial"/>
                <w:sz w:val="18"/>
                <w:szCs w:val="18"/>
                <w:color w:val="auto"/>
              </w:rPr>
              <w:t>XBRL Presentation Linkbase Documents</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445"/>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ANGIODYNAMICS, INC.</w:t>
            </w:r>
          </w:p>
        </w:tc>
      </w:tr>
      <w:tr>
        <w:trPr>
          <w:trHeight w:val="230"/>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60"/>
              <w:spacing w:after="0"/>
              <w:rPr>
                <w:sz w:val="20"/>
                <w:szCs w:val="20"/>
                <w:color w:val="auto"/>
              </w:rPr>
            </w:pPr>
            <w:r>
              <w:rPr>
                <w:rFonts w:ascii="Arial" w:cs="Arial" w:eastAsia="Arial" w:hAnsi="Arial"/>
                <w:sz w:val="18"/>
                <w:szCs w:val="18"/>
                <w:color w:val="auto"/>
              </w:rPr>
              <w:t>October 5, 2023</w:t>
            </w:r>
          </w:p>
        </w:tc>
        <w:tc>
          <w:tcPr>
            <w:tcW w:w="79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 S /  JAMES C. CLEMMER</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James C. Clemmer, President,</w:t>
            </w:r>
          </w:p>
        </w:tc>
      </w:tr>
      <w:tr>
        <w:trPr>
          <w:trHeight w:val="184"/>
        </w:trPr>
        <w:tc>
          <w:tcPr>
            <w:tcW w:w="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98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60"/>
              <w:spacing w:after="0"/>
              <w:rPr>
                <w:sz w:val="20"/>
                <w:szCs w:val="20"/>
                <w:color w:val="auto"/>
              </w:rPr>
            </w:pPr>
            <w:r>
              <w:rPr>
                <w:rFonts w:ascii="Arial" w:cs="Arial" w:eastAsia="Arial" w:hAnsi="Arial"/>
                <w:sz w:val="18"/>
                <w:szCs w:val="18"/>
                <w:color w:val="auto"/>
              </w:rPr>
              <w:t>October 5, 2023</w:t>
            </w:r>
          </w:p>
        </w:tc>
        <w:tc>
          <w:tcPr>
            <w:tcW w:w="7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Stephen A. Trowbridge, Executive Vice President,</w:t>
            </w:r>
          </w:p>
        </w:tc>
      </w:tr>
      <w:tr>
        <w:trPr>
          <w:trHeight w:val="184"/>
        </w:trPr>
        <w:tc>
          <w:tcPr>
            <w:tcW w:w="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98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121" w:right="4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50" w:lineRule="exact"/>
        <w:rPr>
          <w:sz w:val="20"/>
          <w:szCs w:val="20"/>
          <w:color w:val="auto"/>
        </w:rPr>
      </w:pPr>
    </w:p>
    <w:p>
      <w:pPr>
        <w:ind w:left="540" w:hanging="49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23" w:lineRule="exact"/>
        <w:rPr>
          <w:rFonts w:ascii="Arial" w:cs="Arial" w:eastAsia="Arial" w:hAnsi="Arial"/>
          <w:sz w:val="18"/>
          <w:szCs w:val="18"/>
          <w:color w:val="auto"/>
        </w:rPr>
      </w:pPr>
    </w:p>
    <w:p>
      <w:pPr>
        <w:jc w:val="both"/>
        <w:ind w:left="540" w:right="220" w:hanging="494"/>
        <w:spacing w:after="0" w:line="22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40" w:right="200" w:hanging="494"/>
        <w:spacing w:after="0" w:line="256"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right="220" w:hanging="494"/>
        <w:spacing w:after="0" w:line="22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ind w:left="540" w:right="420" w:hanging="494"/>
        <w:spacing w:after="0" w:line="229"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180" w:hanging="494"/>
        <w:spacing w:after="0" w:line="229"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540" w:right="960" w:hanging="494"/>
        <w:spacing w:after="0" w:line="272"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80" w:hanging="494"/>
        <w:spacing w:after="0" w:line="229"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sz w:val="20"/>
          <w:szCs w:val="20"/>
          <w:color w:val="auto"/>
        </w:rPr>
      </w:pPr>
    </w:p>
    <w:p>
      <w:pPr>
        <w:ind w:left="540" w:right="140" w:hanging="494"/>
        <w:spacing w:after="0" w:line="256"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40" w:right="380" w:hanging="494"/>
        <w:spacing w:after="0" w:line="235"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Arial" w:cs="Arial" w:eastAsia="Arial" w:hAnsi="Arial"/>
          <w:sz w:val="18"/>
          <w:szCs w:val="18"/>
          <w:color w:val="auto"/>
        </w:rPr>
      </w:pPr>
    </w:p>
    <w:p>
      <w:pPr>
        <w:ind w:left="540" w:right="360" w:hanging="494"/>
        <w:spacing w:after="0" w:line="235"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2023</w:t>
      </w:r>
    </w:p>
    <w:p>
      <w:pPr>
        <w:spacing w:after="0" w:line="252" w:lineRule="exact"/>
        <w:rPr>
          <w:sz w:val="20"/>
          <w:szCs w:val="20"/>
          <w:color w:val="auto"/>
        </w:rPr>
      </w:pPr>
    </w:p>
    <w:p>
      <w:pPr>
        <w:ind w:right="9080" w:firstLine="8"/>
        <w:spacing w:after="0" w:line="340" w:lineRule="auto"/>
        <w:tabs>
          <w:tab w:leader="none" w:pos="95" w:val="left"/>
        </w:tabs>
        <w:numPr>
          <w:ilvl w:val="0"/>
          <w:numId w:val="30"/>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 xml:space="preserve">S / JAMES C. CLEMMER </w:t>
      </w:r>
      <w:r>
        <w:rPr>
          <w:rFonts w:ascii="Arial" w:cs="Arial" w:eastAsia="Arial" w:hAnsi="Arial"/>
          <w:sz w:val="15"/>
          <w:szCs w:val="15"/>
          <w:color w:val="auto"/>
        </w:rPr>
        <w:t>James C. Clemmer, President, Chief Executive Officer</w:t>
      </w:r>
    </w:p>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Stephen A. Trowbridge, certify that:</w:t>
      </w:r>
    </w:p>
    <w:p>
      <w:pPr>
        <w:spacing w:after="0" w:line="50" w:lineRule="exact"/>
        <w:rPr>
          <w:sz w:val="20"/>
          <w:szCs w:val="20"/>
          <w:color w:val="auto"/>
        </w:rPr>
      </w:pPr>
    </w:p>
    <w:p>
      <w:pPr>
        <w:ind w:left="520" w:hanging="494"/>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23" w:lineRule="exact"/>
        <w:rPr>
          <w:rFonts w:ascii="Arial" w:cs="Arial" w:eastAsia="Arial" w:hAnsi="Arial"/>
          <w:sz w:val="18"/>
          <w:szCs w:val="18"/>
          <w:color w:val="auto"/>
        </w:rPr>
      </w:pPr>
    </w:p>
    <w:p>
      <w:pPr>
        <w:jc w:val="both"/>
        <w:ind w:left="520" w:right="240" w:hanging="494"/>
        <w:spacing w:after="0" w:line="229"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20" w:right="220" w:hanging="494"/>
        <w:spacing w:after="0" w:line="256"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40" w:hanging="494"/>
        <w:spacing w:after="0" w:line="229"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ind w:left="520" w:right="440" w:hanging="494"/>
        <w:spacing w:after="0" w:line="229"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20" w:right="200" w:hanging="494"/>
        <w:spacing w:after="0" w:line="229"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520" w:right="980" w:hanging="494"/>
        <w:spacing w:after="0" w:line="272"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100" w:hanging="494"/>
        <w:spacing w:after="0" w:line="229"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sz w:val="20"/>
          <w:szCs w:val="20"/>
          <w:color w:val="auto"/>
        </w:rPr>
      </w:pPr>
    </w:p>
    <w:p>
      <w:pPr>
        <w:ind w:left="520" w:right="160" w:hanging="494"/>
        <w:spacing w:after="0" w:line="256"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20" w:right="400" w:hanging="494"/>
        <w:spacing w:after="0" w:line="235"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Arial" w:cs="Arial" w:eastAsia="Arial" w:hAnsi="Arial"/>
          <w:sz w:val="18"/>
          <w:szCs w:val="18"/>
          <w:color w:val="auto"/>
        </w:rPr>
      </w:pPr>
    </w:p>
    <w:p>
      <w:pPr>
        <w:ind w:left="520" w:right="380" w:hanging="494"/>
        <w:spacing w:after="0" w:line="235"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STEPHEN A. TROWBRIDGE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ind w:left="340" w:right="2560"/>
        <w:spacing w:after="0" w:line="263"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38" w:lineRule="exact"/>
        <w:rPr>
          <w:sz w:val="20"/>
          <w:szCs w:val="20"/>
          <w:color w:val="auto"/>
        </w:rPr>
      </w:pPr>
    </w:p>
    <w:p>
      <w:pPr>
        <w:ind w:left="540" w:right="40" w:hanging="494"/>
        <w:spacing w:after="0" w:line="235"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2023 (the "Report") fully complies with the requirements of Section 13(a) or 15(d) of the Securities Exchange Act of 1934 (15 U.S.C. 78m or 78o(d)); and</w:t>
      </w:r>
    </w:p>
    <w:p>
      <w:pPr>
        <w:spacing w:after="0" w:line="13" w:lineRule="exact"/>
        <w:rPr>
          <w:rFonts w:ascii="Arial" w:cs="Arial" w:eastAsia="Arial" w:hAnsi="Arial"/>
          <w:sz w:val="18"/>
          <w:szCs w:val="18"/>
          <w:color w:val="auto"/>
        </w:rPr>
      </w:pPr>
    </w:p>
    <w:p>
      <w:pPr>
        <w:ind w:left="540" w:hanging="494"/>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2023</w:t>
      </w:r>
    </w:p>
    <w:p>
      <w:pPr>
        <w:spacing w:after="0" w:line="29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James C. Clemmer, President,</w:t>
      </w:r>
    </w:p>
    <w:p>
      <w:pPr>
        <w:ind w:left="1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ind w:left="340" w:right="2580"/>
        <w:spacing w:after="0" w:line="263"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38" w:lineRule="exact"/>
        <w:rPr>
          <w:sz w:val="20"/>
          <w:szCs w:val="20"/>
          <w:color w:val="auto"/>
        </w:rPr>
      </w:pPr>
    </w:p>
    <w:p>
      <w:pPr>
        <w:ind w:left="540" w:right="40" w:hanging="494"/>
        <w:spacing w:after="0" w:line="235"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2023 (the "Report") fully complies with the requirements of Section 13(a) or 15(d) of the Securities Exchange Act of 1934 (15 U.S.C. 78m or 78o(d)); and</w:t>
      </w:r>
    </w:p>
    <w:p>
      <w:pPr>
        <w:spacing w:after="0" w:line="13" w:lineRule="exact"/>
        <w:rPr>
          <w:rFonts w:ascii="Arial" w:cs="Arial" w:eastAsia="Arial" w:hAnsi="Arial"/>
          <w:sz w:val="18"/>
          <w:szCs w:val="18"/>
          <w:color w:val="auto"/>
        </w:rPr>
      </w:pPr>
    </w:p>
    <w:p>
      <w:pPr>
        <w:ind w:left="540" w:hanging="494"/>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2023</w:t>
      </w:r>
    </w:p>
    <w:p>
      <w:pPr>
        <w:spacing w:after="0" w:line="2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Stephen A. Trowbridge, Executive Vice President,</w:t>
      </w:r>
    </w:p>
    <w:p>
      <w:pPr>
        <w:ind w:left="1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3"/>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17"/>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decimal"/>
      <w:start w:val="5"/>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1" Type="http://schemas.openxmlformats.org/officeDocument/2006/relationships/hyperlink" Target="https://www.sec.gov/ix?doc=/Archives/edgar/data/0001275187/000114036123029854/brhc20054314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2023-10-05T16:23:32Z</dcterms:created>
  <dcterms:modified xsi:type="dcterms:W3CDTF">2023-10-05T16:23:32Z</dcterms:modified>
</cp:coreProperties>
</file>