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October 8,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AngioDynamics,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center"/>
        <w:rPr>
          <w:rFonts w:ascii="Times New Roman" w:hAnsi="Times New Roman"/>
          <w:sz w:val="20"/>
        </w:rPr>
      </w:pPr>
      <w:r>
        <w:rPr>
          <w:rFonts w:ascii="Times New Roman" w:hAnsi="Times New Roman"/>
          <w:sz w:val="20"/>
        </w:rPr>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000-50761</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11-3146460</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tbl>
      <w:tblPr>
        <w:tblW w:w="4225" w:type="dxa"/>
        <w:jc w:val="left"/>
        <w:tblInd w:w="0" w:type="dxa"/>
        <w:tblLayout w:type="fixed"/>
        <w:tblCellMar>
          <w:top w:w="0" w:type="dxa"/>
          <w:left w:w="0" w:type="dxa"/>
          <w:bottom w:w="0" w:type="dxa"/>
          <w:right w:w="0" w:type="dxa"/>
        </w:tblCellMar>
      </w:tblPr>
      <w:tblGrid>
        <w:gridCol w:w="3260"/>
        <w:gridCol w:w="60"/>
        <w:gridCol w:w="905"/>
      </w:tblGrid>
      <w:tr>
        <w:trPr/>
        <w:tc>
          <w:tcPr>
            <w:tcW w:w="32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14 Plaza Drive, Latham, New York</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283"/>
              <w:jc w:val="center"/>
              <w:rPr>
                <w:b/>
                <w:sz w:val="20"/>
              </w:rPr>
            </w:pPr>
            <w:r>
              <w:rPr>
                <w:b/>
                <w:sz w:val="20"/>
              </w:rPr>
              <w:t>12110</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283"/>
              <w:jc w:val="center"/>
              <w:rPr/>
            </w:pPr>
            <w:r>
              <w:rPr/>
              <w:t> </w:t>
            </w:r>
          </w:p>
        </w:tc>
      </w:tr>
      <w:tr>
        <w:trPr/>
        <w:tc>
          <w:tcPr>
            <w:tcW w:w="32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center"/>
              <w:rPr/>
            </w:pPr>
            <w:r>
              <w:rPr/>
              <w:t> </w:t>
            </w:r>
          </w:p>
        </w:tc>
        <w:tc>
          <w:tcPr>
            <w:tcW w:w="905"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(518) 795-1400</w:t>
      </w:r>
    </w:p>
    <w:p>
      <w:pPr>
        <w:pStyle w:val="TextBody"/>
        <w:bidi w:val="0"/>
        <w:spacing w:before="0" w:after="0"/>
        <w:jc w:val="center"/>
        <w:rPr>
          <w:rFonts w:ascii="Times New Roman" w:hAnsi="Times New Roman"/>
        </w:rPr>
      </w:pPr>
      <w:r>
        <w:rPr>
          <w:rFonts w:ascii="Times New Roman" w:hAnsi="Times New Roman"/>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 (b))</w:t>
            </w:r>
          </w:p>
        </w:tc>
      </w:tr>
    </w:tbl>
    <w:p>
      <w:pPr>
        <w:pStyle w:val="TextBody"/>
        <w:bidi w:val="0"/>
        <w:spacing w:before="0" w:after="0"/>
        <w:jc w:val="left"/>
        <w:rPr>
          <w:color w:val="000000"/>
          <w:shd w:fill="FFFFFF" w:val="clear"/>
        </w:rPr>
      </w:pPr>
      <w:r>
        <w:rPr>
          <w:color w:val="000000"/>
          <w:shd w:fill="FFFFFF" w:val="clea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 (c))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7665" w:type="dxa"/>
        <w:jc w:val="left"/>
        <w:tblInd w:w="0" w:type="dxa"/>
        <w:tblLayout w:type="fixed"/>
        <w:tblCellMar>
          <w:top w:w="0" w:type="dxa"/>
          <w:left w:w="0" w:type="dxa"/>
          <w:bottom w:w="0" w:type="dxa"/>
          <w:right w:w="0" w:type="dxa"/>
        </w:tblCellMar>
      </w:tblPr>
      <w:tblGrid>
        <w:gridCol w:w="3395"/>
        <w:gridCol w:w="1535"/>
        <w:gridCol w:w="2735"/>
      </w:tblGrid>
      <w:tr>
        <w:trPr/>
        <w:tc>
          <w:tcPr>
            <w:tcW w:w="339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Title of each class</w:t>
            </w:r>
          </w:p>
        </w:tc>
        <w:tc>
          <w:tcPr>
            <w:tcW w:w="153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Trading Symbol(s)</w:t>
            </w:r>
          </w:p>
        </w:tc>
        <w:tc>
          <w:tcPr>
            <w:tcW w:w="273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Name of each exchange on which</w:t>
            </w:r>
          </w:p>
          <w:p>
            <w:pPr>
              <w:pStyle w:val="TableContents"/>
              <w:bidi w:val="0"/>
              <w:spacing w:before="0" w:after="0"/>
              <w:jc w:val="left"/>
              <w:rPr>
                <w:rFonts w:ascii="Times New Roman" w:hAnsi="Times New Roman"/>
                <w:sz w:val="20"/>
                <w:u w:val="single"/>
              </w:rPr>
            </w:pPr>
            <w:r>
              <w:rPr>
                <w:rFonts w:ascii="Times New Roman" w:hAnsi="Times New Roman"/>
                <w:sz w:val="20"/>
                <w:u w:val="single"/>
              </w:rPr>
              <w:t>registered</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par value $0.01 per share</w:t>
            </w:r>
          </w:p>
        </w:tc>
        <w:tc>
          <w:tcPr>
            <w:tcW w:w="1535" w:type="dxa"/>
            <w:tcBorders/>
            <w:vAlign w:val="center"/>
          </w:tcPr>
          <w:p>
            <w:pPr>
              <w:pStyle w:val="TableContents"/>
              <w:bidi w:val="0"/>
              <w:spacing w:before="0" w:after="283"/>
              <w:jc w:val="left"/>
              <w:rPr>
                <w:sz w:val="20"/>
              </w:rPr>
            </w:pPr>
            <w:r>
              <w:rPr>
                <w:sz w:val="20"/>
              </w:rPr>
              <w:t>ANGO</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NASDAQ Global Select Market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2.02 – Results of Operations and Financial Condition.</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On October 8, 2026, AngioDynamics, Inc. (“AngioDynamics”) issued a press release announcing financial results for the fiscal first quarter ended August 31, 2026. A copy of the press release is furnished herewith as Exhibit 99.1.</w:t>
      </w:r>
    </w:p>
    <w:p>
      <w:pPr>
        <w:pStyle w:val="TextBody"/>
        <w:bidi w:val="0"/>
        <w:spacing w:before="0" w:after="0"/>
        <w:jc w:val="left"/>
        <w:rPr>
          <w:sz w:val="20"/>
        </w:rPr>
      </w:pPr>
      <w:r>
        <w:rPr>
          <w:sz w:val="20"/>
        </w:rPr>
      </w:r>
    </w:p>
    <w:p>
      <w:pPr>
        <w:pStyle w:val="TextBody"/>
        <w:bidi w:val="0"/>
        <w:spacing w:before="0" w:after="0"/>
        <w:ind w:left="0" w:right="0" w:firstLine="45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in Item 2.02 of this Form 8-K (including Exhibit 99.1) shall not be deemed “filed” for purposes of Section 18 of the Securities Exchange Act of 1934, as amended (the “Exchange Act”), or otherwise subject to the liabilities under that Section. Furthermore, such information shall not be deemed to be incorporated by reference into any filing under the Securities Act of 1933, as amended (the “Securities Act”), or the Exchange Act, except as shall be expressly set forth by specific reference in such a filing.</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7.01 – Regulation FD Disclosure.</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Presentation slides discussing AngioDynamics and its fiscal first quarter ended August 31, 2026 are furnished herewith as Exhibit 99.2.</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The presentation slides furnished pursuant to Item 7.01 of this Form 8-K (including Exhibit 99.2) shall not be deemed “filed” for purposes of Section 18 of the Exchange Act, or otherwise subject to the liabilities under that Section. Furthermore, the presentation slides shall not be deemed to be incorporated by reference into any filing under the Securities Act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sz w:val="20"/>
        </w:rPr>
      </w:pPr>
      <w:r>
        <w:rPr>
          <w:sz w:val="20"/>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This document and its attachments contain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2026. AngioDynamics does not assume any obligation to publicly update or revise any forward-looking statements for any reason.</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9.01 – Financial Statements and Exhibits.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          </w:t>
      </w:r>
      <w:r>
        <w:rPr>
          <w:rFonts w:ascii="Times New Roman" w:hAnsi="Times New Roman"/>
          <w:i/>
          <w:color w:val="000000"/>
          <w:sz w:val="20"/>
          <w:shd w:fill="FFFFFF" w:val="clear"/>
        </w:rPr>
        <w:t>Exhibits</w:t>
      </w:r>
      <w:r>
        <w:rPr>
          <w:rFonts w:ascii="Times New Roman" w:hAnsi="Times New Roman"/>
          <w:color w:val="000000"/>
          <w:sz w:val="20"/>
          <w:shd w:fill="FFFFFF" w:val="clear"/>
        </w:rPr>
        <w:t>.</w:t>
      </w:r>
    </w:p>
    <w:p>
      <w:pPr>
        <w:pStyle w:val="TextBody"/>
        <w:bidi w:val="0"/>
        <w:spacing w:before="0" w:after="0"/>
        <w:jc w:val="both"/>
        <w:rPr>
          <w:rFonts w:ascii="Times New Roman" w:hAnsi="Times New Roman"/>
          <w:sz w:val="20"/>
        </w:rPr>
      </w:pPr>
      <w:r>
        <w:rPr>
          <w:rFonts w:ascii="Times New Roman" w:hAnsi="Times New Roman"/>
          <w:sz w:val="20"/>
        </w:rPr>
      </w:r>
    </w:p>
    <w:tbl>
      <w:tblPr>
        <w:tblW w:w="4060" w:type="dxa"/>
        <w:jc w:val="left"/>
        <w:tblInd w:w="0" w:type="dxa"/>
        <w:tblLayout w:type="fixed"/>
        <w:tblCellMar>
          <w:top w:w="0" w:type="dxa"/>
          <w:left w:w="0" w:type="dxa"/>
          <w:bottom w:w="0" w:type="dxa"/>
          <w:right w:w="0" w:type="dxa"/>
        </w:tblCellMar>
      </w:tblPr>
      <w:tblGrid>
        <w:gridCol w:w="965"/>
        <w:gridCol w:w="60"/>
        <w:gridCol w:w="3035"/>
      </w:tblGrid>
      <w:tr>
        <w:trPr/>
        <w:tc>
          <w:tcPr>
            <w:tcW w:w="96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Exhibit No.</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Description</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both"/>
              <w:rPr/>
            </w:pPr>
            <w:hyperlink w:anchor="ef20083493_ex99-1.htm">
              <w:r>
                <w:rPr>
                  <w:rStyle w:val="InternetLink"/>
                  <w:rFonts w:ascii="Times New Roman" w:hAnsi="Times New Roman"/>
                  <w:sz w:val="20"/>
                </w:rPr>
                <w:t>99.1</w:t>
              </w:r>
            </w:hyperlink>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Press Release, dated October 8, 2026.</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both"/>
              <w:rPr/>
            </w:pPr>
            <w:hyperlink w:anchor="ef20083493_ex99-2.htm">
              <w:r>
                <w:rPr>
                  <w:rStyle w:val="InternetLink"/>
                  <w:rFonts w:ascii="Times New Roman" w:hAnsi="Times New Roman"/>
                  <w:sz w:val="20"/>
                </w:rPr>
                <w:t>99.2</w:t>
              </w:r>
            </w:hyperlink>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Presentation, dated October 8, 2026.</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975" w:type="dxa"/>
        <w:jc w:val="left"/>
        <w:tblInd w:w="0" w:type="dxa"/>
        <w:tblLayout w:type="fixed"/>
        <w:tblCellMar>
          <w:top w:w="0" w:type="dxa"/>
          <w:left w:w="0" w:type="dxa"/>
          <w:bottom w:w="0" w:type="dxa"/>
          <w:right w:w="0" w:type="dxa"/>
        </w:tblCellMar>
      </w:tblPr>
      <w:tblGrid>
        <w:gridCol w:w="1850"/>
        <w:gridCol w:w="3125"/>
      </w:tblGrid>
      <w:tr>
        <w:trPr/>
        <w:tc>
          <w:tcPr>
            <w:tcW w:w="185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ANGIODYNAMICS, INC.</w:t>
            </w:r>
          </w:p>
        </w:tc>
      </w:tr>
      <w:tr>
        <w:trPr/>
        <w:tc>
          <w:tcPr>
            <w:tcW w:w="185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185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October 8, 2026</w:t>
            </w:r>
          </w:p>
        </w:tc>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Lawrence T. Weiss</w:t>
            </w:r>
          </w:p>
        </w:tc>
      </w:tr>
      <w:tr>
        <w:trPr/>
        <w:tc>
          <w:tcPr>
            <w:tcW w:w="185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Lawrence T. Weiss</w:t>
            </w:r>
          </w:p>
        </w:tc>
      </w:tr>
      <w:tr>
        <w:trPr/>
        <w:tc>
          <w:tcPr>
            <w:tcW w:w="185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Senior Vice President, Chief</w:t>
            </w:r>
          </w:p>
        </w:tc>
      </w:tr>
      <w:tr>
        <w:trPr/>
        <w:tc>
          <w:tcPr>
            <w:tcW w:w="185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Officer and Corporate Secretary</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83493_ex99-1.htm"/>
      <w:bookmarkStart w:id="1" w:name="ksef20083493_ex991"/>
      <w:bookmarkStart w:id="2" w:name="ef20083493_ex99-1.htm"/>
      <w:bookmarkStart w:id="3" w:name="ksef20083493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AngioDynamics Reports Fiscal Year 2027 First Quarter Financial Results; Continued Execution Drives Med Tech Growth and Profitability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Delivered its eighth consecutive quarter of double-digit Med Tech segment growth and positive adjusted EBITDA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LATHAM, N.Y.--(BUSINESS WIRE)— Oct. 8, 2026-- AngioDynamics, Inc. (NASDAQ: ANGO), a leading and transformative medical technology company focused on restoring healthy blood flow in the body’s vascular system, expanding cancer treatment options, and improving quality of life for patients, today announced financial results for the first quarter of fiscal year 2027, which ended August 31,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Fiscal Year 2027 First Quarter Financial Highlights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2fee5848764c4175b6831d479324e2d4"/>
      <w:bookmarkStart w:id="5" w:name="z2fee5848764c4175b6831d479324e2d4"/>
      <w:bookmarkEnd w:id="5"/>
    </w:p>
    <w:tbl>
      <w:tblPr>
        <w:tblW w:w="4275" w:type="dxa"/>
        <w:jc w:val="left"/>
        <w:tblInd w:w="0" w:type="dxa"/>
        <w:tblLayout w:type="fixed"/>
        <w:tblCellMar>
          <w:top w:w="0" w:type="dxa"/>
          <w:left w:w="0" w:type="dxa"/>
          <w:bottom w:w="28" w:type="dxa"/>
          <w:right w:w="0" w:type="dxa"/>
        </w:tblCellMar>
      </w:tblPr>
      <w:tblGrid>
        <w:gridCol w:w="1805"/>
        <w:gridCol w:w="1370"/>
        <w:gridCol w:w="1100"/>
      </w:tblGrid>
      <w:tr>
        <w:trPr/>
        <w:tc>
          <w:tcPr>
            <w:tcW w:w="1805" w:type="dxa"/>
            <w:tcBorders>
              <w:bottom w:val="single" w:sz="12" w:space="0" w:color="000000"/>
            </w:tcBorders>
            <w:vAlign w:val="center"/>
          </w:tcPr>
          <w:p>
            <w:pPr>
              <w:pStyle w:val="TableContents"/>
              <w:bidi w:val="0"/>
              <w:spacing w:before="0" w:after="0"/>
              <w:jc w:val="center"/>
              <w:rPr>
                <w:rFonts w:ascii="Times New Roman" w:hAnsi="Times New Roman"/>
                <w:b/>
                <w:sz w:val="20"/>
                <w:szCs w:val="20"/>
              </w:rPr>
            </w:pPr>
            <w:r>
              <w:rPr>
                <w:rFonts w:ascii="Times New Roman" w:hAnsi="Times New Roman"/>
                <w:b/>
                <w:sz w:val="20"/>
                <w:szCs w:val="20"/>
              </w:rPr>
            </w:r>
          </w:p>
        </w:tc>
        <w:tc>
          <w:tcPr>
            <w:tcW w:w="137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Quarter Ended</w:t>
            </w:r>
          </w:p>
          <w:p>
            <w:pPr>
              <w:pStyle w:val="TableContents"/>
              <w:bidi w:val="0"/>
              <w:spacing w:before="0" w:after="0"/>
              <w:jc w:val="center"/>
              <w:rPr>
                <w:rFonts w:ascii="Times New Roman" w:hAnsi="Times New Roman"/>
                <w:b/>
                <w:i/>
                <w:sz w:val="20"/>
              </w:rPr>
            </w:pPr>
            <w:r>
              <w:rPr>
                <w:rFonts w:ascii="Times New Roman" w:hAnsi="Times New Roman"/>
                <w:b/>
                <w:i/>
                <w:sz w:val="20"/>
              </w:rPr>
              <w:t>August 31, 2026</w:t>
            </w:r>
          </w:p>
        </w:tc>
        <w:tc>
          <w:tcPr>
            <w:tcW w:w="110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YoY Growth</w:t>
            </w:r>
          </w:p>
        </w:tc>
      </w:tr>
      <w:tr>
        <w:trPr/>
        <w:tc>
          <w:tcPr>
            <w:tcW w:w="1805" w:type="dxa"/>
            <w:tcBorders>
              <w:bottom w:val="single" w:sz="12" w:space="0" w:color="000000"/>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Sales</w:t>
            </w:r>
          </w:p>
        </w:tc>
        <w:tc>
          <w:tcPr>
            <w:tcW w:w="1370" w:type="dxa"/>
            <w:tcBorders>
              <w:bottom w:val="single" w:sz="12" w:space="0" w:color="000000"/>
            </w:tcBorders>
            <w:shd w:fill="CCEE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$80.9 million</w:t>
            </w:r>
          </w:p>
        </w:tc>
        <w:tc>
          <w:tcPr>
            <w:tcW w:w="1100" w:type="dxa"/>
            <w:tcBorders>
              <w:bottom w:val="single" w:sz="12" w:space="0" w:color="000000"/>
            </w:tcBorders>
            <w:shd w:fill="CCEE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6.9%</w:t>
            </w:r>
          </w:p>
        </w:tc>
      </w:tr>
      <w:tr>
        <w:trPr/>
        <w:tc>
          <w:tcPr>
            <w:tcW w:w="1805" w:type="dxa"/>
            <w:tcBorders/>
            <w:tcMar>
              <w:bottom w:w="0" w:type="dxa"/>
            </w:tcMar>
            <w:vAlign w:val="center"/>
          </w:tcPr>
          <w:p>
            <w:pPr>
              <w:pStyle w:val="TableContents"/>
              <w:bidi w:val="0"/>
              <w:spacing w:before="0" w:after="0"/>
              <w:ind w:left="180" w:right="0" w:hanging="0"/>
              <w:jc w:val="left"/>
              <w:rPr>
                <w:rFonts w:ascii="Times New Roman" w:hAnsi="Times New Roman"/>
                <w:i/>
                <w:sz w:val="20"/>
              </w:rPr>
            </w:pPr>
            <w:r>
              <w:rPr>
                <w:rFonts w:ascii="Times New Roman" w:hAnsi="Times New Roman"/>
                <w:i/>
                <w:sz w:val="20"/>
              </w:rPr>
              <w:t>Med Tech Net Sales</w:t>
            </w:r>
          </w:p>
        </w:tc>
        <w:tc>
          <w:tcPr>
            <w:tcW w:w="1370" w:type="dxa"/>
            <w:tcBorders/>
            <w:tcMar>
              <w:bottom w:w="0"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$39.9 million</w:t>
            </w:r>
          </w:p>
        </w:tc>
        <w:tc>
          <w:tcPr>
            <w:tcW w:w="1100" w:type="dxa"/>
            <w:tcBorders/>
            <w:tcMar>
              <w:bottom w:w="0"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13.2%</w:t>
            </w:r>
          </w:p>
        </w:tc>
      </w:tr>
      <w:tr>
        <w:trPr/>
        <w:tc>
          <w:tcPr>
            <w:tcW w:w="1805" w:type="dxa"/>
            <w:tcBorders>
              <w:bottom w:val="single" w:sz="12" w:space="0" w:color="000000"/>
            </w:tcBorders>
            <w:shd w:fill="CCEEFF" w:val="clear"/>
            <w:vAlign w:val="center"/>
          </w:tcPr>
          <w:p>
            <w:pPr>
              <w:pStyle w:val="TableContents"/>
              <w:bidi w:val="0"/>
              <w:spacing w:before="0" w:after="0"/>
              <w:ind w:left="180" w:right="0" w:hanging="0"/>
              <w:jc w:val="left"/>
              <w:rPr>
                <w:rFonts w:ascii="Times New Roman" w:hAnsi="Times New Roman"/>
                <w:i/>
                <w:sz w:val="20"/>
              </w:rPr>
            </w:pPr>
            <w:r>
              <w:rPr>
                <w:rFonts w:ascii="Times New Roman" w:hAnsi="Times New Roman"/>
                <w:i/>
                <w:sz w:val="20"/>
              </w:rPr>
              <w:t>Med Device Net Sales</w:t>
            </w:r>
          </w:p>
        </w:tc>
        <w:tc>
          <w:tcPr>
            <w:tcW w:w="1370" w:type="dxa"/>
            <w:tcBorders>
              <w:bottom w:val="single" w:sz="12" w:space="0" w:color="000000"/>
            </w:tcBorders>
            <w:shd w:fill="CCEEFF" w:val="clear"/>
            <w:vAlign w:val="center"/>
          </w:tcPr>
          <w:p>
            <w:pPr>
              <w:pStyle w:val="TableContents"/>
              <w:bidi w:val="0"/>
              <w:spacing w:before="0" w:after="0"/>
              <w:jc w:val="center"/>
              <w:rPr>
                <w:rFonts w:ascii="Times New Roman" w:hAnsi="Times New Roman"/>
                <w:i/>
                <w:sz w:val="20"/>
              </w:rPr>
            </w:pPr>
            <w:r>
              <w:rPr>
                <w:rFonts w:ascii="Times New Roman" w:hAnsi="Times New Roman"/>
                <w:i/>
                <w:sz w:val="20"/>
              </w:rPr>
              <w:t>$41.0 million</w:t>
            </w:r>
          </w:p>
        </w:tc>
        <w:tc>
          <w:tcPr>
            <w:tcW w:w="1100" w:type="dxa"/>
            <w:tcBorders>
              <w:bottom w:val="single" w:sz="12" w:space="0" w:color="000000"/>
            </w:tcBorders>
            <w:shd w:fill="CCEEFF" w:val="clear"/>
            <w:vAlign w:val="center"/>
          </w:tcPr>
          <w:p>
            <w:pPr>
              <w:pStyle w:val="TableContents"/>
              <w:bidi w:val="0"/>
              <w:spacing w:before="0" w:after="0"/>
              <w:jc w:val="center"/>
              <w:rPr>
                <w:rFonts w:ascii="Times New Roman" w:hAnsi="Times New Roman"/>
                <w:i/>
                <w:sz w:val="20"/>
              </w:rPr>
            </w:pPr>
            <w:r>
              <w:rPr>
                <w:rFonts w:ascii="Times New Roman" w:hAnsi="Times New Roman"/>
                <w:i/>
                <w:sz w:val="20"/>
              </w:rPr>
              <w:t>1.4%</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5d09e620b7bf42d2b6c160c36c6aab19"/>
      <w:bookmarkStart w:id="7" w:name="z5d09e620b7bf42d2b6c160c36c6aab19"/>
      <w:bookmarkEnd w:id="7"/>
    </w:p>
    <w:tbl>
      <w:tblPr>
        <w:tblW w:w="2553" w:type="dxa"/>
        <w:jc w:val="left"/>
        <w:tblInd w:w="0" w:type="dxa"/>
        <w:tblLayout w:type="fixed"/>
        <w:tblCellMar>
          <w:top w:w="0" w:type="dxa"/>
          <w:left w:w="0" w:type="dxa"/>
          <w:bottom w:w="0" w:type="dxa"/>
          <w:right w:w="0" w:type="dxa"/>
        </w:tblCellMar>
      </w:tblPr>
      <w:tblGrid>
        <w:gridCol w:w="38"/>
        <w:gridCol w:w="110"/>
        <w:gridCol w:w="24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GAAP gross margin of 59.4%</w:t>
            </w:r>
          </w:p>
        </w:tc>
      </w:tr>
    </w:tbl>
    <w:p>
      <w:pPr>
        <w:pStyle w:val="Normal"/>
        <w:bidi w:val="0"/>
        <w:spacing w:before="0" w:after="0"/>
        <w:jc w:val="left"/>
        <w:rPr>
          <w:sz w:val="4"/>
          <w:szCs w:val="4"/>
        </w:rPr>
      </w:pPr>
      <w:r>
        <w:rPr>
          <w:sz w:val="4"/>
          <w:szCs w:val="4"/>
        </w:rPr>
      </w:r>
      <w:bookmarkStart w:id="8" w:name="z5fb8b4cf469d4d0d81962e3d77a6c5df"/>
      <w:bookmarkStart w:id="9" w:name="z5fb8b4cf469d4d0d81962e3d77a6c5df"/>
      <w:bookmarkEnd w:id="9"/>
    </w:p>
    <w:tbl>
      <w:tblPr>
        <w:tblW w:w="2538" w:type="dxa"/>
        <w:jc w:val="left"/>
        <w:tblInd w:w="0" w:type="dxa"/>
        <w:tblLayout w:type="fixed"/>
        <w:tblCellMar>
          <w:top w:w="0" w:type="dxa"/>
          <w:left w:w="0" w:type="dxa"/>
          <w:bottom w:w="0" w:type="dxa"/>
          <w:right w:w="0" w:type="dxa"/>
        </w:tblCellMar>
      </w:tblPr>
      <w:tblGrid>
        <w:gridCol w:w="38"/>
        <w:gridCol w:w="110"/>
        <w:gridCol w:w="23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GAAP loss per share of $0.17</w:t>
            </w:r>
          </w:p>
        </w:tc>
      </w:tr>
    </w:tbl>
    <w:p>
      <w:pPr>
        <w:pStyle w:val="Normal"/>
        <w:bidi w:val="0"/>
        <w:spacing w:before="0" w:after="0"/>
        <w:jc w:val="left"/>
        <w:rPr>
          <w:sz w:val="4"/>
          <w:szCs w:val="4"/>
        </w:rPr>
      </w:pPr>
      <w:r>
        <w:rPr>
          <w:sz w:val="4"/>
          <w:szCs w:val="4"/>
        </w:rPr>
      </w:r>
      <w:bookmarkStart w:id="10" w:name="z37d5c83fdde9404f8381f61cdd099254"/>
      <w:bookmarkStart w:id="11" w:name="z37d5c83fdde9404f8381f61cdd099254"/>
      <w:bookmarkEnd w:id="11"/>
    </w:p>
    <w:tbl>
      <w:tblPr>
        <w:tblW w:w="2763" w:type="dxa"/>
        <w:jc w:val="left"/>
        <w:tblInd w:w="0" w:type="dxa"/>
        <w:tblLayout w:type="fixed"/>
        <w:tblCellMar>
          <w:top w:w="0" w:type="dxa"/>
          <w:left w:w="0" w:type="dxa"/>
          <w:bottom w:w="0" w:type="dxa"/>
          <w:right w:w="0" w:type="dxa"/>
        </w:tblCellMar>
      </w:tblPr>
      <w:tblGrid>
        <w:gridCol w:w="38"/>
        <w:gridCol w:w="110"/>
        <w:gridCol w:w="26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loss per share of $0.04</w:t>
            </w:r>
          </w:p>
        </w:tc>
      </w:tr>
    </w:tbl>
    <w:p>
      <w:pPr>
        <w:pStyle w:val="Normal"/>
        <w:bidi w:val="0"/>
        <w:spacing w:before="0" w:after="0"/>
        <w:jc w:val="left"/>
        <w:rPr>
          <w:sz w:val="4"/>
          <w:szCs w:val="4"/>
        </w:rPr>
      </w:pPr>
      <w:r>
        <w:rPr>
          <w:sz w:val="4"/>
          <w:szCs w:val="4"/>
        </w:rPr>
      </w:r>
      <w:bookmarkStart w:id="12" w:name="zc23474a307ad4e029fd48e3e7362e3ff"/>
      <w:bookmarkStart w:id="13" w:name="zc23474a307ad4e029fd48e3e7362e3ff"/>
      <w:bookmarkEnd w:id="13"/>
    </w:p>
    <w:tbl>
      <w:tblPr>
        <w:tblW w:w="2928" w:type="dxa"/>
        <w:jc w:val="left"/>
        <w:tblInd w:w="0" w:type="dxa"/>
        <w:tblLayout w:type="fixed"/>
        <w:tblCellMar>
          <w:top w:w="0" w:type="dxa"/>
          <w:left w:w="0" w:type="dxa"/>
          <w:bottom w:w="0" w:type="dxa"/>
          <w:right w:w="0" w:type="dxa"/>
        </w:tblCellMar>
      </w:tblPr>
      <w:tblGrid>
        <w:gridCol w:w="38"/>
        <w:gridCol w:w="110"/>
        <w:gridCol w:w="2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 of $5.0 million</w:t>
            </w:r>
          </w:p>
        </w:tc>
      </w:tr>
    </w:tbl>
    <w:p>
      <w:pPr>
        <w:pStyle w:val="Normal"/>
        <w:bidi w:val="0"/>
        <w:spacing w:before="0" w:after="0"/>
        <w:jc w:val="left"/>
        <w:rPr>
          <w:sz w:val="4"/>
          <w:szCs w:val="4"/>
        </w:rPr>
      </w:pPr>
      <w:r>
        <w:rPr>
          <w:sz w:val="4"/>
          <w:szCs w:val="4"/>
        </w:rPr>
      </w:r>
      <w:bookmarkStart w:id="14" w:name="z140768e62de6421895cce1f8d422fec5"/>
      <w:bookmarkStart w:id="15" w:name="z140768e62de6421895cce1f8d422fec5"/>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Announced the appointment of Eric Honroth as President and Chief Executive Officer, effective November 2, 2026, succeeding Jim Clemmer</w:t>
            </w:r>
          </w:p>
        </w:tc>
      </w:tr>
    </w:tbl>
    <w:p>
      <w:pPr>
        <w:pStyle w:val="Normal"/>
        <w:bidi w:val="0"/>
        <w:spacing w:before="0" w:after="0"/>
        <w:jc w:val="left"/>
        <w:rPr>
          <w:sz w:val="4"/>
          <w:szCs w:val="4"/>
        </w:rPr>
      </w:pPr>
      <w:r>
        <w:rPr>
          <w:sz w:val="4"/>
          <w:szCs w:val="4"/>
        </w:rPr>
      </w:r>
      <w:bookmarkStart w:id="16" w:name="z2fdd55122c3d46b7af49129f34e37456"/>
      <w:bookmarkStart w:id="17" w:name="z2fdd55122c3d46b7af49129f34e37456"/>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Received FDA IDE (Investigational Device Exemption) approval for the RELIEF study evaluating NanoKnife IRE for the treatment of benign prostatic hyperplasia</w:t>
            </w:r>
          </w:p>
        </w:tc>
      </w:tr>
    </w:tbl>
    <w:p>
      <w:pPr>
        <w:pStyle w:val="TextBody"/>
        <w:bidi w:val="0"/>
        <w:spacing w:before="0" w:after="0"/>
        <w:jc w:val="left"/>
        <w:rPr>
          <w:color w:val="000000"/>
        </w:rPr>
      </w:pPr>
      <w:r>
        <w:rPr>
          <w:color w:val="000000"/>
        </w:rPr>
        <w:t> </w:t>
      </w:r>
    </w:p>
    <w:p>
      <w:pPr>
        <w:pStyle w:val="TextBody"/>
        <w:bidi w:val="0"/>
        <w:spacing w:lineRule="auto" w:line="240" w:before="0" w:after="0"/>
        <w:jc w:val="left"/>
        <w:rPr>
          <w:color w:val="333333"/>
        </w:rPr>
      </w:pPr>
      <w:r>
        <w:rPr>
          <w:color w:val="333333"/>
        </w:rPr>
        <w:t>“</w:t>
      </w:r>
      <w:r>
        <w:rPr>
          <w:rFonts w:ascii="Times New Roman" w:hAnsi="Times New Roman"/>
          <w:color w:val="333333"/>
          <w:sz w:val="20"/>
        </w:rPr>
        <w:t>Our first quarter results reflect the continued, consistent execution we’ve built into this business,” said Jim Clemmer, President and Chief Executive Officer of AngioDynamics. “Med Tech again led our growth, highlighted by Auryon’s 21st consecutive quarter of double-digit atherectomy growth, continued performance in Mechanical Thrombectomy, and ongoing strength in our NanoKnife oncology platform. We remain focused on the fundamentals that have driven our performance over the past several years, and we’re confident in our ability to deliver on the outlook we’ve laid out for fiscal 2027.”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Mr. Clemmer continued, “As I shared previously, after ten years leading this company, I have decided to retire, and the Board has completed a comprehensive search for my successor. I’m pleased to share that Eric Honroth will become our next President and Chief Executive Officer. He brings the right experience and leadership to build on the foundation we’ve established, and I will remain closely involved to ensure a smooth transition.”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333333"/>
          <w:sz w:val="20"/>
          <w:u w:val="single"/>
        </w:rPr>
      </w:pPr>
      <w:r>
        <w:rPr>
          <w:rFonts w:ascii="Times New Roman" w:hAnsi="Times New Roman"/>
          <w:b/>
          <w:color w:val="333333"/>
          <w:sz w:val="20"/>
          <w:u w:val="single"/>
        </w:rPr>
        <w:t>Fiscal First Quarter 2027 Financial Results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Net sales for the first quarter of fiscal year 2027 were $80.9 million, an increase of 6.9% compared to the prior-year quarter.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Med Tech net sales were $39.9 million, a 13.2% increase from $35.3 million in the prior-year period. Med Tech includes the Auryon peripheral atherectomy platform, our thrombus management platform which is led by AlphaVac and AngioVac, and the NanoKnife irreversible electroporation platform.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Growth during the quarter was driven by solid performance across the Med Tech segment. Auryon sales were $18.9 million, an increase of 14.7% compared to the prior-year quarter.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In our Mechanical Thrombectomy business, AlphaVac sales grew 37.4% compared to the prior year quarter and 6.4% sequentially. AngioVac faced a tough comparison, declining 5.9% versus prior year and yet growing 9.1% sequentially. Overall, Mechanical Thrombectomy delivered sales of $12.0 million, an increase of 6.7% compared to the prior-year quarter. NanoKnife sales were $8.3 million, an increase of 29.0% compared to the prior-year quarter, driven primarily by continued demand for prostate procedures, including 24.1% growth in probes and 53.5% growth in capital sales.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Med Device net sales were $41.0 million, a 1.4% increase compared to $40.4 million in the prior-year period.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color w:val="333333"/>
          <w:sz w:val="20"/>
        </w:rPr>
        <w:t>Gross margin for the first quarter of fiscal 2027 was 59.4%, which was 410 basis points higher compared to the first quarter of fiscal 2026, primarily driven by favorable pricing and the ongoing revenue mix shift toward Med Tech, partially offset by the manufacturing transition and global inflation all of which were in-line with the Company’s expectations. Gross margin also benefited from tariff refunds received during the quarter; absent this benefit, gross margin would have been 57.8%. As previously stated,</w:t>
      </w:r>
      <w:r>
        <w:rPr>
          <w:rFonts w:ascii="Times New Roman" w:hAnsi="Times New Roman"/>
          <w:color w:val="000000"/>
          <w:sz w:val="24"/>
        </w:rPr>
        <w:t> </w:t>
      </w:r>
      <w:r>
        <w:rPr>
          <w:rFonts w:ascii="Times New Roman" w:hAnsi="Times New Roman"/>
          <w:color w:val="333333"/>
          <w:sz w:val="20"/>
        </w:rPr>
        <w:t>the Company expects gross margin to be lower in the second half of fiscal 2027 than in the first half.</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The Company recorded a GAAP net loss of $7.1 million, or a loss per share of $0.17, in the first quarter of fiscal 2027, compared to a net loss of $10.9 million, or a loss per share of $0.26, a year ago. Excluding the items shown in the non-GAAP reconciliation table below, adjusted net loss for the first quarter of fiscal 2027 was $1.8 million, or a loss per share of $0.04. This compares to an adjusted net loss during the fiscal first quarter of 2026 of $4.2 million, or a loss per share of $0.10.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Adjusted EBITDA in the first quarter of fiscal 2027, excluding the items shown in the non-GAAP reconciliation table below, was $5.0 million, compared to $2.2 million in the first quarter of fiscal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Tariff-related expenses were $0.9 million during the quarter, compared to $1.7 million for the prior year quarter, in line with the Company’s expectations. Additionally, the Company received $1.2 million of tariff refunds during the quarter, resulting in net tariff benefit of $0.4 million.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In the first quarter of fiscal 2027, the Company used $15.3 million of cash from operations, compared to $15.9 million in the first quarter of fiscal 2026.</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At August 31, 2026, the Company had $34.0 million in cash and maintains a debt-free balance sheet.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CEO Update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The Company announced earlier today that Eric Honroth has been appointed President and Chief Executive Officer, effective November 2, 2026, succeeding Jim Clemmer. The appointment follows a comprehensive search process led by the Board of Directors. Mr. Clemmer, who announced his intention to retire after ten years leading the Company, will remain with AngioDynamics as an executive advisor to support a smooth transition. Additional information is available in the Company’s separate press release announcing the appointment.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FDA IDE Approval for RELIEF BPH Study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The Company received FDA approval of its IDE for the RELIEF study, a feasibility trial evaluating NanoKnife IRE for the treatment of benign prostatic hyperplasia. The study is designed to enroll 40 subjects at up to five U.S. clinical sites, with a primary endpoint measuring change in the International Prostate Symptom Score at six months. RELIEF extends the NanoKnife IRE platform beyond oncology into one of the most common conditions affecting men’s health. The Company views the study as an important step in expanding the long-term addressable market for its IRE technology.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333333"/>
          <w:sz w:val="20"/>
          <w:u w:val="single"/>
        </w:rPr>
      </w:pPr>
      <w:r>
        <w:rPr>
          <w:rFonts w:ascii="Times New Roman" w:hAnsi="Times New Roman"/>
          <w:b/>
          <w:color w:val="333333"/>
          <w:sz w:val="20"/>
          <w:u w:val="single"/>
        </w:rPr>
        <w:t>Fiscal Year 2027 Financial Guidance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Based on its first quarter performance and current outlook for the remainder of the fiscal year, the Company is reiterating its previously issued fiscal year 2027 guidance, as outlined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1b04248f6f664a5d8c269f1166ff4f21"/>
      <w:bookmarkStart w:id="19" w:name="z1b04248f6f664a5d8c269f1166ff4f21"/>
      <w:bookmarkEnd w:id="19"/>
    </w:p>
    <w:tbl>
      <w:tblPr>
        <w:tblW w:w="4360" w:type="dxa"/>
        <w:jc w:val="left"/>
        <w:tblInd w:w="0" w:type="dxa"/>
        <w:tblLayout w:type="fixed"/>
        <w:tblCellMar>
          <w:top w:w="0" w:type="dxa"/>
          <w:left w:w="0" w:type="dxa"/>
          <w:bottom w:w="28" w:type="dxa"/>
          <w:right w:w="0" w:type="dxa"/>
        </w:tblCellMar>
      </w:tblPr>
      <w:tblGrid>
        <w:gridCol w:w="2450"/>
        <w:gridCol w:w="1910"/>
      </w:tblGrid>
      <w:tr>
        <w:trPr/>
        <w:tc>
          <w:tcPr>
            <w:tcW w:w="2450" w:type="dxa"/>
            <w:tcBorders>
              <w:bottom w:val="single" w:sz="12" w:space="0" w:color="000000"/>
            </w:tcBorders>
            <w:vAlign w:val="center"/>
          </w:tcPr>
          <w:p>
            <w:pPr>
              <w:pStyle w:val="TableContents"/>
              <w:bidi w:val="0"/>
              <w:spacing w:before="0" w:after="0"/>
              <w:jc w:val="center"/>
              <w:rPr>
                <w:rFonts w:ascii="Times New Roman" w:hAnsi="Times New Roman"/>
                <w:b/>
                <w:color w:val="333333"/>
                <w:sz w:val="20"/>
              </w:rPr>
            </w:pPr>
            <w:r>
              <w:rPr>
                <w:rFonts w:ascii="Times New Roman" w:hAnsi="Times New Roman"/>
                <w:b/>
                <w:color w:val="333333"/>
                <w:sz w:val="20"/>
              </w:rPr>
              <w:t>Guidance Metric</w:t>
            </w:r>
          </w:p>
        </w:tc>
        <w:tc>
          <w:tcPr>
            <w:tcW w:w="1910" w:type="dxa"/>
            <w:tcBorders>
              <w:bottom w:val="single" w:sz="12" w:space="0" w:color="000000"/>
            </w:tcBorders>
            <w:vAlign w:val="center"/>
          </w:tcPr>
          <w:p>
            <w:pPr>
              <w:pStyle w:val="TableContents"/>
              <w:bidi w:val="0"/>
              <w:spacing w:before="0" w:after="0"/>
              <w:jc w:val="center"/>
              <w:rPr>
                <w:rFonts w:ascii="Times New Roman" w:hAnsi="Times New Roman"/>
                <w:b/>
                <w:color w:val="333333"/>
                <w:sz w:val="20"/>
              </w:rPr>
            </w:pPr>
            <w:r>
              <w:rPr>
                <w:rFonts w:ascii="Times New Roman" w:hAnsi="Times New Roman"/>
                <w:b/>
                <w:color w:val="333333"/>
                <w:sz w:val="20"/>
              </w:rPr>
              <w:t>Guidance</w:t>
            </w:r>
          </w:p>
          <w:p>
            <w:pPr>
              <w:pStyle w:val="TableContents"/>
              <w:bidi w:val="0"/>
              <w:spacing w:before="0" w:after="0"/>
              <w:jc w:val="center"/>
              <w:rPr>
                <w:rFonts w:ascii="Times New Roman" w:hAnsi="Times New Roman"/>
                <w:i/>
                <w:color w:val="333333"/>
                <w:sz w:val="20"/>
              </w:rPr>
            </w:pPr>
            <w:r>
              <w:rPr>
                <w:rFonts w:ascii="Times New Roman" w:hAnsi="Times New Roman"/>
                <w:i/>
                <w:color w:val="333333"/>
                <w:sz w:val="20"/>
              </w:rPr>
              <w:t>(As of October 8, 2026)</w:t>
            </w:r>
          </w:p>
        </w:tc>
      </w:tr>
      <w:tr>
        <w:trPr/>
        <w:tc>
          <w:tcPr>
            <w:tcW w:w="2450" w:type="dxa"/>
            <w:tcBorders/>
            <w:tcMar>
              <w:bottom w:w="0" w:type="dxa"/>
            </w:tcMar>
            <w:vAlign w:val="center"/>
          </w:tcPr>
          <w:p>
            <w:pPr>
              <w:pStyle w:val="TableContents"/>
              <w:bidi w:val="0"/>
              <w:spacing w:before="0" w:after="283"/>
              <w:jc w:val="left"/>
              <w:rPr/>
            </w:pPr>
            <w:r>
              <w:rPr/>
              <w:t> </w:t>
            </w:r>
          </w:p>
        </w:tc>
        <w:tc>
          <w:tcPr>
            <w:tcW w:w="191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Net Sales</w:t>
            </w:r>
          </w:p>
        </w:tc>
        <w:tc>
          <w:tcPr>
            <w:tcW w:w="191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$336.0M - $341.0M</w:t>
            </w:r>
          </w:p>
        </w:tc>
      </w:tr>
      <w:tr>
        <w:trPr/>
        <w:tc>
          <w:tcPr>
            <w:tcW w:w="2450" w:type="dxa"/>
            <w:tcBorders/>
            <w:tcMar>
              <w:bottom w:w="0" w:type="dxa"/>
            </w:tcMar>
            <w:vAlign w:val="center"/>
          </w:tcPr>
          <w:p>
            <w:pPr>
              <w:pStyle w:val="TableContents"/>
              <w:bidi w:val="0"/>
              <w:spacing w:before="0" w:after="283"/>
              <w:jc w:val="left"/>
              <w:rPr/>
            </w:pPr>
            <w:r>
              <w:rPr/>
              <w:t> </w:t>
            </w:r>
          </w:p>
        </w:tc>
        <w:tc>
          <w:tcPr>
            <w:tcW w:w="191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Med Tech Net Sales Growth</w:t>
            </w:r>
          </w:p>
        </w:tc>
        <w:tc>
          <w:tcPr>
            <w:tcW w:w="191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12% – 15%</w:t>
            </w:r>
          </w:p>
        </w:tc>
      </w:tr>
      <w:tr>
        <w:trPr/>
        <w:tc>
          <w:tcPr>
            <w:tcW w:w="2450" w:type="dxa"/>
            <w:tcBorders/>
            <w:tcMar>
              <w:bottom w:w="0" w:type="dxa"/>
            </w:tcMar>
            <w:vAlign w:val="center"/>
          </w:tcPr>
          <w:p>
            <w:pPr>
              <w:pStyle w:val="TableContents"/>
              <w:bidi w:val="0"/>
              <w:spacing w:before="0" w:after="283"/>
              <w:jc w:val="left"/>
              <w:rPr/>
            </w:pPr>
            <w:r>
              <w:rPr/>
              <w:t> </w:t>
            </w:r>
          </w:p>
        </w:tc>
        <w:tc>
          <w:tcPr>
            <w:tcW w:w="191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Med Device Net Sales Growth</w:t>
            </w:r>
          </w:p>
        </w:tc>
        <w:tc>
          <w:tcPr>
            <w:tcW w:w="191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Flat</w:t>
            </w:r>
          </w:p>
        </w:tc>
      </w:tr>
      <w:tr>
        <w:trPr/>
        <w:tc>
          <w:tcPr>
            <w:tcW w:w="2450" w:type="dxa"/>
            <w:tcBorders/>
            <w:tcMar>
              <w:bottom w:w="0" w:type="dxa"/>
            </w:tcMar>
            <w:vAlign w:val="center"/>
          </w:tcPr>
          <w:p>
            <w:pPr>
              <w:pStyle w:val="TableContents"/>
              <w:bidi w:val="0"/>
              <w:spacing w:before="0" w:after="283"/>
              <w:jc w:val="left"/>
              <w:rPr/>
            </w:pPr>
            <w:r>
              <w:rPr/>
              <w:t> </w:t>
            </w:r>
          </w:p>
        </w:tc>
        <w:tc>
          <w:tcPr>
            <w:tcW w:w="191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Gross Margin</w:t>
            </w:r>
          </w:p>
        </w:tc>
        <w:tc>
          <w:tcPr>
            <w:tcW w:w="191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54% – 55%</w:t>
            </w:r>
          </w:p>
        </w:tc>
      </w:tr>
      <w:tr>
        <w:trPr/>
        <w:tc>
          <w:tcPr>
            <w:tcW w:w="2450" w:type="dxa"/>
            <w:tcBorders/>
            <w:tcMar>
              <w:bottom w:w="0" w:type="dxa"/>
            </w:tcMar>
            <w:vAlign w:val="center"/>
          </w:tcPr>
          <w:p>
            <w:pPr>
              <w:pStyle w:val="TableContents"/>
              <w:bidi w:val="0"/>
              <w:spacing w:before="0" w:after="283"/>
              <w:jc w:val="left"/>
              <w:rPr/>
            </w:pPr>
            <w:r>
              <w:rPr/>
              <w:t> </w:t>
            </w:r>
          </w:p>
        </w:tc>
        <w:tc>
          <w:tcPr>
            <w:tcW w:w="191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Adjusted EBITDA</w:t>
            </w:r>
          </w:p>
        </w:tc>
        <w:tc>
          <w:tcPr>
            <w:tcW w:w="191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$13.0M - $16.0M</w:t>
            </w:r>
          </w:p>
        </w:tc>
      </w:tr>
      <w:tr>
        <w:trPr/>
        <w:tc>
          <w:tcPr>
            <w:tcW w:w="2450" w:type="dxa"/>
            <w:tcBorders/>
            <w:tcMar>
              <w:bottom w:w="0" w:type="dxa"/>
            </w:tcMar>
            <w:vAlign w:val="center"/>
          </w:tcPr>
          <w:p>
            <w:pPr>
              <w:pStyle w:val="TableContents"/>
              <w:bidi w:val="0"/>
              <w:spacing w:before="0" w:after="283"/>
              <w:jc w:val="left"/>
              <w:rPr/>
            </w:pPr>
            <w:r>
              <w:rPr/>
              <w:t> </w:t>
            </w:r>
          </w:p>
        </w:tc>
        <w:tc>
          <w:tcPr>
            <w:tcW w:w="191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Adjusted EPS</w:t>
            </w:r>
          </w:p>
        </w:tc>
        <w:tc>
          <w:tcPr>
            <w:tcW w:w="1910" w:type="dxa"/>
            <w:tcBorders/>
            <w:shd w:fill="CCEEFF" w:val="clear"/>
            <w:tcMar>
              <w:bottom w:w="0" w:type="dxa"/>
            </w:tcMar>
            <w:vAlign w:val="center"/>
          </w:tcPr>
          <w:p>
            <w:pPr>
              <w:pStyle w:val="TableContents"/>
              <w:bidi w:val="0"/>
              <w:spacing w:before="0" w:after="0"/>
              <w:jc w:val="center"/>
              <w:rPr>
                <w:rFonts w:ascii="Times New Roman" w:hAnsi="Times New Roman"/>
                <w:color w:val="333333"/>
                <w:sz w:val="20"/>
              </w:rPr>
            </w:pPr>
            <w:r>
              <w:rPr>
                <w:rFonts w:ascii="Times New Roman" w:hAnsi="Times New Roman"/>
                <w:color w:val="333333"/>
                <w:sz w:val="20"/>
              </w:rPr>
              <w:t>($0.29) – ($0.24)</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Tariff Related Guidance Assumptions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For fiscal 2027, the Company expects a tariff impact broadly similar to fiscal 2026, (excluding any tariff refunds) based on its current view of the tariff situation, which remains dynamic and subject to change.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Conference Call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The Company’s management will host a conference call at 8:00 am ET on the date of this announcement to discuss the results.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To participate in the conference call, dial 1-877-407-0784 (domestic) or +1-201-689-8560 (international). This conference call will also be webcast and can be accessed from the “Investors” section of the AngioDynamics website at www.angiodynamics.com. The webcast replay of the call will be available at the same site approximately one hour after the end of the call.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Use of Non-GAAP Measures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Management uses non-GAAP measures to establish operational goals and believes that non-GAAP measures may assist investors in analyzing the underlying trends in AngioDynamics’ business over time. Investors should consider these non-GAAP measures in addition to, not as a substitute for or as superior to, financial reporting measures prepared in accordance with GAAP. In this news release, AngioDynamics has reported adjusted EBITDA, adjusted net income and adjusted earnings per share. Management uses these measures in its internal analysis and review of operational performance. Management believes that these measures provide investors with useful information in comparing AngioDynamics’ performance over different periods. By using these non-GAAP measures, management believes that investors get a better picture of the performance of AngioDynamics’ underlying business. Management encourages investors to review AngioDynamics’ financial results prepared in accordance with GAAP to understand AngioDynamics’ performance taking into account all relevant factors, including those that may only occur from time to time but have a material impact on AngioDynamics’ financial results. Please see the tables that follow for a reconciliation of non-GAAP measures to measures prepared in accordance with GAAP.</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About AngioDynamics, Inc.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AngioDynamics is a leading and transformative medical technology company focused on restoring healthy blood flow in the body’s vascular system, expanding cancer treatment options and improving quality of life for patients.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color w:val="333333"/>
          <w:sz w:val="20"/>
        </w:rPr>
        <w:t>The Company’s innov</w:t>
      </w:r>
      <w:r>
        <w:rPr>
          <w:rFonts w:ascii="Times New Roman" w:hAnsi="Times New Roman"/>
          <w:color w:val="000000"/>
          <w:sz w:val="20"/>
        </w:rPr>
        <w:t xml:space="preserve">ative technologies and devices are chosen by talented physicians in fast-growing healthcare markets to treat unmet patient needs. For more information, visit </w:t>
      </w:r>
      <w:r>
        <w:rPr>
          <w:rFonts w:ascii="Times New Roman" w:hAnsi="Times New Roman"/>
          <w:color w:val="000000"/>
          <w:sz w:val="20"/>
          <w:u w:val="single"/>
        </w:rPr>
        <w:t>www.angiodynamics.com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333333"/>
          <w:sz w:val="20"/>
        </w:rPr>
      </w:pPr>
      <w:r>
        <w:rPr>
          <w:rFonts w:ascii="Times New Roman" w:hAnsi="Times New Roman"/>
          <w:b/>
          <w:color w:val="333333"/>
          <w:sz w:val="20"/>
        </w:rPr>
        <w:t>Safe Harbor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This release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2026. AngioDynamics does not assume any obligation to publicly update or revise any forward-looking statements for any reason.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CONSOLIDATED INCOME STATEMENTS</w:t>
      </w:r>
    </w:p>
    <w:p>
      <w:pPr>
        <w:pStyle w:val="TextBody"/>
        <w:bidi w:val="0"/>
        <w:spacing w:before="0" w:after="0"/>
        <w:ind w:left="53" w:right="0" w:hanging="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8ba0bfd6eda34cfda831daf8941dd0b7"/>
      <w:bookmarkStart w:id="21" w:name="z8ba0bfd6eda34cfda831daf8941dd0b7"/>
      <w:bookmarkEnd w:id="21"/>
    </w:p>
    <w:tbl>
      <w:tblPr>
        <w:tblW w:w="6938" w:type="dxa"/>
        <w:jc w:val="left"/>
        <w:tblInd w:w="0" w:type="dxa"/>
        <w:tblLayout w:type="fixed"/>
        <w:tblCellMar>
          <w:top w:w="0" w:type="dxa"/>
          <w:left w:w="0" w:type="dxa"/>
          <w:bottom w:w="0" w:type="dxa"/>
          <w:right w:w="0" w:type="dxa"/>
        </w:tblCellMar>
      </w:tblPr>
      <w:tblGrid>
        <w:gridCol w:w="4175"/>
        <w:gridCol w:w="60"/>
        <w:gridCol w:w="197"/>
        <w:gridCol w:w="932"/>
        <w:gridCol w:w="185"/>
        <w:gridCol w:w="60"/>
        <w:gridCol w:w="182"/>
        <w:gridCol w:w="947"/>
        <w:gridCol w:w="200"/>
      </w:tblGrid>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200"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2025</w:t>
            </w:r>
          </w:p>
        </w:tc>
        <w:tc>
          <w:tcPr>
            <w:tcW w:w="200"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200"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80,915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75,711</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sales (exclusive of intangible amortization)</w:t>
            </w:r>
          </w:p>
        </w:tc>
        <w:tc>
          <w:tcPr>
            <w:tcW w:w="6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32,875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9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33,854</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Gross margin</w:t>
            </w:r>
          </w:p>
        </w:tc>
        <w:tc>
          <w:tcPr>
            <w:tcW w:w="60"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48,040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41,857</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 of net sales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55.3</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7,979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6,417</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29,986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28,130</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12,467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12,555</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Amortization of intangibles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2,653</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Acquisition, restructuring and other items, net</w:t>
            </w:r>
          </w:p>
        </w:tc>
        <w:tc>
          <w:tcPr>
            <w:tcW w:w="60"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2,758</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55,342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9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52,513</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Operating loss</w:t>
            </w:r>
          </w:p>
        </w:tc>
        <w:tc>
          <w:tcPr>
            <w:tcW w:w="60"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(7,302</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(10,656</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expense, net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income (expense), net</w:t>
            </w:r>
          </w:p>
        </w:tc>
        <w:tc>
          <w:tcPr>
            <w:tcW w:w="60"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other income (expense), net</w:t>
            </w:r>
          </w:p>
        </w:tc>
        <w:tc>
          <w:tcPr>
            <w:tcW w:w="6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9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Loss before income tax (benefit) expense</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(7,296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(10,838</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(benefit) expense</w:t>
            </w:r>
          </w:p>
        </w:tc>
        <w:tc>
          <w:tcPr>
            <w:tcW w:w="6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9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(7,097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(10,903</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per share</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shares outstanding</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41,174</w:t>
            </w:r>
          </w:p>
        </w:tc>
        <w:tc>
          <w:tcPr>
            <w:tcW w:w="20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42,022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41,174</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GAAP TO NON-GAAP RECONCILIATION</w:t>
      </w:r>
    </w:p>
    <w:p>
      <w:pPr>
        <w:pStyle w:val="TextBody"/>
        <w:bidi w:val="0"/>
        <w:spacing w:before="0" w:after="0"/>
        <w:ind w:left="53" w:right="0" w:hanging="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Net Loss to non-GAAP Adjusted Net Loss:</w:t>
      </w:r>
    </w:p>
    <w:p>
      <w:pPr>
        <w:pStyle w:val="TextBody"/>
        <w:bidi w:val="0"/>
        <w:spacing w:before="0" w:after="0"/>
        <w:jc w:val="left"/>
        <w:rPr>
          <w:b/>
          <w:sz w:val="20"/>
        </w:rPr>
      </w:pPr>
      <w:r>
        <w:rPr>
          <w:b/>
          <w:sz w:val="20"/>
        </w:rPr>
      </w:r>
    </w:p>
    <w:p>
      <w:pPr>
        <w:pStyle w:val="Normal"/>
        <w:bidi w:val="0"/>
        <w:spacing w:before="0" w:after="0"/>
        <w:jc w:val="left"/>
        <w:rPr>
          <w:sz w:val="4"/>
          <w:szCs w:val="4"/>
        </w:rPr>
      </w:pPr>
      <w:r>
        <w:rPr>
          <w:sz w:val="4"/>
          <w:szCs w:val="4"/>
        </w:rPr>
      </w:r>
      <w:bookmarkStart w:id="22" w:name="zbd7f20895460477698611583ea83e529"/>
      <w:bookmarkStart w:id="23" w:name="zbd7f20895460477698611583ea83e529"/>
      <w:bookmarkEnd w:id="23"/>
    </w:p>
    <w:tbl>
      <w:tblPr>
        <w:tblW w:w="6590" w:type="dxa"/>
        <w:jc w:val="left"/>
        <w:tblInd w:w="0" w:type="dxa"/>
        <w:tblLayout w:type="fixed"/>
        <w:tblCellMar>
          <w:top w:w="0" w:type="dxa"/>
          <w:left w:w="0" w:type="dxa"/>
          <w:bottom w:w="0" w:type="dxa"/>
          <w:right w:w="0" w:type="dxa"/>
        </w:tblCellMar>
      </w:tblPr>
      <w:tblGrid>
        <w:gridCol w:w="4025"/>
        <w:gridCol w:w="60"/>
        <w:gridCol w:w="210"/>
        <w:gridCol w:w="919"/>
        <w:gridCol w:w="87"/>
        <w:gridCol w:w="65"/>
        <w:gridCol w:w="181"/>
        <w:gridCol w:w="948"/>
        <w:gridCol w:w="95"/>
      </w:tblGrid>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2026</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2025</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(7,097</w:t>
            </w:r>
          </w:p>
        </w:tc>
        <w:tc>
          <w:tcPr>
            <w:tcW w:w="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(10,903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Amortization of intangibles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2,729</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2,653</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Acquisition, restructuring and other items, net (1)</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2,181</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2,758</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Tax effect of non-GAAP items (2)</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350</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1,313</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Adjusted net loss</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(1,837</w:t>
            </w:r>
          </w:p>
        </w:tc>
        <w:tc>
          <w:tcPr>
            <w:tcW w:w="8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(4,179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Reconciliation of Diluted Loss Per Share to non-GAAP Adjusted Diluted Loss Per Share: </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4" w:name="zd79563bce11f43b2b488715e66627753"/>
      <w:bookmarkStart w:id="25" w:name="zd79563bce11f43b2b488715e66627753"/>
      <w:bookmarkEnd w:id="25"/>
    </w:p>
    <w:tbl>
      <w:tblPr>
        <w:tblW w:w="6592" w:type="dxa"/>
        <w:jc w:val="left"/>
        <w:tblInd w:w="0" w:type="dxa"/>
        <w:tblLayout w:type="fixed"/>
        <w:tblCellMar>
          <w:top w:w="0" w:type="dxa"/>
          <w:left w:w="0" w:type="dxa"/>
          <w:bottom w:w="0" w:type="dxa"/>
          <w:right w:w="0" w:type="dxa"/>
        </w:tblCellMar>
      </w:tblPr>
      <w:tblGrid>
        <w:gridCol w:w="4025"/>
        <w:gridCol w:w="60"/>
        <w:gridCol w:w="196"/>
        <w:gridCol w:w="933"/>
        <w:gridCol w:w="88"/>
        <w:gridCol w:w="66"/>
        <w:gridCol w:w="196"/>
        <w:gridCol w:w="933"/>
        <w:gridCol w:w="95"/>
      </w:tblGrid>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2026</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2025</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29" w:type="dxa"/>
            <w:gridSpan w:val="2"/>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129"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Diluted loss per share</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(0.17</w:t>
            </w:r>
          </w:p>
        </w:tc>
        <w:tc>
          <w:tcPr>
            <w:tcW w:w="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Amortization of intangibles</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Acquisition, restructuring and other items, net (1)</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0.05</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0.07</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Tax effect of non-GAAP items (2)</w:t>
            </w:r>
          </w:p>
        </w:tc>
        <w:tc>
          <w:tcPr>
            <w:tcW w:w="60"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Adjusted diluted loss per share</w:t>
            </w:r>
          </w:p>
        </w:tc>
        <w:tc>
          <w:tcPr>
            <w:tcW w:w="60" w:type="dxa"/>
            <w:tcBorders/>
            <w:vAlign w:val="bottom"/>
          </w:tcPr>
          <w:p>
            <w:pPr>
              <w:pStyle w:val="TableContents"/>
              <w:bidi w:val="0"/>
              <w:spacing w:before="0" w:after="283"/>
              <w:jc w:val="righ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 w:type="dxa"/>
            <w:tcBorders/>
            <w:vAlign w:val="bottom"/>
          </w:tcPr>
          <w:p>
            <w:pPr>
              <w:pStyle w:val="TableContents"/>
              <w:bidi w:val="0"/>
              <w:spacing w:before="0" w:after="283"/>
              <w:jc w:val="righ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shd w:fill="CCEEFF" w:val="clear"/>
            <w:vAlign w:val="bottom"/>
          </w:tcPr>
          <w:p>
            <w:pPr>
              <w:pStyle w:val="TableContents"/>
              <w:bidi w:val="0"/>
              <w:spacing w:before="0" w:after="0"/>
              <w:ind w:left="180" w:right="0" w:hanging="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lineRule="auto" w:line="240" w:before="0" w:after="0"/>
              <w:ind w:left="180" w:right="0" w:hanging="0"/>
              <w:jc w:val="left"/>
              <w:rPr>
                <w:rFonts w:ascii="Times New Roman" w:hAnsi="Times New Roman"/>
                <w:color w:val="000000"/>
                <w:sz w:val="20"/>
              </w:rPr>
            </w:pPr>
            <w:r>
              <w:rPr>
                <w:rFonts w:ascii="Times New Roman" w:hAnsi="Times New Roman"/>
                <w:color w:val="000000"/>
                <w:sz w:val="20"/>
              </w:rPr>
              <w:t>Adjusted diluted sharecount (3)</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42,022</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41,174</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6" w:name="z14b0b298f63e45df9bce492cee7c020e"/>
      <w:bookmarkStart w:id="27" w:name="z14b0b298f63e45df9bce492cee7c020e"/>
      <w:bookmarkEnd w:id="27"/>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costs related to merger and acquisition activities, restructuring, and unusual items, including asset impairments and write-offs, certain litigation, and other items.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4973b4f1dd8e4536a6cacb13b76a62f3"/>
      <w:bookmarkStart w:id="29" w:name="z4973b4f1dd8e4536a6cacb13b76a62f3"/>
      <w:bookmarkEnd w:id="29"/>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 to reflect the income tax provision on a non-GAAP basis has been calculated assuming no valuation allowance on the Company’s U.S. deferred tax assets and an effective tax rate of 23% for the periods ended August 31, 2026 and 2025.</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b266047187934937949c6fd0023ad5ed"/>
      <w:bookmarkStart w:id="31" w:name="zb266047187934937949c6fd0023ad5ed"/>
      <w:bookmarkEnd w:id="31"/>
    </w:p>
    <w:tbl>
      <w:tblPr>
        <w:tblW w:w="7765" w:type="dxa"/>
        <w:jc w:val="left"/>
        <w:tblInd w:w="0" w:type="dxa"/>
        <w:tblLayout w:type="fixed"/>
        <w:tblCellMar>
          <w:top w:w="0" w:type="dxa"/>
          <w:left w:w="0" w:type="dxa"/>
          <w:bottom w:w="0" w:type="dxa"/>
          <w:right w:w="0" w:type="dxa"/>
        </w:tblCellMar>
      </w:tblPr>
      <w:tblGrid>
        <w:gridCol w:w="260"/>
        <w:gridCol w:w="7505"/>
      </w:tblGrid>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7505" w:type="dxa"/>
            <w:tcBorders/>
            <w:vAlign w:val="center"/>
          </w:tcPr>
          <w:p>
            <w:pPr>
              <w:pStyle w:val="TableContents"/>
              <w:bidi w:val="0"/>
              <w:spacing w:before="0" w:after="0"/>
              <w:ind w:left="53" w:right="0" w:hanging="0"/>
              <w:jc w:val="left"/>
              <w:rPr>
                <w:rFonts w:ascii="Times New Roman" w:hAnsi="Times New Roman"/>
                <w:sz w:val="20"/>
              </w:rPr>
            </w:pPr>
            <w:r>
              <w:rPr>
                <w:rFonts w:ascii="Times New Roman" w:hAnsi="Times New Roman"/>
                <w:sz w:val="20"/>
              </w:rPr>
              <w:t>Diluted shares may differ for non-GAAP measures as compared to GAAP due to a GAAP loss.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GAAP TO NON-GAAP RECONCILIATION (Continued)</w:t>
      </w:r>
    </w:p>
    <w:p>
      <w:pPr>
        <w:pStyle w:val="TextBody"/>
        <w:bidi w:val="0"/>
        <w:spacing w:before="0" w:after="0"/>
        <w:ind w:left="53" w:right="0" w:hanging="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r>
        <w:rPr>
          <w:rFonts w:ascii="Times New Roman" w:hAnsi="Times New Roman"/>
          <w:b/>
          <w:color w:val="000000"/>
          <w:sz w:val="20"/>
        </w:rPr>
        <w:t>Reconciliation of Net Loss to Adjusted EBITDA:</w:t>
      </w:r>
    </w:p>
    <w:p>
      <w:pPr>
        <w:pStyle w:val="TextBody"/>
        <w:bidi w:val="0"/>
        <w:spacing w:before="0" w:after="0"/>
        <w:jc w:val="left"/>
        <w:rPr>
          <w:b/>
          <w:sz w:val="20"/>
        </w:rPr>
      </w:pPr>
      <w:r>
        <w:rPr>
          <w:b/>
          <w:sz w:val="20"/>
        </w:rPr>
      </w:r>
    </w:p>
    <w:p>
      <w:pPr>
        <w:pStyle w:val="Normal"/>
        <w:bidi w:val="0"/>
        <w:spacing w:before="0" w:after="0"/>
        <w:jc w:val="left"/>
        <w:rPr>
          <w:sz w:val="4"/>
          <w:szCs w:val="4"/>
        </w:rPr>
      </w:pPr>
      <w:r>
        <w:rPr>
          <w:sz w:val="4"/>
          <w:szCs w:val="4"/>
        </w:rPr>
      </w:r>
      <w:bookmarkStart w:id="32" w:name="za1f67e2093704fcdac30cc413e928162"/>
      <w:bookmarkStart w:id="33" w:name="za1f67e2093704fcdac30cc413e928162"/>
      <w:bookmarkEnd w:id="33"/>
    </w:p>
    <w:tbl>
      <w:tblPr>
        <w:tblW w:w="6590" w:type="dxa"/>
        <w:jc w:val="left"/>
        <w:tblInd w:w="0" w:type="dxa"/>
        <w:tblLayout w:type="fixed"/>
        <w:tblCellMar>
          <w:top w:w="0" w:type="dxa"/>
          <w:left w:w="0" w:type="dxa"/>
          <w:bottom w:w="0" w:type="dxa"/>
          <w:right w:w="0" w:type="dxa"/>
        </w:tblCellMar>
      </w:tblPr>
      <w:tblGrid>
        <w:gridCol w:w="4025"/>
        <w:gridCol w:w="60"/>
        <w:gridCol w:w="210"/>
        <w:gridCol w:w="919"/>
        <w:gridCol w:w="87"/>
        <w:gridCol w:w="65"/>
        <w:gridCol w:w="181"/>
        <w:gridCol w:w="948"/>
        <w:gridCol w:w="95"/>
      </w:tblGrid>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2026</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2025</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(7,097</w:t>
            </w:r>
          </w:p>
        </w:tc>
        <w:tc>
          <w:tcPr>
            <w:tcW w:w="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(10,903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0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(benefit) expense</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w:t>
            </w:r>
          </w:p>
        </w:tc>
        <w:tc>
          <w:tcPr>
            <w:tcW w:w="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expense, net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5,498</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5,950</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 based compensation</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4,502</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4,470</w:t>
            </w:r>
          </w:p>
        </w:tc>
        <w:tc>
          <w:tcPr>
            <w:tcW w:w="95" w:type="dxa"/>
            <w:tcBorders/>
            <w:vAlign w:val="bottom"/>
          </w:tcPr>
          <w:p>
            <w:pPr>
              <w:pStyle w:val="TableContents"/>
              <w:bidi w:val="0"/>
              <w:spacing w:before="0" w:after="283"/>
              <w:jc w:val="left"/>
              <w:rPr/>
            </w:pPr>
            <w:r>
              <w:rPr/>
              <w:t> </w:t>
            </w:r>
          </w:p>
        </w:tc>
      </w:tr>
      <w:tr>
        <w:trPr/>
        <w:tc>
          <w:tcPr>
            <w:tcW w:w="4025"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Acquisition, restructuring and other items, net (1)</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2,181</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2,574</w:t>
            </w:r>
          </w:p>
        </w:tc>
        <w:tc>
          <w:tcPr>
            <w:tcW w:w="95" w:type="dxa"/>
            <w:tcBorders/>
            <w:shd w:fill="CCEEFF" w:val="clear"/>
            <w:vAlign w:val="bottom"/>
          </w:tcPr>
          <w:p>
            <w:pPr>
              <w:pStyle w:val="TableContents"/>
              <w:bidi w:val="0"/>
              <w:spacing w:before="0" w:after="283"/>
              <w:jc w:val="left"/>
              <w:rPr/>
            </w:pPr>
            <w:r>
              <w:rPr/>
              <w:t> </w:t>
            </w:r>
          </w:p>
        </w:tc>
      </w:tr>
      <w:tr>
        <w:trPr/>
        <w:tc>
          <w:tcPr>
            <w:tcW w:w="402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Adjusted EBITDA</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4,973</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2,160</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4" w:name="zdf190955a6974470a92421806197a1ad"/>
      <w:bookmarkStart w:id="35" w:name="zdf190955a6974470a92421806197a1ad"/>
      <w:bookmarkEnd w:id="35"/>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costs related to merger and acquisition activities, restructuring, and unusual items, including asset impairments and write-offs, certain litigation, and other items.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ACQUISITION, RESTRUCTURING, AND OTHER ITEMS, NET DETAIL</w:t>
      </w:r>
    </w:p>
    <w:p>
      <w:pPr>
        <w:pStyle w:val="TextBody"/>
        <w:bidi w:val="0"/>
        <w:spacing w:before="0" w:after="0"/>
        <w:ind w:left="53" w:right="0" w:hanging="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03089beada4146bd884818f85bfeba1e"/>
      <w:bookmarkStart w:id="37" w:name="z03089beada4146bd884818f85bfeba1e"/>
      <w:bookmarkEnd w:id="37"/>
    </w:p>
    <w:tbl>
      <w:tblPr>
        <w:tblW w:w="5212" w:type="dxa"/>
        <w:jc w:val="left"/>
        <w:tblInd w:w="0" w:type="dxa"/>
        <w:tblLayout w:type="fixed"/>
        <w:tblCellMar>
          <w:top w:w="0" w:type="dxa"/>
          <w:left w:w="0" w:type="dxa"/>
          <w:bottom w:w="0" w:type="dxa"/>
          <w:right w:w="0" w:type="dxa"/>
        </w:tblCellMar>
      </w:tblPr>
      <w:tblGrid>
        <w:gridCol w:w="2645"/>
        <w:gridCol w:w="60"/>
        <w:gridCol w:w="231"/>
        <w:gridCol w:w="898"/>
        <w:gridCol w:w="77"/>
        <w:gridCol w:w="77"/>
        <w:gridCol w:w="231"/>
        <w:gridCol w:w="898"/>
        <w:gridCol w:w="95"/>
      </w:tblGrid>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95" w:type="dxa"/>
            <w:tcBorders/>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2026</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2025</w:t>
            </w:r>
          </w:p>
        </w:tc>
        <w:tc>
          <w:tcPr>
            <w:tcW w:w="95" w:type="dxa"/>
            <w:tcBorders/>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Legal (1)</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406</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w:t>
            </w:r>
          </w:p>
        </w:tc>
        <w:tc>
          <w:tcPr>
            <w:tcW w:w="9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Plant closure (2)</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617</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2,345</w:t>
            </w:r>
          </w:p>
        </w:tc>
        <w:tc>
          <w:tcPr>
            <w:tcW w:w="9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Transition service agreement (3)</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645" w:type="dxa"/>
            <w:tcBorders/>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CEO transition (4)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770</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388</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502</w:t>
            </w:r>
          </w:p>
        </w:tc>
        <w:tc>
          <w:tcPr>
            <w:tcW w:w="9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left"/>
              <w:rPr/>
            </w:pPr>
            <w:r>
              <w:rPr/>
              <w:t> </w:t>
            </w:r>
          </w:p>
        </w:tc>
        <w:tc>
          <w:tcPr>
            <w:tcW w:w="2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2,181</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2,758</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8" w:name="z3c461a183efa44ffaa79b9c8939d0ead"/>
      <w:bookmarkStart w:id="39" w:name="z3c461a183efa44ffaa79b9c8939d0ead"/>
      <w:bookmarkEnd w:id="39"/>
    </w:p>
    <w:tbl>
      <w:tblPr>
        <w:tblW w:w="6820" w:type="dxa"/>
        <w:jc w:val="left"/>
        <w:tblInd w:w="0" w:type="dxa"/>
        <w:tblLayout w:type="fixed"/>
        <w:tblCellMar>
          <w:top w:w="0" w:type="dxa"/>
          <w:left w:w="0" w:type="dxa"/>
          <w:bottom w:w="0" w:type="dxa"/>
          <w:right w:w="0" w:type="dxa"/>
        </w:tblCellMar>
      </w:tblPr>
      <w:tblGrid>
        <w:gridCol w:w="260"/>
        <w:gridCol w:w="6560"/>
      </w:tblGrid>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expenses related to litigation that is outside the normal course of business.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5b35aa8180bf4e5ca62fd42e2c2778f6"/>
      <w:bookmarkStart w:id="41" w:name="z5b35aa8180bf4e5ca62fd42e2c2778f6"/>
      <w:bookmarkEnd w:id="41"/>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Plant closure expense, related to the restructuring of our manufacturing footprint which was announced on January 5, 2024.</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3e3e0df8d5b74b6e9ac4135abaedb1ff"/>
      <w:bookmarkStart w:id="43" w:name="z3e3e0df8d5b74b6e9ac4135abaedb1ff"/>
      <w:bookmarkEnd w:id="43"/>
    </w:p>
    <w:tbl>
      <w:tblPr>
        <w:tblW w:w="6685" w:type="dxa"/>
        <w:jc w:val="left"/>
        <w:tblInd w:w="0" w:type="dxa"/>
        <w:tblLayout w:type="fixed"/>
        <w:tblCellMar>
          <w:top w:w="0" w:type="dxa"/>
          <w:left w:w="0" w:type="dxa"/>
          <w:bottom w:w="0" w:type="dxa"/>
          <w:right w:w="0" w:type="dxa"/>
        </w:tblCellMar>
      </w:tblPr>
      <w:tblGrid>
        <w:gridCol w:w="260"/>
        <w:gridCol w:w="6425"/>
      </w:tblGrid>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 services agreements that were entered into with Merit and Spectrum.</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c622ae6bdd944f9494c06c49ee7fa817"/>
      <w:bookmarkStart w:id="45" w:name="zc622ae6bdd944f9494c06c49ee7fa817"/>
      <w:bookmarkEnd w:id="45"/>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CEO retirement and transition expenses related to the CEO search and retention agreements with the Company’s executive leadership team.</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NET SALES BY PRODUCT CATEGORY AND BY GEOGRAPHY</w:t>
      </w:r>
    </w:p>
    <w:p>
      <w:pPr>
        <w:pStyle w:val="TextBody"/>
        <w:bidi w:val="0"/>
        <w:spacing w:before="0" w:after="0"/>
        <w:ind w:left="53" w:right="0" w:hanging="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eccedd2c27b743d6a87ff29d1132f380"/>
      <w:bookmarkStart w:id="47" w:name="zeccedd2c27b743d6a87ff29d1132f380"/>
      <w:bookmarkEnd w:id="47"/>
    </w:p>
    <w:tbl>
      <w:tblPr>
        <w:tblW w:w="4715" w:type="dxa"/>
        <w:jc w:val="left"/>
        <w:tblInd w:w="0" w:type="dxa"/>
        <w:tblLayout w:type="fixed"/>
        <w:tblCellMar>
          <w:top w:w="0" w:type="dxa"/>
          <w:left w:w="0" w:type="dxa"/>
          <w:bottom w:w="0" w:type="dxa"/>
          <w:right w:w="0" w:type="dxa"/>
        </w:tblCellMar>
      </w:tblPr>
      <w:tblGrid>
        <w:gridCol w:w="1115"/>
        <w:gridCol w:w="60"/>
        <w:gridCol w:w="197"/>
        <w:gridCol w:w="932"/>
        <w:gridCol w:w="66"/>
        <w:gridCol w:w="66"/>
        <w:gridCol w:w="197"/>
        <w:gridCol w:w="932"/>
        <w:gridCol w:w="60"/>
        <w:gridCol w:w="60"/>
        <w:gridCol w:w="113"/>
        <w:gridCol w:w="717"/>
        <w:gridCol w:w="200"/>
      </w:tblGrid>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2026</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Growth</w:t>
            </w:r>
          </w:p>
        </w:tc>
        <w:tc>
          <w:tcPr>
            <w:tcW w:w="200"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Sales</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11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Med Tech</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39,916</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1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Med Device</w:t>
            </w:r>
          </w:p>
        </w:tc>
        <w:tc>
          <w:tcPr>
            <w:tcW w:w="6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40,999</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80,915</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1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Sales</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United States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71,068</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66,456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1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International</w:t>
            </w:r>
          </w:p>
        </w:tc>
        <w:tc>
          <w:tcPr>
            <w:tcW w:w="60"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9,847</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80,915</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75,711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GROSS MARGIN BY PRODUCT CATEGORY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bb01d52d040b4208a332bbedf4c65223"/>
      <w:bookmarkStart w:id="49" w:name="zbb01d52d040b4208a332bbedf4c65223"/>
      <w:bookmarkEnd w:id="49"/>
    </w:p>
    <w:tbl>
      <w:tblPr>
        <w:tblW w:w="5830" w:type="dxa"/>
        <w:jc w:val="left"/>
        <w:tblInd w:w="0" w:type="dxa"/>
        <w:tblLayout w:type="fixed"/>
        <w:tblCellMar>
          <w:top w:w="0" w:type="dxa"/>
          <w:left w:w="0" w:type="dxa"/>
          <w:bottom w:w="0" w:type="dxa"/>
          <w:right w:w="0" w:type="dxa"/>
        </w:tblCellMar>
      </w:tblPr>
      <w:tblGrid>
        <w:gridCol w:w="1955"/>
        <w:gridCol w:w="60"/>
        <w:gridCol w:w="197"/>
        <w:gridCol w:w="932"/>
        <w:gridCol w:w="191"/>
        <w:gridCol w:w="61"/>
        <w:gridCol w:w="197"/>
        <w:gridCol w:w="932"/>
        <w:gridCol w:w="185"/>
        <w:gridCol w:w="60"/>
        <w:gridCol w:w="117"/>
        <w:gridCol w:w="743"/>
        <w:gridCol w:w="200"/>
      </w:tblGrid>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2026</w:t>
            </w:r>
          </w:p>
        </w:tc>
        <w:tc>
          <w:tcPr>
            <w:tcW w:w="19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Change</w:t>
            </w:r>
          </w:p>
        </w:tc>
        <w:tc>
          <w:tcPr>
            <w:tcW w:w="200" w:type="dxa"/>
            <w:tcBorders/>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9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Med Tech</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26,424</w:t>
            </w:r>
          </w:p>
        </w:tc>
        <w:tc>
          <w:tcPr>
            <w:tcW w:w="19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21,922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Gross margin % of sales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66.2</w:t>
            </w:r>
          </w:p>
        </w:tc>
        <w:tc>
          <w:tcPr>
            <w:tcW w:w="1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Med Device</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21,616</w:t>
            </w:r>
          </w:p>
        </w:tc>
        <w:tc>
          <w:tcPr>
            <w:tcW w:w="19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19,935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Gross margin % of sales</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52.7</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1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9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48,040</w:t>
            </w:r>
          </w:p>
        </w:tc>
        <w:tc>
          <w:tcPr>
            <w:tcW w:w="19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41,857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9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Gross margin % of sales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59.4</w:t>
            </w:r>
          </w:p>
        </w:tc>
        <w:tc>
          <w:tcPr>
            <w:tcW w:w="1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bl>
    <w:p>
      <w:pPr>
        <w:pStyle w:val="TextBody"/>
        <w:bidi w:val="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before="0" w:after="0"/>
        <w:jc w:val="left"/>
        <w:rPr>
          <w:color w:val="000000"/>
        </w:rPr>
      </w:pPr>
      <w:r>
        <w:rPr>
          <w:color w:val="000000"/>
        </w:rPr>
        <w:t> </w:t>
      </w:r>
    </w:p>
    <w:p>
      <w:pPr>
        <w:pStyle w:val="TextBody"/>
        <w:bidi w:val="0"/>
        <w:spacing w:before="0" w:after="0"/>
        <w:ind w:left="53" w:right="0" w:hanging="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c3fce0e7806a45bc9cb4f4d336eff4a4"/>
      <w:bookmarkStart w:id="51" w:name="zc3fce0e7806a45bc9cb4f4d336eff4a4"/>
      <w:bookmarkEnd w:id="51"/>
    </w:p>
    <w:tbl>
      <w:tblPr>
        <w:tblW w:w="6013" w:type="dxa"/>
        <w:jc w:val="left"/>
        <w:tblInd w:w="0" w:type="dxa"/>
        <w:tblLayout w:type="fixed"/>
        <w:tblCellMar>
          <w:top w:w="0" w:type="dxa"/>
          <w:left w:w="0" w:type="dxa"/>
          <w:bottom w:w="0" w:type="dxa"/>
          <w:right w:w="0" w:type="dxa"/>
        </w:tblCellMar>
      </w:tblPr>
      <w:tblGrid>
        <w:gridCol w:w="3470"/>
        <w:gridCol w:w="60"/>
        <w:gridCol w:w="172"/>
        <w:gridCol w:w="957"/>
        <w:gridCol w:w="60"/>
        <w:gridCol w:w="60"/>
        <w:gridCol w:w="176"/>
        <w:gridCol w:w="983"/>
        <w:gridCol w:w="75"/>
      </w:tblGrid>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May 31, 2026</w:t>
            </w:r>
          </w:p>
        </w:tc>
        <w:tc>
          <w:tcPr>
            <w:tcW w:w="7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(audited)</w:t>
            </w:r>
          </w:p>
        </w:tc>
        <w:tc>
          <w:tcPr>
            <w:tcW w:w="7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53,864</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44,905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48,325</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Inventories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54,953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52,436</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8,769</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143,003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163,394</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Property, plant and equipment, net</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27,728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27,097</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assets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9,463</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Intangible assets, net</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61,894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67,209</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241,933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267,163</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31,513</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Accrued liabilities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28,811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38,909</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current liabilities</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4,295</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74,717</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income taxes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5,316</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long-term liabilities</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16,305</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liabilities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77,970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96,338</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Stockholders’ equity</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170,825</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before="0" w:after="283"/>
              <w:jc w:val="left"/>
              <w:rPr/>
            </w:pPr>
            <w:r>
              <w:rPr/>
              <w:t> </w:t>
            </w:r>
          </w:p>
        </w:tc>
        <w:tc>
          <w:tcPr>
            <w:tcW w:w="17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241,933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267,163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ANGIODYNAMICS, INC. AND SUBSIDIARIES</w:t>
      </w:r>
    </w:p>
    <w:p>
      <w:pPr>
        <w:pStyle w:val="TextBody"/>
        <w:bidi w:val="0"/>
        <w:spacing w:before="0" w:after="0"/>
        <w:ind w:left="53" w:right="0" w:hanging="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spacing w:before="0" w:after="0"/>
        <w:ind w:left="53" w:right="0" w:hanging="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9c6eaa014ed840a68edf895a99121774"/>
      <w:bookmarkStart w:id="53" w:name="z9c6eaa014ed840a68edf895a99121774"/>
      <w:bookmarkEnd w:id="53"/>
    </w:p>
    <w:tbl>
      <w:tblPr>
        <w:tblW w:w="8500" w:type="dxa"/>
        <w:jc w:val="left"/>
        <w:tblInd w:w="0" w:type="dxa"/>
        <w:tblLayout w:type="fixed"/>
        <w:tblCellMar>
          <w:top w:w="0" w:type="dxa"/>
          <w:left w:w="0" w:type="dxa"/>
          <w:bottom w:w="0" w:type="dxa"/>
          <w:right w:w="0" w:type="dxa"/>
        </w:tblCellMar>
      </w:tblPr>
      <w:tblGrid>
        <w:gridCol w:w="5945"/>
        <w:gridCol w:w="60"/>
        <w:gridCol w:w="181"/>
        <w:gridCol w:w="948"/>
        <w:gridCol w:w="81"/>
        <w:gridCol w:w="61"/>
        <w:gridCol w:w="181"/>
        <w:gridCol w:w="948"/>
        <w:gridCol w:w="95"/>
      </w:tblGrid>
      <w:tr>
        <w:trPr/>
        <w:tc>
          <w:tcPr>
            <w:tcW w:w="5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Three Months Ended</w:t>
            </w:r>
          </w:p>
        </w:tc>
        <w:tc>
          <w:tcPr>
            <w:tcW w:w="95" w:type="dxa"/>
            <w:tcBorders/>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2026</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Aug 31, 2025</w:t>
            </w:r>
          </w:p>
        </w:tc>
        <w:tc>
          <w:tcPr>
            <w:tcW w:w="95" w:type="dxa"/>
            <w:tcBorders/>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(unaudited)</w:t>
            </w:r>
          </w:p>
        </w:tc>
        <w:tc>
          <w:tcPr>
            <w:tcW w:w="95" w:type="dxa"/>
            <w:tcBorders/>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59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(7,097</w:t>
            </w:r>
          </w:p>
        </w:tc>
        <w:tc>
          <w:tcPr>
            <w:tcW w:w="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(10,903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945" w:type="dxa"/>
            <w:tcBorders/>
            <w:shd w:fill="CCEEFF" w:val="clear"/>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5,498</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5,950</w:t>
            </w:r>
          </w:p>
        </w:tc>
        <w:tc>
          <w:tcPr>
            <w:tcW w:w="9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Non-cash lease expense</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w:t>
            </w:r>
          </w:p>
        </w:tc>
        <w:tc>
          <w:tcPr>
            <w:tcW w:w="95" w:type="dxa"/>
            <w:tcBorders/>
            <w:vAlign w:val="bottom"/>
          </w:tcPr>
          <w:p>
            <w:pPr>
              <w:pStyle w:val="TableContents"/>
              <w:bidi w:val="0"/>
              <w:spacing w:before="0" w:after="283"/>
              <w:jc w:val="left"/>
              <w:rPr/>
            </w:pPr>
            <w:r>
              <w:rPr/>
              <w:t> </w:t>
            </w:r>
          </w:p>
        </w:tc>
      </w:tr>
      <w:tr>
        <w:trPr/>
        <w:tc>
          <w:tcPr>
            <w:tcW w:w="5945" w:type="dxa"/>
            <w:tcBorders/>
            <w:shd w:fill="CCEEFF" w:val="clear"/>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Non-cash interest expense</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9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Stock based compensation</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4,502</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4,470</w:t>
            </w:r>
          </w:p>
        </w:tc>
        <w:tc>
          <w:tcPr>
            <w:tcW w:w="95" w:type="dxa"/>
            <w:tcBorders/>
            <w:vAlign w:val="bottom"/>
          </w:tcPr>
          <w:p>
            <w:pPr>
              <w:pStyle w:val="TableContents"/>
              <w:bidi w:val="0"/>
              <w:spacing w:before="0" w:after="283"/>
              <w:jc w:val="left"/>
              <w:rPr/>
            </w:pPr>
            <w:r>
              <w:rPr/>
              <w:t> </w:t>
            </w:r>
          </w:p>
        </w:tc>
      </w:tr>
      <w:tr>
        <w:trPr/>
        <w:tc>
          <w:tcPr>
            <w:tcW w:w="5945" w:type="dxa"/>
            <w:tcBorders/>
            <w:shd w:fill="CCEEFF" w:val="clear"/>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Deferred income taxes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w:t>
            </w:r>
          </w:p>
        </w:tc>
        <w:tc>
          <w:tcPr>
            <w:tcW w:w="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Change in accounts receivable allowances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w:t>
            </w:r>
          </w:p>
        </w:tc>
        <w:tc>
          <w:tcPr>
            <w:tcW w:w="8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w:t>
            </w:r>
          </w:p>
        </w:tc>
        <w:tc>
          <w:tcPr>
            <w:tcW w:w="95" w:type="dxa"/>
            <w:tcBorders/>
            <w:vAlign w:val="bottom"/>
          </w:tcPr>
          <w:p>
            <w:pPr>
              <w:pStyle w:val="TableContents"/>
              <w:bidi w:val="0"/>
              <w:spacing w:before="0" w:after="283"/>
              <w:jc w:val="left"/>
              <w:rPr/>
            </w:pPr>
            <w:r>
              <w:rPr/>
              <w:t> </w:t>
            </w:r>
          </w:p>
        </w:tc>
      </w:tr>
      <w:tr>
        <w:trPr/>
        <w:tc>
          <w:tcPr>
            <w:tcW w:w="5945" w:type="dxa"/>
            <w:tcBorders/>
            <w:shd w:fill="CCEEFF" w:val="clear"/>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Fixed and intangible asset disposals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(707</w:t>
            </w:r>
          </w:p>
        </w:tc>
        <w:tc>
          <w:tcPr>
            <w:tcW w:w="8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w:t>
            </w:r>
          </w:p>
        </w:tc>
        <w:tc>
          <w:tcPr>
            <w:tcW w:w="95" w:type="dxa"/>
            <w:tcBorders/>
            <w:vAlign w:val="bottom"/>
          </w:tcPr>
          <w:p>
            <w:pPr>
              <w:pStyle w:val="TableContents"/>
              <w:bidi w:val="0"/>
              <w:spacing w:before="0" w:after="283"/>
              <w:jc w:val="left"/>
              <w:rPr/>
            </w:pPr>
            <w:r>
              <w:rPr/>
              <w:t> </w:t>
            </w:r>
          </w:p>
        </w:tc>
      </w:tr>
      <w:tr>
        <w:trPr/>
        <w:tc>
          <w:tcPr>
            <w:tcW w:w="594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Accounts receivable</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3,471</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w:t>
            </w:r>
          </w:p>
        </w:tc>
        <w:tc>
          <w:tcPr>
            <w:tcW w:w="95" w:type="dxa"/>
            <w:tcBorders/>
            <w:vAlign w:val="bottom"/>
          </w:tcPr>
          <w:p>
            <w:pPr>
              <w:pStyle w:val="TableContents"/>
              <w:bidi w:val="0"/>
              <w:spacing w:before="0" w:after="283"/>
              <w:jc w:val="left"/>
              <w:rPr/>
            </w:pPr>
            <w:r>
              <w:rPr/>
              <w:t> </w:t>
            </w:r>
          </w:p>
        </w:tc>
      </w:tr>
      <w:tr>
        <w:trPr/>
        <w:tc>
          <w:tcPr>
            <w:tcW w:w="5945" w:type="dxa"/>
            <w:tcBorders/>
            <w:shd w:fill="CCEEFF" w:val="clear"/>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Inventories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(2,715</w:t>
            </w:r>
          </w:p>
        </w:tc>
        <w:tc>
          <w:tcPr>
            <w:tcW w:w="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(1,019</w:t>
            </w:r>
          </w:p>
        </w:tc>
        <w:tc>
          <w:tcPr>
            <w:tcW w:w="8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(5,525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shd w:fill="CCEEFF" w:val="clear"/>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Accounts payable, accrued and other liabilities</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(17,419</w:t>
            </w:r>
          </w:p>
        </w:tc>
        <w:tc>
          <w:tcPr>
            <w:tcW w:w="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(10,697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vAlign w:val="bottom"/>
          </w:tcPr>
          <w:p>
            <w:pPr>
              <w:pStyle w:val="TableContents"/>
              <w:bidi w:val="0"/>
              <w:spacing w:before="0" w:after="0"/>
              <w:ind w:left="720" w:right="0" w:hanging="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(15,330</w:t>
            </w:r>
          </w:p>
        </w:tc>
        <w:tc>
          <w:tcPr>
            <w:tcW w:w="8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(15,914</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Cash flows from investing activities: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Additions to property, plant and equipment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(379</w:t>
            </w:r>
          </w:p>
        </w:tc>
        <w:tc>
          <w:tcPr>
            <w:tcW w:w="8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shd w:fill="CCEEFF" w:val="clear"/>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Additions to placement and evaluation units</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(2,769</w:t>
            </w:r>
          </w:p>
        </w:tc>
        <w:tc>
          <w:tcPr>
            <w:tcW w:w="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vAlign w:val="bottom"/>
          </w:tcPr>
          <w:p>
            <w:pPr>
              <w:pStyle w:val="TableContents"/>
              <w:bidi w:val="0"/>
              <w:spacing w:before="0" w:after="0"/>
              <w:ind w:left="720" w:right="0" w:hanging="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(3,148</w:t>
            </w:r>
          </w:p>
        </w:tc>
        <w:tc>
          <w:tcPr>
            <w:tcW w:w="8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Cash flows from financing activities: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Principal payments on finance arrangements</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w:t>
            </w:r>
          </w:p>
        </w:tc>
        <w:tc>
          <w:tcPr>
            <w:tcW w:w="8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shd w:fill="CCEEFF" w:val="clear"/>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Proceeds (outlays) from issuances of shares of common stock</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(1,276</w:t>
            </w:r>
          </w:p>
        </w:tc>
        <w:tc>
          <w:tcPr>
            <w:tcW w:w="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w:t>
            </w:r>
          </w:p>
        </w:tc>
        <w:tc>
          <w:tcPr>
            <w:tcW w:w="9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720" w:right="0" w:hanging="0"/>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(1,375</w:t>
            </w:r>
          </w:p>
        </w:tc>
        <w:tc>
          <w:tcPr>
            <w:tcW w:w="8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w:t>
            </w:r>
          </w:p>
        </w:tc>
        <w:tc>
          <w:tcPr>
            <w:tcW w:w="95" w:type="dxa"/>
            <w:tcBorders/>
            <w:vAlign w:val="bottom"/>
          </w:tcPr>
          <w:p>
            <w:pPr>
              <w:pStyle w:val="TableContents"/>
              <w:bidi w:val="0"/>
              <w:spacing w:before="0" w:after="283"/>
              <w:jc w:val="left"/>
              <w:rPr/>
            </w:pPr>
            <w:r>
              <w:rPr/>
              <w:t> </w:t>
            </w:r>
          </w:p>
        </w:tc>
      </w:tr>
      <w:tr>
        <w:trPr/>
        <w:tc>
          <w:tcPr>
            <w:tcW w:w="594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w:t>
            </w:r>
          </w:p>
        </w:tc>
        <w:tc>
          <w:tcPr>
            <w:tcW w:w="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w:t>
            </w:r>
          </w:p>
        </w:tc>
        <w:tc>
          <w:tcPr>
            <w:tcW w:w="9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720" w:right="0" w:hanging="0"/>
              <w:jc w:val="left"/>
              <w:rPr>
                <w:rFonts w:ascii="Times New Roman" w:hAnsi="Times New Roman"/>
                <w:b/>
                <w:color w:val="000000"/>
                <w:sz w:val="20"/>
              </w:rPr>
            </w:pPr>
            <w:r>
              <w:rPr>
                <w:rFonts w:ascii="Times New Roman" w:hAnsi="Times New Roman"/>
                <w:b/>
                <w:color w:val="000000"/>
                <w:sz w:val="20"/>
              </w:rPr>
              <w:t>Decrease in cash</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(19,891</w:t>
            </w:r>
          </w:p>
        </w:tc>
        <w:tc>
          <w:tcPr>
            <w:tcW w:w="8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(17,131</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4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Cash at beginning of period</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53,864</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55,893</w:t>
            </w:r>
          </w:p>
        </w:tc>
        <w:tc>
          <w:tcPr>
            <w:tcW w:w="95" w:type="dxa"/>
            <w:tcBorders/>
            <w:shd w:fill="CCEEFF" w:val="clear"/>
            <w:vAlign w:val="bottom"/>
          </w:tcPr>
          <w:p>
            <w:pPr>
              <w:pStyle w:val="TableContents"/>
              <w:bidi w:val="0"/>
              <w:spacing w:before="0" w:after="283"/>
              <w:jc w:val="left"/>
              <w:rPr/>
            </w:pPr>
            <w:r>
              <w:rPr/>
              <w:t> </w:t>
            </w:r>
          </w:p>
        </w:tc>
      </w:tr>
      <w:tr>
        <w:trPr/>
        <w:tc>
          <w:tcPr>
            <w:tcW w:w="5945" w:type="dxa"/>
            <w:tcBorders/>
            <w:vAlign w:val="bottom"/>
          </w:tcPr>
          <w:p>
            <w:pPr>
              <w:pStyle w:val="TableContents"/>
              <w:bidi w:val="0"/>
              <w:spacing w:before="0" w:after="0"/>
              <w:ind w:left="360" w:right="0" w:hanging="0"/>
              <w:jc w:val="left"/>
              <w:rPr>
                <w:rFonts w:ascii="Times New Roman" w:hAnsi="Times New Roman"/>
                <w:b/>
                <w:color w:val="000000"/>
                <w:sz w:val="20"/>
              </w:rPr>
            </w:pPr>
            <w:r>
              <w:rPr>
                <w:rFonts w:ascii="Times New Roman" w:hAnsi="Times New Roman"/>
                <w:b/>
                <w:color w:val="000000"/>
                <w:sz w:val="20"/>
              </w:rPr>
              <w:t>Cash at end of period</w:t>
            </w:r>
          </w:p>
        </w:tc>
        <w:tc>
          <w:tcPr>
            <w:tcW w:w="6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33,973</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38,762</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54" w:name="ef20083493_ex99-2.htm"/>
      <w:bookmarkStart w:id="55" w:name="ksef20083493_ex992"/>
      <w:bookmarkStart w:id="56" w:name="ef20083493_ex99-2.htm"/>
      <w:bookmarkStart w:id="57" w:name="ksef20083493_ex992"/>
      <w:bookmarkEnd w:id="56"/>
      <w:bookmarkEnd w:id="5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center"/>
        <w:rPr>
          <w:color w:val="000000"/>
        </w:rPr>
      </w:pPr>
      <w:r>
        <w:rPr>
          <w:color w:val="000000"/>
        </w:rPr>
        <w:drawing>
          <wp:inline distT="0" distB="0" distL="0" distR="0">
            <wp:extent cx="10477500" cy="5886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First Quarter FY 2027Earnings Results  October 8,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Forward looking statements   2  Notice Regarding Forward-Looking Statements  This presentation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“projects,” “believes,” “seeks,” “estimates,”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2026. AngioDynamics does not assume any obligation to publicly update or revise any forward-looking statements for any reason.  Notice Regarding Non-GAAP Financial Measures  Management uses non-GAAP measures to establish operational goals and believes that non-GAAP measures may assist investors in analyzing the underlying trends in AngioDynamics’ business over time. Investors should consider these non-GAAP measures in addition to, not as a substitute for or as superior to, financial reporting measures prepared in accordance with GAAP. In this presentation, AngioDynamics has reported adjusted EBITDA (income before interest, taxes, depreciation and amortization and stock-based compensation); adjusted net income and adjusted earnings per share. Management uses these measures in its internal analysis and review of operational performance. Management believes that these measures provide investors with useful information in comparing AngioDynamics’ performance over different periods. By using these non-GAAP measures, management believes that investors get a better picture of the performance of AngioDynamics’ underlying business. Management encourages investors to review AngioDynamics’ financial results prepared in accordance with GAAP to understand AngioDynamics’ performance taking into account all relevant factors, including those that may only occur from time to time but have a material impact on AngioDynamics’ financial results. Please see the tables that follow for a reconciliation of non-GAAP measures to measures prepared in accordance with GAAP.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3  Leadership Transition  Eric Honroth named President and Chief Executive Officer, succeeding Jim Clemmer  Eric Honroth appointed President and Chief Executive Officer and a member of the Board of Directors, effective November 2, 2026, succeeding Jim Clemmer  Follows a comprehensive Board-led search process  Brings more than 20 years of leadership experience in medical devices and life sciences  Proven track record of driving double-digit growth and profitability across large, global organizations  Background spans cardiovascular, endovascular, urology, and oncology, directly aligned with AngioDynamics' markets  Jim Clemmer to remain with the Company as an executive advisor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4  Q1 FY 2027 Key Takeaways  Continued commercial and operational execution drives AngioDynamics’ accelerated and profitable growth.  Total  +6.9%   YoY Revenue Growth  Med Tech  +13.2%   Med Device  +1.4%   Auryon  +14.7%   Med Tech YoY Revenue Growth  Mech Thrombectomy  6.7%   NanoKnife Probes  +24.1%    Focus on Profitability  Balance Sheet Strength  Ended quarter with $34M in Cash  Zero debt with flexibility of revolving line of credit  Used ~$15.3M of cash from operations in the quarter, in line with historical trends  Will generate positive cash flow from operations in FY27  Adjusted EBITDA of $5.0M  Continued Execution  Net sales of $80.9M, +6.9% YoY growth  Med Tech segment sales of $39.9M, +13.2% YoY growth  Med Device segment sales of $41.0M, +1.4% YoY growth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5  Q1 FY 2027 Financial Snapshot  +1.4%   Growth  +13.2%  Growth  Segment Revenue Contribution  Segment Gross Margin  52.7%  66.2%  Med Device  Med Tech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6  Demonstrated Med Tech Growth Execution  6  Med Tech  ~22% of Total  Med Tech 6yr CAGR: +24%  Med Tech  ~47% of Total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  Q1 FY 2027 MedTech Performance Snapshot  Auryon: Double-digit growth for the 21st straight quarter, driven by our hospital atherectomy shift, customer base expansion, and early international adoption.  Mechanical Thrombectomy: Strong demand for AlphaVac and AngioVac, with continued progress on AlphaReturn and our infective endocarditis study, both IDE-approved.  NanoKnife: Strong growth on record prostate volumes and probe demand, supported by expanding reimbursement coverage following last quarter's positive Medicare decision.  Q1 FY 2027  Sales ($M)  YoY Growth  Total Auryon  $18.9  14.7%  Q1 FY 2027  Sales ($M)  YoY Growth  AlphaVac  $4.5  37.4%  AngioVac  $7.5  -5.9%  Total Mech Thromb.  $12.0  6.7%  Unifuse  $0.7  -36.0%  Total Thrombus Mgmt.  $12.7  3.0%  Q1 FY 2027  Sales ($M)  YoY Growth  Disposables  $6.7  24.1%  Capital  $1.7   53.5%  Total NanoKnife  $8.3   29.0%  +13.2% growth driven by solid commercial execution and continued portfolio adoption  Key Highlights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  Fiscal Year 2027 Guidancesupported by balance sheet strength  *Guidance was reiterated in conjunction with fiscal Q1 FY 2027 earnings call on October 8, 2026  +12 - 15%  Med Tech  Metric  Current Guidance  Net Sales  $336.0M - $341.0M  Med Tech Net Sales Growth  +12% - 15%  Med Device Net Sales Growth  Flat  Gross Margin  54% – 55%  Adjusted EBITDA  +$13.0M - $16.0M  Adjusted EPS  ($0.29) – ($0.24)  Flat  Med Device  FY 2027 Financial Guidance*  Med Tech  ~50% of Total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9  Appendix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10  Reconciliation of Net Loss and Diluted Loss Per Share to Non-GAAP Adjusted Net Loss and Diluted Loss Per Share(in thousands, except per share data)  Reconciliation of Net Loss to   Adjusted EBITDA   (in thousands)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477500" cy="5886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5886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11  Detail of “Acquisition, Restructuring and Other Items, net”  (in thousands) </w:t>
      </w:r>
    </w:p>
    <w:p>
      <w:pPr>
        <w:pStyle w:val="TextBody"/>
        <w:bidi w:val="0"/>
        <w:spacing w:before="0" w:after="0"/>
        <w:jc w:val="center"/>
        <w:rPr>
          <w:color w:val="000000"/>
        </w:rPr>
      </w:pPr>
      <w:r>
        <w:rPr>
          <w:color w:val="000000"/>
        </w:rPr>
        <w:t> </w:t>
      </w:r>
    </w:p>
    <w:p>
      <w:pPr>
        <w:pStyle w:val="TextBody"/>
        <w:bidi w:val="0"/>
        <w:spacing w:before="0" w:after="0"/>
        <w:jc w:val="center"/>
        <w:rPr/>
      </w:pPr>
      <w:r>
        <w:rPr/>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5030</Words>
  <Characters>28717</Characters>
  <CharactersWithSpaces>34241</CharactersWithSpaces>
  <Paragraphs>1698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