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56515</wp:posOffset>
            </wp:positionV>
            <wp:extent cx="24999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29"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56" w:lineRule="exact"/>
        <w:rPr>
          <w:sz w:val="24"/>
          <w:szCs w:val="24"/>
          <w:color w:val="auto"/>
        </w:rPr>
      </w:pPr>
    </w:p>
    <w:p>
      <w:pPr>
        <w:ind w:left="4135" w:right="2260" w:hanging="4135"/>
        <w:spacing w:after="0" w:line="225" w:lineRule="auto"/>
        <w:tabs>
          <w:tab w:leader="none" w:pos="664" w:val="left"/>
        </w:tabs>
        <w:numPr>
          <w:ilvl w:val="0"/>
          <w:numId w:val="1"/>
        </w:numPr>
        <w:rPr>
          <w:rFonts w:ascii="MS PGothic" w:cs="MS PGothic" w:eastAsia="MS PGothic" w:hAnsi="MS PGothic"/>
          <w:sz w:val="43"/>
          <w:szCs w:val="43"/>
          <w:color w:val="auto"/>
          <w:vertAlign w:val="subscript"/>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May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-448945</wp:posOffset>
            </wp:positionV>
            <wp:extent cx="24999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200"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1" w:lineRule="exact"/>
        <w:rPr>
          <w:sz w:val="24"/>
          <w:szCs w:val="24"/>
          <w:color w:val="auto"/>
        </w:rPr>
      </w:pPr>
    </w:p>
    <w:p>
      <w:pPr>
        <w:ind w:left="675" w:hanging="662"/>
        <w:spacing w:after="0"/>
        <w:tabs>
          <w:tab w:leader="none" w:pos="675"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58" w:lineRule="exact"/>
        <w:rPr>
          <w:sz w:val="24"/>
          <w:szCs w:val="24"/>
          <w:color w:val="auto"/>
        </w:rPr>
      </w:pPr>
    </w:p>
    <w:p>
      <w:pPr>
        <w:ind w:left="3595"/>
        <w:spacing w:after="0"/>
        <w:tabs>
          <w:tab w:leader="none" w:pos="6675"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3773170</wp:posOffset>
            </wp:positionH>
            <wp:positionV relativeFrom="paragraph">
              <wp:posOffset>-6350</wp:posOffset>
            </wp:positionV>
            <wp:extent cx="10579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7910" cy="8255"/>
                    </a:xfrm>
                    <a:prstGeom prst="rect">
                      <a:avLst/>
                    </a:prstGeom>
                    <a:noFill/>
                  </pic:spPr>
                </pic:pic>
              </a:graphicData>
            </a:graphic>
          </wp:anchor>
        </w:drawing>
      </w:r>
    </w:p>
    <w:p>
      <w:pPr>
        <w:spacing w:after="0" w:line="228"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Commission file number 0-50761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69850</wp:posOffset>
            </wp:positionV>
            <wp:extent cx="2499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pacing w:after="0" w:line="174"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43"/>
          <w:szCs w:val="43"/>
          <w:b w:val="1"/>
          <w:bCs w:val="1"/>
          <w:color w:val="auto"/>
        </w:rPr>
        <w:t>AngioDynamics, Inc.</w:t>
      </w:r>
    </w:p>
    <w:p>
      <w:pPr>
        <w:spacing w:after="0" w:line="57" w:lineRule="exact"/>
        <w:rPr>
          <w:sz w:val="24"/>
          <w:szCs w:val="24"/>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1765935</wp:posOffset>
            </wp:positionH>
            <wp:positionV relativeFrom="paragraph">
              <wp:posOffset>156845</wp:posOffset>
            </wp:positionV>
            <wp:extent cx="3587750" cy="544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7750" cy="5441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955" w:type="dxa"/>
        <w:tblCellMar>
          <w:top w:w="0" w:type="dxa"/>
          <w:left w:w="0" w:type="dxa"/>
          <w:bottom w:w="0" w:type="dxa"/>
          <w:right w:w="0" w:type="dxa"/>
        </w:tblCellMar>
      </w:tblPr>
      <w:tr>
        <w:trPr>
          <w:trHeight w:val="225"/>
        </w:trPr>
        <w:tc>
          <w:tcPr>
            <w:tcW w:w="700" w:type="dxa"/>
            <w:vAlign w:val="bottom"/>
          </w:tcPr>
          <w:p>
            <w:pPr>
              <w:spacing w:after="0"/>
              <w:rPr>
                <w:sz w:val="19"/>
                <w:szCs w:val="19"/>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9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6"/>
              </w:rPr>
              <w:t>11-3146460</w:t>
            </w:r>
          </w:p>
        </w:tc>
      </w:tr>
      <w:tr>
        <w:trPr>
          <w:trHeight w:val="147"/>
        </w:trPr>
        <w:tc>
          <w:tcPr>
            <w:tcW w:w="700" w:type="dxa"/>
            <w:vAlign w:val="bottom"/>
          </w:tcPr>
          <w:p>
            <w:pPr>
              <w:spacing w:after="0"/>
              <w:rPr>
                <w:sz w:val="12"/>
                <w:szCs w:val="12"/>
                <w:color w:val="auto"/>
              </w:rPr>
            </w:pPr>
          </w:p>
        </w:tc>
        <w:tc>
          <w:tcPr>
            <w:tcW w:w="2200" w:type="dxa"/>
            <w:vAlign w:val="bottom"/>
            <w:gridSpan w:val="3"/>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60" w:type="dxa"/>
            <w:vAlign w:val="bottom"/>
            <w:gridSpan w:val="2"/>
          </w:tcPr>
          <w:p>
            <w:pPr>
              <w:jc w:val="center"/>
              <w:ind w:right="900"/>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700" w:type="dxa"/>
            <w:vAlign w:val="bottom"/>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36"/>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14 Plaza Drive, Latham, New York 12110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2"/>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(518) 795-1400</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53"/>
        </w:trPr>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40" w:type="dxa"/>
            <w:vAlign w:val="bottom"/>
          </w:tcPr>
          <w:p>
            <w:pPr>
              <w:spacing w:after="0"/>
              <w:rPr>
                <w:sz w:val="21"/>
                <w:szCs w:val="21"/>
                <w:color w:val="auto"/>
              </w:rPr>
            </w:pPr>
          </w:p>
        </w:tc>
      </w:tr>
      <w:tr>
        <w:trPr>
          <w:trHeight w:val="35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8"/>
              </w:rPr>
              <w:t>Securities registered pursuant to Section 12(b) of the Act:</w:t>
            </w:r>
          </w:p>
        </w:tc>
      </w:tr>
      <w:tr>
        <w:trPr>
          <w:trHeight w:val="174"/>
        </w:trPr>
        <w:tc>
          <w:tcPr>
            <w:tcW w:w="7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2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9"/>
        </w:trPr>
        <w:tc>
          <w:tcPr>
            <w:tcW w:w="2900" w:type="dxa"/>
            <w:vAlign w:val="bottom"/>
            <w:gridSpan w:val="4"/>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Common Stock, par value $.01 per share</w:t>
            </w:r>
          </w:p>
        </w:tc>
        <w:tc>
          <w:tcPr>
            <w:tcW w:w="1260" w:type="dxa"/>
            <w:vAlign w:val="bottom"/>
          </w:tcPr>
          <w:p>
            <w:pPr>
              <w:spacing w:after="0"/>
              <w:rPr>
                <w:sz w:val="18"/>
                <w:szCs w:val="18"/>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ANGO</w:t>
            </w:r>
          </w:p>
        </w:tc>
        <w:tc>
          <w:tcPr>
            <w:tcW w:w="240" w:type="dxa"/>
            <w:vAlign w:val="bottom"/>
          </w:tcPr>
          <w:p>
            <w:pPr>
              <w:spacing w:after="0"/>
              <w:rPr>
                <w:sz w:val="18"/>
                <w:szCs w:val="18"/>
                <w:color w:val="auto"/>
              </w:rPr>
            </w:pPr>
          </w:p>
        </w:tc>
        <w:tc>
          <w:tcPr>
            <w:tcW w:w="2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525"/>
        </w:trPr>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20" w:type="dxa"/>
            <w:vAlign w:val="bottom"/>
            <w:gridSpan w:val="7"/>
          </w:tcPr>
          <w:p>
            <w:pPr>
              <w:jc w:val="center"/>
              <w:ind w:right="226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w:t>
            </w:r>
          </w:p>
        </w:tc>
      </w:tr>
      <w:tr>
        <w:trPr>
          <w:trHeight w:val="212"/>
        </w:trPr>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187"/>
        </w:trPr>
        <w:tc>
          <w:tcPr>
            <w:tcW w:w="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32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2310130</wp:posOffset>
            </wp:positionH>
            <wp:positionV relativeFrom="paragraph">
              <wp:posOffset>160655</wp:posOffset>
            </wp:positionV>
            <wp:extent cx="2499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9995" cy="825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sectPr>
      </w:pPr>
    </w:p>
    <w:p>
      <w:pPr>
        <w:spacing w:after="0" w:line="200" w:lineRule="exact"/>
        <w:rPr>
          <w:sz w:val="24"/>
          <w:szCs w:val="24"/>
          <w:color w:val="auto"/>
        </w:rPr>
      </w:pPr>
    </w:p>
    <w:p>
      <w:pPr>
        <w:spacing w:after="0" w:line="204"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80" w:lineRule="exact"/>
        <w:rPr>
          <w:sz w:val="24"/>
          <w:szCs w:val="24"/>
          <w:color w:val="auto"/>
        </w:rPr>
      </w:pPr>
    </w:p>
    <w:p>
      <w:pPr>
        <w:sectPr>
          <w:pgSz w:w="11900" w:h="16838" w:orient="portrait"/>
          <w:cols w:equalWidth="0" w:num="4">
            <w:col w:w="6995" w:space="140"/>
            <w:col w:w="220" w:space="60"/>
            <w:col w:w="140" w:space="140"/>
            <w:col w:w="3500"/>
          </w:cols>
          <w:pgMar w:left="345" w:top="1016" w:right="359" w:bottom="1440" w:gutter="0" w:footer="0" w:header="0"/>
          <w:type w:val="continuous"/>
        </w:sectPr>
      </w:pPr>
    </w:p>
    <w:p>
      <w:pPr>
        <w:spacing w:after="0" w:line="31" w:lineRule="exact"/>
        <w:rPr>
          <w:sz w:val="24"/>
          <w:szCs w:val="24"/>
          <w:color w:val="auto"/>
        </w:rPr>
      </w:pPr>
    </w:p>
    <w:p>
      <w:pPr>
        <w:ind w:left="295"/>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15(d) of the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sectPr>
          <w:pgSz w:w="11900" w:h="16838" w:orient="portrait"/>
          <w:cols w:equalWidth="0" w:num="4">
            <w:col w:w="6675" w:space="120"/>
            <w:col w:w="220" w:space="60"/>
            <w:col w:w="140" w:space="140"/>
            <w:col w:w="3840"/>
          </w:cols>
          <w:pgMar w:left="345" w:top="1016" w:right="359" w:bottom="1440" w:gutter="0" w:footer="0" w:header="0"/>
          <w:type w:val="continuous"/>
        </w:sectPr>
      </w:pPr>
    </w:p>
    <w:p>
      <w:pPr>
        <w:ind w:left="295" w:right="160"/>
        <w:spacing w:after="0" w:line="19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left="295"/>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1" w:lineRule="exact"/>
        <w:rPr>
          <w:sz w:val="24"/>
          <w:szCs w:val="24"/>
          <w:color w:val="auto"/>
        </w:rPr>
      </w:pPr>
    </w:p>
    <w:p>
      <w:pPr>
        <w:ind w:left="295" w:right="220"/>
        <w:spacing w:after="0" w:line="198" w:lineRule="exact"/>
        <w:rPr>
          <w:sz w:val="20"/>
          <w:szCs w:val="20"/>
          <w:color w:val="auto"/>
        </w:rPr>
      </w:pPr>
      <w:r>
        <w:rPr>
          <w:rFonts w:ascii="Times New Roman" w:cs="Times New Roman" w:eastAsia="Times New Roman" w:hAnsi="Times New Roman"/>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 w:lineRule="exact"/>
        <w:rPr>
          <w:sz w:val="24"/>
          <w:szCs w:val="24"/>
          <w:color w:val="auto"/>
        </w:rPr>
      </w:pPr>
    </w:p>
    <w:p>
      <w:pPr>
        <w:ind w:left="295" w:right="400"/>
        <w:spacing w:after="0" w:line="29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447675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95"/>
          </w:cols>
          <w:pgMar w:left="345" w:top="1016" w:right="359" w:bottom="1440" w:gutter="0" w:footer="0" w:header="0"/>
          <w:type w:val="continuous"/>
        </w:sectPr>
      </w:pPr>
    </w:p>
    <w:bookmarkStart w:id="1" w:name="page2"/>
    <w:bookmarkEnd w:id="1"/>
    <w:tbl>
      <w:tblPr>
        <w:tblLayout w:type="fixed"/>
        <w:tblInd w:w="1840" w:type="dxa"/>
        <w:tblCellMar>
          <w:top w:w="0" w:type="dxa"/>
          <w:left w:w="0" w:type="dxa"/>
          <w:bottom w:w="0" w:type="dxa"/>
          <w:right w:w="0" w:type="dxa"/>
        </w:tblCellMar>
      </w:tblP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1"/>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8"/>
        </w:trPr>
        <w:tc>
          <w:tcPr>
            <w:tcW w:w="19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148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2920" w:type="dxa"/>
            <w:vAlign w:val="bottom"/>
          </w:tcPr>
          <w:p>
            <w:pPr>
              <w:spacing w:after="0"/>
              <w:rPr>
                <w:sz w:val="20"/>
                <w:szCs w:val="20"/>
                <w:color w:val="auto"/>
              </w:rPr>
            </w:pPr>
          </w:p>
        </w:tc>
        <w:tc>
          <w:tcPr>
            <w:tcW w:w="540" w:type="dxa"/>
            <w:vAlign w:val="bottom"/>
          </w:tcPr>
          <w:p>
            <w:pPr>
              <w:spacing w:after="0"/>
              <w:rPr>
                <w:sz w:val="20"/>
                <w:szCs w:val="20"/>
                <w:color w:val="auto"/>
              </w:rPr>
            </w:pPr>
          </w:p>
        </w:tc>
      </w:tr>
    </w:tbl>
    <w:p>
      <w:pPr>
        <w:spacing w:after="0" w:line="87" w:lineRule="exact"/>
        <w:rPr>
          <w:sz w:val="20"/>
          <w:szCs w:val="20"/>
          <w:color w:val="auto"/>
        </w:rPr>
      </w:pPr>
    </w:p>
    <w:p>
      <w:pPr>
        <w:ind w:right="2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0"/>
          <w:szCs w:val="20"/>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 w:lineRule="exact"/>
        <w:rPr>
          <w:sz w:val="20"/>
          <w:szCs w:val="20"/>
          <w:color w:val="auto"/>
        </w:rPr>
      </w:pPr>
    </w:p>
    <w:p>
      <w:pPr>
        <w:spacing w:after="0" w:line="161" w:lineRule="exact"/>
        <w:tabs>
          <w:tab w:leader="none" w:pos="6600" w:val="left"/>
          <w:tab w:leader="none" w:pos="71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92"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4"/>
          <w:szCs w:val="14"/>
          <w:color w:val="auto"/>
        </w:rPr>
        <w:t>As of November 30, 2024, the last business day of the registrant’s most recently completed second fiscal quarter, the aggregate market value of the registrant’s common stock held by non-affiliates was approximately $245,095,250 computed by reference to the last sale price of the common stock on that date as reported by The NASDAQ Global Select Market.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July 16, 2025 there were 40,633,885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69"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4"/>
          <w:szCs w:val="14"/>
          <w:color w:val="auto"/>
        </w:rPr>
        <w:t>The information required for Part III of this Annual Report on Form 10-K is incorporated by reference to the registrant’s Proxy Statement for its 2025 Annual Meeting of Stockholders to be filed within 120 days of the registrant's fiscal year ended May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447675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80"/>
          </w:cols>
          <w:pgMar w:left="640" w:top="929"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60" w:type="dxa"/>
            <w:vAlign w:val="bottom"/>
            <w:gridSpan w:val="11"/>
          </w:tcPr>
          <w:p>
            <w:pPr>
              <w:jc w:val="center"/>
              <w:ind w:right="2860"/>
              <w:spacing w:after="0"/>
              <w:rPr>
                <w:sz w:val="20"/>
                <w:szCs w:val="20"/>
                <w:color w:val="auto"/>
              </w:rPr>
            </w:pPr>
            <w:r>
              <w:rPr>
                <w:rFonts w:ascii="Times New Roman" w:cs="Times New Roman" w:eastAsia="Times New Roman" w:hAnsi="Times New Roman"/>
                <w:sz w:val="18"/>
                <w:szCs w:val="18"/>
                <w:b w:val="1"/>
                <w:bCs w:val="1"/>
                <w:color w:val="auto"/>
                <w:w w:val="99"/>
              </w:rPr>
              <w:t>AngioDynamics, Inc. and Subsidiaries</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8"/>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80" w:type="dxa"/>
            <w:vAlign w:val="bottom"/>
            <w:gridSpan w:val="7"/>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Part I:</w:t>
            </w: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460" w:type="dxa"/>
            <w:vAlign w:val="bottom"/>
            <w:vMerge w:val="continue"/>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193" w:lineRule="exact"/>
              <w:rPr>
                <w:sz w:val="20"/>
                <w:szCs w:val="20"/>
                <w:color w:val="auto"/>
              </w:rPr>
            </w:pPr>
            <w:r>
              <w:rPr>
                <w:rFonts w:ascii="Times New Roman" w:cs="Times New Roman" w:eastAsia="Times New Roman" w:hAnsi="Times New Roman"/>
                <w:sz w:val="18"/>
                <w:szCs w:val="18"/>
                <w:color w:val="0000FF"/>
                <w:w w:val="96"/>
              </w:rPr>
              <w:t>Business</w:t>
            </w:r>
          </w:p>
        </w:tc>
        <w:tc>
          <w:tcPr>
            <w:tcW w:w="8540" w:type="dxa"/>
            <w:vAlign w:val="bottom"/>
            <w:gridSpan w:val="20"/>
          </w:tcPr>
          <w:p>
            <w:pPr>
              <w:spacing w:after="0"/>
              <w:rPr>
                <w:sz w:val="16"/>
                <w:szCs w:val="16"/>
                <w:color w:val="auto"/>
              </w:rPr>
            </w:pPr>
          </w:p>
        </w:tc>
        <w:tc>
          <w:tcPr>
            <w:tcW w:w="46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93" w:lineRule="exact"/>
              <w:rPr>
                <w:sz w:val="20"/>
                <w:szCs w:val="20"/>
                <w:color w:val="auto"/>
              </w:rPr>
            </w:pPr>
            <w:r>
              <w:rPr>
                <w:rFonts w:ascii="Times New Roman" w:cs="Times New Roman" w:eastAsia="Times New Roman" w:hAnsi="Times New Roman"/>
                <w:sz w:val="18"/>
                <w:szCs w:val="18"/>
                <w:color w:val="0000FF"/>
                <w:w w:val="88"/>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280" w:type="dxa"/>
            <w:vAlign w:val="bottom"/>
            <w:gridSpan w:val="17"/>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1B.</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1C.</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Cyber Security</w:t>
            </w:r>
          </w:p>
        </w:tc>
        <w:tc>
          <w:tcPr>
            <w:tcW w:w="940" w:type="dxa"/>
            <w:vAlign w:val="bottom"/>
            <w:gridSpan w:val="5"/>
          </w:tcPr>
          <w:p>
            <w:pPr>
              <w:spacing w:after="0"/>
              <w:rPr>
                <w:sz w:val="18"/>
                <w:szCs w:val="18"/>
                <w:color w:val="auto"/>
              </w:rPr>
            </w:pPr>
          </w:p>
        </w:tc>
        <w:tc>
          <w:tcPr>
            <w:tcW w:w="7160" w:type="dxa"/>
            <w:vAlign w:val="bottom"/>
            <w:gridSpan w:val="11"/>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2.</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100" w:type="dxa"/>
            <w:vAlign w:val="bottom"/>
            <w:gridSpan w:val="1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3.</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5.</w:t>
            </w:r>
          </w:p>
        </w:tc>
        <w:tc>
          <w:tcPr>
            <w:tcW w:w="7220" w:type="dxa"/>
            <w:vAlign w:val="bottom"/>
            <w:gridSpan w:val="20"/>
          </w:tcPr>
          <w:p>
            <w:pPr>
              <w:spacing w:after="0" w:line="193" w:lineRule="exact"/>
              <w:rPr>
                <w:sz w:val="20"/>
                <w:szCs w:val="20"/>
                <w:color w:val="auto"/>
              </w:rPr>
            </w:pPr>
            <w:r>
              <w:rPr>
                <w:rFonts w:ascii="Times New Roman" w:cs="Times New Roman" w:eastAsia="Times New Roman" w:hAnsi="Times New Roman"/>
                <w:sz w:val="18"/>
                <w:szCs w:val="18"/>
                <w:color w:val="0000FF"/>
                <w:w w:val="97"/>
              </w:rPr>
              <w:t>Market for Registrant’s Common Equity, Related Stockholder Matters and Issuer Purchases of Equity</w:t>
            </w:r>
          </w:p>
        </w:tc>
        <w:tc>
          <w:tcPr>
            <w:tcW w:w="1960" w:type="dxa"/>
            <w:vAlign w:val="bottom"/>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6.</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196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7A.</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80" w:type="dxa"/>
            <w:vAlign w:val="bottom"/>
            <w:gridSpan w:val="2"/>
          </w:tcPr>
          <w:p>
            <w:pPr>
              <w:spacing w:after="0"/>
              <w:rPr>
                <w:sz w:val="18"/>
                <w:szCs w:val="18"/>
                <w:color w:val="auto"/>
              </w:rPr>
            </w:pPr>
          </w:p>
        </w:tc>
        <w:tc>
          <w:tcPr>
            <w:tcW w:w="2780" w:type="dxa"/>
            <w:vAlign w:val="bottom"/>
            <w:gridSpan w:val="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8.</w:t>
            </w:r>
          </w:p>
        </w:tc>
        <w:tc>
          <w:tcPr>
            <w:tcW w:w="40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60" w:type="dxa"/>
            <w:vAlign w:val="bottom"/>
          </w:tcPr>
          <w:p>
            <w:pPr>
              <w:spacing w:after="0"/>
              <w:rPr>
                <w:sz w:val="18"/>
                <w:szCs w:val="18"/>
                <w:color w:val="auto"/>
              </w:rPr>
            </w:pPr>
          </w:p>
        </w:tc>
        <w:tc>
          <w:tcPr>
            <w:tcW w:w="4860" w:type="dxa"/>
            <w:vAlign w:val="bottom"/>
            <w:gridSpan w:val="5"/>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9A.</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4660" w:type="dxa"/>
            <w:vAlign w:val="bottom"/>
            <w:gridSpan w:val="11"/>
          </w:tcPr>
          <w:p>
            <w:pPr>
              <w:spacing w:after="0"/>
              <w:rPr>
                <w:sz w:val="18"/>
                <w:szCs w:val="18"/>
                <w:color w:val="auto"/>
              </w:rPr>
            </w:pPr>
          </w:p>
        </w:tc>
        <w:tc>
          <w:tcPr>
            <w:tcW w:w="2760" w:type="dxa"/>
            <w:vAlign w:val="bottom"/>
            <w:gridSpan w:val="2"/>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9B.</w:t>
            </w:r>
          </w:p>
        </w:tc>
        <w:tc>
          <w:tcPr>
            <w:tcW w:w="17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gridSpan w:val="13"/>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9C.</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Foreign Jurisdictions that Prevent Inspections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III:</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10.</w:t>
            </w:r>
          </w:p>
        </w:tc>
        <w:tc>
          <w:tcPr>
            <w:tcW w:w="4060" w:type="dxa"/>
            <w:vAlign w:val="bottom"/>
            <w:gridSpan w:val="15"/>
          </w:tcPr>
          <w:p>
            <w:pPr>
              <w:spacing w:after="0" w:line="193" w:lineRule="exact"/>
              <w:rPr>
                <w:sz w:val="20"/>
                <w:szCs w:val="20"/>
                <w:color w:val="auto"/>
              </w:rPr>
            </w:pPr>
            <w:r>
              <w:rPr>
                <w:rFonts w:ascii="Times New Roman" w:cs="Times New Roman" w:eastAsia="Times New Roman" w:hAnsi="Times New Roman"/>
                <w:sz w:val="18"/>
                <w:szCs w:val="18"/>
                <w:color w:val="0000FF"/>
                <w:w w:val="98"/>
              </w:rPr>
              <w:t>Directors, Executive Officers and Corporate Governance</w:t>
            </w:r>
          </w:p>
        </w:tc>
        <w:tc>
          <w:tcPr>
            <w:tcW w:w="5120" w:type="dxa"/>
            <w:vAlign w:val="bottom"/>
            <w:gridSpan w:val="6"/>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780" w:type="dxa"/>
            <w:vAlign w:val="bottom"/>
            <w:gridSpan w:val="9"/>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11.</w:t>
            </w: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220" w:type="dxa"/>
            <w:vAlign w:val="bottom"/>
            <w:gridSpan w:val="4"/>
          </w:tcPr>
          <w:p>
            <w:pPr>
              <w:spacing w:after="0"/>
              <w:rPr>
                <w:sz w:val="18"/>
                <w:szCs w:val="18"/>
                <w:color w:val="auto"/>
              </w:rPr>
            </w:pPr>
          </w:p>
        </w:tc>
        <w:tc>
          <w:tcPr>
            <w:tcW w:w="5120" w:type="dxa"/>
            <w:vAlign w:val="bottom"/>
            <w:gridSpan w:val="6"/>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12.</w:t>
            </w:r>
          </w:p>
        </w:tc>
        <w:tc>
          <w:tcPr>
            <w:tcW w:w="91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13.</w:t>
            </w:r>
          </w:p>
        </w:tc>
        <w:tc>
          <w:tcPr>
            <w:tcW w:w="7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6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840" w:type="dxa"/>
            <w:vAlign w:val="bottom"/>
            <w:gridSpan w:val="11"/>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4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Item 14.</w:t>
            </w:r>
          </w:p>
        </w:tc>
        <w:tc>
          <w:tcPr>
            <w:tcW w:w="54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3780" w:type="dxa"/>
            <w:vAlign w:val="bottom"/>
            <w:gridSpan w:val="4"/>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 IV:</w:t>
            </w:r>
          </w:p>
        </w:tc>
        <w:tc>
          <w:tcPr>
            <w:tcW w:w="64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22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440" w:type="dxa"/>
            <w:vAlign w:val="bottom"/>
            <w:tcBorders>
              <w:top w:val="single" w:sz="8" w:color="0000FF"/>
            </w:tcBorders>
          </w:tcPr>
          <w:p>
            <w:pPr>
              <w:spacing w:after="0"/>
              <w:rPr>
                <w:sz w:val="21"/>
                <w:szCs w:val="21"/>
                <w:color w:val="auto"/>
              </w:rPr>
            </w:pPr>
          </w:p>
        </w:tc>
        <w:tc>
          <w:tcPr>
            <w:tcW w:w="2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820" w:type="dxa"/>
            <w:vAlign w:val="bottom"/>
            <w:tcBorders>
              <w:top w:val="single" w:sz="8" w:color="0000FF"/>
            </w:tcBorders>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1460" w:type="dxa"/>
            <w:vAlign w:val="bottom"/>
          </w:tcPr>
          <w:p>
            <w:pPr>
              <w:ind w:left="460"/>
              <w:spacing w:after="0" w:line="193" w:lineRule="exact"/>
              <w:rPr>
                <w:sz w:val="20"/>
                <w:szCs w:val="20"/>
                <w:color w:val="auto"/>
              </w:rPr>
            </w:pPr>
            <w:r>
              <w:rPr>
                <w:rFonts w:ascii="Times New Roman" w:cs="Times New Roman" w:eastAsia="Times New Roman" w:hAnsi="Times New Roman"/>
                <w:sz w:val="18"/>
                <w:szCs w:val="18"/>
                <w:color w:val="auto"/>
              </w:rPr>
              <w:t>Item 15.</w:t>
            </w:r>
          </w:p>
        </w:tc>
        <w:tc>
          <w:tcPr>
            <w:tcW w:w="2880" w:type="dxa"/>
            <w:vAlign w:val="bottom"/>
            <w:gridSpan w:val="12"/>
          </w:tcPr>
          <w:p>
            <w:pPr>
              <w:spacing w:after="0" w:line="193" w:lineRule="exact"/>
              <w:rPr>
                <w:sz w:val="20"/>
                <w:szCs w:val="20"/>
                <w:color w:val="auto"/>
              </w:rPr>
            </w:pPr>
            <w:r>
              <w:rPr>
                <w:rFonts w:ascii="Times New Roman" w:cs="Times New Roman" w:eastAsia="Times New Roman" w:hAnsi="Times New Roman"/>
                <w:sz w:val="18"/>
                <w:szCs w:val="18"/>
                <w:color w:val="0000FF"/>
                <w:w w:val="98"/>
              </w:rPr>
              <w:t>Exhibits, Financial Statement Schedules</w:t>
            </w:r>
          </w:p>
        </w:tc>
        <w:tc>
          <w:tcPr>
            <w:tcW w:w="6300" w:type="dxa"/>
            <w:vAlign w:val="bottom"/>
            <w:gridSpan w:val="9"/>
          </w:tcPr>
          <w:p>
            <w:pPr>
              <w:spacing w:after="0"/>
              <w:rPr>
                <w:sz w:val="16"/>
                <w:szCs w:val="16"/>
                <w:color w:val="auto"/>
              </w:rPr>
            </w:pPr>
          </w:p>
        </w:tc>
        <w:tc>
          <w:tcPr>
            <w:tcW w:w="580" w:type="dxa"/>
            <w:vAlign w:val="bottom"/>
            <w:gridSpan w:val="4"/>
          </w:tcPr>
          <w:p>
            <w:pPr>
              <w:jc w:val="right"/>
              <w:ind w:right="20"/>
              <w:spacing w:after="0" w:line="193"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1"/>
        </w:trPr>
        <w:tc>
          <w:tcPr>
            <w:tcW w:w="1460" w:type="dxa"/>
            <w:vAlign w:val="bottom"/>
          </w:tcPr>
          <w:p>
            <w:pPr>
              <w:spacing w:after="0"/>
              <w:rPr>
                <w:sz w:val="24"/>
                <w:szCs w:val="24"/>
                <w:color w:val="auto"/>
              </w:rPr>
            </w:pPr>
          </w:p>
        </w:tc>
        <w:tc>
          <w:tcPr>
            <w:tcW w:w="2880" w:type="dxa"/>
            <w:vAlign w:val="bottom"/>
            <w:tcBorders>
              <w:top w:val="single" w:sz="8" w:color="0000FF"/>
            </w:tcBorders>
            <w:gridSpan w:val="12"/>
          </w:tcPr>
          <w:p>
            <w:pPr>
              <w:spacing w:after="0"/>
              <w:rPr>
                <w:sz w:val="24"/>
                <w:szCs w:val="24"/>
                <w:color w:val="auto"/>
              </w:rPr>
            </w:pPr>
          </w:p>
        </w:tc>
        <w:tc>
          <w:tcPr>
            <w:tcW w:w="1440" w:type="dxa"/>
            <w:vAlign w:val="bottom"/>
            <w:gridSpan w:val="4"/>
          </w:tcPr>
          <w:p>
            <w:pPr>
              <w:jc w:val="center"/>
              <w:ind w:left="1031"/>
              <w:spacing w:after="0"/>
              <w:rPr>
                <w:sz w:val="20"/>
                <w:szCs w:val="20"/>
                <w:color w:val="auto"/>
              </w:rPr>
            </w:pPr>
            <w:r>
              <w:rPr>
                <w:rFonts w:ascii="Times New Roman" w:cs="Times New Roman" w:eastAsia="Times New Roman" w:hAnsi="Times New Roman"/>
                <w:sz w:val="18"/>
                <w:szCs w:val="18"/>
                <w:color w:val="auto"/>
                <w:w w:val="88"/>
              </w:rPr>
              <w:t>1</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4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0" w:lineRule="exact"/>
        <w:rPr>
          <w:sz w:val="20"/>
          <w:szCs w:val="20"/>
          <w:color w:val="auto"/>
        </w:rPr>
      </w:pPr>
    </w:p>
    <w:p>
      <w:pPr>
        <w:ind w:right="600"/>
        <w:spacing w:after="0" w:line="280" w:lineRule="auto"/>
        <w:rPr>
          <w:sz w:val="20"/>
          <w:szCs w:val="20"/>
          <w:color w:val="auto"/>
        </w:rPr>
      </w:pPr>
      <w:r>
        <w:rPr>
          <w:rFonts w:ascii="Times New Roman" w:cs="Times New Roman" w:eastAsia="Times New Roman" w:hAnsi="Times New Roman"/>
          <w:sz w:val="18"/>
          <w:szCs w:val="18"/>
          <w:i w:val="1"/>
          <w:iCs w:val="1"/>
          <w:color w:val="auto"/>
        </w:rPr>
        <w:t>Unless otherwise indicated in this report, "AngioDynamics," the "Company," "we," "our" or "us" refers to AngioDynamics, Inc and our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172" w:lineRule="exact"/>
        <w:rPr>
          <w:sz w:val="20"/>
          <w:szCs w:val="20"/>
          <w:color w:val="auto"/>
        </w:rPr>
      </w:pPr>
    </w:p>
    <w:p>
      <w:pPr>
        <w:ind w:firstLine="402"/>
        <w:spacing w:after="0" w:line="250" w:lineRule="auto"/>
        <w:rPr>
          <w:sz w:val="20"/>
          <w:szCs w:val="20"/>
          <w:color w:val="auto"/>
        </w:rPr>
      </w:pPr>
      <w:r>
        <w:rPr>
          <w:rFonts w:ascii="Times New Roman" w:cs="Times New Roman" w:eastAsia="Times New Roman" w:hAnsi="Times New Roman"/>
          <w:sz w:val="18"/>
          <w:szCs w:val="18"/>
          <w:color w:val="auto"/>
        </w:rPr>
        <w:t>This annual report on Form 10-K,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tariffs,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spacing w:after="0" w:line="136" w:lineRule="exact"/>
        <w:rPr>
          <w:sz w:val="20"/>
          <w:szCs w:val="20"/>
          <w:color w:val="auto"/>
        </w:rPr>
      </w:pPr>
    </w:p>
    <w:p>
      <w:pPr>
        <w:ind w:right="60" w:firstLine="402"/>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underlying the forward-looking statements contained herein are reasonable, any of the assumptions could be inaccurate and, therefore, there can be no assurance that the forward-looking statements included in this annual report on Form 10-K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does not assume any obligation to publicly update or revise any forward-looking statements for any reason.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Regarding Trademarks</w:t>
      </w:r>
    </w:p>
    <w:p>
      <w:pPr>
        <w:spacing w:after="0" w:line="172"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AngioDynamics is a dynamic, diversified medical technology company committed to expanding treatment options and improving patient outcomes and quality of life by designing, manufacturing and selling products and technologies which aid clinicians in the treatment of patients with cardiovascular disease and cancer diagnoses. Our execution strategy is built on innovative R&amp;D, clinical and regulatory pathway expansion and customer centric sales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172"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AngioDynamics was founded in Queensbury, N.Y., U.S., in 1988 and began manufacturing and shipping product in the early 1990s. The Company is headquartered in Latham, N.Y., with manufacturing primarily out of the Queensbury facility. Initially dedicated to the research and development of products used in interventional radiology, the Company soon became well established as a producer of diagnostic catheters for non-coronary angiography and thrombolytic delivery systems.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4" w:name="page5"/>
    <w:bookmarkEnd w:id="4"/>
    <w:p>
      <w:pPr>
        <w:ind w:firstLine="385"/>
        <w:spacing w:after="0" w:line="254" w:lineRule="auto"/>
        <w:rPr>
          <w:sz w:val="20"/>
          <w:szCs w:val="20"/>
          <w:color w:val="auto"/>
        </w:rPr>
      </w:pPr>
      <w:r>
        <w:rPr>
          <w:rFonts w:ascii="Times New Roman" w:cs="Times New Roman" w:eastAsia="Times New Roman" w:hAnsi="Times New Roman"/>
          <w:sz w:val="18"/>
          <w:szCs w:val="18"/>
          <w:color w:val="auto"/>
        </w:rPr>
        <w:t>The Company grew over the following years as a result of acquisitions of companies including RITA Medical Systems in January 2007, Oncobionic in May 2008, the assets of Diomed in June 2008, Vortex Medical, Inc. in October 2012, the assets of Microsulis Medical Limited in January 2013, and Clinical Devices in August 2013. These acquisitions added product lines including ablation and NanoKnife systems, vascular access products, angiographic products and accessories, dialysis products, drainage products, thrombolytic products, embolization products and venous products. In May 2012, the Company acquired Navilyst Medical's Fluid Management business, which the Company sold in May 2019 to Medline Industries, Inc. pursuant to an asset purchase agreement.</w:t>
      </w:r>
    </w:p>
    <w:p>
      <w:pPr>
        <w:spacing w:after="0" w:line="132" w:lineRule="exact"/>
        <w:rPr>
          <w:sz w:val="20"/>
          <w:szCs w:val="20"/>
          <w:color w:val="auto"/>
        </w:rPr>
      </w:pPr>
    </w:p>
    <w:p>
      <w:pPr>
        <w:ind w:right="180" w:firstLine="385"/>
        <w:spacing w:after="0" w:line="254" w:lineRule="auto"/>
        <w:rPr>
          <w:sz w:val="20"/>
          <w:szCs w:val="20"/>
          <w:color w:val="auto"/>
        </w:rPr>
      </w:pPr>
      <w:r>
        <w:rPr>
          <w:rFonts w:ascii="Times New Roman" w:cs="Times New Roman" w:eastAsia="Times New Roman" w:hAnsi="Times New Roman"/>
          <w:sz w:val="18"/>
          <w:szCs w:val="18"/>
          <w:color w:val="auto"/>
        </w:rPr>
        <w:t>In August 2018, the Company acquired the BioSentry product line from Surgical Specialties, LLC, which the Company sold in June 2023 to Merit Medical Systems, Inc. pursuant to an asset purchase agreement. In September 2018, the Company acquired RadiaDyne, which included endorectal and vaginal balloons. On October 2, 2019, the Company acquired Eximo Medical, Ltd., a pre-commercial stage medical device company and its proprietary 355nm laser atherectomy technology (now called Auryon), which treats Peripheral Artery Disease. On December 17, 2019, the Company acquired the C3 Wave tip location asset from Medical Components Inc. On July 27, 2021, AngioDynamics acquired the Camaro Support Catheter asset from QX Medical, LLC.</w:t>
      </w:r>
    </w:p>
    <w:p>
      <w:pPr>
        <w:spacing w:after="0" w:line="132" w:lineRule="exact"/>
        <w:rPr>
          <w:sz w:val="20"/>
          <w:szCs w:val="20"/>
          <w:color w:val="auto"/>
        </w:rPr>
      </w:pPr>
    </w:p>
    <w:p>
      <w:pPr>
        <w:jc w:val="both"/>
        <w:ind w:right="120" w:firstLine="385"/>
        <w:spacing w:after="0" w:line="263" w:lineRule="auto"/>
        <w:rPr>
          <w:sz w:val="20"/>
          <w:szCs w:val="20"/>
          <w:color w:val="auto"/>
        </w:rPr>
      </w:pPr>
      <w:r>
        <w:rPr>
          <w:rFonts w:ascii="Times New Roman" w:cs="Times New Roman" w:eastAsia="Times New Roman" w:hAnsi="Times New Roman"/>
          <w:sz w:val="18"/>
          <w:szCs w:val="18"/>
          <w:color w:val="auto"/>
        </w:rPr>
        <w:t>On June 8, 2023, the Company completed the sale of the dialysis and BioSentry businesses to Merit Medical Systems, Inc. On February 15, 2024, the Company completed the sale of its PICC and Midline businesses, which included the C3 Wave tip location asset, to Spectrum Vascular. As of February 29, 2024, the Company discontinued the RadioFrequency Ablation and Syntrax product lines.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AngioDynamics is publicly traded on the NASDAQ stock exchange under the symbol ANGO.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172" w:lineRule="exact"/>
        <w:rPr>
          <w:sz w:val="20"/>
          <w:szCs w:val="20"/>
          <w:color w:val="auto"/>
        </w:rPr>
      </w:pPr>
    </w:p>
    <w:p>
      <w:pPr>
        <w:ind w:right="360" w:firstLine="385"/>
        <w:spacing w:after="0" w:line="278" w:lineRule="auto"/>
        <w:rPr>
          <w:sz w:val="20"/>
          <w:szCs w:val="20"/>
          <w:color w:val="auto"/>
        </w:rPr>
      </w:pPr>
      <w:r>
        <w:rPr>
          <w:rFonts w:ascii="Times New Roman" w:cs="Times New Roman" w:eastAsia="Times New Roman" w:hAnsi="Times New Roman"/>
          <w:sz w:val="18"/>
          <w:szCs w:val="18"/>
          <w:color w:val="auto"/>
        </w:rPr>
        <w:t>Our product offerings fall within two segments, Med Tech and Med Device. All products discussed below have been cleared for sale in the United States by the Food and Drug Administration. International regulatory clearances vary by product and jurisdiction.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 Tech</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Auryon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-118110</wp:posOffset>
            </wp:positionV>
            <wp:extent cx="2414905" cy="1555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14905" cy="1555750"/>
                    </a:xfrm>
                    <a:prstGeom prst="rect">
                      <a:avLst/>
                    </a:prstGeom>
                    <a:noFill/>
                  </pic:spPr>
                </pic:pic>
              </a:graphicData>
            </a:graphic>
          </wp:anchor>
        </w:drawing>
      </w:r>
    </w:p>
    <w:p>
      <w:pPr>
        <w:spacing w:after="0" w:line="150" w:lineRule="exact"/>
        <w:rPr>
          <w:sz w:val="20"/>
          <w:szCs w:val="20"/>
          <w:color w:val="auto"/>
        </w:rPr>
      </w:pPr>
    </w:p>
    <w:p>
      <w:pPr>
        <w:ind w:right="5800" w:firstLine="385"/>
        <w:spacing w:after="0" w:line="251" w:lineRule="auto"/>
        <w:rPr>
          <w:sz w:val="20"/>
          <w:szCs w:val="20"/>
          <w:color w:val="auto"/>
        </w:rPr>
      </w:pPr>
      <w:r>
        <w:rPr>
          <w:rFonts w:ascii="Times New Roman" w:cs="Times New Roman" w:eastAsia="Times New Roman" w:hAnsi="Times New Roman"/>
          <w:sz w:val="18"/>
          <w:szCs w:val="18"/>
          <w:color w:val="auto"/>
        </w:rPr>
        <w:t>The Auryon Atherectomy System is one of our latest advancements in peripheral arterial disease. The Auryon system is designed to deliver an optimized wavelength and short pulse width to remove lesions while preserving the vessel wall endothelium. Additionally, the Auryon system features integrated aspiration which enhances the safety of the procedure. Regardless of lesion type or location - whether above or below the knee - the Auryon system provides safety, efficacy and versatility, supporting femoral, pedal or radial access. The Auryon system is indicated for use in the treatment, including atherectomy, of infrainguinal stenoses and occlusions, including in-stent restenosis (ISR), and to aspirate thrombus adjacent to stenoses in native and stented infrainguinal arteries.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Thrombectomy</w:t>
      </w:r>
    </w:p>
    <w:p>
      <w:pPr>
        <w:spacing w:after="0" w:line="168" w:lineRule="exact"/>
        <w:rPr>
          <w:sz w:val="20"/>
          <w:szCs w:val="20"/>
          <w:color w:val="auto"/>
        </w:rPr>
      </w:pPr>
    </w:p>
    <w:p>
      <w:pPr>
        <w:jc w:val="both"/>
        <w:ind w:right="220" w:firstLine="385"/>
        <w:spacing w:after="0" w:line="263" w:lineRule="auto"/>
        <w:rPr>
          <w:sz w:val="20"/>
          <w:szCs w:val="20"/>
          <w:color w:val="auto"/>
        </w:rPr>
      </w:pPr>
      <w:r>
        <w:rPr>
          <w:rFonts w:ascii="Times New Roman" w:cs="Times New Roman" w:eastAsia="Times New Roman" w:hAnsi="Times New Roman"/>
          <w:sz w:val="18"/>
          <w:szCs w:val="18"/>
          <w:color w:val="auto"/>
        </w:rPr>
        <w:t>Our Thrombus Management portfolio includes the AlphaVac Mechanical Thrombectomy System, AngioVac venous drainage cannula and circuit, as well as catheter directed thrombolytic devices, including the Uni-Fuse system and the Uni-Fuse+ system. AngioDynamics offers a range of options when treating thrombus and removing fresh, soft thrombi or emboli.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844"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AngioVac</w:t>
      </w:r>
    </w:p>
    <w:p>
      <w:pPr>
        <w:spacing w:after="0" w:line="170" w:lineRule="exact"/>
        <w:rPr>
          <w:sz w:val="20"/>
          <w:szCs w:val="20"/>
          <w:color w:val="auto"/>
        </w:rPr>
      </w:pPr>
    </w:p>
    <w:p>
      <w:pPr>
        <w:ind w:right="6100" w:firstLine="385"/>
        <w:spacing w:after="0" w:line="252" w:lineRule="auto"/>
        <w:rPr>
          <w:sz w:val="20"/>
          <w:szCs w:val="20"/>
          <w:color w:val="auto"/>
        </w:rPr>
      </w:pPr>
      <w:r>
        <w:rPr>
          <w:rFonts w:ascii="Times New Roman" w:cs="Times New Roman" w:eastAsia="Times New Roman" w:hAnsi="Times New Roman"/>
          <w:sz w:val="18"/>
          <w:szCs w:val="18"/>
          <w:color w:val="auto"/>
        </w:rPr>
        <w:t>Our AngioVac venous drainage system includes a Venous Drainage Cannula and Extracorporeal Circuit. The cannula is indicated for use as a venous drainage cannula and for removal of fresh, soft thrombi or emboli during extracorporeal bypass. The AngioVac circuit is indicated for use in procedures requiring extracorporeal circulatory support for periods of up to six hours. AngioVac devices are for use with other manufacturers’ off-the-shelf pump, filter and reinfusion cannula, to facilitate venous drainage as part of an extracorporeal bypass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-974725</wp:posOffset>
            </wp:positionV>
            <wp:extent cx="1776730" cy="1530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6730" cy="153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85"/>
        <w:spacing w:after="0" w:line="263" w:lineRule="auto"/>
        <w:rPr>
          <w:sz w:val="20"/>
          <w:szCs w:val="20"/>
          <w:color w:val="auto"/>
        </w:rPr>
      </w:pPr>
      <w:r>
        <w:rPr>
          <w:rFonts w:ascii="Times New Roman" w:cs="Times New Roman" w:eastAsia="Times New Roman" w:hAnsi="Times New Roman"/>
          <w:sz w:val="18"/>
          <w:szCs w:val="18"/>
          <w:color w:val="auto"/>
        </w:rPr>
        <w:t>The AngioVac venous drainage cannula is a 22 French flat coil-reinforced cannula designed with a proprietary self-expanding nitinol reinforced funnel shaped distal tip. The funnel shaped tip enhances venous drainage flow when the distal tip is exposed by retracting the sheath, helps prevent clogging of the cannula with commonly encountered undesirable intravascular material, and facilitates embolic removal of such extraneous material.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AlphaVac</w:t>
      </w:r>
    </w:p>
    <w:p>
      <w:pPr>
        <w:spacing w:after="0" w:line="170" w:lineRule="exact"/>
        <w:rPr>
          <w:sz w:val="20"/>
          <w:szCs w:val="20"/>
          <w:color w:val="auto"/>
        </w:rPr>
      </w:pPr>
    </w:p>
    <w:p>
      <w:pPr>
        <w:ind w:right="5760" w:firstLine="385"/>
        <w:spacing w:after="0" w:line="250" w:lineRule="auto"/>
        <w:rPr>
          <w:sz w:val="20"/>
          <w:szCs w:val="20"/>
          <w:color w:val="auto"/>
        </w:rPr>
      </w:pPr>
      <w:r>
        <w:rPr>
          <w:rFonts w:ascii="Times New Roman" w:cs="Times New Roman" w:eastAsia="Times New Roman" w:hAnsi="Times New Roman"/>
          <w:sz w:val="18"/>
          <w:szCs w:val="18"/>
          <w:color w:val="auto"/>
        </w:rPr>
        <w:t>The AlphaVac System is an emergent mechanical aspiration device that eliminates the need for perfusionist support. AlphaVac is offered in both a 22 French flat coil-reinforced cannula and an 18 French braided reinforced cannula each designed with a proprietary self-expanding nitinol reinforced funnel shaped distal tip. AlphaVac is indicated for the non-surgical removal of thrombi or emboli from vasculature as well as aspiration of contrast media and other fluids from the vasculature. The cannula is intended for use in the venous system. The handle is indicated as a vacuum source for the AlphaVac MMA system. The AlphaVac F18 system is indicated for the treatment of pulmonary embolism and allows for the utilization in the non-surgical removal of thrombi or emboli from the venous vasculature, reducing thrombus burden and improving right ventricular function in patients with 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-1767840</wp:posOffset>
            </wp:positionV>
            <wp:extent cx="1828165" cy="1828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8165" cy="182816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Thrombolytic Catheters</w:t>
      </w:r>
    </w:p>
    <w:p>
      <w:pPr>
        <w:spacing w:after="0" w:line="28" w:lineRule="exact"/>
        <w:rPr>
          <w:sz w:val="20"/>
          <w:szCs w:val="20"/>
          <w:color w:val="auto"/>
        </w:rPr>
      </w:pPr>
    </w:p>
    <w:p>
      <w:pPr>
        <w:ind w:right="100" w:firstLine="385"/>
        <w:spacing w:after="0" w:line="256" w:lineRule="auto"/>
        <w:rPr>
          <w:sz w:val="20"/>
          <w:szCs w:val="20"/>
          <w:color w:val="auto"/>
        </w:rPr>
      </w:pPr>
      <w:r>
        <w:rPr>
          <w:rFonts w:ascii="Times New Roman" w:cs="Times New Roman" w:eastAsia="Times New Roman" w:hAnsi="Times New Roman"/>
          <w:sz w:val="18"/>
          <w:szCs w:val="18"/>
          <w:color w:val="auto"/>
        </w:rPr>
        <w:t>Thrombolytic catheters are used to deliver thrombolytic agents, which are drugs that dissolve blood clots in hemodialysis access grafts, arteries, veins and surgical bypass grafts. AngioDynamics’ Uni-Fuse infusion catheter features pressure response outlets, a proprietary slit technology that provides a consistent, even distribution of fluid volume along the entire length of the infusion pattern, designed to provide an advantage over standard side-hole catheters.</w:t>
      </w:r>
    </w:p>
    <w:p>
      <w:pPr>
        <w:spacing w:after="0" w:line="129" w:lineRule="exact"/>
        <w:rPr>
          <w:sz w:val="20"/>
          <w:szCs w:val="20"/>
          <w:color w:val="auto"/>
        </w:rPr>
      </w:pPr>
    </w:p>
    <w:p>
      <w:pPr>
        <w:ind w:firstLine="385"/>
        <w:spacing w:after="0" w:line="278" w:lineRule="auto"/>
        <w:rPr>
          <w:sz w:val="20"/>
          <w:szCs w:val="20"/>
          <w:color w:val="auto"/>
        </w:rPr>
      </w:pPr>
      <w:r>
        <w:rPr>
          <w:rFonts w:ascii="Times New Roman" w:cs="Times New Roman" w:eastAsia="Times New Roman" w:hAnsi="Times New Roman"/>
          <w:sz w:val="18"/>
          <w:szCs w:val="18"/>
          <w:color w:val="auto"/>
        </w:rPr>
        <w:t>We also offer the Pulse-Spray infusion system for high pressure, pulsed delivery of lytic agents designed to shorten treatment time, and the SpeedLyser infusion system built for dialysis grafts and fistulas.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42"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NanoKnife</w:t>
      </w:r>
    </w:p>
    <w:p>
      <w:pPr>
        <w:spacing w:after="0" w:line="170" w:lineRule="exact"/>
        <w:rPr>
          <w:sz w:val="20"/>
          <w:szCs w:val="20"/>
          <w:color w:val="auto"/>
        </w:rPr>
      </w:pPr>
    </w:p>
    <w:p>
      <w:pPr>
        <w:ind w:right="5920" w:firstLine="385"/>
        <w:spacing w:after="0" w:line="252" w:lineRule="auto"/>
        <w:rPr>
          <w:sz w:val="20"/>
          <w:szCs w:val="20"/>
          <w:color w:val="auto"/>
        </w:rPr>
      </w:pPr>
      <w:r>
        <w:rPr>
          <w:rFonts w:ascii="Times New Roman" w:cs="Times New Roman" w:eastAsia="Times New Roman" w:hAnsi="Times New Roman"/>
          <w:sz w:val="18"/>
          <w:szCs w:val="18"/>
          <w:color w:val="auto"/>
        </w:rPr>
        <w:t>The NanoKnife IRE Ablation System is an alternative to traditional thermal ablation that received 510(k) clearance from the Food and Drug Administration for the surgical ablation of soft tissue. The system utilizes low energy direct current electrical pulses to permanently open pores in target cell membranes. These permanent pores or nano-scale defects in the cell membranes result in cell death. The treated tissue is then removed by the body’s natural processes in a matter of weeks, mimicking natural cell death. Unlike other ablation technologies, the NanoKnife System does not achieve tissue ablation using thermal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-1229995</wp:posOffset>
            </wp:positionV>
            <wp:extent cx="2806065" cy="13011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06065" cy="1301115"/>
                    </a:xfrm>
                    <a:prstGeom prst="rect">
                      <a:avLst/>
                    </a:prstGeom>
                    <a:noFill/>
                  </pic:spPr>
                </pic:pic>
              </a:graphicData>
            </a:graphic>
          </wp:anchor>
        </w:drawing>
      </w:r>
    </w:p>
    <w:p>
      <w:pPr>
        <w:spacing w:after="0" w:line="327"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NanoKnife System consists of two major components: a Low Energy Direct Current, or LEDC Generator and needle-like electrode probes. Up to six (6) electrode probes can be placed into or around the targeted soft tissue. Once the probes are in place, the user enters the appropriate parameters for voltage, number of pulses, interval between pulses, and the pulse length into the generator user interface. The generator then delivers a series of short electric pulses between each electrode probe. Full paralytic anesthesiology is required for safe IRE delivery.</w:t>
      </w:r>
    </w:p>
    <w:p>
      <w:pPr>
        <w:spacing w:after="0" w:line="128" w:lineRule="exact"/>
        <w:rPr>
          <w:sz w:val="20"/>
          <w:szCs w:val="20"/>
          <w:color w:val="auto"/>
        </w:rPr>
      </w:pPr>
    </w:p>
    <w:p>
      <w:pPr>
        <w:ind w:right="520" w:firstLine="385"/>
        <w:spacing w:after="0" w:line="278" w:lineRule="auto"/>
        <w:rPr>
          <w:sz w:val="20"/>
          <w:szCs w:val="20"/>
          <w:color w:val="auto"/>
        </w:rPr>
      </w:pPr>
      <w:r>
        <w:rPr>
          <w:rFonts w:ascii="Times New Roman" w:cs="Times New Roman" w:eastAsia="Times New Roman" w:hAnsi="Times New Roman"/>
          <w:sz w:val="18"/>
          <w:szCs w:val="18"/>
          <w:color w:val="auto"/>
        </w:rPr>
        <w:t>In December 2024, the NanoKnife System received expanded FDA 510(k) clearance for the ablation of prostate tissue which broadens treatment options for men and reinforces the system’s strong safety and efficacy profile.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Med Device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Peripheral Products (Interventional Devices)</w:t>
      </w:r>
    </w:p>
    <w:p>
      <w:pPr>
        <w:spacing w:after="0" w:line="168" w:lineRule="exact"/>
        <w:rPr>
          <w:sz w:val="20"/>
          <w:szCs w:val="20"/>
          <w:color w:val="auto"/>
        </w:rPr>
      </w:pPr>
    </w:p>
    <w:p>
      <w:pPr>
        <w:ind w:right="740" w:firstLine="385"/>
        <w:spacing w:after="0" w:line="278" w:lineRule="auto"/>
        <w:rPr>
          <w:sz w:val="20"/>
          <w:szCs w:val="20"/>
          <w:color w:val="auto"/>
        </w:rPr>
      </w:pPr>
      <w:r>
        <w:rPr>
          <w:rFonts w:ascii="Times New Roman" w:cs="Times New Roman" w:eastAsia="Times New Roman" w:hAnsi="Times New Roman"/>
          <w:sz w:val="18"/>
          <w:szCs w:val="18"/>
          <w:color w:val="auto"/>
        </w:rPr>
        <w:t>We offer a comprehensive portfolio of products for use during minimally invasive procedures. Product categories include an extensive line of angiographic catheters, guidewires, drainage catheters and micropuncture kits.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Angiographic Catheters &amp; Guidewires</w:t>
      </w:r>
    </w:p>
    <w:p>
      <w:pPr>
        <w:spacing w:after="0" w:line="1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extensive line of various angiographic catheter configurations are designed to allow physicians to navigate and reach targeted anatomical locations</w:t>
      </w:r>
    </w:p>
    <w:p>
      <w:pPr>
        <w:spacing w:after="0" w:line="59" w:lineRule="exact"/>
        <w:rPr>
          <w:sz w:val="20"/>
          <w:szCs w:val="20"/>
          <w:color w:val="auto"/>
        </w:rPr>
      </w:pPr>
    </w:p>
    <w:p>
      <w:pPr>
        <w:ind w:right="480"/>
        <w:spacing w:after="0" w:line="309" w:lineRule="auto"/>
        <w:rPr>
          <w:sz w:val="20"/>
          <w:szCs w:val="20"/>
          <w:color w:val="auto"/>
        </w:rPr>
      </w:pPr>
      <w:r>
        <w:rPr>
          <w:rFonts w:ascii="Times New Roman" w:cs="Times New Roman" w:eastAsia="Times New Roman" w:hAnsi="Times New Roman"/>
          <w:sz w:val="17"/>
          <w:szCs w:val="17"/>
          <w:color w:val="auto"/>
        </w:rPr>
        <w:t>within a patient’s vasculature that are in need of angiographic diagnosis. Typically run over a diagnostic guidewire, our angiographic catheters allow physicians to deliver contrast media to the desired location to determine the diagnosis and subsequent therapeutic modalities, as needed for the patient.</w:t>
      </w:r>
    </w:p>
    <w:p>
      <w:pPr>
        <w:spacing w:after="0" w:line="86" w:lineRule="exact"/>
        <w:rPr>
          <w:sz w:val="20"/>
          <w:szCs w:val="20"/>
          <w:color w:val="auto"/>
        </w:rPr>
      </w:pPr>
    </w:p>
    <w:p>
      <w:pPr>
        <w:ind w:right="20" w:firstLine="385"/>
        <w:spacing w:after="0" w:line="263" w:lineRule="auto"/>
        <w:rPr>
          <w:sz w:val="20"/>
          <w:szCs w:val="20"/>
          <w:color w:val="auto"/>
        </w:rPr>
      </w:pPr>
      <w:r>
        <w:rPr>
          <w:rFonts w:ascii="Times New Roman" w:cs="Times New Roman" w:eastAsia="Times New Roman" w:hAnsi="Times New Roman"/>
          <w:sz w:val="18"/>
          <w:szCs w:val="18"/>
          <w:color w:val="auto"/>
        </w:rPr>
        <w:t>AngioDynamics offers three different angiographic catheter lines to meet physicians’ procedural needs. All of our catheters feature our soft, atraumatic, super-radiopaque tip that is uniquely welded to our co-extruded nylon shaft, which provides excellent visibility under fluoroscopy and re-enforced tip stability.</w:t>
      </w:r>
    </w:p>
    <w:p>
      <w:pPr>
        <w:spacing w:after="0" w:line="123" w:lineRule="exact"/>
        <w:rPr>
          <w:sz w:val="20"/>
          <w:szCs w:val="20"/>
          <w:color w:val="auto"/>
        </w:rPr>
      </w:pPr>
    </w:p>
    <w:p>
      <w:pPr>
        <w:ind w:left="640" w:right="20" w:hanging="312"/>
        <w:spacing w:after="0" w:line="27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Soft-Vu Angiographic Catheters highlight the soft, atraumatic super-radiopaque and proprietary tip-to-shaft weld in a full offering of different tip shapes, lengths and French sized flush and selective catheters. Flush catheters are used in procedures where a large volume of contrast is required to deliver a concentrated bolus of contrast quickly for visualization or larger anatomical locations, such as the aorta or for run-offs into lower extremities. Selective catheters are typically used to gain access to more specific vasculature within the body to deliver smaller amounts of contrast.</w:t>
      </w:r>
    </w:p>
    <w:p>
      <w:pPr>
        <w:spacing w:after="0" w:line="111" w:lineRule="exact"/>
        <w:rPr>
          <w:rFonts w:ascii="Times New Roman" w:cs="Times New Roman" w:eastAsia="Times New Roman" w:hAnsi="Times New Roman"/>
          <w:sz w:val="17"/>
          <w:szCs w:val="17"/>
          <w:color w:val="auto"/>
        </w:rPr>
      </w:pPr>
    </w:p>
    <w:p>
      <w:pPr>
        <w:ind w:left="640" w:right="940" w:hanging="312"/>
        <w:spacing w:after="0" w:line="30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Mariner Hydrophilic Catheters also feature a hydrophilic coating on the distal 20cm of the catheter that reduces friction during catheter advancement in the vasculature and allows for smooth navigation, as well as, optimum handling and control by the physician.</w:t>
      </w:r>
    </w:p>
    <w:p>
      <w:pPr>
        <w:spacing w:after="0" w:line="85" w:lineRule="exact"/>
        <w:rPr>
          <w:rFonts w:ascii="Times New Roman" w:cs="Times New Roman" w:eastAsia="Times New Roman" w:hAnsi="Times New Roman"/>
          <w:sz w:val="17"/>
          <w:szCs w:val="17"/>
          <w:color w:val="auto"/>
        </w:rPr>
      </w:pPr>
    </w:p>
    <w:p>
      <w:pPr>
        <w:ind w:left="640" w:right="120" w:hanging="312"/>
        <w:spacing w:after="0" w:line="25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Accu-Vu Sizing Catheters are our line of flush catheters that also feature highly visible radiopaque marker bands, which are heat embedded, along the catheter shaft, providing a smooth transition across the catheter shaft to ensure the marker bands will not separate from the shaft. These radiopaque marker bands come in different patterns along the shaft and allow physicians, under fluoroscopy, to take measurements in different anatomical locations for the placement of stents, IVC filters or other devices. The tight tolerances and consistent placement across the entire sizing pattern, within +/-1mm of accuracy, provide a highly accurate measurement to the physician.</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44" w:right="339" w:bottom="1440" w:gutter="0" w:footer="0" w:header="0"/>
        </w:sectPr>
      </w:pPr>
    </w:p>
    <w:bookmarkStart w:id="7" w:name="page8"/>
    <w:bookmarkEnd w:id="7"/>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AngioDynamics offers a line of diagnostic and interventional guidewires which are designed to aid in delivering diagnostic and/or therapeutic devices to the desired location.</w:t>
      </w:r>
    </w:p>
    <w:p>
      <w:pPr>
        <w:spacing w:after="0" w:line="110" w:lineRule="exact"/>
        <w:rPr>
          <w:sz w:val="20"/>
          <w:szCs w:val="20"/>
          <w:color w:val="auto"/>
        </w:rPr>
      </w:pPr>
    </w:p>
    <w:p>
      <w:pPr>
        <w:ind w:left="640" w:right="380" w:hanging="312"/>
        <w:spacing w:after="0" w:line="286" w:lineRule="auto"/>
        <w:tabs>
          <w:tab w:leader="none" w:pos="63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ADx Peripheral Vascular Guidewire line is AngioDynamics diagnostic line of guidewires that is available in a multitude of fixed core wire configurations, including J-Tip and Bentson, in various lengths and outer diameters (OD). By utilizing a proprietary pre-coat process for the Polytetrafluoroethylene (PTFE) and upholding tight specifications, our ADx Guidewires offer high quality and performance for physicians.</w:t>
      </w:r>
    </w:p>
    <w:p>
      <w:pPr>
        <w:spacing w:after="0" w:line="104" w:lineRule="exact"/>
        <w:rPr>
          <w:rFonts w:ascii="Times New Roman" w:cs="Times New Roman" w:eastAsia="Times New Roman" w:hAnsi="Times New Roman"/>
          <w:sz w:val="17"/>
          <w:szCs w:val="17"/>
          <w:color w:val="auto"/>
        </w:rPr>
      </w:pPr>
    </w:p>
    <w:p>
      <w:pPr>
        <w:ind w:left="640" w:right="40" w:hanging="312"/>
        <w:spacing w:after="0" w:line="263"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NiT-Vu High Performance Micro Guidewires are our highly kink resistant nitinol shaft interventional wires that feature a highly visible radiopaque tungsten tip and lubricious coating. The NiT-Vu wires are designed to reduce friction during wire advancement and also provides torque control, flexibility and kink resistance.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Drainage Products</w:t>
      </w:r>
    </w:p>
    <w:p>
      <w:pPr>
        <w:spacing w:after="0" w:line="170" w:lineRule="exact"/>
        <w:rPr>
          <w:sz w:val="20"/>
          <w:szCs w:val="20"/>
          <w:color w:val="auto"/>
        </w:rPr>
      </w:pPr>
    </w:p>
    <w:p>
      <w:pPr>
        <w:ind w:right="20" w:firstLine="385"/>
        <w:spacing w:after="0" w:line="263" w:lineRule="auto"/>
        <w:rPr>
          <w:sz w:val="20"/>
          <w:szCs w:val="20"/>
          <w:color w:val="auto"/>
        </w:rPr>
      </w:pPr>
      <w:r>
        <w:rPr>
          <w:rFonts w:ascii="Times New Roman" w:cs="Times New Roman" w:eastAsia="Times New Roman" w:hAnsi="Times New Roman"/>
          <w:sz w:val="18"/>
          <w:szCs w:val="18"/>
          <w:color w:val="auto"/>
        </w:rPr>
        <w:t>To aid physicians in percutaneous drainage procedures, AngioDynamics offers the Total Abscession Drainage Catheters. The Total Abscession Drainage Catheter is available in Multipurpose/General and Biliary configurations, and also offers a Nephrostomy option. The portfolio offers options with a radiopaque marker band at the distal tip to aid in placement.</w:t>
      </w:r>
    </w:p>
    <w:p>
      <w:pPr>
        <w:spacing w:after="0" w:line="123" w:lineRule="exact"/>
        <w:rPr>
          <w:sz w:val="20"/>
          <w:szCs w:val="20"/>
          <w:color w:val="auto"/>
        </w:rPr>
      </w:pPr>
    </w:p>
    <w:p>
      <w:pPr>
        <w:ind w:left="640" w:right="60" w:hanging="312"/>
        <w:spacing w:after="0" w:line="263"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Abscession Drainage Catheter line offers a soft, kink resistant shaft that features the lubricious Blue Silk Finish for easier insertion and pushability, while providing the optimal patient comfort. The unique Vault Locking Mechanism securely fixes the pigtail and prevents tampering or accidental removal.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Micropuncture Kits</w:t>
      </w:r>
    </w:p>
    <w:p>
      <w:pPr>
        <w:spacing w:after="0" w:line="170" w:lineRule="exact"/>
        <w:rPr>
          <w:sz w:val="20"/>
          <w:szCs w:val="20"/>
          <w:color w:val="auto"/>
        </w:rPr>
      </w:pPr>
    </w:p>
    <w:p>
      <w:pPr>
        <w:ind w:right="260" w:firstLine="385"/>
        <w:spacing w:after="0" w:line="263" w:lineRule="auto"/>
        <w:rPr>
          <w:sz w:val="20"/>
          <w:szCs w:val="20"/>
          <w:color w:val="auto"/>
        </w:rPr>
      </w:pPr>
      <w:r>
        <w:rPr>
          <w:rFonts w:ascii="Times New Roman" w:cs="Times New Roman" w:eastAsia="Times New Roman" w:hAnsi="Times New Roman"/>
          <w:sz w:val="18"/>
          <w:szCs w:val="18"/>
          <w:color w:val="auto"/>
        </w:rPr>
        <w:t>AngioDynamics offers physicians two micropuncture kit lines that are designed to start each procedure with ease and efficiency: Mini Stick MAX Coaxial Microintroducer Kits and Micro-Introducer Kits. Each kit features a coaxial design with a 4F or 5F sheath introducer and stiff or standard dilator, along with a 21G needle and various 0.018” access wire configurations.</w:t>
      </w:r>
    </w:p>
    <w:p>
      <w:pPr>
        <w:spacing w:after="0" w:line="123" w:lineRule="exact"/>
        <w:rPr>
          <w:sz w:val="20"/>
          <w:szCs w:val="20"/>
          <w:color w:val="auto"/>
        </w:rPr>
      </w:pPr>
    </w:p>
    <w:p>
      <w:pPr>
        <w:ind w:left="640" w:right="120" w:hanging="312"/>
        <w:spacing w:after="0" w:line="26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 Stick MAX Coaxial Introducer kits contain a unique containment clip that keeps all the unique components of the kit together and organized. The kit options include our AngioDynamics proprietary coaxial introducer with smooth transition at the tip, translucent 21G needle with bevel indicator and 0.018” access wire available in three different wire material configurations.</w:t>
      </w:r>
    </w:p>
    <w:p>
      <w:pPr>
        <w:spacing w:after="0" w:line="122"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Micro-Introducer Kits offer a variety of configurations that aid in simplifying set up and gaining vascular access.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Ports</w:t>
      </w:r>
    </w:p>
    <w:p>
      <w:pPr>
        <w:spacing w:after="0" w:line="168" w:lineRule="exact"/>
        <w:rPr>
          <w:sz w:val="20"/>
          <w:szCs w:val="20"/>
          <w:color w:val="auto"/>
        </w:rPr>
      </w:pPr>
    </w:p>
    <w:p>
      <w:pPr>
        <w:ind w:right="140" w:firstLine="385"/>
        <w:spacing w:after="0" w:line="254" w:lineRule="auto"/>
        <w:rPr>
          <w:sz w:val="20"/>
          <w:szCs w:val="20"/>
          <w:color w:val="auto"/>
        </w:rPr>
      </w:pPr>
      <w:r>
        <w:rPr>
          <w:rFonts w:ascii="Times New Roman" w:cs="Times New Roman" w:eastAsia="Times New Roman" w:hAnsi="Times New Roman"/>
          <w:sz w:val="18"/>
          <w:szCs w:val="18"/>
          <w:color w:val="auto"/>
        </w:rPr>
        <w:t>Ports are implantable devices utilized for the central venous administration of a variety of medical therapies and for blood sampling and diagnostic purposes. Central venous access facilitates a more systemic delivery of treatment agents, while mitigating certain harsh side effects of certain treatment protocols and eliminating the need for repeated access to peripheral veins. Depending upon needle gauge size and the port size, a port can be utilized for up to approximately 2,000 accesses once implanted in the body. Our ports are used primarily in systemic or regional short- and long-term cancer treatment protocols that require frequent infusions of highly concentrated or toxic medications (such as chemotherapy agents, antibiotics or analgesics) and frequent blood samplings. Our port products and accessories include:</w:t>
      </w:r>
    </w:p>
    <w:p>
      <w:pPr>
        <w:spacing w:after="0" w:line="130" w:lineRule="exact"/>
        <w:rPr>
          <w:sz w:val="20"/>
          <w:szCs w:val="20"/>
          <w:color w:val="auto"/>
        </w:rPr>
      </w:pPr>
    </w:p>
    <w:p>
      <w:pPr>
        <w:ind w:left="640" w:hanging="312"/>
        <w:spacing w:after="0" w:line="254"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SmartPort, SmartPort+, SmartPort Plastic</w:t>
      </w:r>
      <w:r>
        <w:rPr>
          <w:rFonts w:ascii="Times New Roman" w:cs="Times New Roman" w:eastAsia="Times New Roman" w:hAnsi="Times New Roman"/>
          <w:sz w:val="18"/>
          <w:szCs w:val="18"/>
          <w:color w:val="auto"/>
        </w:rPr>
        <w:t>: The SmartPort power-injectable port with Vortex technology offers the ability for a clinician to access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vein for both the delivery of medications or fluids and for administering power-injected contrast to perform a CT scan. The ability to access a port for power-injected contrast studies eliminates the need for additional needle sticks in the patient’s arm and wrist veins. Once implanted, repeated access to the bloodstream can be accomplished with greater ease and less discomfort. Our SmartPort port line is available in standard, mini and low-profile to accommodate more patient anatomies. The SmartPort+ port line combines Vortex technology with BioFlo catheters. In addition to the three titanium port body sizes, there is a plastic port body.</w:t>
      </w:r>
    </w:p>
    <w:p>
      <w:pPr>
        <w:spacing w:after="0" w:line="131" w:lineRule="exact"/>
        <w:rPr>
          <w:rFonts w:ascii="Times New Roman" w:cs="Times New Roman" w:eastAsia="Times New Roman" w:hAnsi="Times New Roman"/>
          <w:sz w:val="18"/>
          <w:szCs w:val="18"/>
          <w:color w:val="auto"/>
        </w:rPr>
      </w:pPr>
    </w:p>
    <w:p>
      <w:pPr>
        <w:ind w:left="640" w:right="400" w:hanging="312"/>
        <w:spacing w:after="0" w:line="287" w:lineRule="auto"/>
        <w:tabs>
          <w:tab w:leader="none" w:pos="6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BioFlo Port</w:t>
      </w:r>
      <w:r>
        <w:rPr>
          <w:rFonts w:ascii="Times New Roman" w:cs="Times New Roman" w:eastAsia="Times New Roman" w:hAnsi="Times New Roman"/>
          <w:sz w:val="17"/>
          <w:szCs w:val="17"/>
          <w:color w:val="auto"/>
        </w:rPr>
        <w:t>: Our BioFlo Port was the first port available featuring a catheter with Endexo Technology. Advanced features of the BioFlo Port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multiple profile and catheter options, a large septum area for ease of access, PASV and non-PASV valve technology and the ability to administer contrast through a CT injection for purposes of imaging. The BioFlo port family is available in single or dual lumen configurations.</w:t>
      </w:r>
    </w:p>
    <w:p>
      <w:pPr>
        <w:spacing w:after="0" w:line="102" w:lineRule="exact"/>
        <w:rPr>
          <w:rFonts w:ascii="Times New Roman" w:cs="Times New Roman" w:eastAsia="Times New Roman" w:hAnsi="Times New Roman"/>
          <w:sz w:val="17"/>
          <w:szCs w:val="17"/>
          <w:color w:val="auto"/>
        </w:rPr>
      </w:pPr>
    </w:p>
    <w:p>
      <w:pPr>
        <w:ind w:left="640" w:right="120" w:hanging="312"/>
        <w:spacing w:after="0" w:line="259"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Xcela Plus</w:t>
      </w:r>
      <w:r>
        <w:rPr>
          <w:rFonts w:ascii="Times New Roman" w:cs="Times New Roman" w:eastAsia="Times New Roman" w:hAnsi="Times New Roman"/>
          <w:sz w:val="18"/>
          <w:szCs w:val="18"/>
          <w:color w:val="auto"/>
        </w:rPr>
        <w:t>: The Xcela Plus Port product family is Power-Injectable and part of a complete portfolio of vascular access products, and is 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compatible with the LifeGuard Safety Infusion product family. It has easily identifiable critical information radiopaque “CT” lettering which helps to confirm if port is power-injectable or flipped. The Xcela Plus port family is available in single lumen standard size in either a non-valved or valved configuration.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Port Technologies</w:t>
      </w:r>
    </w:p>
    <w:p>
      <w:pPr>
        <w:spacing w:after="0" w:line="208" w:lineRule="exact"/>
        <w:rPr>
          <w:sz w:val="20"/>
          <w:szCs w:val="20"/>
          <w:color w:val="auto"/>
        </w:rPr>
      </w:pPr>
    </w:p>
    <w:p>
      <w:pPr>
        <w:ind w:left="640" w:right="40" w:hanging="312"/>
        <w:spacing w:after="0" w:line="246" w:lineRule="auto"/>
        <w:tabs>
          <w:tab w:leader="none" w:pos="635" w:val="left"/>
        </w:tabs>
        <w:numPr>
          <w:ilvl w:val="0"/>
          <w:numId w:val="8"/>
        </w:numPr>
        <w:rPr>
          <w:rFonts w:ascii="Arial" w:cs="Arial" w:eastAsia="Arial" w:hAnsi="Arial"/>
          <w:sz w:val="21"/>
          <w:szCs w:val="21"/>
          <w:color w:val="auto"/>
        </w:rPr>
      </w:pPr>
      <w:r>
        <w:rPr>
          <w:rFonts w:ascii="Times New Roman" w:cs="Times New Roman" w:eastAsia="Times New Roman" w:hAnsi="Times New Roman"/>
          <w:sz w:val="18"/>
          <w:szCs w:val="18"/>
          <w:i w:val="1"/>
          <w:iCs w:val="1"/>
          <w:color w:val="auto"/>
        </w:rPr>
        <w:t xml:space="preserve">BioFlo Endexo: </w:t>
      </w:r>
      <w:r>
        <w:rPr>
          <w:rFonts w:ascii="Times New Roman" w:cs="Times New Roman" w:eastAsia="Times New Roman" w:hAnsi="Times New Roman"/>
          <w:sz w:val="18"/>
          <w:szCs w:val="18"/>
          <w:color w:val="auto"/>
        </w:rPr>
        <w:t>AngioDynamics offers the BioFlo catheter, the only catheter on the market with Endexo Technology, a material more resistant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thrombus accumulation, in vitro (based on platelet count). Endexo Technology is a permanent and non-eluting polymer that is “blended” into the polyurethane from which the catheter is made. It is present throughout the catheter, including the extraluminal, intraluminal and cut catheter surface of the tip. Endexo Technology remains present for the life of the catheter. The BioFlo catheter’s long-term durability and efficacy is intended to provide clinicians a high degree of safety and confidence in providing better patient care and improved patient outcomes.</w:t>
      </w:r>
    </w:p>
    <w:p>
      <w:pPr>
        <w:spacing w:after="0" w:line="135" w:lineRule="exact"/>
        <w:rPr>
          <w:rFonts w:ascii="Arial" w:cs="Arial" w:eastAsia="Arial" w:hAnsi="Arial"/>
          <w:sz w:val="21"/>
          <w:szCs w:val="21"/>
          <w:color w:val="auto"/>
        </w:rPr>
      </w:pPr>
    </w:p>
    <w:p>
      <w:pPr>
        <w:ind w:left="640" w:right="80" w:hanging="312"/>
        <w:spacing w:after="0" w:line="264"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Vortex: </w:t>
      </w:r>
      <w:r>
        <w:rPr>
          <w:rFonts w:ascii="Times New Roman" w:cs="Times New Roman" w:eastAsia="Times New Roman" w:hAnsi="Times New Roman"/>
          <w:sz w:val="18"/>
          <w:szCs w:val="18"/>
          <w:color w:val="auto"/>
        </w:rPr>
        <w:t>Our Vortex port technology line of ports features a clear-flow port technology that, we believe, revolutionized port design. With its rounded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chamber, the Vortex port is designed to have no sludge-harboring corners or dead spaces. This product line consists of titanium, plastic and dual-lumen offerings.</w:t>
      </w:r>
    </w:p>
    <w:p>
      <w:pPr>
        <w:spacing w:after="0" w:line="120" w:lineRule="exact"/>
        <w:rPr>
          <w:rFonts w:ascii="Times New Roman" w:cs="Times New Roman" w:eastAsia="Times New Roman" w:hAnsi="Times New Roman"/>
          <w:sz w:val="18"/>
          <w:szCs w:val="18"/>
          <w:color w:val="auto"/>
        </w:rPr>
      </w:pPr>
    </w:p>
    <w:p>
      <w:pPr>
        <w:ind w:left="640" w:right="520" w:hanging="312"/>
        <w:spacing w:after="0" w:line="280"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PASV Valve Technology: </w:t>
      </w:r>
      <w:r>
        <w:rPr>
          <w:rFonts w:ascii="Times New Roman" w:cs="Times New Roman" w:eastAsia="Times New Roman" w:hAnsi="Times New Roman"/>
          <w:sz w:val="18"/>
          <w:szCs w:val="18"/>
          <w:color w:val="auto"/>
        </w:rPr>
        <w:t>The PASV Valve Technology is designed to automatically resist backflow and reduce blood reflux that could lead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catheter-related complications.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Venous Insufficiency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VenaCure EVLT laser system</w:t>
      </w:r>
    </w:p>
    <w:p>
      <w:pPr>
        <w:spacing w:after="0" w:line="170" w:lineRule="exact"/>
        <w:rPr>
          <w:sz w:val="20"/>
          <w:szCs w:val="20"/>
          <w:color w:val="auto"/>
        </w:rPr>
      </w:pPr>
    </w:p>
    <w:p>
      <w:pPr>
        <w:ind w:right="5820" w:firstLine="385"/>
        <w:spacing w:after="0" w:line="252" w:lineRule="auto"/>
        <w:rPr>
          <w:sz w:val="20"/>
          <w:szCs w:val="20"/>
          <w:color w:val="auto"/>
        </w:rPr>
      </w:pPr>
      <w:r>
        <w:rPr>
          <w:rFonts w:ascii="Times New Roman" w:cs="Times New Roman" w:eastAsia="Times New Roman" w:hAnsi="Times New Roman"/>
          <w:sz w:val="18"/>
          <w:szCs w:val="18"/>
          <w:color w:val="auto"/>
        </w:rPr>
        <w:t>Our VenaCure EVLT system products are used in endovascular laser procedures to treat superficial venous disease (varicose veins). Superficial venous disease is a malfunction of one or more valves in the leg veins whereby blood refluxes or does not return to the heart, thereby pooling in the legs and leading to symptoms such as pain, swelling and ulcerations. The VenaCure EVLT system uses laser energy to stop the reflux by ablating (collapsing and destroying) the affected vein. Blood is then re-routed to other healthy veins.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-1091565</wp:posOffset>
            </wp:positionV>
            <wp:extent cx="2737485" cy="1343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37485" cy="134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procedure is minimally invasive and generally takes less than an hour, typically allowing the patient to quickly return to normal activities.</w:t>
      </w:r>
    </w:p>
    <w:p>
      <w:pPr>
        <w:spacing w:after="0" w:line="168"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The VenaCure EVLT system is sold as a system that includes diode laser hardware and procedure kits which include disposable laser fiber components, an access sheath, access wires and needles. Our VenaCure EVLT 1470 nanometer wavelength laser allows physicians to more efficiently heat the vein wall using lower power settings thereby reducing the risk of collateral damage. The NeverTouch tip fiber eliminates laser tip contact with the vein wall, which in turn minimizes perforations of the vein wall that typically result in less pain and bruising as compared to traditional bare-tip fibers. The NeverTouch tip also maximizes ultrasonic visibility, making it easier for physicians to use. Procedure kits are available in a variety of lengths and configurations to accommodate varied patient anatomies.</w:t>
      </w:r>
    </w:p>
    <w:p>
      <w:pPr>
        <w:spacing w:after="0" w:line="13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NeverTouch and NeverTouch Direct gold-tip laser fibers, is an integral part of AngioDynamics’ advanced varicose vein treatment and establishes a new standard for patient comfort, visibility and ease of use. The innovation behind the NeverTouch tip is a glass weld at the distal tip. This glass weld tip technology has less focal charring of the vein wall versus a bar-tip fiber. The NeverTouch procedure kit is available in 25cm, 45cm, 65cm, and 90cm lengths. It is also available with an .018” access system, which eliminates the need for a 5F micro-access sheath and the need to exchange wires and size up, resulting in few procedure steps, and may result in faster procedure time.</w:t>
      </w:r>
    </w:p>
    <w:p>
      <w:pPr>
        <w:spacing w:after="0" w:line="13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400 Micron Perforator &amp; Accessory Vein Ablation kit (PVAK) is an AngioDynamics VenaCure EVLT endovenous laser vein treatment offering that provides patients a minimally-invasive choice for treating the source of their varicose veins. The PVAK kit may also provide patients a potentially quicker recovery and return to normal daily routines, as compared to surgical stripping. The PVAK kit allows for simple access and accurate positioning. The smaller fiber aids in access and positioning for deep and saphenous veins. The 21G venous access needle ensures easy, atraumatic access and the .018” guidewire navigates small, tortuous veins with a floppy tip and has a firm anchor to guide the sheath and hold it in 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Microwave Ablation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Solero Microwave Tissue Ablation (MTA) System</w:t>
      </w:r>
    </w:p>
    <w:p>
      <w:pPr>
        <w:spacing w:after="0" w:line="170" w:lineRule="exact"/>
        <w:rPr>
          <w:sz w:val="20"/>
          <w:szCs w:val="20"/>
          <w:color w:val="auto"/>
        </w:rPr>
      </w:pPr>
    </w:p>
    <w:p>
      <w:pPr>
        <w:ind w:right="5860" w:firstLine="385"/>
        <w:spacing w:after="0" w:line="250" w:lineRule="auto"/>
        <w:rPr>
          <w:sz w:val="20"/>
          <w:szCs w:val="20"/>
          <w:color w:val="auto"/>
        </w:rPr>
      </w:pPr>
      <w:r>
        <w:rPr>
          <w:rFonts w:ascii="Times New Roman" w:cs="Times New Roman" w:eastAsia="Times New Roman" w:hAnsi="Times New Roman"/>
          <w:sz w:val="18"/>
          <w:szCs w:val="18"/>
          <w:color w:val="auto"/>
        </w:rPr>
        <w:t>The Solero MTA System features the Solero Microwave (MW) Generator and the specially designed Solero MW Applicators. The solid state Solero MW Generator with a 2.45 GHz operating frequency can power up to 140W for optimized power delivery and fast ablations. The Solero MW Applicator’s patented dipole array and ceramic tip tuning diffuses MW energy nearly spherically, and its patented cooling channel with thermocouple provides real-time monitoring to help protect non-targeted tissue during the ablation. In addition, the Solero MTA System offers physicians scalability with a single applicator designed for multiple, predictable ablation volumes by varying time and wattage. Solero is a single applicator system able to complete up to a 5 cm ablation in six (6) minutes at maximum power. It is designed for open, laparoscopic and percutaneous ablation of soft tissue masses.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-1665605</wp:posOffset>
            </wp:positionV>
            <wp:extent cx="2797175" cy="1394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7175" cy="1394460"/>
                    </a:xfrm>
                    <a:prstGeom prst="rect">
                      <a:avLst/>
                    </a:prstGeom>
                    <a:noFill/>
                  </pic:spPr>
                </pic:pic>
              </a:graphicData>
            </a:graphic>
          </wp:anchor>
        </w:drawing>
      </w:r>
    </w:p>
    <w:p>
      <w:pPr>
        <w:spacing w:after="0" w:line="190"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The Solero MTA System and Accessories are indicated for the ablation of soft tissue during open procedures. The Solero MTA System is not intended for cardiac use.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IsoLoc Endorectal Balloon</w:t>
      </w:r>
    </w:p>
    <w:p>
      <w:pPr>
        <w:spacing w:after="0" w:line="168"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IsoLoc Endorectal Balloon's unique, customer-driven design is the result of collaborations with Radiation Oncologists, Therapists and Physicists with one goal in mind, to create a new standard for endorectal balloons (ERB) in the oncology space.</w:t>
      </w:r>
    </w:p>
    <w:p>
      <w:pPr>
        <w:spacing w:after="0" w:line="110"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design of the IsoLoc device not only addresses patient comfort, but also simplifies three challenging clinical scenarios that many physicians face when using radiation therapy for and/or in relation to the prostate. First, its' gas-release tip removes rectal gas and reduces prostate motion for gaseous patients. Secondly, the structure of the ERB aids in defining the anatomy for difficult planning scenarios with post-radical patients. Lastly, the IsoLoc device repositions and lifts the bowel in patients that have a low-lying bowel.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Alatus Vaginal Balloon Packing System</w:t>
      </w:r>
    </w:p>
    <w:p>
      <w:pPr>
        <w:spacing w:after="0" w:line="168" w:lineRule="exact"/>
        <w:rPr>
          <w:sz w:val="20"/>
          <w:szCs w:val="20"/>
          <w:color w:val="auto"/>
        </w:rPr>
      </w:pPr>
    </w:p>
    <w:p>
      <w:pPr>
        <w:ind w:right="80" w:firstLine="385"/>
        <w:spacing w:after="0" w:line="286" w:lineRule="auto"/>
        <w:rPr>
          <w:sz w:val="20"/>
          <w:szCs w:val="20"/>
          <w:color w:val="auto"/>
        </w:rPr>
      </w:pPr>
      <w:r>
        <w:rPr>
          <w:rFonts w:ascii="Times New Roman" w:cs="Times New Roman" w:eastAsia="Times New Roman" w:hAnsi="Times New Roman"/>
          <w:sz w:val="17"/>
          <w:szCs w:val="17"/>
          <w:color w:val="auto"/>
        </w:rPr>
        <w:t>The Alatus device was developed with the patient's comfort in mind and to assist the physician to move healthy tissue away from the radiation treatment field. Prior to the Alatus device, the clinician would push gauze into the vagina to move the bladder and bowel away from the radiation treatment field. Inserting gauze into the vagina can be uncomfortable before treatment and unpleasant at the end of treatment as it tends to dry out before removing.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w:t>
      </w:r>
    </w:p>
    <w:p>
      <w:pPr>
        <w:spacing w:after="0" w:line="172" w:lineRule="exact"/>
        <w:rPr>
          <w:sz w:val="20"/>
          <w:szCs w:val="20"/>
          <w:color w:val="auto"/>
        </w:rPr>
      </w:pPr>
    </w:p>
    <w:p>
      <w:pPr>
        <w:ind w:right="100" w:firstLine="385"/>
        <w:spacing w:after="0" w:line="254" w:lineRule="auto"/>
        <w:rPr>
          <w:sz w:val="20"/>
          <w:szCs w:val="20"/>
          <w:color w:val="auto"/>
        </w:rPr>
      </w:pPr>
      <w:r>
        <w:rPr>
          <w:rFonts w:ascii="Times New Roman" w:cs="Times New Roman" w:eastAsia="Times New Roman" w:hAnsi="Times New Roman"/>
          <w:sz w:val="18"/>
          <w:szCs w:val="18"/>
          <w:color w:val="auto"/>
        </w:rPr>
        <w:t>Our growth depends in large part on the continuous introduction of new and innovative products, together with ongoing enhancements to our existing products. This happens through internal product development, technology licensing, strategic alliances and acquisitions. Our research and development (R&amp;D) teams work closely with our marketing teams, sales force and regulatory and compliance teams to incorporate customer feedback into our development and design process. We believe that we have a reputation among interventional physicians as a strong partner for developing high quality products because of our tradition of close physician collaboration, dedicated market focus, responsiveness and execution capabilities for product development and commercialization. We recognize the importance of, and intend to continue to make investments in R&amp;D.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2" w:lineRule="exact"/>
        <w:rPr>
          <w:sz w:val="20"/>
          <w:szCs w:val="20"/>
          <w:color w:val="auto"/>
        </w:rPr>
      </w:pPr>
    </w:p>
    <w:p>
      <w:pPr>
        <w:ind w:right="160" w:firstLine="385"/>
        <w:spacing w:after="0" w:line="263" w:lineRule="auto"/>
        <w:rPr>
          <w:sz w:val="20"/>
          <w:szCs w:val="20"/>
          <w:color w:val="auto"/>
        </w:rPr>
      </w:pPr>
      <w:r>
        <w:rPr>
          <w:rFonts w:ascii="Times New Roman" w:cs="Times New Roman" w:eastAsia="Times New Roman" w:hAnsi="Times New Roman"/>
          <w:sz w:val="18"/>
          <w:szCs w:val="18"/>
          <w:color w:val="auto"/>
        </w:rPr>
        <w:t>We encounter significant competition across our product lines and in each market in which our products are sold. These markets are characterized by rapid change resulting from technological advances, scientific discoveries and changing customer needs and expectations. We face competitors, ranging from large manufacturers with multiple business lines, to small manufacturers that offer a limited selection of products.</w:t>
      </w:r>
    </w:p>
    <w:p>
      <w:pPr>
        <w:spacing w:after="0" w:line="123" w:lineRule="exact"/>
        <w:rPr>
          <w:sz w:val="20"/>
          <w:szCs w:val="20"/>
          <w:color w:val="auto"/>
        </w:rPr>
      </w:pPr>
    </w:p>
    <w:p>
      <w:pPr>
        <w:ind w:right="20" w:firstLine="385"/>
        <w:spacing w:after="0" w:line="263" w:lineRule="auto"/>
        <w:rPr>
          <w:sz w:val="20"/>
          <w:szCs w:val="20"/>
          <w:color w:val="auto"/>
        </w:rPr>
      </w:pPr>
      <w:r>
        <w:rPr>
          <w:rFonts w:ascii="Times New Roman" w:cs="Times New Roman" w:eastAsia="Times New Roman" w:hAnsi="Times New Roman"/>
          <w:sz w:val="18"/>
          <w:szCs w:val="18"/>
          <w:color w:val="auto"/>
        </w:rPr>
        <w:t>Our primary competitors include: Boston Scientific Corporation; Cook Medical; Medical Components, Inc. (MedComp); TeleFlex Medical; Becton Dickinson; Medtronic; Merit Medical; Terumo Medical Corporation; Johnson and Johnson; Philips Healthcare; Stryker Corporation; Penumbra, Inc.; Varian Medical Systems; Abbott Laboratories and Total Vein Systems.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44" w:right="399" w:bottom="1440" w:gutter="0" w:footer="0" w:header="0"/>
        </w:sectPr>
      </w:pPr>
    </w:p>
    <w:bookmarkStart w:id="10" w:name="page11"/>
    <w:bookmarkEnd w:id="10"/>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We believe our products compete primarily based on their quality, clinical outcomes, ease of use, reliability, physician familiarity and cost-effectiveness. In the current environment of managed care, which is characterized by economically motivated buyers, consolidation among health care providers, increased competition and declining reimbursement rates, we have been increasingly required to compete on the basis of price. We believe that our continued competitive success will depend upon our ability to develop or acquire scientifically advanced technology, apply our technology cost-effectively across product lines and markets, attract and retain skilled personnel, obtain patent or other protection for our products, obtain required regulatory and reimbursement approvals, manufacture and successfully market our products either directly or through third parties, and maintain sufficient inventory to meet customer demand.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72" w:lineRule="exact"/>
        <w:rPr>
          <w:sz w:val="20"/>
          <w:szCs w:val="20"/>
          <w:color w:val="auto"/>
        </w:rPr>
      </w:pPr>
    </w:p>
    <w:p>
      <w:pPr>
        <w:jc w:val="both"/>
        <w:ind w:right="40" w:firstLine="385"/>
        <w:spacing w:after="0" w:line="258" w:lineRule="auto"/>
        <w:rPr>
          <w:sz w:val="20"/>
          <w:szCs w:val="20"/>
          <w:color w:val="auto"/>
        </w:rPr>
      </w:pPr>
      <w:r>
        <w:rPr>
          <w:rFonts w:ascii="Times New Roman" w:cs="Times New Roman" w:eastAsia="Times New Roman" w:hAnsi="Times New Roman"/>
          <w:sz w:val="18"/>
          <w:szCs w:val="18"/>
          <w:color w:val="auto"/>
        </w:rPr>
        <w:t>We sell our broad line of quality devices in the United States primarily through a direct sales force and internationally through a combination of direct sales and distributor relationships. We support our customers and sales organization with a marketing staff that includes product managers, customer service representatives and other marketing specialists. We focus our sales and marketing efforts on interventional radiologists, interventional cardiologists, vascular surgeons, urologists, interventional and surgical oncologists and critical care nurses.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manufacture certain proprietary components and products and then assemble, inspect, test and package our finished products. By designing and manufacturing many of our products from raw materials, and assembling and testing our subassemblies and products, we believe that we are able to maintain better quality control, ensure compliance with applicable regulatory standards and our internal specifications, and limit outside access to our proprietary technology. We have custom-designed proprietary manufacturing and processing equipment and have developed proprietary enhancements for existing production machinery.</w:t>
      </w:r>
    </w:p>
    <w:p>
      <w:pPr>
        <w:spacing w:after="0" w:line="132" w:lineRule="exact"/>
        <w:rPr>
          <w:sz w:val="20"/>
          <w:szCs w:val="20"/>
          <w:color w:val="auto"/>
        </w:rPr>
      </w:pPr>
    </w:p>
    <w:p>
      <w:pPr>
        <w:ind w:right="60" w:firstLine="385"/>
        <w:spacing w:after="0" w:line="253" w:lineRule="auto"/>
        <w:rPr>
          <w:sz w:val="20"/>
          <w:szCs w:val="20"/>
          <w:color w:val="auto"/>
        </w:rPr>
      </w:pPr>
      <w:r>
        <w:rPr>
          <w:rFonts w:ascii="Times New Roman" w:cs="Times New Roman" w:eastAsia="Times New Roman" w:hAnsi="Times New Roman"/>
          <w:sz w:val="18"/>
          <w:szCs w:val="18"/>
          <w:color w:val="auto"/>
        </w:rPr>
        <w:t>We manufacture many of our products from two leased manufacturing properties, one in Queensbury, NY and one small facility in Glens Falls, NY, providing capabilities which include manufacturing, service, offices, engineering and research and we lease distribution warehouses. The manufacturing facilities are registered with the FDA and have been certified to ISO 13485 standards. ISO 13485 is a quality system standard that satisfies European Union regulatory requirements, thus allowing us to market and sell our products in European Union countries. AngioDynamics is certified under the Medical Device Single Audit Program ("MDSAP") which allows a recognized auditing organization to conduct a single regulatory audit of a medical device manufacturer to satisfy the relevant requirements of the regulatory authorities participating in the program. International partners that are participating in the MDSAP include:</w:t>
      </w:r>
    </w:p>
    <w:p>
      <w:pPr>
        <w:spacing w:after="0" w:line="133"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Therapeutic Goods Administration of Australia</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Brazil’s Agência Nacional de Vigilância Sanitária</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Canada</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Japan’s Ministry of Health, Labour and Welfare, and the Japanese Pharmaceuticals and Medical Devices Agency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Food and Drug Administration</w:t>
      </w:r>
    </w:p>
    <w:p>
      <w:pPr>
        <w:spacing w:after="0" w:line="149" w:lineRule="exact"/>
        <w:rPr>
          <w:sz w:val="20"/>
          <w:szCs w:val="20"/>
          <w:color w:val="auto"/>
        </w:rPr>
      </w:pPr>
    </w:p>
    <w:p>
      <w:pPr>
        <w:jc w:val="both"/>
        <w:ind w:right="100" w:firstLine="385"/>
        <w:spacing w:after="0" w:line="263" w:lineRule="auto"/>
        <w:rPr>
          <w:sz w:val="20"/>
          <w:szCs w:val="20"/>
          <w:color w:val="auto"/>
        </w:rPr>
      </w:pPr>
      <w:r>
        <w:rPr>
          <w:rFonts w:ascii="Times New Roman" w:cs="Times New Roman" w:eastAsia="Times New Roman" w:hAnsi="Times New Roman"/>
          <w:sz w:val="18"/>
          <w:szCs w:val="18"/>
          <w:color w:val="auto"/>
        </w:rPr>
        <w:t>Our manufacturing facilities are subject to periodic inspections by regulatory authorities to ensure compliance with domestic and non-U.S. regulatory requirements. See “Government Regulation” section of this Item 1 for additional information. See Part I, Item 2 "Properties" in this Annual Report on Form 10-K for details on each manufacturing location.</w:t>
      </w:r>
    </w:p>
    <w:p>
      <w:pPr>
        <w:spacing w:after="0" w:line="123" w:lineRule="exact"/>
        <w:rPr>
          <w:sz w:val="20"/>
          <w:szCs w:val="20"/>
          <w:color w:val="auto"/>
        </w:rPr>
      </w:pPr>
    </w:p>
    <w:p>
      <w:pPr>
        <w:jc w:val="both"/>
        <w:ind w:right="60" w:firstLine="385"/>
        <w:spacing w:after="0" w:line="263" w:lineRule="auto"/>
        <w:rPr>
          <w:sz w:val="20"/>
          <w:szCs w:val="20"/>
          <w:color w:val="auto"/>
        </w:rPr>
      </w:pPr>
      <w:r>
        <w:rPr>
          <w:rFonts w:ascii="Times New Roman" w:cs="Times New Roman" w:eastAsia="Times New Roman" w:hAnsi="Times New Roman"/>
          <w:sz w:val="18"/>
          <w:szCs w:val="18"/>
          <w:color w:val="auto"/>
        </w:rPr>
        <w:t>AngioDynamics entered into a supply agreement with Biomerics (previously Precision Concepts) in Alajuela, Costa Rica. Biomerics is manufacturing, storing, and handling certain products for the Company and is registered with the FDA and certified to the ISO 13485 standard. The Company also relies on other third party manufacturers for the manufacturing of certain products.</w:t>
      </w:r>
    </w:p>
    <w:p>
      <w:pPr>
        <w:spacing w:after="0" w:line="123" w:lineRule="exact"/>
        <w:rPr>
          <w:sz w:val="20"/>
          <w:szCs w:val="20"/>
          <w:color w:val="auto"/>
        </w:rPr>
      </w:pPr>
    </w:p>
    <w:p>
      <w:pPr>
        <w:ind w:right="200" w:firstLine="321"/>
        <w:spacing w:after="0" w:line="258" w:lineRule="auto"/>
        <w:rPr>
          <w:sz w:val="20"/>
          <w:szCs w:val="20"/>
          <w:color w:val="auto"/>
        </w:rPr>
      </w:pPr>
      <w:r>
        <w:rPr>
          <w:rFonts w:ascii="Times New Roman" w:cs="Times New Roman" w:eastAsia="Times New Roman" w:hAnsi="Times New Roman"/>
          <w:sz w:val="18"/>
          <w:szCs w:val="18"/>
          <w:color w:val="auto"/>
        </w:rPr>
        <w:t>On January 5, 2024, the Company announced a restructuring to optimize its manufacturing efficiency, capabilities and footprint (the "Plan"). 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2" w:lineRule="exact"/>
        <w:rPr>
          <w:sz w:val="20"/>
          <w:szCs w:val="20"/>
          <w:color w:val="auto"/>
        </w:rPr>
      </w:pPr>
    </w:p>
    <w:p>
      <w:pPr>
        <w:jc w:val="both"/>
        <w:ind w:right="220" w:firstLine="385"/>
        <w:spacing w:after="0" w:line="263" w:lineRule="auto"/>
        <w:rPr>
          <w:sz w:val="20"/>
          <w:szCs w:val="20"/>
          <w:color w:val="auto"/>
        </w:rPr>
      </w:pPr>
      <w:r>
        <w:rPr>
          <w:rFonts w:ascii="Times New Roman" w:cs="Times New Roman" w:eastAsia="Times New Roman" w:hAnsi="Times New Roman"/>
          <w:sz w:val="18"/>
          <w:szCs w:val="18"/>
          <w:color w:val="auto"/>
        </w:rPr>
        <w:t>We seek to maintain sufficient inventory on hand to ship product within 24-48 hours of order receipt to meet customer demand, and accordingly our backlog is not significant. As we shift additional manufacturing to Costa Rica and/or other manufacturing partners, we have built sufficient safety stock to reduce the risk of backlog during the transition.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2" w:lineRule="exact"/>
        <w:rPr>
          <w:sz w:val="20"/>
          <w:szCs w:val="20"/>
          <w:color w:val="auto"/>
        </w:rPr>
      </w:pPr>
    </w:p>
    <w:p>
      <w:pPr>
        <w:ind w:right="80" w:firstLine="385"/>
        <w:spacing w:after="0" w:line="270" w:lineRule="auto"/>
        <w:rPr>
          <w:sz w:val="20"/>
          <w:szCs w:val="20"/>
          <w:color w:val="auto"/>
        </w:rPr>
      </w:pPr>
      <w:r>
        <w:rPr>
          <w:rFonts w:ascii="Times New Roman" w:cs="Times New Roman" w:eastAsia="Times New Roman" w:hAnsi="Times New Roman"/>
          <w:sz w:val="17"/>
          <w:szCs w:val="17"/>
          <w:color w:val="auto"/>
        </w:rPr>
        <w:t>Patents, trademarks and other proprietary rights are very important to our business. We also rely upon trade secrets, manufacturing know-how, technological innovations and licensing opportunities to maintain and improve our competitive position. We regularly monitor and review third-party proprietary rights, including patents and patent applications, as available, to aid in the development of our intellectual property strategy, avoid infringement of third-party proprietary rights, and identify licensing opportunities. The Company owns an extensive portfolio of patents and patent applications in the United States and in certain foreign countries. The portfolio also includes exclusive licenses to third party patents and applications. Most of our products are sold under the AngioDynamics trade name or trademark. Additionally, products are sold under product trademarks and/or registered product trademarks owned by AngioDynamics, Inc., or an affiliate or subsidiary. Some products contain trademarks of companies other than AngioDynamics.</w:t>
      </w:r>
    </w:p>
    <w:p>
      <w:pPr>
        <w:spacing w:after="0" w:line="121"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See Part I, Item 3 "Legal Proceedings" and Note 17 to the consolidated financial statements in this Annual Report on Form 10-K for additional details on litigation regarding proprietary technology.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operate in an industry characterized by extensive patent litigation. Patent litigation can result in significant damage awards and injunctions that could prevent the manufacture and sale of affected products, or result in significant royalty payments in order to continue selling those products. The medical device industry is also susceptible to significant product liability claims. These claims may be brought by individuals seeking relief on their own behalf or purporting to represent a class. In addition, product liability claims may be asserted against us in the future based on events we are not aware of at the present time. At any given time, we are involved in a number of product liability actions. For additional information, see both Part I, Item 3 "Legal Proceedings" and Note 17 to the consolidated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2"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products we manufacture and market are subject to regulation by the United States Food and Drug Administration (FDA) under the Federal Food, Drug, and Cosmetic Act, or FDCA, and international regulations in our specific target markets.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FDA Regulation</w:t>
      </w:r>
    </w:p>
    <w:p>
      <w:pPr>
        <w:spacing w:after="0" w:line="17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Before a new medical device can be introduced into the market, a manufacturer generally must obtain marketing clearance or approval from the FDA through either a 510(k) submission (a premarket notification) or a premarket approval application (PMA).</w:t>
      </w:r>
    </w:p>
    <w:p>
      <w:pPr>
        <w:spacing w:after="0" w:line="110"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The 510(k) clearance procedure is available only if a manufacturer can establish that its device is “substantially equivalent” in intended use and in safety and effectiveness to a “predicate device,” which is (i) a device that has been cleared through the 510(k) clearance process; (ii) a device that was legally marketed prior to May 28, 1976 (preamendment device); or (iii) a device that was originally on the U.S. market as a Class III device (Premarket approval) and later downclassified to Class II or I. After a device receives 510(k) clearance, any modification that could significantly affect its safety or effectiveness, or that would constitute a major change in its intended use, requires a new 510(k) clearance. The 510(k) clearance procedure including questions and responses may take up to 12 months. In some cases, supporting clinical data may be required. The FDA may determine that a new or modified device is not substantially equivalent to a predicate device or may require that additional information, including clinical data, be submitted before a determination is made, either of which could significantly delay the introduction of a new or modified device. If a device cannot demonstrate substantial equivalence, it may be subject to either a De Novo 510(k) submission or a PMA.</w:t>
      </w:r>
    </w:p>
    <w:p>
      <w:pPr>
        <w:spacing w:after="0" w:line="133"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The PMA application procedure is more comprehensive than the 510(k) procedure and typically takes more time to complete. The PMA application must be supported by scientific evidence providing pre-clinical and clinical data relating to the safety and efficacy of the device and must include other information about the device and its components, design, manufacturing, and labeling. The FDA will approve a PMA application only if reasonable assurance that the device is safe and effective for its intended use can be provided. As part of the PMA application review, the FDA will inspect the manufacturer’s facilities for compliance with its Quality System Regulation, or QSR. As part of the PMA approval the FDA may place restrictions on the device, such as requiring additional patient follow-up for an indefinite period of time. If the FDA’s evaluation of the PMA application or the manufacturing facility is not favorable, the FDA may deny approval of the PMA application or issue a “not approvable” letter. The FDA may also require additional clinical trials, which can delay the PMA approval process by several years. After the PMA is approved, if changes are made to a device, its manufacturing or labeling, a PMA supplement containing additional information must be filed for prior FDA approval.</w:t>
      </w:r>
    </w:p>
    <w:p>
      <w:pPr>
        <w:spacing w:after="0" w:line="1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Historically, our products have been introduced into the market using the 510(k) procedure.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2" w:name="page13"/>
    <w:bookmarkEnd w:id="12"/>
    <w:p>
      <w:pPr>
        <w:ind w:right="60" w:firstLine="385"/>
        <w:spacing w:after="0" w:line="255" w:lineRule="auto"/>
        <w:rPr>
          <w:sz w:val="20"/>
          <w:szCs w:val="20"/>
          <w:color w:val="auto"/>
        </w:rPr>
      </w:pPr>
      <w:r>
        <w:rPr>
          <w:rFonts w:ascii="Times New Roman" w:cs="Times New Roman" w:eastAsia="Times New Roman" w:hAnsi="Times New Roman"/>
          <w:sz w:val="18"/>
          <w:szCs w:val="18"/>
          <w:color w:val="auto"/>
        </w:rPr>
        <w:t>FDA submissions require extensive validations and testing which requires a significant amount of time and financial resources. Recent changes in both regulations and FDA perspectives have increased both time and testing requirements, which have caused and are expected to continue to cause significant delays and increased costs for clearances and approvals. The increased focus by the FDA on such issues as chemical identification of all colorants, non-acceptance of certain colorants (certain forms of carbon black) and other concerns, continue to cause challenges and delays. In addition, changes to existing products call into question previously approved devices and result in additional costs for testing and material analysis.</w:t>
      </w:r>
    </w:p>
    <w:p>
      <w:pPr>
        <w:spacing w:after="0" w:line="13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devices manufactured by us are also subject to the QSR, which imposes elaborate testing, control, documentation and other quality assurance procedures on our manufacturing facilities. Every phase of production, including raw materials, components and subassembly, manufacturing, testing, quality control, labeling, tracing of customers after distribution and follow-up and reporting of complaint information is governed by the FDA’s QSR. Device manufacturers are required to register their facilities and list their products with the FDA and certain state agencies. The FDA periodically inspects manufacturing facilities and, if there are alleged violations, the operator of a facility must correct them or satisfactorily demonstrate the absence of the violations or face regulatory action. Failure to maintain compliance with the QSR may result in the issuance of one or more Forms 483 or warning letters and could potentially result in a consent decree. Failure to maintain the QSR appropriately could result in the issuance of further warning letters. In addition, non-compliance with applicable FDA requirements can result in, among other things, fines, injunctions, civil penalties, recall or seizure of products, total or partial suspension of production, failure of the FDA to grant marketing approvals, inability to obtain clearances or approvals for products, withdrawal of marketing approvals, a recommendation by the FDA to disallow us to enter into government contracts, and/or criminal prosecutions. The FDA also has the authority to request repair, replacement or refund of the cost of any device manufactured or distributed by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U.S. Regulatory Bodies</w:t>
      </w:r>
    </w:p>
    <w:p>
      <w:pPr>
        <w:spacing w:after="0" w:line="172" w:lineRule="exact"/>
        <w:rPr>
          <w:sz w:val="20"/>
          <w:szCs w:val="20"/>
          <w:color w:val="auto"/>
        </w:rPr>
      </w:pPr>
    </w:p>
    <w:p>
      <w:pPr>
        <w:ind w:right="120" w:firstLine="385"/>
        <w:spacing w:after="0" w:line="253" w:lineRule="auto"/>
        <w:rPr>
          <w:sz w:val="20"/>
          <w:szCs w:val="20"/>
          <w:color w:val="auto"/>
        </w:rPr>
      </w:pPr>
      <w:r>
        <w:rPr>
          <w:rFonts w:ascii="Times New Roman" w:cs="Times New Roman" w:eastAsia="Times New Roman" w:hAnsi="Times New Roman"/>
          <w:sz w:val="18"/>
          <w:szCs w:val="18"/>
          <w:color w:val="auto"/>
        </w:rPr>
        <w:t>We and our products are subject to a variety of federal, state and local laws in those jurisdictions where our products are, or will be, marketed. We and our products are also subject to a variety of federal, state and local laws relating to matters such as safe working conditions, manufacturing practices, environmental protection, fire hazard control and disposal of hazardous or potentially hazardous substances. In addition, we are subject to various federal and state laws governing our relationships with the physicians and others who purchase or make referrals for our products. For instance, federal law prohibits payments of any form that are intended to induce a referral for any item payable under Medicare, Medicaid or any other federal healthcare program. Many states have similar laws. There can be no assurance that we will not be required to incur significant costs to comply with such laws and regulations now or in the future, or that such laws or regulations will not have a material adverse effect upon our ability to do business.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 Regulation</w:t>
      </w:r>
    </w:p>
    <w:p>
      <w:pPr>
        <w:spacing w:after="0" w:line="172"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Internationally, all of our current products are considered medical devices under applicable regulatory regimes, and we anticipate that this will be true for all of our future products. Sales of medical devices are subject to regulatory requirements in most countries. The regulatory review process varies greatly from country to country.</w:t>
      </w:r>
    </w:p>
    <w:p>
      <w:pPr>
        <w:spacing w:after="0" w:line="123"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color w:val="auto"/>
        </w:rPr>
        <w:t>In order to distribute and sell products into the European Union as well as a number of other countries including many Central European Free Trade Agreement participants, Scandinavian, and Middle Eastern countries, a CE Mark is required. New products must be compliant with the Medical Device Regulation ("MDR") as of May 2021 and previously CE Marked products must become compliant when their certification expires, with a transition period ending December 2027 for higher classification devices, or December 2028 for lower classification devices. Products with an expiring certification must be in distribution before certification expiration dates to continue to be sold. Clinical evaluations of products under MDR requires more information than previously required. All devices must have current clinical literature that specifically addresses data-driven safety and performance criteria, and legacy devices often require additional biocompatibility, bench testing and redesign to address changes in standards over time. Additionally, there can be extended time frames under MDR for product certifications that can be 12-18 months or longer. During that time period, significant design modifications cannot be made. All legacy devices have achieved the MDR CE Mark.</w:t>
      </w:r>
    </w:p>
    <w:p>
      <w:pPr>
        <w:spacing w:after="0" w:line="133" w:lineRule="exact"/>
        <w:rPr>
          <w:sz w:val="20"/>
          <w:szCs w:val="20"/>
          <w:color w:val="auto"/>
        </w:rPr>
      </w:pPr>
    </w:p>
    <w:p>
      <w:pPr>
        <w:jc w:val="both"/>
        <w:ind w:right="240" w:firstLine="385"/>
        <w:spacing w:after="0" w:line="263" w:lineRule="auto"/>
        <w:rPr>
          <w:sz w:val="20"/>
          <w:szCs w:val="20"/>
          <w:color w:val="auto"/>
        </w:rPr>
      </w:pPr>
      <w:r>
        <w:rPr>
          <w:rFonts w:ascii="Times New Roman" w:cs="Times New Roman" w:eastAsia="Times New Roman" w:hAnsi="Times New Roman"/>
          <w:sz w:val="18"/>
          <w:szCs w:val="18"/>
          <w:color w:val="auto"/>
        </w:rPr>
        <w:t>Similar regulations are in place for Canada, Japan, China, Brazil and most other countries. In some cases, we rely on our international distributors to obtain regulatory approvals, complete product registrations, comply with clinical trial requirements and complete those steps that are customarily taken in the applicable jurisdictions.</w:t>
      </w:r>
    </w:p>
    <w:p>
      <w:pPr>
        <w:spacing w:after="0" w:line="123" w:lineRule="exact"/>
        <w:rPr>
          <w:sz w:val="20"/>
          <w:szCs w:val="20"/>
          <w:color w:val="auto"/>
        </w:rPr>
      </w:pPr>
    </w:p>
    <w:p>
      <w:pPr>
        <w:jc w:val="both"/>
        <w:ind w:firstLine="385"/>
        <w:spacing w:after="0" w:line="263" w:lineRule="auto"/>
        <w:rPr>
          <w:sz w:val="20"/>
          <w:szCs w:val="20"/>
          <w:color w:val="auto"/>
        </w:rPr>
      </w:pPr>
      <w:r>
        <w:rPr>
          <w:rFonts w:ascii="Times New Roman" w:cs="Times New Roman" w:eastAsia="Times New Roman" w:hAnsi="Times New Roman"/>
          <w:sz w:val="18"/>
          <w:szCs w:val="18"/>
          <w:color w:val="auto"/>
        </w:rPr>
        <w:t>International sales of medical devices manufactured in the United States that are not approved or cleared by the FDA for use in the United States, or are banned or deviate from lawful performance standards, are subject to FDA export requirements. Before exporting such products to a foreign country, we must first comply with the FDA’s regulatory procedures for exporting unapproved devices.</w:t>
      </w:r>
    </w:p>
    <w:p>
      <w:pPr>
        <w:spacing w:after="0" w:line="123"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The process of obtaining approval to distribute medical products is costly and time-consuming in virtually all the major markets where we sell medical devices. We cannot assure that any new medical devices we develop will be cleared, approved</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3" w:name="page14"/>
    <w:bookmarkEnd w:id="13"/>
    <w:p>
      <w:pPr>
        <w:ind w:right="80"/>
        <w:spacing w:after="0" w:line="278" w:lineRule="auto"/>
        <w:rPr>
          <w:sz w:val="20"/>
          <w:szCs w:val="20"/>
          <w:color w:val="auto"/>
        </w:rPr>
      </w:pPr>
      <w:r>
        <w:rPr>
          <w:rFonts w:ascii="Times New Roman" w:cs="Times New Roman" w:eastAsia="Times New Roman" w:hAnsi="Times New Roman"/>
          <w:sz w:val="18"/>
          <w:szCs w:val="18"/>
          <w:color w:val="auto"/>
        </w:rPr>
        <w:t>or certified in a timely or cost-effective manner or cleared, approved or certified at all. There can be no assurance that new laws or regulations regarding the release or sale of medical devices will not delay or prevent sale of our current or future products.</w:t>
      </w:r>
    </w:p>
    <w:p>
      <w:pPr>
        <w:spacing w:after="0" w:line="106" w:lineRule="exact"/>
        <w:rPr>
          <w:sz w:val="20"/>
          <w:szCs w:val="20"/>
          <w:color w:val="auto"/>
        </w:rPr>
      </w:pPr>
    </w:p>
    <w:p>
      <w:pPr>
        <w:ind w:right="302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THIRD-PARTY REIMBURSEMENT AND ANTI-FRAUD AND CORRUPT PRACTICES REGULATION </w:t>
      </w:r>
      <w:r>
        <w:rPr>
          <w:rFonts w:ascii="Times New Roman" w:cs="Times New Roman" w:eastAsia="Times New Roman" w:hAnsi="Times New Roman"/>
          <w:sz w:val="18"/>
          <w:szCs w:val="18"/>
          <w:b w:val="1"/>
          <w:bCs w:val="1"/>
          <w:u w:val="single" w:color="auto"/>
          <w:color w:val="auto"/>
        </w:rPr>
        <w:t>United States</w:t>
      </w:r>
    </w:p>
    <w:p>
      <w:pPr>
        <w:ind w:right="200" w:firstLine="385"/>
        <w:spacing w:after="0" w:line="258" w:lineRule="auto"/>
        <w:rPr>
          <w:sz w:val="20"/>
          <w:szCs w:val="20"/>
          <w:color w:val="auto"/>
        </w:rPr>
      </w:pPr>
      <w:r>
        <w:rPr>
          <w:rFonts w:ascii="Times New Roman" w:cs="Times New Roman" w:eastAsia="Times New Roman" w:hAnsi="Times New Roman"/>
          <w:sz w:val="18"/>
          <w:szCs w:val="18"/>
          <w:color w:val="auto"/>
        </w:rPr>
        <w:t>The delivery of our devices is subject to regulation by the Department of Health and Human Services (HHS) and comparable state and non-U.S. agencies responsible for reimbursement and regulation of health care items and services. U.S. laws and regulations are imposed primarily in conjunction with the Medicare and Medicaid programs, as well as the government’s interest in regulating the quality and cost of health care. Foreign governments also impose regulations in conjunction with their health care reimbursement programs and the delivery of health care items and services.</w:t>
      </w:r>
    </w:p>
    <w:p>
      <w:pPr>
        <w:spacing w:after="0" w:line="128"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U.S. federal health care laws apply when we or customers submit claims for items or services that are reimbursed under Medicare, Medicaid, or other federally-funded health care programs. The principal U.S. federal laws include: (1) the Anti-kickback Statute which prohibits offers to pay or receive remuneration of any kind for the purpose of inducing or rewarding referrals of items or services reimbursable by a federal health care program, subject to certain safe harbor exceptions; (2) the False Claims Act which prohibits the submission of false or otherwise improper claims for payment to a federally-funded health care program, including claims resulting from a violation of the Anti-kickback Statute; (3) the Stark law which prohibits physicians from referring Medicare or Medicaid patients to a provider that bills these programs for the provision of certain designated health services if the physician (or a member of the physician’s immediate family) has a financial relationship with that provider; and (4) health care fraud statutes that prohibit false statements and improper claims to any third-party payer. There are often similar state false claims, anti-kickback, and anti-self-referral and insurance laws that apply to state-funded Medicaid and other health care programs and private third-party payers. In addition, the U.S. Foreign Corrupt Practices Act (FCPA) can be used to prosecute companies in the U.S. for arrangements with physicians or other parties outside the U.S. if the physician or party is a government official of another country and the arrangement violates the law of that country.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International</w:t>
      </w:r>
    </w:p>
    <w:p>
      <w:pPr>
        <w:spacing w:after="0" w:line="172" w:lineRule="exact"/>
        <w:rPr>
          <w:sz w:val="20"/>
          <w:szCs w:val="20"/>
          <w:color w:val="auto"/>
        </w:rPr>
      </w:pPr>
    </w:p>
    <w:p>
      <w:pPr>
        <w:ind w:right="140" w:firstLine="385"/>
        <w:spacing w:after="0" w:line="252" w:lineRule="auto"/>
        <w:rPr>
          <w:sz w:val="20"/>
          <w:szCs w:val="20"/>
          <w:color w:val="auto"/>
        </w:rPr>
      </w:pPr>
      <w:r>
        <w:rPr>
          <w:rFonts w:ascii="Times New Roman" w:cs="Times New Roman" w:eastAsia="Times New Roman" w:hAnsi="Times New Roman"/>
          <w:sz w:val="18"/>
          <w:szCs w:val="18"/>
          <w:color w:val="auto"/>
        </w:rPr>
        <w:t>The delivery of our devices in any EU member country is subject to evolving regulation by the EU Medical Device Regulations, notified bodies and comparable nation-specific bodies whether part of the EU or not, responsible for reimbursement and regulation of health care items and services. Our success in international markets will depend largely upon the availability of reimbursement from the national public health payers as well as private, third party payors, through which healthcare providers are paid in those markets. Reimbursement and healthcare payment systems vary significantly by country. The main types of healthcare payment systems are government sponsored healthcare and private insurance. Reimbursement approval must be obtained individually in each country in which our products are marketed. Members of our healthcare economics team work directly with providers, our distributors and health systems to obtain reimbursement approval in the countries in which they will use or sell our products. There can be no assurance that reimbursement approvals will be received. See Part I. Item 1A "Risk Factors" in this Annual Report on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72"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Our product liability insurance coverage is limited to a maximum of $10 million per product liability claim and an annual aggregate policy limit of $10 million, subject to a self-insured retention of $500,000 per occurrence and $2 million in the aggregate. The policy covers, subject to policy conditions and exclusions, claims of bodily injury and property damage from any product sold or manufactured by us.</w:t>
      </w:r>
    </w:p>
    <w:p>
      <w:pPr>
        <w:spacing w:after="0" w:line="123" w:lineRule="exact"/>
        <w:rPr>
          <w:sz w:val="20"/>
          <w:szCs w:val="20"/>
          <w:color w:val="auto"/>
        </w:rPr>
      </w:pPr>
    </w:p>
    <w:p>
      <w:pPr>
        <w:ind w:right="200" w:firstLine="385"/>
        <w:spacing w:after="0" w:line="258" w:lineRule="auto"/>
        <w:rPr>
          <w:sz w:val="20"/>
          <w:szCs w:val="20"/>
          <w:color w:val="auto"/>
        </w:rPr>
      </w:pPr>
      <w:r>
        <w:rPr>
          <w:rFonts w:ascii="Times New Roman" w:cs="Times New Roman" w:eastAsia="Times New Roman" w:hAnsi="Times New Roman"/>
          <w:sz w:val="18"/>
          <w:szCs w:val="18"/>
          <w:color w:val="auto"/>
        </w:rPr>
        <w:t>There is no assurance that this level of coverage is adequate. We may not be able to sustain or maintain this level of coverage and cannot assure you that adequate insurance coverage will continue to be available on commercially reasonable terms, or at all. A successful product liability claim or other claim, with respect to uninsured or underinsured liabilities, could have a material adverse effect on our business. See Part I. Item 1A "Risk Factors" in this Annual Report on Form 10-K.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HEALTH AND SAFETY</w:t>
      </w:r>
    </w:p>
    <w:p>
      <w:pPr>
        <w:spacing w:after="0" w:line="172"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Our operations are also subject to laws and regulations related to occupational health and safety. We maintain safety, training and maintenance programs as part of our ongoing efforts to ensure compliance with applicable laws and regulations. Although we believe that we have complied with environmental, health and safety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72" w:lineRule="exact"/>
        <w:rPr>
          <w:sz w:val="20"/>
          <w:szCs w:val="20"/>
          <w:color w:val="auto"/>
        </w:rPr>
      </w:pPr>
    </w:p>
    <w:p>
      <w:pPr>
        <w:ind w:firstLine="385"/>
        <w:spacing w:after="0" w:line="270" w:lineRule="auto"/>
        <w:rPr>
          <w:sz w:val="20"/>
          <w:szCs w:val="20"/>
          <w:color w:val="auto"/>
        </w:rPr>
      </w:pPr>
      <w:r>
        <w:rPr>
          <w:rFonts w:ascii="Times New Roman" w:cs="Times New Roman" w:eastAsia="Times New Roman" w:hAnsi="Times New Roman"/>
          <w:sz w:val="17"/>
          <w:szCs w:val="17"/>
          <w:color w:val="auto"/>
        </w:rPr>
        <w:t>As of May 31, 2025, we had approximately 675 full time employees. None of our employees are represented by a labor union and we have never experienced a work stoppage. In the highly competitive medical technology industry, we consider attracting, developing, engaging and retaining high performing talent in positions critical to our long-term growth strategy including but not limited to technical, operational, marketing, sales, research and development, and management. Our ability to recruit and retain such talent depends on several factors, including culture, compensation and benefits, talent development, career opportunities, recognition and work environment. Our goal is to create a diverse and inclusive culture that encourages an environment where employees feel welcomed, respected and valued. We are committed to making employment decisions without regard to race, religion, ethnicity or national origin, gender, sexual orientation, gender identity or expression, age, disability, protected veteran status or any other characteristics protected by law.</w:t>
      </w:r>
    </w:p>
    <w:p>
      <w:pPr>
        <w:spacing w:after="0" w:line="121" w:lineRule="exact"/>
        <w:rPr>
          <w:sz w:val="20"/>
          <w:szCs w:val="20"/>
          <w:color w:val="auto"/>
        </w:rPr>
      </w:pPr>
    </w:p>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engagement of our workforce is crucial to delivering on our competitive strategy, and we place high importance on informed and engaged employees. We communicate frequently and transparently with our employees through a variety of communication methods, including video and written communications, town hall meetings and our company intranet.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of the Company</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r>
      <w:tr>
        <w:trPr>
          <w:trHeight w:val="25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C. Clemmer</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60" w:type="dxa"/>
            <w:vAlign w:val="bottom"/>
          </w:tcPr>
          <w:p>
            <w:pPr>
              <w:spacing w:after="0"/>
              <w:rPr>
                <w:sz w:val="22"/>
                <w:szCs w:val="22"/>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A. Trowbridge</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3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Lawrence T. Weiss</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Chief Legal Officer &amp; Corporate Secretary</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Chad T. Campbell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Senior Vice President and General Manager, Oncology and Interventional Devices</w:t>
            </w:r>
          </w:p>
        </w:tc>
      </w:tr>
      <w:tr>
        <w:trPr>
          <w:trHeight w:val="22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Laura Piccinini</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360" w:type="dxa"/>
            <w:vAlign w:val="bottom"/>
          </w:tcPr>
          <w:p>
            <w:pPr>
              <w:spacing w:after="0"/>
              <w:rPr>
                <w:sz w:val="19"/>
                <w:szCs w:val="19"/>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General Manager, Cardiovascular and International</w:t>
            </w:r>
          </w:p>
        </w:tc>
      </w:tr>
      <w:tr>
        <w:trPr>
          <w:trHeight w:val="233"/>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Warren G. Nighan</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36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Global Supply Chain, Quality and Regulatory Affairs</w:t>
            </w:r>
          </w:p>
        </w:tc>
      </w:tr>
    </w:tbl>
    <w:p>
      <w:pPr>
        <w:spacing w:after="0" w:line="234" w:lineRule="exact"/>
        <w:rPr>
          <w:sz w:val="20"/>
          <w:szCs w:val="20"/>
          <w:color w:val="auto"/>
        </w:rPr>
      </w:pPr>
    </w:p>
    <w:p>
      <w:pPr>
        <w:ind w:right="120" w:firstLine="38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James C. Clemmer </w:t>
      </w:r>
      <w:r>
        <w:rPr>
          <w:rFonts w:ascii="Times New Roman" w:cs="Times New Roman" w:eastAsia="Times New Roman" w:hAnsi="Times New Roman"/>
          <w:sz w:val="18"/>
          <w:szCs w:val="18"/>
          <w:color w:val="auto"/>
        </w:rPr>
        <w:t>became our President and Chief Executive Officer (CEO) in April 2016. Prior to joining AngioDynamics, Mr. Clemmer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the $1.8 billion medical supplies segment at Covidien plc. where he directed the strategic and day-to-day operations for global business divisions that collectively manufactured 23 different product categories. In addition, he managed global manufacturing, research and development, operational excellence, business development and all other functions associated with the medical supplies business. Prior to his role at Covidien, Mr. Clemmer served as Group President at Kendall Healthcare (which was acquired by Tyco International in 1994), where he managed the U.S. business across five divisions and built the strategic plan for the medical supplies segment before Covidien was spun off from Tyco. Mr. Clemmer began his career at Sage Products, Inc. Mr. Clemmer currently serves on the Board of Directors for AngioDynamics and previously served on the Board of Directors for Lantheus Medical Imaging. Mr. Clemmer is a graduate of the Massachusetts College of Liberal Arts, where he served as interim president from August 2015 until March 2016.</w:t>
      </w:r>
    </w:p>
    <w:p>
      <w:pPr>
        <w:spacing w:after="0" w:line="133" w:lineRule="exact"/>
        <w:rPr>
          <w:sz w:val="20"/>
          <w:szCs w:val="20"/>
          <w:color w:val="auto"/>
        </w:rPr>
      </w:pPr>
    </w:p>
    <w:p>
      <w:pPr>
        <w:ind w:right="6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Stephen A. Trowbridge </w:t>
      </w:r>
      <w:r>
        <w:rPr>
          <w:rFonts w:ascii="Times New Roman" w:cs="Times New Roman" w:eastAsia="Times New Roman" w:hAnsi="Times New Roman"/>
          <w:sz w:val="18"/>
          <w:szCs w:val="18"/>
          <w:color w:val="auto"/>
        </w:rPr>
        <w:t>was appointed Executive Vice President and Chief Financial Officer (CFO) in February 2020, having served as Interim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since October 2019. Prior to his appointment as CFO, he served as the Company’s Senior Vice President and General Counsel. He joined AngioDynamics in June 2008 as Corporate Counsel. In addition to serving as the Company’s CFO and managing the finance functions, Mr. Trowbridge also manages the Legal function. Prior to AngioDynamics, Mr. Trowbridge served as Corporate Counsel at Philips Healthcare and Intermagnetics General Corporation. Mr. Trowbridge began his career with Cadwalader, Wickersham &amp; Taft LLP in the firm’s Mergers and Acquisitions and Securities Group. Mr. Trowbridge received a Bachelor of Science in Science and Technology Studies from Rensselaer Polytechnic Institute, a Juris Doctor from the University of Pennsylvania Law School, and a Master of Business Administration from Duke University’s Fuqua School of Business.</w:t>
      </w:r>
    </w:p>
    <w:p>
      <w:pPr>
        <w:spacing w:after="0" w:line="133" w:lineRule="exact"/>
        <w:rPr>
          <w:sz w:val="20"/>
          <w:szCs w:val="20"/>
          <w:color w:val="auto"/>
        </w:rPr>
      </w:pPr>
    </w:p>
    <w:p>
      <w:pPr>
        <w:ind w:right="14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Lawrence T. Weiss </w:t>
      </w:r>
      <w:r>
        <w:rPr>
          <w:rFonts w:ascii="Times New Roman" w:cs="Times New Roman" w:eastAsia="Times New Roman" w:hAnsi="Times New Roman"/>
          <w:sz w:val="18"/>
          <w:szCs w:val="18"/>
          <w:color w:val="auto"/>
        </w:rPr>
        <w:t>was appointed Senior Vice President, Chief Legal Officer and Corporate Secretary in December 2024. Prior to joining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AngioDynamics, Mr. Weiss served as Executive Vice President and Chief Legal Officer of Butterfly Network, Inc., overseeing legal, compliance, quality and regulatory functions. Prior roles include Chief Legal Officer of Emulate, Inc., and Senior Vice President, General Counsel, and Corporate Secretary for Analog Devices, Inc. Mr. Weiss' career includes leadership positions at Medtronic, Covidien, and Tyco Healthcare, where he managed international legal matters, mergers and acquisitions, intellectual property litigation, and global compliance initiatives. He began his career in the Corporate department of Goodwin Procter &amp; Hoar in Boston. Mr. Weiss holds a Juris Doctor from Boston University and a Bachelor’s degree from Tulane University. He serves on the Boards of Directors for Greater Boston Legal Services and the Northeast Chapter of the Association for Corporate Counsel.</w:t>
      </w:r>
    </w:p>
    <w:p>
      <w:pPr>
        <w:spacing w:after="0" w:line="133" w:lineRule="exact"/>
        <w:rPr>
          <w:sz w:val="20"/>
          <w:szCs w:val="20"/>
          <w:color w:val="auto"/>
        </w:rPr>
      </w:pPr>
    </w:p>
    <w:p>
      <w:pPr>
        <w:ind w:right="320" w:firstLine="385"/>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Chad T. Campbell </w:t>
      </w:r>
      <w:r>
        <w:rPr>
          <w:rFonts w:ascii="Times New Roman" w:cs="Times New Roman" w:eastAsia="Times New Roman" w:hAnsi="Times New Roman"/>
          <w:sz w:val="18"/>
          <w:szCs w:val="18"/>
          <w:color w:val="auto"/>
        </w:rPr>
        <w:t>joined AngioDynamics in May 2016 as the Senior Vice President and General Manager for Vascular Access (now Interventional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As of October 2021, Mr. Campbell assumed responsibility of the Oncology Global</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40" w:right="339" w:bottom="1440" w:gutter="0" w:footer="0" w:header="0"/>
        </w:sectPr>
      </w:pPr>
    </w:p>
    <w:bookmarkStart w:id="15" w:name="page16"/>
    <w:bookmarkEnd w:id="15"/>
    <w:p>
      <w:pPr>
        <w:spacing w:after="0" w:line="255" w:lineRule="auto"/>
        <w:rPr>
          <w:sz w:val="20"/>
          <w:szCs w:val="20"/>
          <w:color w:val="auto"/>
        </w:rPr>
      </w:pPr>
      <w:r>
        <w:rPr>
          <w:rFonts w:ascii="Times New Roman" w:cs="Times New Roman" w:eastAsia="Times New Roman" w:hAnsi="Times New Roman"/>
          <w:sz w:val="18"/>
          <w:szCs w:val="18"/>
          <w:color w:val="auto"/>
        </w:rPr>
        <w:t>Business Unit in addition to his role of General Manager for Vascular Access. In his role, Mr. Campbell oversees global commercialization of the Global Business Unit’s portfolio. Mr. Campbell joined AngioDynamics from Medtronic where he served as the Vice President of Marketing for the Patient Care and Safety business after serving as the Vice President of Marketing for the SharpSafety business at Covidien (Medtronic). During his tenure at Covidien, Mr. Campbell also held roles including Director of Marketing, Area Vice President of Sales, Region Manager, Product Manager and Account Manager. Mr. Campbell received a Bachelor of Arts from the University of Kentucky.</w:t>
      </w:r>
    </w:p>
    <w:p>
      <w:pPr>
        <w:spacing w:after="0" w:line="130"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Laura Piccinini </w:t>
      </w:r>
      <w:r>
        <w:rPr>
          <w:rFonts w:ascii="Times New Roman" w:cs="Times New Roman" w:eastAsia="Times New Roman" w:hAnsi="Times New Roman"/>
          <w:sz w:val="18"/>
          <w:szCs w:val="18"/>
          <w:color w:val="auto"/>
        </w:rPr>
        <w:t>was appointed Senior Vice President and General Manager for Endovascular Therapies (now Cardiovascular) and International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2024, after serving as Senior Vice President and General Manager for International since joining AngioDynamics in June 2021. Ms. Piccinini brings more than 25 years of experience in leadership roles in the medical device industry, with an extensive background in the field of respiratory and surgical care. From June 2020 to June 2021, she served as CEO and a member of the Board of Directors for Respiratory Motion, Inc. Prior to that, from 2017 to 2020, she served as Global Head of Commercial Operations for the Implants business unit at Nobel Biocare Systems, then a Danaher subsidiary now part of Envista Holdings. From 2015 to 2017, Ms. Piccinini served as President of EMEA at Covidien and prior to that at Stryker. Ms. Piccinini is a graduate of the Parma University of Medicine, where she received a nursing degree with specializations in ICU, Anesthesia, and First Aid as a Helicopter Flight Coordinator.</w:t>
      </w:r>
    </w:p>
    <w:p>
      <w:pPr>
        <w:spacing w:after="0" w:line="129"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Warren G. Nighan </w:t>
      </w:r>
      <w:r>
        <w:rPr>
          <w:rFonts w:ascii="Times New Roman" w:cs="Times New Roman" w:eastAsia="Times New Roman" w:hAnsi="Times New Roman"/>
          <w:sz w:val="18"/>
          <w:szCs w:val="18"/>
          <w:color w:val="auto"/>
        </w:rPr>
        <w:t>was appointed Senior Vice President, Global Supply Chain, Quality and Regulatory Affairs in March 2024, after serving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Quality and Regulatory Affairs since joining AngioDynamics in April 2017. Before joining AngioDynamics, Mr. Nighan was a quality and regulatory consultant to clients in FDA-regulated industries, specializing in execution and management of quality systems implementation and remediation. Previously, Mr. Nighan served as the Executive Vice President of Global Clinical, Quality Affairs and Regulatory Affairs at Haemonetics Corporation, Vice President of Quality/Regulatory/Clinical/Technical Services at St. Jude Medical’s Atrial Fibrillation Division, and Corporate Vice President of Quality/Compliance at Tyco Healthcare/Covidien (Medtronic). Mr. Nighan earned a Bachelor and Master of Science in Nursing from Northeastern University’s Bouvé College of Health Sciences.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2" w:lineRule="exact"/>
        <w:rPr>
          <w:sz w:val="20"/>
          <w:szCs w:val="20"/>
          <w:color w:val="auto"/>
        </w:rPr>
      </w:pPr>
    </w:p>
    <w:p>
      <w:pPr>
        <w:ind w:right="1060" w:firstLine="385"/>
        <w:spacing w:after="0" w:line="278" w:lineRule="auto"/>
        <w:rPr>
          <w:sz w:val="20"/>
          <w:szCs w:val="20"/>
          <w:color w:val="auto"/>
        </w:rPr>
      </w:pPr>
      <w:r>
        <w:rPr>
          <w:rFonts w:ascii="Times New Roman" w:cs="Times New Roman" w:eastAsia="Times New Roman" w:hAnsi="Times New Roman"/>
          <w:sz w:val="18"/>
          <w:szCs w:val="18"/>
          <w:color w:val="auto"/>
        </w:rPr>
        <w:t xml:space="preserve">Our corporate headquarters is located at 14 Plaza Drive, Latham, New York 12110. Our phone number is (518) 795-1400. Our website is </w:t>
      </w:r>
      <w:r>
        <w:rPr>
          <w:rFonts w:ascii="Times New Roman" w:cs="Times New Roman" w:eastAsia="Times New Roman" w:hAnsi="Times New Roman"/>
          <w:sz w:val="18"/>
          <w:szCs w:val="18"/>
          <w:i w:val="1"/>
          <w:iCs w:val="1"/>
          <w:color w:val="auto"/>
        </w:rPr>
        <w:t>www.angiodynamics.com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We make available, free-of-charge through our website, our Annual Reports on Form 10-K, quarterly reports on Form 10-Q, current reports on Form 8-K and amendments to those reports filed or furnished pursuant to Section 13(a) of the Securities Exchange Act of 1934, as amended, as soon as reasonably practicable after we electronically file or furnish such materials to the SEC. In addition, our website includes, among other things, charters of the various committees of our Board of Directors and our code of conduct and ethics applicable to all employees, officers and directors. Within the time period required by the SEC, we will post on our website any amendment to the code of conduct and ethics and any waiver applicable to any executive officer, director or senior financial officer. We use our website as a means of disclosing material non-public information and for complying with our disclosure obligations under Regulation FD. Accordingly, investors should monitor our website, in addition to following our press releases, SEC filings and public conference calls and webcasts. We use these channels as well as social media and blogs to communicate with the public about our company, our services and other issues. It is possible that the information we post on social media and blogs could be deemed to be material information. Therefore, we encourage investors, the media, and others interested in our Company to review the information we post on the social media channels and blogs listed on our website. Any stockholder also may obtain copies of these documents, free of charge, by sending a request in writing to our Corporate headquarters, Attention: Saleem Cheeks. Information on our website or connected to our website is not incorporated by reference into this Annual Report on Form 10-K.</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4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and in our other filings with the Securities and Exchange Commission, the following risk factors should be considered carefully by investors in evaluating our business. Our financial and operating results are subject to a number of risks and uncertainties, including those set forth below, many of which are not within our control. Our business, financial condition, results of operations and/or liquidity could be materially and adversely affected by any of these risks or by additional risks not presently known to us or that we currently deem immaterial.</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6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the medical device industry which continues to experience consolidation. We may be unable to compete effectively with respect to technological innovation and price which may have a material adverse effect on our revenues, financial condition, results of operations and/or liquidity.</w:t>
      </w:r>
    </w:p>
    <w:p>
      <w:pPr>
        <w:spacing w:after="0" w:line="12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highly competitive and we expect competition to continue to intensify. The medical device industry is characterized by rapid technological change, frequent product introductions and evolving customer requirements. Our customers consider many factors when choosing products, including technology, features and benefits, quality, reliability, ease of use, clinical or economic outcomes, availability, price and customer service. We face competition globally from a wide range of companies, many of whom have substantially greater financial, marketing and other resources than us. We may not be able to compete effectively, and we may lose market share to our competitors.</w:t>
      </w:r>
    </w:p>
    <w:p>
      <w:pPr>
        <w:spacing w:after="0" w:line="132"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competitors may succeed in adapting faster than us to changing customer needs or requirements, in developing and introducing technologies and products earlier, in obtaining patent protection (which could create barriers to market entry for us) or regulatory clearance earlier, or in commercializing new products or technologies more rapidly than us. Our competitors may also develop products and technologies that are superior to ours or that otherwise could render our products obsolete or noncompetitive. The trend of increased consolidation in the medical technology industry has resulted in companies with greater scale and market power, intensifying competition and increasing pricing pressure. We may also face competition from providers of other medical therapies, such as pharmaceutical companies, that may offer non-surgical therapies for conditions that are currently, or in the future may be, treated using our products. If we are not able to compete effectively, our market share and revenue may decline.</w:t>
      </w:r>
    </w:p>
    <w:p>
      <w:pPr>
        <w:spacing w:after="0" w:line="133"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In addition, the increasing purchasing power of health systems, group purchasing organizations (“GPOs”) and integrated health delivery networks (“IDNs”), together with increased competition and declining reimbursement rates, has resulted increasingly with the Company competing on the basis of price. Due to the highly competitive nature of the GPO and IDN contracting processes, we may not be able to obtain market prices for our products or obtain or maintain contract positions with major GPOs and IDNs, which could adversely impact our profitability. Also, sales through a GPO or IDN can be significant to our business and our inability to retain contracts with our customers, or acquire additional contracts, could have a material adverse effect on our business, financial condition, results of operations and/or liquidity.</w:t>
      </w:r>
    </w:p>
    <w:p>
      <w:pPr>
        <w:spacing w:after="0" w:line="128"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inability to continue to effectively develop, acquire and/or market new products and technologies could have a material adverse effect on our business, financial condition and/or results of operations.</w:t>
      </w:r>
    </w:p>
    <w:p>
      <w:pPr>
        <w:spacing w:after="0" w:line="105" w:lineRule="exact"/>
        <w:rPr>
          <w:sz w:val="20"/>
          <w:szCs w:val="20"/>
          <w:color w:val="auto"/>
        </w:rPr>
      </w:pPr>
    </w:p>
    <w:p>
      <w:pPr>
        <w:ind w:right="80" w:firstLine="385"/>
        <w:spacing w:after="0" w:line="251" w:lineRule="auto"/>
        <w:rPr>
          <w:sz w:val="20"/>
          <w:szCs w:val="20"/>
          <w:color w:val="auto"/>
        </w:rPr>
      </w:pPr>
      <w:r>
        <w:rPr>
          <w:rFonts w:ascii="Times New Roman" w:cs="Times New Roman" w:eastAsia="Times New Roman" w:hAnsi="Times New Roman"/>
          <w:sz w:val="18"/>
          <w:szCs w:val="18"/>
          <w:color w:val="auto"/>
        </w:rPr>
        <w:t>The market for our devices is characterized by rapid technological change, new product introductions, technological improvements, changes in physician requirements and evolving industry standards. Product life cycles are relatively short because medical device manufacturers continually develop more effective and less expensive versions of existing devices in response to physician demand. We engage in product development and improvement programs to maintain and improve our competitive position. Our products are technologically complex and these programs involve significant planning, market studies, investment in research and development, clinical trials and regulatory clearances or approvals and may require more time and expense than anticipated to bring such products to market. We may not, however, be successful in enhancing existing products, or developing new products or technologies that will achieve regulatory approval, be developed or manufactured in a cost-effective manner, obtain appropriate intellectual property protection or receive market acceptance. We also may be unable to recover all or a meaningful part of our investment in these products or technologies. Additionally, there can be no assurance that the size of the markets in which we compete will increase above existing levels or not decline, that we will be able to maintain, gain or regain market share or that we can compete effectively on the basis of price or that the number of procedures in which our products are used will increase above existing levels or not decline.</w:t>
      </w:r>
    </w:p>
    <w:p>
      <w:pPr>
        <w:spacing w:after="0" w:line="136"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In particular, the future prospects of many of our high growth products, such as the NanoKnife system, the AngioVac system, the AlphaVac system and the Auryon system, rely on continued market development and continued generation of clinical data pursuant to clinical trials conducted by us, our competitors or other third parties. If the results of these trials are not what we expect or fail to generate meaningful clinical data, it may adversely impact our ability to obtain product approvals. If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17" w:name="page18"/>
    <w:bookmarkEnd w:id="17"/>
    <w:p>
      <w:pPr>
        <w:ind w:right="480"/>
        <w:spacing w:after="0" w:line="278" w:lineRule="auto"/>
        <w:rPr>
          <w:sz w:val="20"/>
          <w:szCs w:val="20"/>
          <w:color w:val="auto"/>
        </w:rPr>
      </w:pPr>
      <w:r>
        <w:rPr>
          <w:rFonts w:ascii="Times New Roman" w:cs="Times New Roman" w:eastAsia="Times New Roman" w:hAnsi="Times New Roman"/>
          <w:sz w:val="18"/>
          <w:szCs w:val="18"/>
          <w:color w:val="auto"/>
        </w:rPr>
        <w:t>any of these products fail to achieve clinical acceptance or are perceived unfavorably by the market, it could severely limit our ability to drive revenue growth, which could have a material adverse effect on our business, financial condition, results of operations and/or liquidity.</w:t>
      </w:r>
    </w:p>
    <w:p>
      <w:pPr>
        <w:spacing w:after="0" w:line="110"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we expect to continue to engage in business development activities which includes selectively evaluating and pursuing the acquisition of complementary businesses, technologies and products. These activities may result in substantial investment of our time and financial resources and competition for targets may be significant. We may not be able to identify appropriate acquisition candidates, consummate transactions, obtain agreements with favorable terms or obtain any necessary financing or regulatory approvals. Further, once a business is acquired, any inability to successfully integrate the business or achieve anticipated cost savings or operating synergies, decreases in customer loyalty or product orders, failure to retain and develop its workforce, failure to establish and maintain appropriate controls, higher or unanticipated expenses, or unknown or contingent liabilities could adversely affect our ability to realize the anticipated benefits of any acquisition. The evaluation and integration of an acquired business, whether or not successful, requires significant efforts which may result in additional expenses and divert the attention of our management and technical personnel from other projects.</w:t>
      </w:r>
    </w:p>
    <w:p>
      <w:pPr>
        <w:spacing w:after="0" w:line="133" w:lineRule="exact"/>
        <w:rPr>
          <w:sz w:val="20"/>
          <w:szCs w:val="20"/>
          <w:color w:val="auto"/>
        </w:rPr>
      </w:pPr>
    </w:p>
    <w:p>
      <w:pPr>
        <w:jc w:val="both"/>
        <w:ind w:firstLine="385"/>
        <w:spacing w:after="0" w:line="270" w:lineRule="auto"/>
        <w:rPr>
          <w:sz w:val="20"/>
          <w:szCs w:val="20"/>
          <w:color w:val="auto"/>
        </w:rPr>
      </w:pPr>
      <w:r>
        <w:rPr>
          <w:rFonts w:ascii="Times New Roman" w:cs="Times New Roman" w:eastAsia="Times New Roman" w:hAnsi="Times New Roman"/>
          <w:sz w:val="17"/>
          <w:szCs w:val="17"/>
          <w:color w:val="auto"/>
        </w:rPr>
        <w:t>If we proceed with one or more significant acquisitions in which the consideration consists of cash, a substantial portion of our available cash could be used to consummate the acquisitions. If we consummate one or more acquisitions in which the consideration consists of capital stock, our stockholders could suffer significant dilution of their interest in us. In addition, we could incur or assume significant amounts of indebtedness in connection with acquisitions.</w:t>
      </w:r>
    </w:p>
    <w:p>
      <w:pPr>
        <w:spacing w:after="0" w:line="2" w:lineRule="exact"/>
        <w:rPr>
          <w:sz w:val="20"/>
          <w:szCs w:val="20"/>
          <w:color w:val="auto"/>
        </w:rPr>
      </w:pPr>
    </w:p>
    <w:p>
      <w:pPr>
        <w:jc w:val="both"/>
        <w:ind w:right="260"/>
        <w:spacing w:after="0" w:line="252" w:lineRule="auto"/>
        <w:rPr>
          <w:sz w:val="20"/>
          <w:szCs w:val="20"/>
          <w:color w:val="auto"/>
        </w:rPr>
      </w:pPr>
      <w:r>
        <w:rPr>
          <w:rFonts w:ascii="Times New Roman" w:cs="Times New Roman" w:eastAsia="Times New Roman" w:hAnsi="Times New Roman"/>
          <w:sz w:val="18"/>
          <w:szCs w:val="18"/>
          <w:color w:val="auto"/>
        </w:rPr>
        <w:t>These transactions are inherently risky and may not enhance our financial position or results of operations or create value for our shareholders as they are based on projections and assumptions which are uncertain and subject to change and there can be no assurance that any past or future transaction will be successful.</w:t>
      </w:r>
    </w:p>
    <w:p>
      <w:pPr>
        <w:spacing w:after="0" w:line="133"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If we fail to develop and successfully manufacture and launch new products, generate satisfactory clinical results, provide sufficient economic value, enhance existing products, or identify, acquire and integrate complementary businesses, technologies and products or if we experience a decrease in market size or market share or declines in average selling price or procedural volumes, or otherwise fail to compete effectively, we may not achieve our growth goals, which could have a material adverse effect on our business, financial condition and/or results of operations.</w:t>
      </w:r>
    </w:p>
    <w:p>
      <w:pPr>
        <w:spacing w:after="0" w:line="124"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our reputation with interventional physicians, interventional and surgical oncologists, and critical care nurses, our growth will be limited and our business could be harmed.</w:t>
      </w:r>
    </w:p>
    <w:p>
      <w:pPr>
        <w:spacing w:after="0" w:line="105"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Physicians typically influence the medical device purchasing decisions of the hospitals and other healthcare institutions in which they practice. Consequently, our reputation with interventional physicians, interventional and surgical oncologists, and critical care nurses is crucial to our continued growth. We believe that we have built a positive reputation based on the quality of our products, our physician-driven product development efforts, our marketing and training efforts and our presence at medical society meetings. Any actual or perceived diminution in the quality of our products, or our failure or inability to maintain these other efforts, could damage our reputation with interventional physicians, interventional and surgical oncologists, and critical care nurses, and cause our growth to be limited and our business to be harmed, which could have a material adverse effect on our business, financial condition, results of operations and/or liquidity.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and prospects rely heavily upon our ability to successfully complete clinical trials, including, but not limited to, our Ambition BTK clinical</w:t>
      </w:r>
    </w:p>
    <w:p>
      <w:pPr>
        <w:spacing w:after="0" w:line="59"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study. We may choose to, or may be required to, suspend, repeat or terminate our clinical trials if they are not conducted in accordance with regulatory requirements, the results are negative or inconclusive or the trials are not well designed.</w:t>
      </w:r>
    </w:p>
    <w:p>
      <w:pPr>
        <w:spacing w:after="0" w:line="105" w:lineRule="exact"/>
        <w:rPr>
          <w:sz w:val="20"/>
          <w:szCs w:val="20"/>
          <w:color w:val="auto"/>
        </w:rPr>
      </w:pPr>
    </w:p>
    <w:p>
      <w:pPr>
        <w:ind w:right="180" w:firstLine="385"/>
        <w:spacing w:after="0" w:line="270" w:lineRule="auto"/>
        <w:rPr>
          <w:sz w:val="20"/>
          <w:szCs w:val="20"/>
          <w:color w:val="auto"/>
        </w:rPr>
      </w:pPr>
      <w:r>
        <w:rPr>
          <w:rFonts w:ascii="Times New Roman" w:cs="Times New Roman" w:eastAsia="Times New Roman" w:hAnsi="Times New Roman"/>
          <w:sz w:val="17"/>
          <w:szCs w:val="17"/>
          <w:color w:val="auto"/>
        </w:rPr>
        <w:t>Clinical trials must be conducted in accordance with the applicable laws and regulations in the jurisdictions in which the clinical trials are conducted, including current Good Clinical Practices. The clinical trials are subject to oversight by the FDA, regulatory agencies in other jurisdictions, ethics committees and institutional review boards at the medical institutions where the clinical trials are conducted. Clinical trial protocols may require a large number of patients to be enrolled in the trials. Patient enrollment is a function of many factors, including the size of the patient population for the target indication, the proximity of patients to clinical sites, the eligibility criteria for the trial, the existence of competing clinical trials and the availability of alternative or new treatments. Clinical trials may be suspended by the FDA or by a regulatory agency in another jurisdiction at any time if the FDA or the regulatory agency finds deficiencies in the conduct of these trials or it is believed that these trials expose patients to unacceptable health risks.</w:t>
      </w:r>
    </w:p>
    <w:p>
      <w:pPr>
        <w:spacing w:after="0" w:line="121"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We, the FDA or regulatory agencies in other jurisdictions might delay or terminate our clinical trials for various reasons, including insufficient patient enrollment, fatalities, unforeseen adverse side effects by enrolled patients or the development of new therapies that require us to revise or amend our clinical trial protocols. Patients may be discouraged from enrolling in our clinical trials if the trial protocol requires them to undergo extensive follow-up to assess safety and effectiveness, if they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18" w:name="page19"/>
    <w:bookmarkEnd w:id="18"/>
    <w:p>
      <w:pPr>
        <w:ind w:right="600"/>
        <w:spacing w:after="0" w:line="278" w:lineRule="auto"/>
        <w:rPr>
          <w:sz w:val="20"/>
          <w:szCs w:val="20"/>
          <w:color w:val="auto"/>
        </w:rPr>
      </w:pPr>
      <w:r>
        <w:rPr>
          <w:rFonts w:ascii="Times New Roman" w:cs="Times New Roman" w:eastAsia="Times New Roman" w:hAnsi="Times New Roman"/>
          <w:sz w:val="18"/>
          <w:szCs w:val="18"/>
          <w:color w:val="auto"/>
        </w:rPr>
        <w:t>determine that the treatments received under the trial protocols are not attractive or involve unacceptable risks or discomforts or if they participate in contemporaneous clinical trials of competing products.</w:t>
      </w:r>
    </w:p>
    <w:p>
      <w:pPr>
        <w:spacing w:after="0" w:line="110" w:lineRule="exact"/>
        <w:rPr>
          <w:sz w:val="20"/>
          <w:szCs w:val="20"/>
          <w:color w:val="auto"/>
        </w:rPr>
      </w:pPr>
    </w:p>
    <w:p>
      <w:pPr>
        <w:ind w:right="40" w:firstLine="385"/>
        <w:spacing w:after="0" w:line="263" w:lineRule="auto"/>
        <w:rPr>
          <w:sz w:val="20"/>
          <w:szCs w:val="20"/>
          <w:color w:val="auto"/>
        </w:rPr>
      </w:pPr>
      <w:r>
        <w:rPr>
          <w:rFonts w:ascii="Times New Roman" w:cs="Times New Roman" w:eastAsia="Times New Roman" w:hAnsi="Times New Roman"/>
          <w:sz w:val="18"/>
          <w:szCs w:val="18"/>
          <w:color w:val="auto"/>
        </w:rPr>
        <w:t>In addition, we rely on contract research organizations, or CROs, with respect to conducting our clinical trials. We may experience significant cost overruns associated with, and we may encounter difficulties managing, these CROs. Termination of our clinical trials or significant delays in completing our clinical trials could have a material adverse effect on our business, financial condition, results of operations and/or 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on single and limited source suppliers which subjects our business and results of operations to risks of supplier business interruptions.</w:t>
      </w:r>
    </w:p>
    <w:p>
      <w:pPr>
        <w:spacing w:after="0" w:line="183"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We currently purchase significant amounts of several key products, raw materials and product components from single and limited source suppliers and anticipate that we will do so for future products as well. Any delays in delivery of or shortages in those or other products and components (like we experienced during our 2022 and 2023 fiscal year) could interrupt and delay manufacturing of our products, lead to backlogs and result in the cancellation of orders for our products. Any or all of these suppliers could discontinue the manufacture or supply of these products, raw materials and/or components at any time.</w:t>
      </w:r>
    </w:p>
    <w:p>
      <w:pPr>
        <w:spacing w:after="0" w:line="132" w:lineRule="exact"/>
        <w:rPr>
          <w:sz w:val="20"/>
          <w:szCs w:val="20"/>
          <w:color w:val="auto"/>
        </w:rPr>
      </w:pPr>
    </w:p>
    <w:p>
      <w:pPr>
        <w:ind w:right="160" w:firstLine="402"/>
        <w:spacing w:after="0" w:line="258" w:lineRule="auto"/>
        <w:rPr>
          <w:sz w:val="20"/>
          <w:szCs w:val="20"/>
          <w:color w:val="auto"/>
        </w:rPr>
      </w:pPr>
      <w:r>
        <w:rPr>
          <w:rFonts w:ascii="Times New Roman" w:cs="Times New Roman" w:eastAsia="Times New Roman" w:hAnsi="Times New Roman"/>
          <w:sz w:val="18"/>
          <w:szCs w:val="18"/>
          <w:color w:val="auto"/>
        </w:rPr>
        <w:t>Due to FDA and other business considerations, we may not be able to identify and integrate alternative sources of supply in a timely fashion or at all. Any transition to alternate suppliers may result in production delays and increased costs and may limit our ability to deliver products to our customers. Furthermore, if we are unable to identify alternative sources of supply, we would have to modify our products to use substitute components, which may cause delays in shipments, backlogs, increased prices for our products or increased design and manufacturing costs.</w:t>
      </w:r>
    </w:p>
    <w:p>
      <w:pPr>
        <w:spacing w:after="0" w:line="128" w:lineRule="exact"/>
        <w:rPr>
          <w:sz w:val="20"/>
          <w:szCs w:val="20"/>
          <w:color w:val="auto"/>
        </w:rPr>
      </w:pPr>
    </w:p>
    <w:p>
      <w:pPr>
        <w:jc w:val="both"/>
        <w:ind w:right="20" w:firstLine="385"/>
        <w:spacing w:after="0" w:line="263" w:lineRule="auto"/>
        <w:rPr>
          <w:sz w:val="20"/>
          <w:szCs w:val="20"/>
          <w:color w:val="auto"/>
        </w:rPr>
      </w:pPr>
      <w:r>
        <w:rPr>
          <w:rFonts w:ascii="Times New Roman" w:cs="Times New Roman" w:eastAsia="Times New Roman" w:hAnsi="Times New Roman"/>
          <w:sz w:val="18"/>
          <w:szCs w:val="18"/>
          <w:color w:val="auto"/>
        </w:rPr>
        <w:t>In addition, we historically have purchased and may purchase in the future certain products as a distributor for the manufacturer of those products. Any constraint or interruption in the supply of raw materials, other product components or finished products that we distribute could materially impact our ability to sell products, and have a material adverse effect on our business, financial condition, results of operations and/or liquidity.</w:t>
      </w:r>
    </w:p>
    <w:p>
      <w:pPr>
        <w:spacing w:after="0" w:line="11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manufacture some of our products today, and we have announced a plan to move to a partially outsourced model for manufacturing in various parts of the world, which exposes us to additional risks, including reduced control over manufacturing, delivery timing, product quality issues, potential price fluctuations, regulatory, environmental, labor or other operational disruptions, which would result in a loss of revenue or reduced profitability.</w:t>
      </w:r>
    </w:p>
    <w:p>
      <w:pPr>
        <w:spacing w:after="0" w:line="125" w:lineRule="exact"/>
        <w:rPr>
          <w:sz w:val="20"/>
          <w:szCs w:val="20"/>
          <w:color w:val="auto"/>
        </w:rPr>
      </w:pPr>
    </w:p>
    <w:p>
      <w:pPr>
        <w:ind w:right="320" w:firstLine="321"/>
        <w:spacing w:after="0" w:line="255" w:lineRule="auto"/>
        <w:rPr>
          <w:sz w:val="20"/>
          <w:szCs w:val="20"/>
          <w:color w:val="auto"/>
        </w:rPr>
      </w:pPr>
      <w:r>
        <w:rPr>
          <w:rFonts w:ascii="Times New Roman" w:cs="Times New Roman" w:eastAsia="Times New Roman" w:hAnsi="Times New Roman"/>
          <w:sz w:val="18"/>
          <w:szCs w:val="18"/>
          <w:color w:val="auto"/>
        </w:rPr>
        <w:t>We currently rely on third-party manufacturers for a portion of our products. We also announced a plan to transfer certain product manufacturing processes from Queensbury, NY to third-party manufacturers located in various parts of the world, including, but not limited to the United States, Costa Rica, Latvia, Italy, Israel and China. The restructuring activities associated with this plan are expected to be completed in the third quarter of fiscal year 2026. If we are unable to effectively execute on this plan within the announced timeline it could have a material adverse effect on our business, financial condition and/or results of operations.</w:t>
      </w:r>
    </w:p>
    <w:p>
      <w:pPr>
        <w:spacing w:after="0" w:line="132" w:lineRule="exact"/>
        <w:rPr>
          <w:sz w:val="20"/>
          <w:szCs w:val="20"/>
          <w:color w:val="auto"/>
        </w:rPr>
      </w:pPr>
    </w:p>
    <w:p>
      <w:pPr>
        <w:ind w:firstLine="321"/>
        <w:spacing w:after="0" w:line="278" w:lineRule="auto"/>
        <w:rPr>
          <w:sz w:val="20"/>
          <w:szCs w:val="20"/>
          <w:color w:val="auto"/>
        </w:rPr>
      </w:pPr>
      <w:r>
        <w:rPr>
          <w:rFonts w:ascii="Times New Roman" w:cs="Times New Roman" w:eastAsia="Times New Roman" w:hAnsi="Times New Roman"/>
          <w:sz w:val="18"/>
          <w:szCs w:val="18"/>
          <w:color w:val="auto"/>
        </w:rPr>
        <w:t>Our manufacturing strategy may present certain risks and uncertainties that could have a material adverse effect on our business, financial condition and/or results of operations, many of which we cannot predict, including, but not limited to:</w:t>
      </w:r>
    </w:p>
    <w:p>
      <w:pPr>
        <w:spacing w:after="0" w:line="110" w:lineRule="exact"/>
        <w:rPr>
          <w:sz w:val="20"/>
          <w:szCs w:val="20"/>
          <w:color w:val="auto"/>
        </w:rPr>
      </w:pP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effectively negotiate and enter into contracts with third party manufacturers;</w:t>
      </w:r>
    </w:p>
    <w:p>
      <w:pPr>
        <w:spacing w:after="0" w:line="26" w:lineRule="exact"/>
        <w:rPr>
          <w:rFonts w:ascii="Times New Roman" w:cs="Times New Roman" w:eastAsia="Times New Roman" w:hAnsi="Times New Roman"/>
          <w:sz w:val="18"/>
          <w:szCs w:val="18"/>
          <w:color w:val="auto"/>
        </w:rPr>
      </w:pPr>
    </w:p>
    <w:p>
      <w:pPr>
        <w:ind w:left="640" w:right="300" w:hanging="312"/>
        <w:spacing w:after="0" w:line="24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market demand for our products is less than our purchase obligations to our manufacturers, we may incur substantial penalties and substantial inventory write-offs;</w:t>
      </w:r>
    </w:p>
    <w:p>
      <w:pPr>
        <w:ind w:left="640" w:right="120" w:hanging="312"/>
        <w:spacing w:after="0" w:line="24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of our products are subject to ongoing periodic inspections by the FDA and other regulatory authorities for compliance with strictly enforced good manufacturing practices regulations and similar foreign standards, and we do not have control over our third-party manufacturers’ compliance with these regulations and standards;</w:t>
      </w:r>
    </w:p>
    <w:p>
      <w:pPr>
        <w:spacing w:after="0" w:line="1" w:lineRule="exact"/>
        <w:rPr>
          <w:rFonts w:ascii="Times New Roman" w:cs="Times New Roman" w:eastAsia="Times New Roman" w:hAnsi="Times New Roman"/>
          <w:sz w:val="18"/>
          <w:szCs w:val="18"/>
          <w:color w:val="auto"/>
        </w:rPr>
      </w:pPr>
    </w:p>
    <w:p>
      <w:pPr>
        <w:ind w:left="640" w:right="100" w:hanging="312"/>
        <w:spacing w:after="0" w:line="24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share intellectual property rights, including any improvements in the manufacturing processes or new manufacturing processes for our products;</w:t>
      </w:r>
    </w:p>
    <w:p>
      <w:pPr>
        <w:ind w:left="640" w:hanging="312"/>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costs may increase if our manufacturers pass their increasing costs onto us;</w:t>
      </w:r>
    </w:p>
    <w:p>
      <w:pPr>
        <w:spacing w:after="0" w:line="7" w:lineRule="exact"/>
        <w:rPr>
          <w:rFonts w:ascii="Times New Roman" w:cs="Times New Roman" w:eastAsia="Times New Roman" w:hAnsi="Times New Roman"/>
          <w:sz w:val="18"/>
          <w:szCs w:val="18"/>
          <w:color w:val="auto"/>
        </w:rPr>
      </w:pPr>
    </w:p>
    <w:p>
      <w:pPr>
        <w:ind w:left="640" w:right="180" w:hanging="312"/>
        <w:spacing w:after="0" w:line="248"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agreement with a third-party manufacturer expires, we may not be able to renegotiate a new agreement with that manufacturer on favorable terms, if at all. If we cannot successfully complete such renegotiation, we may not be able to locate any necessary acceptable replacement manufacturers or enter into favorable agreements with such replacement manufacturers in a timely manner, if at all; and</w:t>
      </w:r>
    </w:p>
    <w:p>
      <w:pPr>
        <w:spacing w:after="0" w:line="1" w:lineRule="exact"/>
        <w:rPr>
          <w:rFonts w:ascii="Times New Roman" w:cs="Times New Roman" w:eastAsia="Times New Roman" w:hAnsi="Times New Roman"/>
          <w:sz w:val="18"/>
          <w:szCs w:val="18"/>
          <w:color w:val="auto"/>
        </w:rPr>
      </w:pPr>
    </w:p>
    <w:p>
      <w:pPr>
        <w:ind w:left="640" w:right="100" w:hanging="312"/>
        <w:spacing w:after="0" w:line="252"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could be curtailed or partially or completely shut down as the result of a number of circumstances, most of which are outside of our control, such as unscheduled maintenance, an earthquake, hurricane, flood, tsunami or other natural disaster, significant labor strikes or work stoppages, government implementation of export limitations or freezes, political unrest or pandemics.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19" w:name="page20"/>
    <w:bookmarkEnd w:id="19"/>
    <w:p>
      <w:pPr>
        <w:ind w:firstLine="385"/>
        <w:spacing w:after="0" w:line="253" w:lineRule="auto"/>
        <w:rPr>
          <w:sz w:val="20"/>
          <w:szCs w:val="20"/>
          <w:color w:val="auto"/>
        </w:rPr>
      </w:pPr>
      <w:r>
        <w:rPr>
          <w:rFonts w:ascii="Times New Roman" w:cs="Times New Roman" w:eastAsia="Times New Roman" w:hAnsi="Times New Roman"/>
          <w:sz w:val="18"/>
          <w:szCs w:val="18"/>
          <w:color w:val="auto"/>
        </w:rPr>
        <w:t>In addition, our business practices in international markets are subject to the requirements of the U.S. Foreign Corrupt Practices Act of 1977, as amended, any violation of which could subject us to significant fines, criminal sanctions and other penalties. We expect all of our contracted manufacturing facilities, to comply with all applicable laws, including labor, safety and environmental laws, and to otherwise meet our standards of conduct. Our ability to find manufacturing facilities that uphold these standards is a challenge, especially with respect to facilities located outside the United States. We also are subject to the risk that one or more of these manufacturing facilities will engage in business practices in violation of our standards or applicable laws, which could damage our reputation, hurt our relationship with our customers and result in negative publicity, damage to our brand and a material and adverse effect on our business, financial condition, results of operations and/or liquidity.</w:t>
      </w:r>
    </w:p>
    <w:p>
      <w:pPr>
        <w:spacing w:after="0" w:line="133"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Recent changes in trade policy, treaties, government regulations and tariffs have created significant uncertainty about the future relationship between the U.S. and various other countries where we have employees, customers, suppliers and operations. Changes in policy regarding international trade, including import and export regulation and international trade agreements, could negatively impact our business. The implementation of new tariffs on imports from Canada, Mexico, China or other countries for an extended period and without specific exemptions for our products, and any reciprocal tariffs or other reactions by other countries thereto, could have a material adverse impact on our financial condition, results of operations and cash flows.</w:t>
      </w:r>
    </w:p>
    <w:p>
      <w:pPr>
        <w:spacing w:after="0" w:line="132" w:lineRule="exact"/>
        <w:rPr>
          <w:sz w:val="20"/>
          <w:szCs w:val="20"/>
          <w:color w:val="auto"/>
        </w:rPr>
      </w:pPr>
    </w:p>
    <w:p>
      <w:pPr>
        <w:ind w:right="220" w:firstLine="321"/>
        <w:spacing w:after="0" w:line="252" w:lineRule="auto"/>
        <w:rPr>
          <w:sz w:val="20"/>
          <w:szCs w:val="20"/>
          <w:color w:val="auto"/>
        </w:rPr>
      </w:pPr>
      <w:r>
        <w:rPr>
          <w:rFonts w:ascii="Times New Roman" w:cs="Times New Roman" w:eastAsia="Times New Roman" w:hAnsi="Times New Roman"/>
          <w:sz w:val="18"/>
          <w:szCs w:val="18"/>
          <w:color w:val="auto"/>
        </w:rPr>
        <w:t>A portion of our component sourcing, supply chain and manufacturing activities are conducted in or partially sourced from China. As a result, our business, financial condition, results of operations could be affected significantly by economic, political and legal developments in China as well as trade disputes between China and the United States and the potential imposition of bilateral tariffs. The imposition of tariffs or export restrictions on products imported by us from China could require us to (i) increase prices to our customers or (ii) locate suitable alternative manufacturing capacity or relocate our operations from China to other countries. In the event we are unable to increase our prices or find alternative manufacturing capacity or relocate to an alternative base of operation outside of China on favorable terms, we would likely experience higher manufacturing costs and lower gross margins, which could have an adverse effect on our business and results of operations. The Chinese economy differs from the economies of most developed countries in many respects, including the degree of government involvement, the level of development, the growth rate, the control of foreign exchange, access to financing and the allocation of resources.</w:t>
      </w:r>
    </w:p>
    <w:p>
      <w:pPr>
        <w:spacing w:after="0" w:line="129" w:lineRule="exact"/>
        <w:rPr>
          <w:sz w:val="20"/>
          <w:szCs w:val="20"/>
          <w:color w:val="auto"/>
        </w:rPr>
      </w:pPr>
    </w:p>
    <w:p>
      <w:pPr>
        <w:jc w:val="both"/>
        <w:ind w:right="7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third-party distributors to generate a substantial portion of our international revenues and are at the risk of these distributors also selling for our competitors, failing to be financially viable and failing to effectively distribute our products in compliance with applicable laws.</w:t>
      </w:r>
    </w:p>
    <w:p>
      <w:pPr>
        <w:spacing w:after="0" w:line="122" w:lineRule="exact"/>
        <w:rPr>
          <w:sz w:val="20"/>
          <w:szCs w:val="20"/>
          <w:color w:val="auto"/>
        </w:rPr>
      </w:pPr>
    </w:p>
    <w:p>
      <w:pPr>
        <w:ind w:firstLine="385"/>
        <w:spacing w:after="0" w:line="266" w:lineRule="auto"/>
        <w:rPr>
          <w:sz w:val="20"/>
          <w:szCs w:val="20"/>
          <w:color w:val="auto"/>
        </w:rPr>
      </w:pPr>
      <w:r>
        <w:rPr>
          <w:rFonts w:ascii="Times New Roman" w:cs="Times New Roman" w:eastAsia="Times New Roman" w:hAnsi="Times New Roman"/>
          <w:sz w:val="17"/>
          <w:szCs w:val="17"/>
          <w:color w:val="auto"/>
        </w:rPr>
        <w:t>Outside of North America we rely heavily on third party distributors, either on a country-by-country basis or on a multi-country, regional basis, to market, sell and distribute our products where we do not have a direct sales and marketing presence (including, among others, China, Japan, Brazil, the Middle East and many European countries). As such, our revenue, if any, depends on the terms of such arrangements and the distributors’ efforts. These efforts may turn out not to be sufficient and our third-party distributors may not effectively sell our products. International distributors accounted for approximately 74% of international revenues for the fiscal year ended May 31, 2025. International sales decreased 21% in fiscal year 2025 partially due to the sale of the PICCs, Midline, dialysis and BioSentry businesses, along with the discontinuation of the RadioFrequency Ablation product line. If we are unable to maintain our relationships or establish direct sales capabilities on acceptable terms or at all, we may lose significant revenue or be unable to achieve our growth aspirations. In certain circumstances, distributors may also sell competing products,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financial condition, results of operations and/or liquidity. In addition, there is a risk that our distributors will not be financially viable due to current economic and/or regulatory events in their respective countries or remit payments to us in a timely manner. If our distributors fail to comply with applicable laws or fail to effectively market and sell our products, our financial condition and results of operations could be materially and adversely impacted.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currency and other risks associated with international sales.</w:t>
      </w:r>
    </w:p>
    <w:p>
      <w:pPr>
        <w:spacing w:after="0" w:line="172" w:lineRule="exact"/>
        <w:rPr>
          <w:sz w:val="20"/>
          <w:szCs w:val="20"/>
          <w:color w:val="auto"/>
        </w:rPr>
      </w:pPr>
    </w:p>
    <w:p>
      <w:pPr>
        <w:ind w:right="60" w:firstLine="321"/>
        <w:spacing w:after="0" w:line="220" w:lineRule="exact"/>
        <w:rPr>
          <w:sz w:val="20"/>
          <w:szCs w:val="20"/>
          <w:color w:val="auto"/>
        </w:rPr>
      </w:pPr>
      <w:r>
        <w:rPr>
          <w:rFonts w:ascii="Times New Roman" w:cs="Times New Roman" w:eastAsia="Times New Roman" w:hAnsi="Times New Roman"/>
          <w:sz w:val="18"/>
          <w:szCs w:val="18"/>
          <w:color w:val="auto"/>
        </w:rPr>
        <w:t>We generate revenue from international sales which could expose us to risks including fluctuations in currency values, trade restrictions, tariff and trade regulations, U.S. export controls, U.S.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tax laws, shipping delays and economic and political instability, which could have a material adverse effect on our business, results of operations, financial conditions and cash flows.</w:t>
      </w:r>
    </w:p>
    <w:p>
      <w:pPr>
        <w:spacing w:after="0" w:line="140"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convince customers that our products can improve the cost structure of their business, or to secure adequate reimbursement for our products our revenue growth and profitability may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5" w:right="359" w:bottom="1440" w:gutter="0" w:footer="0" w:header="0"/>
        </w:sectPr>
      </w:pPr>
    </w:p>
    <w:bookmarkStart w:id="20" w:name="page21"/>
    <w:bookmarkEnd w:id="20"/>
    <w:p>
      <w:pPr>
        <w:ind w:right="80" w:firstLine="385"/>
        <w:spacing w:after="0" w:line="266" w:lineRule="auto"/>
        <w:rPr>
          <w:sz w:val="20"/>
          <w:szCs w:val="20"/>
          <w:color w:val="auto"/>
        </w:rPr>
      </w:pPr>
      <w:r>
        <w:rPr>
          <w:rFonts w:ascii="Times New Roman" w:cs="Times New Roman" w:eastAsia="Times New Roman" w:hAnsi="Times New Roman"/>
          <w:sz w:val="17"/>
          <w:szCs w:val="17"/>
          <w:color w:val="auto"/>
        </w:rPr>
        <w:t>Our products are used in medical procedures and purchased principally by hospitals or physicians which typically bill various third-party payors, such as governmental programs (e.g., Medicare, Medicaid and comparable foreign programs), private insurance plans and managed care plans, for the healthcare services provided to their patients. Worldwide initiatives to contain healthcare costs have led governments and the private sector to enact cost containment efforts as a means of managing the growth of health care utilization. Common techniques include policies on price regulation, competitive pricing, bidding and tender mechanics, coverage and payment, comparative effectiveness of therapies, technology assessments, and managed-care arrangements. These changes are causing the marketplace to put increased emphasis on the delivery of more cost-effective medical devices and therapies. Government programs, including Medicare and Medicaid, private health care insurance, and managed-care plans have attempted to control costs by limiting the amount of reimbursement they will pay for particular procedures or treatments, tying reimbursement to outcomes, shifting to population health management, and other mechanisms designed to constrain utilization and contain costs. The ability of our customers to obtain appropriate reimbursement for products and services from third-party payors is critical to the success of medical device companies because it affects which products customers purchase and the prices they are willing to pay. In general, a third-party payor only covers a medical product or procedure when the plan administrator is satisfied that the product or procedure improves health outcomes, including quality of life or functional ability, in a safe and cost-effective manner. Even if a device has received clearance or approval for marketing by the FDA, there is no assurance that third-party payors, including Medicare and managed care companies, will cover the cost of the device and related procedures. Even if coverage is available, third-party payors may place restrictions on the circumstances where they provide coverage or may offer reimbursement that is not sufficient to cover the cost of our products. This has created an increasing level of price sensitivity among customers for our products and could have a material adverse effect on our business, financial condition, results of operations and/or liquidity.</w:t>
      </w:r>
    </w:p>
    <w:p>
      <w:pPr>
        <w:spacing w:after="0" w:line="122" w:lineRule="exact"/>
        <w:rPr>
          <w:sz w:val="20"/>
          <w:szCs w:val="20"/>
          <w:color w:val="auto"/>
        </w:rPr>
      </w:pPr>
    </w:p>
    <w:p>
      <w:pPr>
        <w:ind w:right="20" w:firstLine="385"/>
        <w:spacing w:after="0" w:line="258" w:lineRule="auto"/>
        <w:rPr>
          <w:sz w:val="20"/>
          <w:szCs w:val="20"/>
          <w:color w:val="auto"/>
        </w:rPr>
      </w:pPr>
      <w:r>
        <w:rPr>
          <w:rFonts w:ascii="Times New Roman" w:cs="Times New Roman" w:eastAsia="Times New Roman" w:hAnsi="Times New Roman"/>
          <w:sz w:val="18"/>
          <w:szCs w:val="18"/>
          <w:color w:val="auto"/>
        </w:rPr>
        <w:t>Third-party payors who cover the cost of medical products or equipment, in addition to allowing a general charge for the procedure, often maintain lists of exclusive suppliers or approved lists of products deemed to be cost-effective. If our products are not on approved lists of third-party payors, healthcare providers must determine if the additional cost and effort required in obtaining prior authorization, and the uncertainty of actually obtaining coverage, is justified by any perceived clinical benefits from using our products.</w:t>
      </w:r>
    </w:p>
    <w:p>
      <w:pPr>
        <w:spacing w:after="0" w:line="128" w:lineRule="exact"/>
        <w:rPr>
          <w:sz w:val="20"/>
          <w:szCs w:val="20"/>
          <w:color w:val="auto"/>
        </w:rPr>
      </w:pPr>
    </w:p>
    <w:p>
      <w:pPr>
        <w:ind w:right="60" w:firstLine="385"/>
        <w:spacing w:after="0" w:line="254" w:lineRule="auto"/>
        <w:rPr>
          <w:sz w:val="20"/>
          <w:szCs w:val="20"/>
          <w:color w:val="auto"/>
        </w:rPr>
      </w:pPr>
      <w:r>
        <w:rPr>
          <w:rFonts w:ascii="Times New Roman" w:cs="Times New Roman" w:eastAsia="Times New Roman" w:hAnsi="Times New Roman"/>
          <w:sz w:val="18"/>
          <w:szCs w:val="18"/>
          <w:color w:val="auto"/>
        </w:rPr>
        <w:t>Finally, the advent of contracted fixed rates per procedure has made it difficult to receive reimbursement for disposable products, even if the use of these products improves clinical outcomes. In addition, many third-party payors are moving to managed care systems in which providers contract to provide comprehensive healthcare for a fixed cost per person. Managed care providers often attempt to control the cost of healthcare by authorizing fewer elective surgical procedures. Under current prospective payment systems, such as the diagnosis related group system and the hospital out-patient prospective payment system, both of which are used by Medicare and in many managed care systems used by private third-party payors, the cost of our products will be incorporated into the overall cost of a procedure and not be separately reimbursed.</w:t>
      </w:r>
    </w:p>
    <w:p>
      <w:pPr>
        <w:spacing w:after="0" w:line="132" w:lineRule="exact"/>
        <w:rPr>
          <w:sz w:val="20"/>
          <w:szCs w:val="20"/>
          <w:color w:val="auto"/>
        </w:rPr>
      </w:pPr>
    </w:p>
    <w:p>
      <w:pPr>
        <w:ind w:right="80" w:firstLine="402"/>
        <w:spacing w:after="0" w:line="278" w:lineRule="auto"/>
        <w:rPr>
          <w:sz w:val="20"/>
          <w:szCs w:val="20"/>
          <w:color w:val="auto"/>
        </w:rPr>
      </w:pPr>
      <w:r>
        <w:rPr>
          <w:rFonts w:ascii="Times New Roman" w:cs="Times New Roman" w:eastAsia="Times New Roman" w:hAnsi="Times New Roman"/>
          <w:sz w:val="18"/>
          <w:szCs w:val="18"/>
          <w:color w:val="auto"/>
        </w:rPr>
        <w:t>If hospitals and physicians cannot obtain adequate reimbursement for our products or the procedures in which they are used, this could have a material adverse effect on our business, financial condition, results of operations and/or liquidity.</w:t>
      </w:r>
    </w:p>
    <w:p>
      <w:pPr>
        <w:spacing w:after="0" w:line="110" w:lineRule="exact"/>
        <w:rPr>
          <w:sz w:val="20"/>
          <w:szCs w:val="20"/>
          <w:color w:val="auto"/>
        </w:rPr>
      </w:pPr>
    </w:p>
    <w:p>
      <w:pPr>
        <w:ind w:right="100" w:firstLine="385"/>
        <w:spacing w:after="0" w:line="253" w:lineRule="auto"/>
        <w:rPr>
          <w:sz w:val="20"/>
          <w:szCs w:val="20"/>
          <w:color w:val="auto"/>
        </w:rPr>
      </w:pPr>
      <w:r>
        <w:rPr>
          <w:rFonts w:ascii="Times New Roman" w:cs="Times New Roman" w:eastAsia="Times New Roman" w:hAnsi="Times New Roman"/>
          <w:sz w:val="18"/>
          <w:szCs w:val="18"/>
          <w:color w:val="auto"/>
        </w:rPr>
        <w:t>Reimbursement varies by country and can significantly impact the acceptance of new technology. Implementation of healthcare reforms in the United States and in other countries may limit, reduce or eliminate reimbursement for our products and adversely affect both our pricing flexibility and the demand for our products. Even when we develop a promising new product, we may find limited demand for the product unless reimbursement approval is obtained from private and governmental third-party payors. Changes in healthcare systems in the United States or elsewhere in a manner that significantly reduces reimbursement for procedures using our medical devices or denies coverage for these procedures, or adverse decisions relating to our products by administrators of these systems in coverage or reimbursement issues, would have an adverse impact on the acceptance of our products and the prices which our customers are willing to pay for them.</w:t>
      </w:r>
    </w:p>
    <w:p>
      <w:pPr>
        <w:spacing w:after="0" w:line="12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Pending or future product liability claims brought against us, especially if our product liability insurance coverage is inadequate, could adversely impact our business, operations and financial results.</w:t>
      </w:r>
    </w:p>
    <w:p>
      <w:pPr>
        <w:spacing w:after="0" w:line="105"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The design, manufacture and marketing of the types of medical devices we sell entail an inherent risk of product liability. Our products are used by physicians to treat seriously ill patients. We are periodically subject to product liability claims, and patients or customers may in the future bring claims against us in a number of circumstances and for a number of reasons, including if our products were misused, if a component of our product fails, if our manufacture or design was flawed, if the product produced unsatisfactory results or if the instructions for use and operating manuals and disclosure of product related risks for our products were found to be inadequate. For example, numerous product liability claims involving the Company's port products which were previously pending in various state and federal court jurisdictions have been consolidated, together with additional product liability claims, in a single multidistrict litigation in the U.S. District Court for the Southern District of California. We are unable to predict the outcome of these proceedings. See Part I, Item 3 "Legal Proceedings" in this Annual Report on Form 10-K for additional information on these proceedings.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1" w:name="page22"/>
    <w:bookmarkEnd w:id="21"/>
    <w:p>
      <w:pPr>
        <w:ind w:right="300" w:firstLine="385"/>
        <w:spacing w:after="0" w:line="255" w:lineRule="auto"/>
        <w:rPr>
          <w:sz w:val="20"/>
          <w:szCs w:val="20"/>
          <w:color w:val="auto"/>
        </w:rPr>
      </w:pPr>
      <w:r>
        <w:rPr>
          <w:rFonts w:ascii="Times New Roman" w:cs="Times New Roman" w:eastAsia="Times New Roman" w:hAnsi="Times New Roman"/>
          <w:sz w:val="18"/>
          <w:szCs w:val="18"/>
          <w:color w:val="auto"/>
        </w:rPr>
        <w:t>In addition, individuals or groups seeking to represent a class may file suit against us in the future. Legal proceedings in general, class actions, multidistrict litigation, governmental investigations and actions in particular, can be expensive and disruptive, and adverse publicity could harm our reputation, regardless of validity of the allegations. The outcome of litigation, particularly class action and multidistrict litigation, is difficult to assess or quantify. Plaintiffs in these types of lawsuits often seek recovery of very large or indeterminate amounts, including not only actual damages, but also punitive damages. The magnitude of the potential losses relating to these lawsuits may remain unknown for substantial periods of time.</w:t>
      </w:r>
    </w:p>
    <w:p>
      <w:pPr>
        <w:spacing w:after="0" w:line="132"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We carry a product liability policy with a limit of $10.0 million per product liability claim and an aggregate policy limit of $10.0 million, subject to a self-insured retention of $0.5 million per occurrence and $2.0 million in the aggregate. We believe, based on claims made against us in the past, our existing product liability insurance coverage is reasonably adequate to protect us from any liabilities we might incur. However, there is no assurance that this coverage will be sufficient to satisfy any claim made against us. In addition, we may not be able to continue to maintain adequate coverage at a reasonable cost and on reasonable terms, if at all. Any product liability claim brought against us, with or without merit, could increase our product liability insurance rates or prevent us from securing any coverage in the future. Additionally, if one or more product liability claims is brought against us for uninsured liabilities or is in excess of our insurance coverage, our financial condition, results of operations and/or liquidity could be negatively impacted. Further, such claims may require us to recall some of our products, which could result in significant costs to us.</w:t>
      </w:r>
    </w:p>
    <w:p>
      <w:pPr>
        <w:spacing w:after="0" w:line="132" w:lineRule="exact"/>
        <w:rPr>
          <w:sz w:val="20"/>
          <w:szCs w:val="20"/>
          <w:color w:val="auto"/>
        </w:rPr>
      </w:pPr>
    </w:p>
    <w:p>
      <w:pPr>
        <w:ind w:right="74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exposed to risks associated with product line divestitures as we may never realize the expected benefits and could cause operational disruptions with personnel, systems and infrastructure changes.</w:t>
      </w:r>
    </w:p>
    <w:p>
      <w:pPr>
        <w:spacing w:after="0" w:line="105" w:lineRule="exact"/>
        <w:rPr>
          <w:sz w:val="20"/>
          <w:szCs w:val="20"/>
          <w:color w:val="auto"/>
        </w:rPr>
      </w:pPr>
    </w:p>
    <w:p>
      <w:pPr>
        <w:ind w:firstLine="385"/>
        <w:spacing w:after="0" w:line="268" w:lineRule="auto"/>
        <w:rPr>
          <w:sz w:val="20"/>
          <w:szCs w:val="20"/>
          <w:color w:val="auto"/>
        </w:rPr>
      </w:pPr>
      <w:r>
        <w:rPr>
          <w:rFonts w:ascii="Times New Roman" w:cs="Times New Roman" w:eastAsia="Times New Roman" w:hAnsi="Times New Roman"/>
          <w:sz w:val="17"/>
          <w:szCs w:val="17"/>
          <w:color w:val="auto"/>
        </w:rPr>
        <w:t>The Company's recent divestitures of its PICCs and Midline businesses to Spectrum Vascular and dialysis product portfolio and BioSentry tract sealant system biopsy business to Merit Medical Systems, Inc., along with potential future divestitures of certain product lines will allow us to transform ourselves into a high growth, highly profitable, medical technology company. If we are unable to achieve our growth and profitability objectives due to competition, lack of acceptance of our products, failure to generate favorable clinical data or gain regulatory approvals, or other risks as described in this section, or due to other events, we will not be successful in transforming our business and may not see the appropriate market valuation. The divestiture of product lines will impact revenue, earnings and cash flows, which over time we expect to replace by investing in higher margin revenue streams. There is a risk that we will be unable to replace the revenue, earnings and cash flow that these product lines generated, or that the cost of such will be higher than expected. If we are unable to achieve our profit and growth objectives, such failure will be exacerbated by the loss of revenue, earnings and cash flow generated by our divested product lines and could materially impact our financial position and results of operations, resulting in a decline in our stock price.</w:t>
      </w:r>
    </w:p>
    <w:p>
      <w:pPr>
        <w:spacing w:after="0" w:line="124" w:lineRule="exact"/>
        <w:rPr>
          <w:sz w:val="20"/>
          <w:szCs w:val="20"/>
          <w:color w:val="auto"/>
        </w:rPr>
      </w:pPr>
    </w:p>
    <w:p>
      <w:pPr>
        <w:ind w:right="160" w:firstLine="321"/>
        <w:spacing w:after="0" w:line="278" w:lineRule="auto"/>
        <w:rPr>
          <w:sz w:val="20"/>
          <w:szCs w:val="20"/>
          <w:color w:val="auto"/>
        </w:rPr>
      </w:pPr>
      <w:r>
        <w:rPr>
          <w:rFonts w:ascii="Times New Roman" w:cs="Times New Roman" w:eastAsia="Times New Roman" w:hAnsi="Times New Roman"/>
          <w:sz w:val="18"/>
          <w:szCs w:val="18"/>
          <w:color w:val="auto"/>
        </w:rPr>
        <w:t>The sale of product lines could require us to restructure significant personnel, systems and infrastructure which may cause disruptions to our financial controls, IT, administrative support, manufacturing or regulatory processes and could have a material adverse effect on our business.</w:t>
      </w:r>
    </w:p>
    <w:p>
      <w:pPr>
        <w:spacing w:after="0" w:line="106"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International and national economic and industry conditions constantly change, and could materially and adversely affect our business, financial condition and results of operations.</w:t>
      </w:r>
    </w:p>
    <w:p>
      <w:pPr>
        <w:spacing w:after="0" w:line="105"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Our business, financial condition and results of operation are affected by many changing economic, industry and other conditions beyond our control. Actual or potential changes in international, national, regional and local economic, business and financial conditions, including recession, high inflation and trade protection measures, creditworthiness of our customers, fluctuations in currency values, U.S. export controls, U.S. and non-U.S. tax laws, shipping delays and economic and political instability, may negatively affect consumer preferences, perceptions, spending patterns or demographic trends, any of which could adversely affect our business, financial condition, results of operations and/or liquidity.</w:t>
      </w:r>
    </w:p>
    <w:p>
      <w:pPr>
        <w:spacing w:after="0" w:line="13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In addition, political and social turmoil may put further pressure on economic conditions in the United States and abroad. The global economy has been periodically impacted by the effects of global economic downturns. There can be no assurance that there will not be further such events or deterioration in the global economy. These economic conditions make it more difficult for us to accurately forecast and plan our future business activities.</w:t>
      </w:r>
    </w:p>
    <w:p>
      <w:pPr>
        <w:spacing w:after="0" w:line="132" w:lineRule="exact"/>
        <w:rPr>
          <w:sz w:val="20"/>
          <w:szCs w:val="20"/>
          <w:color w:val="auto"/>
        </w:rPr>
      </w:pPr>
    </w:p>
    <w:p>
      <w:pPr>
        <w:ind w:right="220" w:firstLine="385"/>
        <w:spacing w:after="0" w:line="255" w:lineRule="auto"/>
        <w:rPr>
          <w:sz w:val="20"/>
          <w:szCs w:val="20"/>
          <w:color w:val="auto"/>
        </w:rPr>
      </w:pPr>
      <w:r>
        <w:rPr>
          <w:rFonts w:ascii="Times New Roman" w:cs="Times New Roman" w:eastAsia="Times New Roman" w:hAnsi="Times New Roman"/>
          <w:sz w:val="18"/>
          <w:szCs w:val="18"/>
          <w:color w:val="auto"/>
        </w:rPr>
        <w:t>Volatility in the cost of raw materials, components, freight and energy increases the costs of producing and distributing our products. New laws or regulations adopted in response to climate change could also increase energy and transportation costs, as well as the costs of certain raw materials and components. Increases in oil prices may increase our packaging and transportation costs. Recently, the costs of labor, raw materials, transportation, construction, services, and energy necessary for the production and distribution of our products have increased significantly. While we have implemented cost containment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22" w:name="page23"/>
    <w:bookmarkEnd w:id="22"/>
    <w:p>
      <w:pPr>
        <w:ind w:right="60"/>
        <w:spacing w:after="0" w:line="278" w:lineRule="auto"/>
        <w:rPr>
          <w:sz w:val="20"/>
          <w:szCs w:val="20"/>
          <w:color w:val="auto"/>
        </w:rPr>
      </w:pPr>
      <w:r>
        <w:rPr>
          <w:rFonts w:ascii="Times New Roman" w:cs="Times New Roman" w:eastAsia="Times New Roman" w:hAnsi="Times New Roman"/>
          <w:sz w:val="18"/>
          <w:szCs w:val="18"/>
          <w:color w:val="auto"/>
        </w:rPr>
        <w:t>measures, selective price increases and taken other actions to offset these inflationary pressures in our supply chain, we may not be able to completely offset all the increases in our operational costs, any of which could adversely affect our business, financial condition, results of operations and/or liquidity.</w:t>
      </w:r>
    </w:p>
    <w:p>
      <w:pPr>
        <w:spacing w:after="0" w:line="110"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Sales outside the U.S. accounted for approximately 14% of our net sales during our fiscal year ended May 31, 2025. We anticipate that sales from international operations will continue to represent a significant portion of our total sales, and we intend to continue our expansion into emerging and/or faster-growing markets outside the U.S. Our sales and profitability from our international operations are subject to risks and uncertainties that could have a material adverse effect on our business, financial condition and/or results of operations, many of which we cannot predict, including:</w:t>
      </w:r>
    </w:p>
    <w:p>
      <w:pPr>
        <w:spacing w:after="0" w:line="128"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which may, in some instances affect spending behavior and reduce cash flows and revenue outside the U.S.;</w:t>
      </w:r>
    </w:p>
    <w:p>
      <w:pPr>
        <w:spacing w:after="0" w:line="37"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legislation;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non-U.S. regulatory requirements that are subject to change and could restrict our ability to manufacture and sell our products;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product preferences and product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longer-term receivables than are typical in the U.S. and/or the ability to obtain payment;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tariffs and import or export licensing requirements;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intellectual property protection in some countries outside the U.S. than exists in the U.S.;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labor regulations and workforce instability;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of U.S. income taxes on earnings of certain foreign subsidiaries subject to U.S. taxation upon repatriation;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and non-renewal of foreign tax rulings;</w:t>
      </w:r>
    </w:p>
    <w:p>
      <w:pPr>
        <w:spacing w:after="0" w:line="7" w:lineRule="exact"/>
        <w:rPr>
          <w:rFonts w:ascii="Times New Roman" w:cs="Times New Roman" w:eastAsia="Times New Roman" w:hAnsi="Times New Roman"/>
          <w:sz w:val="18"/>
          <w:szCs w:val="18"/>
          <w:color w:val="auto"/>
        </w:rPr>
      </w:pPr>
    </w:p>
    <w:p>
      <w:pPr>
        <w:ind w:left="640" w:right="180" w:hanging="312"/>
        <w:spacing w:after="0" w:line="248"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consequences from changes in or interpretation of tax laws, including changes in our effective tax rate or the applicable tax rate in one or more jurisdictions; and</w:t>
      </w:r>
    </w:p>
    <w:p>
      <w:pPr>
        <w:ind w:left="640" w:hanging="31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and inflation, tariffs, recession or interest rate fluctuations.</w:t>
      </w:r>
    </w:p>
    <w:p>
      <w:pPr>
        <w:spacing w:after="0" w:line="256"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Geopolitical developments related to various global conflicts are sources of uncertainty and may cause disruptions to global or regional markets, supply chains or operations in the regions. Russia’s invasion and military attacks on Ukraine have triggered significant sanctions from U.S. and European leaders. The Israel/Hamas war has also disrupted operations of companies doing business in the Middle East. These events may escalate and have created increasingly volatile global economic conditions. Resulting changes in U.S. trade policy could trigger retaliatory actions by Russia, its allies and other affected countries, including China and Israel, resulting in a “trade war.” A trade war could result in increased costs for raw materials we use in our manufacturing and could result in Russia, Israel and other foreign governments imposing tariffs on products that we export outside the U.S. or otherwise limiting our ability to sell our products abroad. These increased costs could have a material adverse effect on our business, financial condition and results of operations. Furthermore, if global conflicts continue for a long period of time, or if other countries, including the U.S., become further involved in the conflict, we could face material adverse effects on our business, financial condition, results of operations and/or liquidity.</w:t>
      </w:r>
    </w:p>
    <w:p>
      <w:pPr>
        <w:spacing w:after="0" w:line="7" w:lineRule="exact"/>
        <w:rPr>
          <w:sz w:val="20"/>
          <w:szCs w:val="20"/>
          <w:color w:val="auto"/>
        </w:rPr>
      </w:pPr>
    </w:p>
    <w:p>
      <w:pPr>
        <w:jc w:val="both"/>
        <w:ind w:firstLine="385"/>
        <w:spacing w:after="0" w:line="252" w:lineRule="auto"/>
        <w:rPr>
          <w:sz w:val="20"/>
          <w:szCs w:val="20"/>
          <w:color w:val="auto"/>
        </w:rPr>
      </w:pPr>
      <w:r>
        <w:rPr>
          <w:rFonts w:ascii="Times New Roman" w:cs="Times New Roman" w:eastAsia="Times New Roman" w:hAnsi="Times New Roman"/>
          <w:sz w:val="18"/>
          <w:szCs w:val="18"/>
          <w:color w:val="auto"/>
        </w:rPr>
        <w:t>Further, trade disputes or tensions may adversely affect our sales, including as a result of the imposition of tariffs or other barriers or restrictions on trade, or increase our costs. The institution of trade tariffs both globally and between the U.S. and China specifically could negatively impact the overall economic condition in our markets, including China, which could pose a significant risk to our business and would affect our revenue and cost of goods sold. The extent, focus and duration of any such tariffs and the resulting impact on general economic conditions and on our business are uncertain and depend on various factors, such as negotiations between the U.S. and affected countries, the responses of other countries or regions, exemptions or exclusions that may be granted, availability and cost of alternative sources of supply, and demand for our products in affected markets. Further, actions we take to adapt to new tariffs or trade restrictions may cause us to modify our operations or forgo business opportunities, which could have a material adverse impact on our business, financial condition, results of operations and/or liquidity.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harmed if we cannot hire or retain qualified personnel.</w:t>
      </w:r>
    </w:p>
    <w:p>
      <w:pPr>
        <w:spacing w:after="0" w:line="172" w:lineRule="exact"/>
        <w:rPr>
          <w:sz w:val="20"/>
          <w:szCs w:val="20"/>
          <w:color w:val="auto"/>
        </w:rPr>
      </w:pPr>
    </w:p>
    <w:p>
      <w:pPr>
        <w:ind w:right="80" w:firstLine="385"/>
        <w:spacing w:after="0" w:line="253" w:lineRule="auto"/>
        <w:rPr>
          <w:sz w:val="20"/>
          <w:szCs w:val="20"/>
          <w:color w:val="auto"/>
        </w:rPr>
      </w:pPr>
      <w:r>
        <w:rPr>
          <w:rFonts w:ascii="Times New Roman" w:cs="Times New Roman" w:eastAsia="Times New Roman" w:hAnsi="Times New Roman"/>
          <w:sz w:val="18"/>
          <w:szCs w:val="18"/>
          <w:color w:val="auto"/>
        </w:rPr>
        <w:t>Our business depends upon our ability to attract and retain highly qualified personnel, including managerial, sales, and technical personnel. We compete for key personnel with other companies, healthcare institutions, academic institutions, government entities and other organizations. We do not have written employment agreements with our executive officers, other than the CEO. Our ability to maintain and expand our business may be impaired if we are unable to retain our current key personnel or hire or retain other qualified personnel in the future, including personnel for our manufacturing facilities and field based sales employees. If we are not able to hire and retain personnel in our manufacturing facilities, we may not meet our production demand. In addition, our sales force is highly talented and we face intense competition in our industry for sales personnel which could have an adverse effect on our business and revenue if there is significant turnover.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profitably, our business, financial results and stock price could suffer.</w:t>
      </w:r>
    </w:p>
    <w:p>
      <w:pPr>
        <w:spacing w:after="0" w:line="172" w:lineRule="exact"/>
        <w:rPr>
          <w:sz w:val="20"/>
          <w:szCs w:val="20"/>
          <w:color w:val="auto"/>
        </w:rPr>
      </w:pPr>
    </w:p>
    <w:p>
      <w:pPr>
        <w:ind w:right="200" w:firstLine="385"/>
        <w:spacing w:after="0" w:line="258" w:lineRule="auto"/>
        <w:rPr>
          <w:sz w:val="20"/>
          <w:szCs w:val="20"/>
          <w:color w:val="auto"/>
        </w:rPr>
      </w:pPr>
      <w:r>
        <w:rPr>
          <w:rFonts w:ascii="Times New Roman" w:cs="Times New Roman" w:eastAsia="Times New Roman" w:hAnsi="Times New Roman"/>
          <w:sz w:val="18"/>
          <w:szCs w:val="18"/>
          <w:color w:val="auto"/>
        </w:rPr>
        <w:t>Our future financial results will depend in part on our ability to profitably manage our growth. Management will need to maintain existing customers and attract new customers, recruit, retain and effectively manage employees, as well as expand operations and integrate customer support and financial control systems. If integration-related expenses and capital expenditure requirements are greater than anticipated or if we are unable to manage our growth profitably, our financial results and the market price of our common stock may decline.</w:t>
      </w:r>
    </w:p>
    <w:p>
      <w:pPr>
        <w:spacing w:after="0" w:line="128"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In recent years we have begun to implement operational excellence initiatives which include a number of restructuring, realignment and cost reduction initiatives. We may not realize the benefits of these initiatives to the extent or on the timing we anticipated and the ongoing difficulties in implementing these measures may be greater than anticipated and/or offset by inflationary pressures, which could cause us to incur additional costs or result in business disruptions like the backlog we experienced in fiscal year 2023. In addition, if these measures are not successful or sustainable, we may undertake additional realignment and cost reduction efforts, which could result in significant additional expenses and adversely impact our ability to achieve our other strategic goals and business plans.</w:t>
      </w:r>
    </w:p>
    <w:p>
      <w:pPr>
        <w:spacing w:after="0" w:line="128" w:lineRule="exact"/>
        <w:rPr>
          <w:sz w:val="20"/>
          <w:szCs w:val="20"/>
          <w:color w:val="auto"/>
        </w:rPr>
      </w:pPr>
    </w:p>
    <w:p>
      <w:pPr>
        <w:ind w:right="120"/>
        <w:spacing w:after="0" w:line="314" w:lineRule="auto"/>
        <w:rPr>
          <w:sz w:val="20"/>
          <w:szCs w:val="20"/>
          <w:color w:val="auto"/>
        </w:rPr>
      </w:pPr>
      <w:r>
        <w:rPr>
          <w:rFonts w:ascii="Times New Roman" w:cs="Times New Roman" w:eastAsia="Times New Roman" w:hAnsi="Times New Roman"/>
          <w:sz w:val="17"/>
          <w:szCs w:val="17"/>
          <w:b w:val="1"/>
          <w:bCs w:val="1"/>
          <w:i w:val="1"/>
          <w:iCs w:val="1"/>
          <w:color w:val="auto"/>
        </w:rPr>
        <w:t>We may fail to attract additional capital necessary to expand our business or may incur indebtedness which could impose operating and financial restrictions on us as a result of debt service obligations which could significantly limit our ability to execute our business strategy or curtail our growth.</w:t>
      </w:r>
    </w:p>
    <w:p>
      <w:pPr>
        <w:spacing w:after="0" w:line="82"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7"/>
          <w:szCs w:val="17"/>
          <w:color w:val="auto"/>
        </w:rPr>
        <w:t>We may require additional capital to expand our business. If cash generated internally is insufficient to fund capital requirements, we may require debt or equity financing. In addition, we may require financing to fund any significant acquisitions we may seek to make. Disruptions in the capital markets and increases in the cost of capital have previously resulted, and could again result, in volatility, decreased liquidity, and widening of credit spreads, which could make needed financing either unavailable or available on terms unsatisfactory to us which could result in significant stockholder dilution.</w:t>
      </w:r>
    </w:p>
    <w:p>
      <w:pPr>
        <w:spacing w:after="0" w:line="112"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We may incur indebtedness or draw amounts on credit facilities in the future subject to limitations contained in the agreements governing our debt. The interest rate on potential borrowings could be a floating rate which could expose us to the risk of increased interest expense in the future. The terms of indebtedness could require us to comply with certain financial maintenance covenants. In addition, any future indebtedness could include, covenants restricting or limiting our ability to take certain actions. These covenants could adversely affect our ability to obtain additional financing, to finance future operations, to pursue certain business opportunities or take certain corporate actions. The covenants could also restrict our flexibility in planning for changes in our business and the industry and could make us more vulnerable to economic downturns and adverse developments, could limit our flexibility in planning for, or reacting to, changes and opportunities in the markets in which we compete, could place us at a competitive disadvantage compared to our competitors that have less debt or could require us to dedicate a substantial portion of our cash flow to service our debt.</w:t>
      </w:r>
    </w:p>
    <w:p>
      <w:pPr>
        <w:spacing w:after="0" w:line="136" w:lineRule="exact"/>
        <w:rPr>
          <w:sz w:val="20"/>
          <w:szCs w:val="20"/>
          <w:color w:val="auto"/>
        </w:rPr>
      </w:pPr>
    </w:p>
    <w:p>
      <w:pPr>
        <w:ind w:right="20" w:firstLine="385"/>
        <w:spacing w:after="0" w:line="251" w:lineRule="auto"/>
        <w:rPr>
          <w:sz w:val="20"/>
          <w:szCs w:val="20"/>
          <w:color w:val="auto"/>
        </w:rPr>
      </w:pPr>
      <w:r>
        <w:rPr>
          <w:rFonts w:ascii="Times New Roman" w:cs="Times New Roman" w:eastAsia="Times New Roman" w:hAnsi="Times New Roman"/>
          <w:sz w:val="18"/>
          <w:szCs w:val="18"/>
          <w:color w:val="auto"/>
        </w:rPr>
        <w:t>Our ability to meet our cash requirements could be dependent upon our operating performance, which would be subject to general economic and competitive conditions and to financial, business and other factors affecting our operations, many of which could be beyond our control. We cannot provide assurance that our business operations would generate sufficient cash flows from operations to fund potential cash requirements and debt service obligations. If our operating results, cash flow or capital resources prove inadequate, we could face substantial liquidity problems and might be required to dispose of material assets or operations to meet other obligations. If we incurred indebtedness and were unable to service our debt, we could be forced to reduce or delay planned expansions and capital expenditures, sell assets, restructure or refinance our debt or seek additional equity capital, and we could be unable to take any of these actions on satisfactory terms or in a timely manner. Further, any of these actions may not be sufficient to allow us to service our potential debt obligations or could have an adverse impact on our business. Our potential debt agreements could limit our ability to take certain of these actions. Our failure to generate sufficient operating cash flow to pay our potential debts or to successfully undertake any of these actions could have a material adverse effect on 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pressure and unfavorable economic conditions could negatively affect our operations and business.</w:t>
      </w:r>
    </w:p>
    <w:p>
      <w:pPr>
        <w:spacing w:after="0" w:line="172" w:lineRule="exact"/>
        <w:rPr>
          <w:sz w:val="20"/>
          <w:szCs w:val="20"/>
          <w:color w:val="auto"/>
        </w:rPr>
      </w:pPr>
    </w:p>
    <w:p>
      <w:pPr>
        <w:ind w:right="200" w:firstLine="402"/>
        <w:spacing w:after="0" w:line="255" w:lineRule="auto"/>
        <w:rPr>
          <w:sz w:val="20"/>
          <w:szCs w:val="20"/>
          <w:color w:val="auto"/>
        </w:rPr>
      </w:pPr>
      <w:r>
        <w:rPr>
          <w:rFonts w:ascii="Times New Roman" w:cs="Times New Roman" w:eastAsia="Times New Roman" w:hAnsi="Times New Roman"/>
          <w:sz w:val="18"/>
          <w:szCs w:val="18"/>
          <w:color w:val="auto"/>
        </w:rPr>
        <w:t>A significant deterioration in economic conditions, including economic slowdowns or recessions, increased unemployment levels, inflationary pressures or disruptions to credit and capital markets, could lead to decreased consumer confidence and spending and availability of credit. For example, a rapid increase in inflation levels may negatively impact demand for our products and increase our costs and may lead to a rapid increase in market interest rates. In addition, if rates increase, we may incur significant additional expense and adversely impact our ability to achieve our other strategic goals and business plans.</w:t>
      </w:r>
    </w:p>
    <w:p>
      <w:pPr>
        <w:spacing w:after="0" w:line="128" w:lineRule="exact"/>
        <w:rPr>
          <w:sz w:val="20"/>
          <w:szCs w:val="20"/>
          <w:color w:val="auto"/>
        </w:rPr>
      </w:pPr>
    </w:p>
    <w:p>
      <w:pPr>
        <w:ind w:right="3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intangible assets and fixed assets are subject to potential impairment; we have historically recorded significant impairment charges and may be required to record additional charges to future earnings if our assets become impaired.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4" w:name="page25"/>
    <w:bookmarkEnd w:id="24"/>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A significant portion of our assets consist of intangible assets and fixed assets, the carrying value of which may be reduced if we determine that those assets are impaired, including intangible assets from recent acquisitions.</w:t>
      </w:r>
    </w:p>
    <w:p>
      <w:pPr>
        <w:spacing w:after="0" w:line="110" w:lineRule="exact"/>
        <w:rPr>
          <w:sz w:val="20"/>
          <w:szCs w:val="20"/>
          <w:color w:val="auto"/>
        </w:rPr>
      </w:pPr>
    </w:p>
    <w:p>
      <w:pPr>
        <w:ind w:firstLine="385"/>
        <w:spacing w:after="0" w:line="250" w:lineRule="auto"/>
        <w:rPr>
          <w:sz w:val="20"/>
          <w:szCs w:val="20"/>
          <w:color w:val="auto"/>
        </w:rPr>
      </w:pPr>
      <w:r>
        <w:rPr>
          <w:rFonts w:ascii="Times New Roman" w:cs="Times New Roman" w:eastAsia="Times New Roman" w:hAnsi="Times New Roman"/>
          <w:sz w:val="18"/>
          <w:szCs w:val="18"/>
          <w:color w:val="auto"/>
        </w:rPr>
        <w:t>Our intangible and fixed assets have finite useful lives and are amortized or depreciated over their useful lives on either a straight-line basis or over the expected period of benefit or as revenues are earned from the sales of the related products. The underlying assumptions regarding the estimated useful lives of these intangible assets are reviewed quarterly and more often if an event or circumstance occurs making it likely that the carrying value of the assets may not be recoverable and are adjusted through accelerated amortization if necessary. Whenever events or changes in circumstances indicate that the carrying value of the assets may not be recoverable, we test intangible assets for impairment based on estimates of future cash flows. Factors that may be considered a change in circumstances indicating that the carrying value of our intangible assets may not be recoverable include a decline in stock price and market capitalization, slower growth rates in our industry or our own operations and/or other materially adverse events that have implications on the profitability of our business.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 If actual results differ from the assumptions and estimates used in the intangible asset calculations, we could incur future impairment or amortization charges, which could negatively impact our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limited in our ability to utilize, or may not be able to utilize, net operating loss carryforwards to reduce our future tax liability.</w:t>
      </w:r>
    </w:p>
    <w:p>
      <w:pPr>
        <w:spacing w:after="0" w:line="172"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IRC Section 382 and related provisions contain rules that limit for U.S. federal income tax purposes the ability of a Company that undergoes an “ownership change” to utilize its net operating loss carryforwards and certain other tax attributes existing as of the date of such ownership change. Our Federal net operating loss carryforwards as of May 31, 2025 after considering IRC Section 382 limitations are $135.6 million. The expiration of the Federal net operating loss carryforwards is as follows: $37.1 million between 2030 and 2032 and $98.5 million indefinitely. Our state net operating loss carryforwards as of May 31, 2025 after considering remaining IRC Section 382 limitations are $23.9 million which expire in various years from 2030 to 2043. Future ownership changes within the meaning of IRC Section 382 may also subject our tax loss carryforwards to annual limitations which would restrict our ability to use them to offset our taxable income in periods following the ownership changes. See Note 9, "Income Taxes" set forth in our consolidated financial statements included in our Annual Report on Form 10-K for the fiscal year ended May 31, 2025 for a further discussion of our tax loss carryovers.</w:t>
      </w:r>
    </w:p>
    <w:p>
      <w:pPr>
        <w:spacing w:after="0" w:line="129" w:lineRule="exact"/>
        <w:rPr>
          <w:sz w:val="20"/>
          <w:szCs w:val="20"/>
          <w:color w:val="auto"/>
        </w:rPr>
      </w:pPr>
    </w:p>
    <w:p>
      <w:pPr>
        <w:ind w:right="4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 cyber-attack or other breach of our, our distributors, or our supply chain partners' information technology systems could have a material adverse effect on our business, financial condition and/or results of operations.</w:t>
      </w:r>
    </w:p>
    <w:p>
      <w:pPr>
        <w:spacing w:after="0" w:line="105" w:lineRule="exact"/>
        <w:rPr>
          <w:sz w:val="20"/>
          <w:szCs w:val="20"/>
          <w:color w:val="auto"/>
        </w:rPr>
      </w:pPr>
    </w:p>
    <w:p>
      <w:pPr>
        <w:ind w:right="100" w:firstLine="385"/>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process, transmit, and store electronic information in our day-to-day operations. Similar to other large multi-national companies, the size and complexity of our information technology systems makes them vulnerable to cyber-attacks, malicious intrusions, breakdowns, destruction, losses of data privacy, or other significant disruptions. Our distributors and supply chain partners face similar risks. Our information systems require an ongoing commitment of resources to maintain, protect, and enhance existing systems and develop new systems to keep pace with continuing changes in information processing technology, evolving systems and regulatory standards, the increasing need to protect patient and customer information, and changing customer patterns. In addition, third parties may attempt to gain access into our systems or products or those of our supply chain partners to obtain data relating to patients or our proprietary information.</w:t>
      </w:r>
    </w:p>
    <w:p>
      <w:pPr>
        <w:spacing w:after="0" w:line="133"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Any failure by us, our distributors, or our supply chain partners to maintain or protect information technology systems and data integrity, including from cyber-attacks, ransomware, intrusions or other breaches, could result in the unauthorized access to supply chain partners or vendors and personally identifiable information, theft of intellectual property, misappropriation of assets, or otherwise compromise confidential or proprietary information and disrupt operations of our Company, our distributors, or our supply chain partners. Any of these events, in turn, may cause us to lose existing customers, have difficulty preventing, detecting, and controlling fraud, have disputes with customers, our supply chain partners, physicians, and other health care professionals, be subject to legal claims and liability, have regulatory sanctions or penalties imposed, have increases in operating expenses, incur expenses or lose revenues as a result of a data privacy breach or theft of intellectual property, or suffer other adverse consequences, any of which could have a material adverse effect on our business, financial condition and/or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Artificial intelligence based platforms present new risks and challenges to our business.</w:t>
      </w:r>
    </w:p>
    <w:p>
      <w:pPr>
        <w:spacing w:after="0" w:line="172" w:lineRule="exact"/>
        <w:rPr>
          <w:sz w:val="20"/>
          <w:szCs w:val="20"/>
          <w:color w:val="auto"/>
        </w:rPr>
      </w:pPr>
    </w:p>
    <w:p>
      <w:pPr>
        <w:ind w:right="220" w:firstLine="385"/>
        <w:spacing w:after="0" w:line="278" w:lineRule="auto"/>
        <w:rPr>
          <w:sz w:val="20"/>
          <w:szCs w:val="20"/>
          <w:color w:val="auto"/>
        </w:rPr>
      </w:pPr>
      <w:r>
        <w:rPr>
          <w:rFonts w:ascii="Times New Roman" w:cs="Times New Roman" w:eastAsia="Times New Roman" w:hAnsi="Times New Roman"/>
          <w:sz w:val="18"/>
          <w:szCs w:val="18"/>
          <w:color w:val="auto"/>
        </w:rPr>
        <w:t>Artificial intelligence, or AI, based platforms are increasingly being used in the medical device and consumer health industries. We are committed to providing a safe and secure environment for all of our personnel, our business partners and our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5" w:name="page26"/>
    <w:bookmarkEnd w:id="25"/>
    <w:p>
      <w:pPr>
        <w:ind w:right="20"/>
        <w:spacing w:after="0" w:line="253" w:lineRule="auto"/>
        <w:rPr>
          <w:sz w:val="20"/>
          <w:szCs w:val="20"/>
          <w:color w:val="auto"/>
        </w:rPr>
      </w:pPr>
      <w:r>
        <w:rPr>
          <w:rFonts w:ascii="Times New Roman" w:cs="Times New Roman" w:eastAsia="Times New Roman" w:hAnsi="Times New Roman"/>
          <w:sz w:val="18"/>
          <w:szCs w:val="18"/>
          <w:color w:val="auto"/>
        </w:rPr>
        <w:t>customers, including the responsible use of AI chatbots and generative AI data processor products (“AI Systems”). We have developed policies governing the use of AI Systems to help reasonably ensure that such AI Systems are used in a trustworthy manner by our employees, contractors and authorized agents and that AngioDynamics’ assets, including intellectual property, competitive information, personal information and customer information, are protected. The failure by our personnel to adhere to the company’s established policies could violate confidentiality obligations or applicable laws and regulations, jeopardize our intellectual property rights, cause or contribute to unlawful discrimination or result in the misuse of personally identifiable information or the injection of malware into the company’s systems, any of which could have a material adverse effect on our business, results of operations and financial condition.</w:t>
      </w:r>
    </w:p>
    <w:p>
      <w:pPr>
        <w:spacing w:after="0" w:line="133"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The use of AI Systems by our business partners with access to our confidential information, including trade secrets, may continue to increase and could lead to the release of such information, which could negatively impact our company, including our ability to realize the benefits of our intellectual property. The use of AI Systems by our business partners may lead to novel and urgent cybersecurity risks, which could have a material adverse effect on our operations and reputation as well as the operations of any of our business partners. We may also face increased competition from other companies that are using AI Systems, some of whom may develop more effective methods than we and any of our business partners have, which could have a material adverse effect on our business, results of operations and financial condition. In addition, uncertainties regarding developing legal and regulatory requirements and standards may require significant resources to modify and maintain business practices to comply with U.S. and non-U.S. laws concerning the use of AI and AI Systems, the nature of which cannot be determined at this time.</w:t>
      </w:r>
    </w:p>
    <w:p>
      <w:pPr>
        <w:spacing w:after="0" w:line="132"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Any disaster at our manufacturing facilities or those of our suppliers could disrupt our ability to manufacture our products for a substantial amount of time.</w:t>
      </w:r>
    </w:p>
    <w:p>
      <w:pPr>
        <w:spacing w:after="0" w:line="105"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We conduct manufacturing and assembly at facilities in Queensbury, New York, Glens Falls, New York, and other third parties in Costa Rica, Israel, Latvia, China and other locations. It would be difficult, expensive and time-consuming to transfer resources from one facility to the other and/or replace or repair these facilities or manufacturing equipment if they were significantly affected by a disaster. Additionally, we might be forced to rely on third-party manufacturers or delay production of our products. Insurance for damage to our properties and the disruption of our business from disasters may not be sufficient to cover all of our potential losses and may not continue to be available to us on acceptable terms, or at all. If one of our principal suppliers were to experience a similar disaster, uninsured loss or under-insured loss, we might not be able to obtain adequate alternative sources of supplies or products. Any significant uninsured loss, prolonged or repeated disruption, or inability to operate experienced by us or any of our principal suppliers could cause significant harm to our business, financial condition, results of operations and/or liquidity.</w:t>
      </w:r>
    </w:p>
    <w:p>
      <w:pPr>
        <w:spacing w:after="0" w:line="132"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cause our stock price to decline and prevent attempts by our stockholders to replace or remove our current management.</w:t>
      </w:r>
    </w:p>
    <w:p>
      <w:pPr>
        <w:spacing w:after="0" w:line="122" w:lineRule="exact"/>
        <w:rPr>
          <w:sz w:val="20"/>
          <w:szCs w:val="20"/>
          <w:color w:val="auto"/>
        </w:rPr>
      </w:pPr>
    </w:p>
    <w:p>
      <w:pPr>
        <w:ind w:right="60" w:firstLine="385"/>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may enable our management to resist a change in control. For example, our Board of Directors is classified so that not all members of our Board of Directors are elected at one time and our Board of Directors is authorized, without prior stockholder approval, to create and issue “blank check” preferred stock with rights senior to those of our common stock and stockholder action by written consent is prohibited. We are also subject to the provisions of Section 203 of the Delaware General Corporation Law, which may prohibit certain business combinations with stockholders owning 15% or more of our outstanding voting stock. These provisions may discourage, delay or prevent a change in the ownership of our Company or a change in our management. In addition, these provisions could limit the price that investors would be willing to pay in the future for shares of our common stock. Any delay or prevention of a change of control transaction or changes in our Board of Directors could cause the market price of our common stock to decline.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health crises, pandemics, epidemics or other outbreaks could adversely impact our business, operations and financial results.</w:t>
      </w:r>
    </w:p>
    <w:p>
      <w:pPr>
        <w:spacing w:after="0" w:line="172" w:lineRule="exact"/>
        <w:rPr>
          <w:sz w:val="20"/>
          <w:szCs w:val="20"/>
          <w:color w:val="auto"/>
        </w:rPr>
      </w:pPr>
    </w:p>
    <w:p>
      <w:pPr>
        <w:ind w:right="160" w:firstLine="385"/>
        <w:spacing w:after="0" w:line="253" w:lineRule="auto"/>
        <w:rPr>
          <w:sz w:val="20"/>
          <w:szCs w:val="20"/>
          <w:color w:val="auto"/>
        </w:rPr>
      </w:pPr>
      <w:r>
        <w:rPr>
          <w:rFonts w:ascii="Times New Roman" w:cs="Times New Roman" w:eastAsia="Times New Roman" w:hAnsi="Times New Roman"/>
          <w:sz w:val="18"/>
          <w:szCs w:val="18"/>
          <w:color w:val="auto"/>
        </w:rPr>
        <w:t>We are subject to risks associated with global health crises, pandemics, epidemics or other outbreaks beyond our control which could adversely affect our business, operations and financial results. Such risks may also have the effect of heightening other risks described herein, such as those relating to general economic conditions, demand for our products, relationships with suppliers and sales efforts. For example, impacts from the COVID-19 pandemic and measures taken in response thereto, such as constraints in the capacities of hospitals and other healthcare providers to perform non-COVID related procedures, changes to our on-site operations, delays in product development efforts and related clinical trials and regulatory clearances and approvals, and disruptions to global supply chains and labor markets, resulting in cost inflation and raw material supply constraints, adversely affected our business and there can be no assurance that similar events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negatively impacted by Environmental, Social and Governance (ESG), climate change and other sustainability-related matters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80" w:firstLine="402"/>
        <w:spacing w:after="0" w:line="252" w:lineRule="auto"/>
        <w:rPr>
          <w:sz w:val="20"/>
          <w:szCs w:val="20"/>
          <w:color w:val="auto"/>
        </w:rPr>
      </w:pPr>
      <w:r>
        <w:rPr>
          <w:rFonts w:ascii="Times New Roman" w:cs="Times New Roman" w:eastAsia="Times New Roman" w:hAnsi="Times New Roman"/>
          <w:sz w:val="18"/>
          <w:szCs w:val="18"/>
          <w:color w:val="auto"/>
        </w:rPr>
        <w:t>Governments, investors, customers, employees and other stakeholders are increasingly focusing on corporate ESG practices and disclosures, including risks associated with climate change and expectations in this area are rapidly evolving. Shifts in weather patterns caused by climate change are expected to increase the frequency and severity of adverse weather conditions such as hurricanes, tornadoes, earthquakes, wildfires, droughts, extreme temperatures or flooding, which could cause or contribute to reduced workforce availability, increased production and distribution costs and disruptions and delays in our logistics and supply chain/operations as well as the operations of our customers. The increasing attention to corporate ESG initiatives and ESG risks could result in reduced demand for products, reduced profits and increased investigations and litigation. If we are unable to satisfy any new criteria by which our ESG practices may be assessed, investors may conclude that our policies and/or actions with respect to ESG matters and risks are inadequate. If we fail or are perceived to have failed to accurately disclose our progress on such initiatives or goals, our reputation, business, financial condition and results of operations could be adversely impacted.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REGULATORY ENVIRONMENT</w:t>
      </w:r>
    </w:p>
    <w:p>
      <w:pPr>
        <w:spacing w:after="0" w:line="168" w:lineRule="exact"/>
        <w:rPr>
          <w:sz w:val="20"/>
          <w:szCs w:val="20"/>
          <w:color w:val="auto"/>
        </w:rPr>
      </w:pPr>
    </w:p>
    <w:p>
      <w:pPr>
        <w:ind w:right="70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comprehensive system of federal, state and international laws and regulations, and we could be the subject of investigations, enforcement actions or face lawsuits and monetary or equitable judgments.</w:t>
      </w:r>
    </w:p>
    <w:p>
      <w:pPr>
        <w:spacing w:after="0" w:line="105" w:lineRule="exact"/>
        <w:rPr>
          <w:sz w:val="20"/>
          <w:szCs w:val="20"/>
          <w:color w:val="auto"/>
        </w:rPr>
      </w:pPr>
    </w:p>
    <w:p>
      <w:pPr>
        <w:ind w:firstLine="385"/>
        <w:spacing w:after="0" w:line="252" w:lineRule="auto"/>
        <w:rPr>
          <w:sz w:val="20"/>
          <w:szCs w:val="20"/>
          <w:color w:val="auto"/>
        </w:rPr>
      </w:pPr>
      <w:r>
        <w:rPr>
          <w:rFonts w:ascii="Times New Roman" w:cs="Times New Roman" w:eastAsia="Times New Roman" w:hAnsi="Times New Roman"/>
          <w:sz w:val="18"/>
          <w:szCs w:val="18"/>
          <w:color w:val="auto"/>
        </w:rPr>
        <w:t>We operate in many parts of the world, and our operations are affected by complex state, federal and international laws relating to healthcare, environmental protection, antitrust, anti-corruption, anti-bribery, fraud and abuse, export control, tax, employment and laws regarding privacy, personally identifiable information and protected health information, including, for example, the Food, Drug and Cosmetic Act (“FDCA”), various FDA and international regulations relating to, among other things, the development, quality assurance, manufacturing, importation, distribution, marketing and sale of, and billing for, our products, the federal Anti-Kickback Statute and Federal False Claims Act (Note 17), the U.S. Foreign Corrupt Practices Act (“FCPA”) and similar anti-bribery laws in international jurisdictions, including the UK Anti-Bribery Act, the federal Health Insurance Portability and Accountability Act of 1996 (“HIPAA”), General Data Protection Regulation (“GDPR”), domestic and foreign data protection, data security and privacy laws, laws related to the collection, storage, use and disclosure of personal data and laws and regulations relating to sanctions and money laundering.</w:t>
      </w:r>
    </w:p>
    <w:p>
      <w:pPr>
        <w:spacing w:after="0" w:line="136" w:lineRule="exact"/>
        <w:rPr>
          <w:sz w:val="20"/>
          <w:szCs w:val="20"/>
          <w:color w:val="auto"/>
        </w:rPr>
      </w:pPr>
    </w:p>
    <w:p>
      <w:pPr>
        <w:ind w:right="60" w:firstLine="402"/>
        <w:spacing w:after="0" w:line="269" w:lineRule="auto"/>
        <w:rPr>
          <w:sz w:val="20"/>
          <w:szCs w:val="20"/>
          <w:color w:val="auto"/>
        </w:rPr>
      </w:pPr>
      <w:r>
        <w:rPr>
          <w:rFonts w:ascii="Times New Roman" w:cs="Times New Roman" w:eastAsia="Times New Roman" w:hAnsi="Times New Roman"/>
          <w:sz w:val="17"/>
          <w:szCs w:val="17"/>
          <w:color w:val="auto"/>
        </w:rPr>
        <w:t>The failure to comply with these laws and regulatory standards, allegations of such non-compliance or the discovery of previously unknown problems with a product or manufacturer: (i) could result in FDA Form-483 notices and/or warning letters or the foreign equivalent, fines, delays or suspensions of regulatory clearances, investigations, detainment, seizures or recalls of products (with the attendant expenses), the banning of a particular device, an order to replace or refund the cost of any device previously manufactured or distributed, operating restrictions and/or civil or criminal prosecution, and/or penalties, as well as decreased sales as a result of negative publicity and product liability claims; (ii) could expose us to breach of contract claims, fines and penalties, costs for remediation and harm to our reputation; (iii) could result in criminal or civil sanctions, including substantial fines, imprisonment and exclusion from participation in healthcare programs such as Medicare and Medicaid and health programs outside the United States; and (iv) could otherwise disrupt our business and could have a material adverse effect on our business, financial condition, results of operations and/or liquidity.</w:t>
      </w:r>
    </w:p>
    <w:p>
      <w:pPr>
        <w:spacing w:after="0" w:line="12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healthcare industry is under continued scrutiny from state, federal and international governments, including with respect to industry practices in the area of sales and marketing. Certain states, including Massachusetts, have recently passed or are considering legislation restricting our interactions with health care providers and requiring disclosure of many payments to them. The federal government has recently introduced similar legislation, which may or may not preempt state laws. If our marketing, sales or other activities fail to comply with the FDA’s or other comparable foreign regulatory agencies’ regulations or guidelines, or other applicable laws, we may be subject to warnings from the FDA or investigations or enforcement actions from the FDA, Medicare, the Office of Inspector General of the U.S. Department of Health and Human Services or other government agencies or enforcement bodies. We anticipate that the government will continue to scrutinize our industry closely, and that additional regulation by governmental authorities may increase compliance costs, increase exposure to litigation and may have other adverse effects to our operations. The Company’s failure to comply with any marketing or sales regulations or any other applicable regulatory requirements could adversely affect our business, results of operations, financial condition and/or liquidity.</w:t>
      </w:r>
    </w:p>
    <w:p>
      <w:pPr>
        <w:spacing w:after="0" w:line="138"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In addition, lawsuits by or otherwise involving employees, customers, licensors, licensees, suppliers, vendors, business partners, distributors, shareholders or competitors with respect to how we conduct our business could be very costly and could substantially disrupt our business. The occurrence of an adverse monetary or equitable judgment or a large expenditure in connection with a settlement of any of these matters could have a material adverse effect on our business, financial condition, results of operations and/or liquidity.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7" w:name="page28"/>
    <w:bookmarkEnd w:id="27"/>
    <w:p>
      <w:pPr>
        <w:ind w:right="3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we or some of our suppliers fail to comply with the FDA’s Quality System Regulation, or QSR, and other applicable post-market requirements, our manufacturing operations could be disrupted, our product sales and profitability could suffer, and we may be subject to a wide variety of FDA enforcement actions.</w:t>
      </w:r>
    </w:p>
    <w:p>
      <w:pPr>
        <w:spacing w:after="0" w:line="12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Our manufacturing processes and those of some of our suppliers must comply with the FDA’s Quality System Regulation, or QSR, which governs the methods used in, and the facilities and controls used for, the design, testing, manufacture, control, quality assurance, installation, servicing, labeling, packaging, storage and shipping of medical devices, and with current medical device adverse event reporting regulations, and similar foreign rules and regulations. The FDA enforces the QSR through unannounced inspections. Despite our training and compliance programs, our internal control policies and procedures may not always protect us from negligent, reckless or criminal acts committed by our employees or agents. If we, or one of our suppliers, fail a QSR inspection, or if a corrective action plan adopted by us or one of our suppliers is not sufficient, the FDA may bring an enforcement action, and our operations could be disrupted and our manufacturing delayed. We are also subject to the FDA’s general prohibition against promoting our products for unapproved or “off-label” uses, the FDA’s adverse event reporting requirements and the FDA’s reporting requirements for field correction or product removals. The FDA has recently placed increased emphasis on its scrutiny of compliance with the QSR and these other post-market requirements. In addition, most other countries require us and our suppliers to comply with manufacturing and quality assurance standards for medical devices that are similar to those in force in the United States before marketing and selling our products in those countries. If we, or our suppliers, should fail to do so, we would lose our ability to market and sell our products in those countries.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obtain and maintain marketing clearance or approval from governmental agencies, we will not be able to sell our products.</w:t>
      </w:r>
    </w:p>
    <w:p>
      <w:pPr>
        <w:spacing w:after="0" w:line="172"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Our products are medical devices that are subject to extensive regulation in the United States and in the foreign countries in which they are sold. Unless an exemption applies, each medical device that we wish to market in the United States must receive either 510(k) clearance or Pre-Market Approval (“PMA”) from the FDA before the product can be sold. Either process can be lengthy and expensive. The FDA’s 510(k) clearance procedure, also known as “premarket notification,” is the process we have used for our current products. This process usually takes from four to twelve months from the date the premarket notification is submitted to the FDA, but may take significantly longer. Even after a device receives regulatory approval it remains subject to significant regulatory and quality requirements, such as manufacturing, recordkeeping, renewal, recertification or reporting and other post market approval requirements, which may include clinical, laboratory or other studies.</w:t>
      </w:r>
    </w:p>
    <w:p>
      <w:pPr>
        <w:spacing w:after="0" w:line="133"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Product approvals by the FDA and other foreign regulators can be withdrawn due to failure to comply with regulatory standards or the occurrence of unforeseen problems following initial approval or may be re-classified to a higher regulatory classification, such as requiring a PMA for a previously cleared 510(k) device. The PMA process is much more costly, lengthy and uncertain. It generally takes from one to three years from the date the application is submitted to, and filed with the FDA, and may take even longer. In addition, any modification to an FDA-cleared medical device that could significantly affect its safety or effectiveness, or that would constitute a major change or modification in its intended use, requires a new FDA 510(k) clearance or, possibly, a PMA.</w:t>
      </w:r>
    </w:p>
    <w:p>
      <w:pPr>
        <w:spacing w:after="0" w:line="132"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Regulatory regimes in other countries similarly require approval or clearance prior to our marketing or selling products in those countries. We rely on our distributors to obtain regulatory clearances or approvals of our products outside of the United States. If we are unable to obtain additional clearances or approvals needed to market existing or new products in the United States or elsewhere or obtain these clearances or approvals in a timely fashion or at all, or if our existing clearances are revoked, our revenues and profitability may decline.</w:t>
      </w:r>
    </w:p>
    <w:p>
      <w:pPr>
        <w:spacing w:after="0" w:line="128" w:lineRule="exact"/>
        <w:rPr>
          <w:sz w:val="20"/>
          <w:szCs w:val="20"/>
          <w:color w:val="auto"/>
        </w:rPr>
      </w:pPr>
    </w:p>
    <w:p>
      <w:pPr>
        <w:ind w:right="20" w:firstLine="402"/>
        <w:spacing w:after="0" w:line="253" w:lineRule="auto"/>
        <w:rPr>
          <w:sz w:val="20"/>
          <w:szCs w:val="20"/>
          <w:color w:val="auto"/>
        </w:rPr>
      </w:pPr>
      <w:r>
        <w:rPr>
          <w:rFonts w:ascii="Times New Roman" w:cs="Times New Roman" w:eastAsia="Times New Roman" w:hAnsi="Times New Roman"/>
          <w:sz w:val="18"/>
          <w:szCs w:val="18"/>
          <w:color w:val="auto"/>
        </w:rPr>
        <w:t>We have obtained Medical Device Regulation ("MDR") approvals for our principal products sold in the European Union ("EU") ahead of expiration dates. Maintaining MDR approval requires annual random sampling of CE marked products including ensuring new and updated test standards are achieved, post-market clinical data is collected and product performance expectations are achieved as demonstrated through post-market surveillance. For multiple reasons, including but not limited to changing business strategies, labor shortages and contract resources, administrative delays, increased costs of obtaining MDR certification and availability of necessary data, certain products will not continue to be CE marked under MDR. The additional time and resources required to obtain MDR certification was a significant factor in, and the diligence required to maintain the CE mark under MDR will likely continue to influence, our decisions whether to discontinue sales and distribution of certain products in the EU.</w:t>
      </w:r>
    </w:p>
    <w:p>
      <w:pPr>
        <w:spacing w:after="0" w:line="133"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Complying with and obtaining regulatory approval in foreign countries, including our efforts to comply with the requirements of the MDR, have and will likely continue to lead to additional uncertainty, risk, expense and delay in commercializing products in certain foreign jurisdictions, which could have a material adverse effect on our business, financial condition and/or results of operations.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 which may harm our reputation and divert managerial and financial resources.</w:t>
      </w:r>
    </w:p>
    <w:p>
      <w:pPr>
        <w:spacing w:after="0" w:line="172" w:lineRule="exact"/>
        <w:rPr>
          <w:sz w:val="20"/>
          <w:szCs w:val="20"/>
          <w:color w:val="auto"/>
        </w:rPr>
      </w:pPr>
    </w:p>
    <w:p>
      <w:pPr>
        <w:ind w:right="140" w:firstLine="385"/>
        <w:spacing w:after="0" w:line="252"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have the authority to order mandatory recall of our products or order their removal from the market if there are material deficiencies or defects in design, manufacture, installation, servicing or labeling of the product, or if the governmental entity finds that our products would cause serious adverse health consequences. A government mandated recall, voluntary recall or field action by us could occur as a result of component failures, manufacturing errors or design defects, including labeling defects. Any recall of our products may harm our reputation with customers and divert managerial, engineering and financial resources. There is no assurance that we will not incur warranty or repair costs, be subject to liability claims for damages related to product defects, or experience manufacturing, shipping or other delays or interruptions as a result of these defects in the future. Our insurance policies may not provide sufficient protection should a claim be asserted. A recall of any of our products could harm our reputation, divert managerial and financial resources and have a material adverse effect on our business, financial condition, results of operations and/or liquidity.</w:t>
      </w:r>
    </w:p>
    <w:p>
      <w:pPr>
        <w:spacing w:after="0" w:line="12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fines, penalties, injunctions or costly investigations if we are determined to be promoting the use of our products for unapproved or “off-label” uses.</w:t>
      </w:r>
    </w:p>
    <w:p>
      <w:pPr>
        <w:spacing w:after="0" w:line="105" w:lineRule="exact"/>
        <w:rPr>
          <w:sz w:val="20"/>
          <w:szCs w:val="20"/>
          <w:color w:val="auto"/>
        </w:rPr>
      </w:pPr>
    </w:p>
    <w:p>
      <w:pPr>
        <w:ind w:right="80" w:firstLine="385"/>
        <w:spacing w:after="0" w:line="252" w:lineRule="auto"/>
        <w:rPr>
          <w:sz w:val="20"/>
          <w:szCs w:val="20"/>
          <w:color w:val="auto"/>
        </w:rPr>
      </w:pPr>
      <w:r>
        <w:rPr>
          <w:rFonts w:ascii="Times New Roman" w:cs="Times New Roman" w:eastAsia="Times New Roman" w:hAnsi="Times New Roman"/>
          <w:sz w:val="18"/>
          <w:szCs w:val="18"/>
          <w:color w:val="auto"/>
        </w:rPr>
        <w:t>Medical devices are cleared or approved for one or more specific intended uses and promoting a device for an off-label use could result in government enforcement action. If the FDA determines that our promotional materials, sales techniques, pricing programs or training constitutes promotion of an off-label use or encourages over-utilization of our products or use of our products in combinations that are not indicated or appropriate, the FDA could request that we modify materials, techniques, programs or training or subject us to enforcement actions, including the issuance of a warning letter, injunction, seizure, civil fine and criminal penalties. It is also possible that other federal, state or foreign enforcement authorities, including the U.S. Department of Justice ("DOJ"), might take similar actions, which could result in significant fines or penalties under other statutory authorities, such as laws prohibiting false claims for reimbursement. Any of these results could have a material adverse effect on our business, financial condition, results of operations and/or liquidity.</w:t>
      </w:r>
    </w:p>
    <w:p>
      <w:pPr>
        <w:spacing w:after="0" w:line="13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Laws and regulations governing the export of our products could adversely impact our business. If the U.S. government imposes strict sanctions on certain countries, our revenue could be impacted.</w:t>
      </w:r>
    </w:p>
    <w:p>
      <w:pPr>
        <w:spacing w:after="0" w:line="105" w:lineRule="exact"/>
        <w:rPr>
          <w:sz w:val="20"/>
          <w:szCs w:val="20"/>
          <w:color w:val="auto"/>
        </w:rPr>
      </w:pPr>
    </w:p>
    <w:p>
      <w:pPr>
        <w:ind w:right="220" w:firstLine="385"/>
        <w:spacing w:after="0" w:line="263" w:lineRule="auto"/>
        <w:rPr>
          <w:sz w:val="20"/>
          <w:szCs w:val="20"/>
          <w:color w:val="auto"/>
        </w:rPr>
      </w:pPr>
      <w:r>
        <w:rPr>
          <w:rFonts w:ascii="Times New Roman" w:cs="Times New Roman" w:eastAsia="Times New Roman" w:hAnsi="Times New Roman"/>
          <w:sz w:val="18"/>
          <w:szCs w:val="18"/>
          <w:color w:val="auto"/>
        </w:rPr>
        <w:t>The U.S. Department of the Treasury’s Office of Foreign Assets Control (OFAC), and the Bureau of Industry and Security at the U.S. Department of Commerce (BIS), administer certain laws and regulations that restrict U.S. persons and, in some instances, non-U.S. persons, in conducting activities, transacting business with or making investments in certain countries, governments, entities and individuals subject to U.S. economic sanctions.</w:t>
      </w:r>
    </w:p>
    <w:p>
      <w:pPr>
        <w:spacing w:after="0" w:line="123" w:lineRule="exact"/>
        <w:rPr>
          <w:sz w:val="20"/>
          <w:szCs w:val="20"/>
          <w:color w:val="auto"/>
        </w:rPr>
      </w:pPr>
    </w:p>
    <w:p>
      <w:pPr>
        <w:ind w:right="300" w:firstLine="402"/>
        <w:spacing w:after="0" w:line="263" w:lineRule="auto"/>
        <w:rPr>
          <w:sz w:val="20"/>
          <w:szCs w:val="20"/>
          <w:color w:val="auto"/>
        </w:rPr>
      </w:pPr>
      <w:r>
        <w:rPr>
          <w:rFonts w:ascii="Times New Roman" w:cs="Times New Roman" w:eastAsia="Times New Roman" w:hAnsi="Times New Roman"/>
          <w:sz w:val="18"/>
          <w:szCs w:val="18"/>
          <w:color w:val="auto"/>
        </w:rPr>
        <w:t>Due to our international operations, we are subject to such laws and regulations, which are complex, restrict our business dealings with certain countries and individuals, and are constantly changing. Further restrictions may be enacted, amended, enforced or interpreted in a manner that materially impacts our operations.</w:t>
      </w:r>
    </w:p>
    <w:p>
      <w:pPr>
        <w:spacing w:after="0" w:line="123" w:lineRule="exact"/>
        <w:rPr>
          <w:sz w:val="20"/>
          <w:szCs w:val="20"/>
          <w:color w:val="auto"/>
        </w:rPr>
      </w:pPr>
    </w:p>
    <w:p>
      <w:pPr>
        <w:ind w:right="400" w:firstLine="385"/>
        <w:spacing w:after="0" w:line="278" w:lineRule="auto"/>
        <w:rPr>
          <w:sz w:val="20"/>
          <w:szCs w:val="20"/>
          <w:color w:val="auto"/>
        </w:rPr>
      </w:pPr>
      <w:r>
        <w:rPr>
          <w:rFonts w:ascii="Times New Roman" w:cs="Times New Roman" w:eastAsia="Times New Roman" w:hAnsi="Times New Roman"/>
          <w:sz w:val="18"/>
          <w:szCs w:val="18"/>
          <w:color w:val="auto"/>
        </w:rPr>
        <w:t>In fiscal year 2025 we generated $0.6 million of revenue for sales to distributors doing business in Iran. We continuously review our ability to sell products to distributors that conduct business in Iran in accordance with all applicable U.S. laws.</w:t>
      </w:r>
    </w:p>
    <w:p>
      <w:pPr>
        <w:spacing w:after="0" w:line="110" w:lineRule="exact"/>
        <w:rPr>
          <w:sz w:val="20"/>
          <w:szCs w:val="20"/>
          <w:color w:val="auto"/>
        </w:rPr>
      </w:pPr>
    </w:p>
    <w:p>
      <w:pPr>
        <w:ind w:right="60" w:firstLine="385"/>
        <w:spacing w:after="0" w:line="272" w:lineRule="auto"/>
        <w:rPr>
          <w:sz w:val="20"/>
          <w:szCs w:val="20"/>
          <w:color w:val="auto"/>
        </w:rPr>
      </w:pPr>
      <w:r>
        <w:rPr>
          <w:rFonts w:ascii="Times New Roman" w:cs="Times New Roman" w:eastAsia="Times New Roman" w:hAnsi="Times New Roman"/>
          <w:sz w:val="17"/>
          <w:szCs w:val="17"/>
          <w:color w:val="auto"/>
        </w:rPr>
        <w:t>We have limited business dealings in certain other countries that are or may become subject to comprehensive sanctions. These business dealings may expose us to a heightened risk of violating applicable sanctions regulations. Violations of these regulations are punishable by civil penalties, including fines, denial of export privileges, injunctions, asset seizures, debarment from government contracts, revocations or restrictions of licenses, and/or criminal fines and imprisonment. We have established policies and procedures designed to assist with our compliance with such laws and regulations. However, there can be no assurance that our policies and procedures will effectively prevent us from violating these regulations in every transaction in which we may engage, and such a violation could adversely affect our reputation, business, financial condition, results of operations and cash flows.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68" w:lineRule="exact"/>
        <w:rPr>
          <w:sz w:val="20"/>
          <w:szCs w:val="20"/>
          <w:color w:val="auto"/>
        </w:rPr>
      </w:pPr>
    </w:p>
    <w:p>
      <w:pPr>
        <w:ind w:right="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protect our intellectual property rights, we may not be able to generate revenues from new or existing products and our business may suffer.</w:t>
      </w:r>
    </w:p>
    <w:p>
      <w:pPr>
        <w:spacing w:after="0" w:line="105"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Our success depends in part on obtaining, maintaining and enforcing our patents, trademarks and other proprietary rights, and our ability to avoid infringing the proprietary rights of others. We rely upon patent, trade secret, copyright, know-how and trademark laws, as well as license agreements and contractual provisions, to establish our intellectual property rights and protect our products. However, no assurances can be made that any pending or future patent applications will result in the issuance of</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29" w:name="page30"/>
    <w:bookmarkEnd w:id="29"/>
    <w:p>
      <w:pPr>
        <w:ind w:right="20"/>
        <w:spacing w:after="0" w:line="278" w:lineRule="auto"/>
        <w:rPr>
          <w:sz w:val="20"/>
          <w:szCs w:val="20"/>
          <w:color w:val="auto"/>
        </w:rPr>
      </w:pPr>
      <w:r>
        <w:rPr>
          <w:rFonts w:ascii="Times New Roman" w:cs="Times New Roman" w:eastAsia="Times New Roman" w:hAnsi="Times New Roman"/>
          <w:sz w:val="18"/>
          <w:szCs w:val="18"/>
          <w:color w:val="auto"/>
        </w:rPr>
        <w:t>patents, that any current or future patents issued to, or licensed by us, will not be challenged or circumvented by our competitors, or that our patents will not be found invalid.</w:t>
      </w:r>
    </w:p>
    <w:p>
      <w:pPr>
        <w:spacing w:after="0" w:line="110"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Patent positions of medical device companies, including our Company, are uncertain and involve complex and evolving legal and factual questions. The coverage sought in a patent application can be denied or significantly reduced either before or after the patent is issued. Consequently, there can be no assurance that any of our pending patent applications will result in an issued patent. There is also no assurance that any existing or future patent will provide significant protection or commercial advantage, or whether any existing or future patent will be circumvented by a more basic patent, thus requiring us to obtain a license to produce and sell the product.</w:t>
      </w:r>
    </w:p>
    <w:p>
      <w:pPr>
        <w:spacing w:after="0" w:line="132" w:lineRule="exact"/>
        <w:rPr>
          <w:sz w:val="20"/>
          <w:szCs w:val="20"/>
          <w:color w:val="auto"/>
        </w:rPr>
      </w:pPr>
    </w:p>
    <w:p>
      <w:pPr>
        <w:ind w:right="20" w:firstLine="385"/>
        <w:spacing w:after="0" w:line="252" w:lineRule="auto"/>
        <w:rPr>
          <w:sz w:val="20"/>
          <w:szCs w:val="20"/>
          <w:color w:val="auto"/>
        </w:rPr>
      </w:pPr>
      <w:r>
        <w:rPr>
          <w:rFonts w:ascii="Times New Roman" w:cs="Times New Roman" w:eastAsia="Times New Roman" w:hAnsi="Times New Roman"/>
          <w:sz w:val="18"/>
          <w:szCs w:val="18"/>
          <w:color w:val="auto"/>
        </w:rPr>
        <w:t>Additionally, we rely on trade secret protection for certain unpatented aspects of our proprietary technology. There can be no assurance that others will not independently develop or otherwise acquire substantially equivalent proprietary information or techniques, that others will not gain access to our proprietary technology or disclose such technology, or that we can meaningfully protect our trade secrets. We have a policy of requiring key employees and consultants to execute confidentiality agreements upon the commencement of an employment or consulting relationship with us. Our confidentiality agreements also require our employees to assign to us all rights to any inventions made or conceived during their employment with us. We also generally require our consultants to assign to us any inventions made during the course of their engagement by us. There can be no assurance, however, that these agreements will provide meaningful protection or adequate remedies for us in the event of unauthorized use, transfer or disclosure of confidential information or inventions. If we are not able to adequately protect our intellectual property, our market share, financial condition and results of operations may suffer.</w:t>
      </w:r>
    </w:p>
    <w:p>
      <w:pPr>
        <w:spacing w:after="0" w:line="129" w:lineRule="exact"/>
        <w:rPr>
          <w:sz w:val="20"/>
          <w:szCs w:val="20"/>
          <w:color w:val="auto"/>
        </w:rPr>
      </w:pPr>
    </w:p>
    <w:p>
      <w:pPr>
        <w:ind w:right="58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If third parties claim that our products infringe their intellectual property rights, we may be forced to expend significant financial resources and management time defending against such actions and our financial condition and our results of operations could suffer.</w:t>
      </w:r>
    </w:p>
    <w:p>
      <w:pPr>
        <w:spacing w:after="0" w:line="105" w:lineRule="exact"/>
        <w:rPr>
          <w:sz w:val="20"/>
          <w:szCs w:val="20"/>
          <w:color w:val="auto"/>
        </w:rPr>
      </w:pPr>
    </w:p>
    <w:p>
      <w:pPr>
        <w:ind w:right="40" w:firstLine="385"/>
        <w:spacing w:after="0" w:line="252" w:lineRule="auto"/>
        <w:rPr>
          <w:sz w:val="20"/>
          <w:szCs w:val="20"/>
          <w:color w:val="auto"/>
        </w:rPr>
      </w:pPr>
      <w:r>
        <w:rPr>
          <w:rFonts w:ascii="Times New Roman" w:cs="Times New Roman" w:eastAsia="Times New Roman" w:hAnsi="Times New Roman"/>
          <w:sz w:val="18"/>
          <w:szCs w:val="18"/>
          <w:color w:val="auto"/>
        </w:rPr>
        <w:t>Third parties may claim that our products infringe their patents and other intellectual property rights. Identifying third-party patent rights can be particularly difficult because, in general, patent applications can be maintained in secrecy for at least 18 months after their earliest priority date, and publication of discoveries in the scientific or patent literature often lag behind actual discoveries. Some companies in the medical device industry have used intellectual property infringement litigation to gain a competitive advantage. If a competitor were to challenge our patents, licenses or other intellectual property rights, or assert that our products infringe its patent or other intellectual property rights, we could incur substantial litigation costs, be forced to make expensive changes to our product design, pay royalties or other fees to license rights in order to continue manufacturing and selling our products, or pay substantial damages. Third-party infringement claims, regardless of their outcome, would not only consume our financial resources but also divert our management’s time and effort.</w:t>
      </w:r>
    </w:p>
    <w:p>
      <w:pPr>
        <w:spacing w:after="0" w:line="136" w:lineRule="exact"/>
        <w:rPr>
          <w:sz w:val="20"/>
          <w:szCs w:val="20"/>
          <w:color w:val="auto"/>
        </w:rPr>
      </w:pPr>
    </w:p>
    <w:p>
      <w:pPr>
        <w:ind w:right="100" w:firstLine="402"/>
        <w:spacing w:after="0" w:line="263" w:lineRule="auto"/>
        <w:rPr>
          <w:sz w:val="20"/>
          <w:szCs w:val="20"/>
          <w:color w:val="auto"/>
        </w:rPr>
      </w:pPr>
      <w:r>
        <w:rPr>
          <w:rFonts w:ascii="Times New Roman" w:cs="Times New Roman" w:eastAsia="Times New Roman" w:hAnsi="Times New Roman"/>
          <w:sz w:val="18"/>
          <w:szCs w:val="18"/>
          <w:color w:val="auto"/>
        </w:rPr>
        <w:t>Such claims could also cause our customers or potential customers to purchase competitors’ products or defer or limit their purchase or use of our affected products until resolution of the claim. See Part I, Item 3 "Legal Proceedings" of this report for additional details on litigation regarding proprietary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STOCK PRICE</w:t>
      </w:r>
    </w:p>
    <w:p>
      <w:pPr>
        <w:spacing w:after="0" w:line="168" w:lineRule="exact"/>
        <w:rPr>
          <w:sz w:val="20"/>
          <w:szCs w:val="20"/>
          <w:color w:val="auto"/>
        </w:rPr>
      </w:pPr>
    </w:p>
    <w:p>
      <w:pPr>
        <w:ind w:right="460"/>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Our future operating results are difficult to predict and may vary significantly from quarter to quarter, which may adversely affect the price of our common stock.</w:t>
      </w:r>
    </w:p>
    <w:p>
      <w:pPr>
        <w:spacing w:after="0" w:line="105"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ongoing introduction of new products and services that affect our overall product mix make the prediction of future operating results difficult. You should not rely on our past results as any indication of future operating results. The price of our common stock will likely fall in the event that our operating results do not meet the expectations of analysts and investors. Comparisons of our quarterly operating results are an unreliable indication of our future performance because they are likely to vary significantly based on many factors, including:</w:t>
      </w:r>
    </w:p>
    <w:p>
      <w:pPr>
        <w:spacing w:after="0" w:line="128" w:lineRule="exact"/>
        <w:rPr>
          <w:sz w:val="20"/>
          <w:szCs w:val="20"/>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sales of our products and services in our markets;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or services and enhancements in a timely manner;</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acceptance of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competition and the introduction of alternative products or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command favorable pricing for our products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the market for our devices and services;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rate of success of our direct sales force in the United States and internationally and our independent distributors internationally;</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relating to ongoing FDA compliance;</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assets or companies;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intellectual property disputes;</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5" w:right="399" w:bottom="1440" w:gutter="0" w:footer="0" w:header="0"/>
        </w:sectPr>
      </w:pPr>
    </w:p>
    <w:bookmarkStart w:id="30" w:name="page31"/>
    <w:bookmarkEnd w:id="30"/>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timing of orders from independent distributors or customers;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key personnel, particularly in sales and marketing, regulatory, manufacturing and research and development;</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delays or an inability to control costs;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inflationary pressure, as well as those specific to our customers and markets;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fluctuations in revenue due to the elective nature of some procedures.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which may cause the value of our stock to decline or subject us to a securities class action litigation.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price may be volatile and could be subject to wide fluctuations in price in response to various factors, many of which are beyond our control, attributable to outside factors and/or unrelated to operating performance. Such factors may include comments by securities analysts or other third parties, including blogs, articles, message boards and social and other media coverage which may not be attributable to us and may not be reliable or accurate.</w:t>
      </w:r>
    </w:p>
    <w:p>
      <w:pPr>
        <w:spacing w:after="0" w:line="128" w:lineRule="exact"/>
        <w:rPr>
          <w:sz w:val="20"/>
          <w:szCs w:val="20"/>
          <w:color w:val="auto"/>
        </w:rPr>
      </w:pPr>
    </w:p>
    <w:p>
      <w:pPr>
        <w:ind w:right="180" w:firstLine="385"/>
        <w:spacing w:after="0" w:line="258" w:lineRule="auto"/>
        <w:rPr>
          <w:sz w:val="20"/>
          <w:szCs w:val="20"/>
          <w:color w:val="auto"/>
        </w:rPr>
      </w:pPr>
      <w:r>
        <w:rPr>
          <w:rFonts w:ascii="Times New Roman" w:cs="Times New Roman" w:eastAsia="Times New Roman" w:hAnsi="Times New Roman"/>
          <w:sz w:val="18"/>
          <w:szCs w:val="18"/>
          <w:color w:val="auto"/>
        </w:rPr>
        <w:t>The NASDAQ Stock Market and medical devices companies in particular have experienced substantial price and volume volatility that is often seemingly unrelated to the operating performance of the companies. These broad market fluctuations may cause the trading price of our common stock to decline. In the past, securities class action litigation has often been brought against a company after a period of volatility in the market price of its common stock.</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 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72" w:lineRule="exact"/>
        <w:rPr>
          <w:sz w:val="20"/>
          <w:szCs w:val="20"/>
          <w:color w:val="auto"/>
        </w:rPr>
      </w:pPr>
    </w:p>
    <w:p>
      <w:pPr>
        <w:ind w:firstLine="402"/>
        <w:spacing w:after="0" w:line="278" w:lineRule="auto"/>
        <w:rPr>
          <w:sz w:val="20"/>
          <w:szCs w:val="20"/>
          <w:color w:val="auto"/>
        </w:rPr>
      </w:pPr>
      <w:r>
        <w:rPr>
          <w:rFonts w:ascii="Times New Roman" w:cs="Times New Roman" w:eastAsia="Times New Roman" w:hAnsi="Times New Roman"/>
          <w:sz w:val="18"/>
          <w:szCs w:val="18"/>
          <w:color w:val="auto"/>
        </w:rPr>
        <w:t>We have designed and implemented a cybersecurity risk management program to help us identify, assess, and mitigate cybersecurity risks relevant to our business, based on the National Institute of Standards and Technology (NIST) Cyber Security Framework 2.0.</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cybersecurity risk management program includes:</w:t>
      </w:r>
    </w:p>
    <w:p>
      <w:pPr>
        <w:spacing w:after="0" w:line="168" w:lineRule="exact"/>
        <w:rPr>
          <w:sz w:val="20"/>
          <w:szCs w:val="20"/>
          <w:color w:val="auto"/>
        </w:rPr>
      </w:pPr>
    </w:p>
    <w:p>
      <w:pPr>
        <w:ind w:left="640" w:hanging="312"/>
        <w:spacing w:after="0" w:line="259"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dedicated third-party cybersecurity professionals who analyze cybersecurity threats, define cybersecurity policy and requirements, implement protections, and monitor and respond to cybersecurity incidents;</w:t>
      </w: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regulatory based risk assessments for the Company’s systems and applications (where required);</w:t>
      </w:r>
    </w:p>
    <w:p>
      <w:pPr>
        <w:spacing w:after="0" w:line="7"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incident response plan, in which incidents are classified based upon the severity, impact, and the potential harm that can be caused by the incident;</w:t>
      </w: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security training program for all employees, including phishing awareness training;</w:t>
      </w:r>
    </w:p>
    <w:p>
      <w:pPr>
        <w:spacing w:after="0" w:line="7"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closely with application development and infrastructure &amp; operation teams to embed security considerations into the foundation of technology;</w:t>
      </w:r>
    </w:p>
    <w:p>
      <w:pPr>
        <w:ind w:left="640" w:hanging="312"/>
        <w:spacing w:after="0" w:line="248"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third-party service providers to conduct assessment of the Company’s cybersecurity risk management program, penetration testing, and vulnerability testing; and</w:t>
      </w:r>
    </w:p>
    <w:p>
      <w:pPr>
        <w:ind w:left="640" w:hanging="31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assessment process for service providers, suppliers, and vendors.</w:t>
      </w:r>
    </w:p>
    <w:p>
      <w:pPr>
        <w:spacing w:after="0" w:line="149" w:lineRule="exact"/>
        <w:rPr>
          <w:sz w:val="20"/>
          <w:szCs w:val="20"/>
          <w:color w:val="auto"/>
        </w:rPr>
      </w:pPr>
    </w:p>
    <w:p>
      <w:pPr>
        <w:ind w:right="20" w:firstLine="402"/>
        <w:spacing w:after="0" w:line="278" w:lineRule="auto"/>
        <w:rPr>
          <w:sz w:val="20"/>
          <w:szCs w:val="20"/>
          <w:color w:val="auto"/>
        </w:rPr>
      </w:pPr>
      <w:r>
        <w:rPr>
          <w:rFonts w:ascii="Times New Roman" w:cs="Times New Roman" w:eastAsia="Times New Roman" w:hAnsi="Times New Roman"/>
          <w:sz w:val="18"/>
          <w:szCs w:val="18"/>
          <w:color w:val="auto"/>
        </w:rPr>
        <w:t>Risks from cybersecurity threats are integrated into AngioDynamics' enterprise risk management (ERM) program. The ERM program establishes a risk management framework that seeks to identify, assess, and mitigate risks that could materially impact the Company’s business and operation.</w:t>
      </w:r>
    </w:p>
    <w:p>
      <w:pPr>
        <w:spacing w:after="0" w:line="110"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 xml:space="preserve">To date, the Company is not aware of any cybersecurity incident that has had or is reasonably likely to have a material impact on the Company’s business or operations. However, despite our security measures, there can be no assurance that the Company, or the third parties with which we interact, will not experience a cybersecurity incident in the future that may materially affect us. See Item 1A. Risk Factors under, </w:t>
      </w:r>
      <w:r>
        <w:rPr>
          <w:rFonts w:ascii="Times New Roman" w:cs="Times New Roman" w:eastAsia="Times New Roman" w:hAnsi="Times New Roman"/>
          <w:sz w:val="18"/>
          <w:szCs w:val="18"/>
          <w:i w:val="1"/>
          <w:iCs w:val="1"/>
          <w:color w:val="auto"/>
        </w:rPr>
        <w:t>A cyber-attack or other breach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distributors, or our supply chain partners' information technology systems could have a material adverse effect on our business, financial condition and/or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72" w:lineRule="exact"/>
        <w:rPr>
          <w:sz w:val="20"/>
          <w:szCs w:val="20"/>
          <w:color w:val="auto"/>
        </w:rPr>
      </w:pPr>
    </w:p>
    <w:p>
      <w:pPr>
        <w:ind w:firstLine="321"/>
        <w:spacing w:after="0" w:line="255" w:lineRule="auto"/>
        <w:rPr>
          <w:sz w:val="20"/>
          <w:szCs w:val="20"/>
          <w:color w:val="auto"/>
        </w:rPr>
      </w:pPr>
      <w:r>
        <w:rPr>
          <w:rFonts w:ascii="Times New Roman" w:cs="Times New Roman" w:eastAsia="Times New Roman" w:hAnsi="Times New Roman"/>
          <w:sz w:val="18"/>
          <w:szCs w:val="18"/>
          <w:color w:val="auto"/>
        </w:rPr>
        <w:t>The cybersecurity risk management program is led by the Senior Vice President, Information Technology ("SVP of IT"). Our SVP of IT has over 28 years of experience assisting public and privately held companies in a variety of industries, leading several enterprise-wide transformation initiatives to adapt to changing cybersecurity threats. Our SVP of IT reports to the Chief Executive Officer (CEO), who works closely with the Executive Committee to guide strategic direction and IT decisions to drive business outcomes. Our SVP of IT also leads the Security &amp; Risk Governance committee which provides general oversight and assists in the Cybersecurity program when appropriate.</w:t>
      </w:r>
    </w:p>
    <w:p>
      <w:pPr>
        <w:spacing w:after="0" w:line="132" w:lineRule="exact"/>
        <w:rPr>
          <w:sz w:val="20"/>
          <w:szCs w:val="20"/>
          <w:color w:val="auto"/>
        </w:rPr>
      </w:pPr>
    </w:p>
    <w:p>
      <w:pPr>
        <w:jc w:val="both"/>
        <w:ind w:firstLine="402"/>
        <w:spacing w:after="0" w:line="254" w:lineRule="auto"/>
        <w:rPr>
          <w:sz w:val="20"/>
          <w:szCs w:val="20"/>
          <w:color w:val="auto"/>
        </w:rPr>
      </w:pPr>
      <w:r>
        <w:rPr>
          <w:rFonts w:ascii="Times New Roman" w:cs="Times New Roman" w:eastAsia="Times New Roman" w:hAnsi="Times New Roman"/>
          <w:sz w:val="18"/>
          <w:szCs w:val="18"/>
          <w:color w:val="auto"/>
        </w:rPr>
        <w:t>Our Board of Directors is engaged in the Company’s ERM program and receives briefings on the outcomes of the ERM program and the steps the Company takes to mitigate risks that the program identifies. The Board oversees the Company’s cybersecurity strategies, systems, and controls to ensure reliability and prevent unauthorized access. The Audit Committee discusses policies with respect to risk assessment and risk management, including risks associated with the reliability and security of the Company’s information technology and security systems, and the steps management has undertaken to monitor and control such exposures. The Board of Directors receives regular updates on the Company’s cybersecurity risk management program from the SVP of IT.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year ended May 31, 2025, we operated in the following locations: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32" w:name="page33"/>
    <w:bookmarkEnd w:id="32"/>
    <w:tbl>
      <w:tblPr>
        <w:tblLayout w:type="fixed"/>
        <w:tblInd w:w="440" w:type="dxa"/>
        <w:tblCellMar>
          <w:top w:w="0" w:type="dxa"/>
          <w:left w:w="0" w:type="dxa"/>
          <w:bottom w:w="0" w:type="dxa"/>
          <w:right w:w="0" w:type="dxa"/>
        </w:tblCellMar>
      </w:tblPr>
      <w:tr>
        <w:trPr>
          <w:trHeight w:val="16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600" w:type="dxa"/>
            <w:vAlign w:val="bottom"/>
            <w:vMerge w:val="restart"/>
          </w:tcPr>
          <w:p>
            <w:pPr>
              <w:jc w:val="center"/>
              <w:ind w:left="733"/>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20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Approx.</w:t>
            </w:r>
          </w:p>
        </w:tc>
        <w:tc>
          <w:tcPr>
            <w:tcW w:w="11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0" w:type="dxa"/>
            <w:vAlign w:val="bottom"/>
          </w:tcPr>
          <w:p>
            <w:pPr>
              <w:spacing w:after="0"/>
              <w:rPr>
                <w:sz w:val="1"/>
                <w:szCs w:val="1"/>
                <w:color w:val="auto"/>
              </w:rPr>
            </w:pPr>
          </w:p>
        </w:tc>
      </w:tr>
      <w:tr>
        <w:trPr>
          <w:trHeight w:val="193"/>
        </w:trPr>
        <w:tc>
          <w:tcPr>
            <w:tcW w:w="3080" w:type="dxa"/>
            <w:vAlign w:val="bottom"/>
            <w:tcBorders>
              <w:bottom w:val="single" w:sz="8" w:color="auto"/>
            </w:tcBorders>
            <w:vMerge w:val="continue"/>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Sq. Ft.</w:t>
            </w: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0" w:type="dxa"/>
            <w:vAlign w:val="bottom"/>
          </w:tcPr>
          <w:p>
            <w:pPr>
              <w:spacing w:after="0"/>
              <w:rPr>
                <w:sz w:val="1"/>
                <w:szCs w:val="1"/>
                <w:color w:val="auto"/>
              </w:rPr>
            </w:pPr>
          </w:p>
        </w:tc>
      </w:tr>
      <w:tr>
        <w:trPr>
          <w:trHeight w:val="22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Latham, NY</w:t>
            </w:r>
          </w:p>
        </w:tc>
        <w:tc>
          <w:tcPr>
            <w:tcW w:w="46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8"/>
              </w:rPr>
              <w:t>Corporate headquarters</w:t>
            </w:r>
          </w:p>
        </w:tc>
        <w:tc>
          <w:tcPr>
            <w:tcW w:w="20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39,000</w:t>
            </w: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Glens Falls, NY</w:t>
            </w:r>
          </w:p>
        </w:tc>
        <w:tc>
          <w:tcPr>
            <w:tcW w:w="46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9"/>
              </w:rPr>
              <w:t>Manufacturing</w:t>
            </w:r>
          </w:p>
        </w:tc>
        <w:tc>
          <w:tcPr>
            <w:tcW w:w="20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21,000</w:t>
            </w:r>
          </w:p>
        </w:tc>
        <w:tc>
          <w:tcPr>
            <w:tcW w:w="11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r>
        <w:trPr>
          <w:trHeight w:val="22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Queensbury, NY</w:t>
            </w:r>
          </w:p>
        </w:tc>
        <w:tc>
          <w:tcPr>
            <w:tcW w:w="4600" w:type="dxa"/>
            <w:vAlign w:val="bottom"/>
            <w:shd w:val="clear" w:color="auto" w:fill="CCEEFF"/>
          </w:tcPr>
          <w:p>
            <w:pPr>
              <w:jc w:val="center"/>
              <w:ind w:left="733"/>
              <w:spacing w:after="0"/>
              <w:rPr>
                <w:sz w:val="20"/>
                <w:szCs w:val="20"/>
                <w:color w:val="auto"/>
              </w:rPr>
            </w:pPr>
            <w:r>
              <w:rPr>
                <w:rFonts w:ascii="Times New Roman" w:cs="Times New Roman" w:eastAsia="Times New Roman" w:hAnsi="Times New Roman"/>
                <w:sz w:val="18"/>
                <w:szCs w:val="18"/>
                <w:color w:val="auto"/>
                <w:w w:val="99"/>
              </w:rPr>
              <w:t>Manufacturing</w:t>
            </w:r>
          </w:p>
        </w:tc>
        <w:tc>
          <w:tcPr>
            <w:tcW w:w="20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135,000</w:t>
            </w: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Queensbury, NY</w:t>
            </w:r>
          </w:p>
        </w:tc>
        <w:tc>
          <w:tcPr>
            <w:tcW w:w="460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8"/>
              </w:rPr>
              <w:t>Distribution</w:t>
            </w:r>
          </w:p>
        </w:tc>
        <w:tc>
          <w:tcPr>
            <w:tcW w:w="20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58,000</w:t>
            </w:r>
          </w:p>
        </w:tc>
        <w:tc>
          <w:tcPr>
            <w:tcW w:w="11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r>
        <w:trPr>
          <w:trHeight w:val="228"/>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Marlborough, MA</w:t>
            </w:r>
          </w:p>
        </w:tc>
        <w:tc>
          <w:tcPr>
            <w:tcW w:w="4600" w:type="dxa"/>
            <w:vAlign w:val="bottom"/>
            <w:shd w:val="clear" w:color="auto" w:fill="CCEEFF"/>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206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8,400</w:t>
            </w: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r>
        <w:trPr>
          <w:trHeight w:val="233"/>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Rehovot, IL</w:t>
            </w:r>
          </w:p>
        </w:tc>
        <w:tc>
          <w:tcPr>
            <w:tcW w:w="4600" w:type="dxa"/>
            <w:vAlign w:val="bottom"/>
          </w:tcPr>
          <w:p>
            <w:pPr>
              <w:jc w:val="center"/>
              <w:ind w:left="753"/>
              <w:spacing w:after="0"/>
              <w:rPr>
                <w:sz w:val="20"/>
                <w:szCs w:val="20"/>
                <w:color w:val="auto"/>
              </w:rPr>
            </w:pPr>
            <w:r>
              <w:rPr>
                <w:rFonts w:ascii="Times New Roman" w:cs="Times New Roman" w:eastAsia="Times New Roman" w:hAnsi="Times New Roman"/>
                <w:sz w:val="18"/>
                <w:szCs w:val="18"/>
                <w:color w:val="auto"/>
                <w:w w:val="98"/>
              </w:rPr>
              <w:t>Research and development</w:t>
            </w:r>
          </w:p>
        </w:tc>
        <w:tc>
          <w:tcPr>
            <w:tcW w:w="206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4,300</w:t>
            </w:r>
          </w:p>
        </w:tc>
        <w:tc>
          <w:tcPr>
            <w:tcW w:w="116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5"/>
              </w:rPr>
              <w:t>Lease</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addition, we lease sales offices in various other jurisdictions.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Information regarding legal proceedings is included in Note 17 to our consolidated financial statements in this Annual Report on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65" w:right="2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traded on the Global Select Market tier of the NASDAQ Stock Market LLC, under the symbol “ANGO.”</w:t>
      </w:r>
    </w:p>
    <w:p>
      <w:pPr>
        <w:spacing w:after="0" w:line="168" w:lineRule="exact"/>
        <w:rPr>
          <w:sz w:val="20"/>
          <w:szCs w:val="20"/>
          <w:color w:val="auto"/>
        </w:rPr>
      </w:pPr>
    </w:p>
    <w:p>
      <w:pPr>
        <w:ind w:right="80" w:firstLine="442"/>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fiscal quarters indicated, the high and low sale prices for our common stock as reported by the NASDAQ Stock Market.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2025</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7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60" w:type="dxa"/>
            <w:vAlign w:val="bottom"/>
            <w:gridSpan w:val="3"/>
          </w:tcPr>
          <w:p>
            <w:pPr>
              <w:jc w:val="right"/>
              <w:ind w:right="171"/>
              <w:spacing w:after="0"/>
              <w:rPr>
                <w:sz w:val="20"/>
                <w:szCs w:val="20"/>
                <w:color w:val="auto"/>
              </w:rPr>
            </w:pPr>
            <w:r>
              <w:rPr>
                <w:rFonts w:ascii="Times New Roman" w:cs="Times New Roman" w:eastAsia="Times New Roman" w:hAnsi="Times New Roman"/>
                <w:sz w:val="14"/>
                <w:szCs w:val="14"/>
                <w:color w:val="auto"/>
              </w:rPr>
              <w:t>Sale Price</w:t>
            </w:r>
          </w:p>
        </w:tc>
        <w:tc>
          <w:tcPr>
            <w:tcW w:w="1280" w:type="dxa"/>
            <w:vAlign w:val="bottom"/>
          </w:tcPr>
          <w:p>
            <w:pPr>
              <w:spacing w:after="0"/>
              <w:rPr>
                <w:sz w:val="19"/>
                <w:szCs w:val="19"/>
                <w:color w:val="auto"/>
              </w:rPr>
            </w:pPr>
          </w:p>
        </w:tc>
      </w:tr>
      <w:tr>
        <w:trPr>
          <w:trHeight w:val="25"/>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8"/>
        </w:trPr>
        <w:tc>
          <w:tcPr>
            <w:tcW w:w="7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High</w:t>
            </w:r>
          </w:p>
        </w:tc>
        <w:tc>
          <w:tcPr>
            <w:tcW w:w="500" w:type="dxa"/>
            <w:vAlign w:val="bottom"/>
          </w:tcPr>
          <w:p>
            <w:pPr>
              <w:spacing w:after="0"/>
              <w:rPr>
                <w:sz w:val="16"/>
                <w:szCs w:val="16"/>
                <w:color w:val="auto"/>
              </w:rPr>
            </w:pPr>
          </w:p>
        </w:tc>
        <w:tc>
          <w:tcPr>
            <w:tcW w:w="1280" w:type="dxa"/>
            <w:vAlign w:val="bottom"/>
          </w:tcPr>
          <w:p>
            <w:pPr>
              <w:jc w:val="right"/>
              <w:ind w:right="674"/>
              <w:spacing w:after="0"/>
              <w:rPr>
                <w:sz w:val="20"/>
                <w:szCs w:val="20"/>
                <w:color w:val="auto"/>
              </w:rPr>
            </w:pPr>
            <w:r>
              <w:rPr>
                <w:rFonts w:ascii="Times New Roman" w:cs="Times New Roman" w:eastAsia="Times New Roman" w:hAnsi="Times New Roman"/>
                <w:sz w:val="14"/>
                <w:szCs w:val="14"/>
                <w:color w:val="auto"/>
              </w:rPr>
              <w:t>Low</w:t>
            </w:r>
          </w:p>
        </w:tc>
      </w:tr>
      <w:tr>
        <w:trPr>
          <w:trHeight w:val="214"/>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2024</w:t>
            </w: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bl>
    <w:p>
      <w:pPr>
        <w:spacing w:after="0" w:line="2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15, 2025, there were 163 holders of record of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0" w:lineRule="exact"/>
        <w:rPr>
          <w:sz w:val="20"/>
          <w:szCs w:val="20"/>
          <w:color w:val="auto"/>
        </w:rPr>
      </w:pPr>
    </w:p>
    <w:p>
      <w:pPr>
        <w:jc w:val="both"/>
        <w:ind w:right="80" w:firstLine="442"/>
        <w:spacing w:after="0" w:line="278" w:lineRule="auto"/>
        <w:rPr>
          <w:sz w:val="20"/>
          <w:szCs w:val="20"/>
          <w:color w:val="auto"/>
        </w:rPr>
      </w:pPr>
      <w:r>
        <w:rPr>
          <w:rFonts w:ascii="Times New Roman" w:cs="Times New Roman" w:eastAsia="Times New Roman" w:hAnsi="Times New Roman"/>
          <w:sz w:val="18"/>
          <w:szCs w:val="18"/>
          <w:color w:val="auto"/>
        </w:rPr>
        <w:t>We did not declare any cash dividends on our common stock during our last three fiscal years. We do not anticipate paying any cash dividends on our common stock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70" w:lineRule="exact"/>
        <w:rPr>
          <w:sz w:val="20"/>
          <w:szCs w:val="20"/>
          <w:color w:val="auto"/>
        </w:rPr>
      </w:pPr>
    </w:p>
    <w:p>
      <w:pPr>
        <w:ind w:right="40" w:firstLine="442"/>
        <w:spacing w:after="0" w:line="258" w:lineRule="auto"/>
        <w:rPr>
          <w:sz w:val="20"/>
          <w:szCs w:val="20"/>
          <w:color w:val="auto"/>
        </w:rPr>
      </w:pPr>
      <w:r>
        <w:rPr>
          <w:rFonts w:ascii="Times New Roman" w:cs="Times New Roman" w:eastAsia="Times New Roman" w:hAnsi="Times New Roman"/>
          <w:sz w:val="18"/>
          <w:szCs w:val="18"/>
          <w:color w:val="auto"/>
        </w:rPr>
        <w:t>The graph below matches AngioDynamics, Inc.’s cumulative 5-year total shareholder return on common stock with the cumulative total returns of the NASDAQ Composite index, the RDG SmallCap Medical Devices index, and the S&amp;P 500 Health Care index. The graph tracks the performance of a $100 investment in our common stock and in each index (with the reinvestment of all dividends) from May 31, 2020 to May 31, 2025. The stock price performance included in this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1" w:right="3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675640</wp:posOffset>
            </wp:positionV>
            <wp:extent cx="5815330" cy="4812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815330" cy="481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5" w:name="page36"/>
    <w:bookmarkEnd w:id="35"/>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Conditions and Results of Operations.</w:t>
      </w:r>
    </w:p>
    <w:p>
      <w:pPr>
        <w:spacing w:after="0" w:line="172" w:lineRule="exact"/>
        <w:rPr>
          <w:sz w:val="20"/>
          <w:szCs w:val="20"/>
          <w:color w:val="auto"/>
        </w:rPr>
      </w:pPr>
    </w:p>
    <w:p>
      <w:pPr>
        <w:ind w:right="300" w:firstLine="385"/>
        <w:spacing w:after="0" w:line="255" w:lineRule="auto"/>
        <w:rPr>
          <w:sz w:val="20"/>
          <w:szCs w:val="20"/>
          <w:color w:val="auto"/>
        </w:rPr>
      </w:pPr>
      <w:r>
        <w:rPr>
          <w:rFonts w:ascii="Times New Roman" w:cs="Times New Roman" w:eastAsia="Times New Roman" w:hAnsi="Times New Roman"/>
          <w:sz w:val="18"/>
          <w:szCs w:val="18"/>
          <w:color w:val="auto"/>
        </w:rPr>
        <w:t>The following information should be read together with the audited consolidated financial statements and the notes thereto and other information included elsewhere in this annual report on Form 10-K. This discussion may contain forward-looking statements related to future events and our future financial performance that are based on current expectation and are subject to risks and uncertainties. Our actual results may differ materially from those anticipated in any forward-looking statements as a result of many factors, including those set forth in Part I, Item 1A, "Risk Factors" and "Disclosure Regarding Forward-Looking Statements" included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 and Market</w:t>
      </w:r>
    </w:p>
    <w:p>
      <w:pPr>
        <w:spacing w:after="0" w:line="172" w:lineRule="exact"/>
        <w:rPr>
          <w:sz w:val="20"/>
          <w:szCs w:val="20"/>
          <w:color w:val="auto"/>
        </w:rPr>
      </w:pPr>
    </w:p>
    <w:p>
      <w:pPr>
        <w:ind w:right="140" w:firstLine="402"/>
        <w:spacing w:after="0" w:line="254" w:lineRule="auto"/>
        <w:rPr>
          <w:sz w:val="20"/>
          <w:szCs w:val="20"/>
          <w:color w:val="auto"/>
        </w:rPr>
      </w:pPr>
      <w:r>
        <w:rPr>
          <w:rFonts w:ascii="Times New Roman" w:cs="Times New Roman" w:eastAsia="Times New Roman" w:hAnsi="Times New Roman"/>
          <w:sz w:val="18"/>
          <w:szCs w:val="18"/>
          <w:color w:val="auto"/>
        </w:rPr>
        <w:t>AngioDynamics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w:t>
      </w:r>
    </w:p>
    <w:p>
      <w:pPr>
        <w:spacing w:after="0" w:line="132" w:lineRule="exact"/>
        <w:rPr>
          <w:sz w:val="20"/>
          <w:szCs w:val="20"/>
          <w:color w:val="auto"/>
        </w:rPr>
      </w:pPr>
    </w:p>
    <w:p>
      <w:pPr>
        <w:ind w:right="380" w:firstLine="402"/>
        <w:spacing w:after="0" w:line="258" w:lineRule="auto"/>
        <w:rPr>
          <w:sz w:val="20"/>
          <w:szCs w:val="20"/>
          <w:color w:val="auto"/>
        </w:rPr>
      </w:pPr>
      <w:r>
        <w:rPr>
          <w:rFonts w:ascii="Times New Roman" w:cs="Times New Roman" w:eastAsia="Times New Roman" w:hAnsi="Times New Roman"/>
          <w:sz w:val="18"/>
          <w:szCs w:val="18"/>
          <w:color w:val="auto"/>
        </w:rPr>
        <w:t>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 and fluctuations in the global economy.</w:t>
      </w:r>
    </w:p>
    <w:p>
      <w:pPr>
        <w:spacing w:after="0" w:line="128"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w:t>
      </w:r>
    </w:p>
    <w:p>
      <w:pPr>
        <w:spacing w:after="0" w:line="128"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We sell our products in the United States primarily through a direct sales force, and outside the U.S. mainly through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spacing w:after="0" w:line="128"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The current macroeconomic environment continues to impact our business and may continue to pose future risks. The Company's ability to manufacture products, the reliability of our supply chain, labor shortages, backlog, inflation (including the cost and availability of raw materials, direct labor and shipping) and tariffs have impacted our business, trends that may continue. Accordingly, management continues to evaluate the Company’s liquidity position, communicate with and monitor the actions of our customers and suppliers, and review our near-term financial performance.</w:t>
      </w:r>
    </w:p>
    <w:p>
      <w:pPr>
        <w:spacing w:after="0" w:line="128" w:lineRule="exact"/>
        <w:rPr>
          <w:sz w:val="20"/>
          <w:szCs w:val="20"/>
          <w:color w:val="auto"/>
        </w:rPr>
      </w:pPr>
    </w:p>
    <w:p>
      <w:pPr>
        <w:ind w:right="160" w:firstLine="321"/>
        <w:spacing w:after="0" w:line="255" w:lineRule="auto"/>
        <w:rPr>
          <w:sz w:val="20"/>
          <w:szCs w:val="20"/>
          <w:color w:val="auto"/>
        </w:rPr>
      </w:pPr>
      <w:r>
        <w:rPr>
          <w:rFonts w:ascii="Times New Roman" w:cs="Times New Roman" w:eastAsia="Times New Roman" w:hAnsi="Times New Roman"/>
          <w:sz w:val="18"/>
          <w:szCs w:val="18"/>
          <w:color w:val="auto"/>
        </w:rPr>
        <w:t>On January 5, 2024, the Company announced a restructuring to optimize its manufacturing efficiency, capabilities and footprint (the "Plan"). 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 The modified Plan is still expected to generate $15.0 million in annual cost savings starting in fiscal year 2027.</w:t>
      </w:r>
    </w:p>
    <w:p>
      <w:pPr>
        <w:spacing w:after="0" w:line="132" w:lineRule="exact"/>
        <w:rPr>
          <w:sz w:val="20"/>
          <w:szCs w:val="20"/>
          <w:color w:val="auto"/>
        </w:rPr>
      </w:pPr>
    </w:p>
    <w:p>
      <w:pPr>
        <w:ind w:firstLine="402"/>
        <w:spacing w:after="0" w:line="255"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During the year ended May 31, 2025, the Company repurchased 243,847 shares of common stock in the open market at an aggregate cost of $1.7 million under the Repurchase Program. As of May 31, 2025, $13.3 million remained available for repurchase under the Repurchase Program.</w:t>
      </w:r>
    </w:p>
    <w:p>
      <w:pPr>
        <w:spacing w:after="0" w:line="132" w:lineRule="exact"/>
        <w:rPr>
          <w:sz w:val="20"/>
          <w:szCs w:val="20"/>
          <w:color w:val="auto"/>
        </w:rPr>
      </w:pPr>
    </w:p>
    <w:p>
      <w:pPr>
        <w:ind w:right="400" w:firstLine="402"/>
        <w:spacing w:after="0" w:line="278"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6" w:name="page37"/>
    <w:bookmarkEnd w:id="36"/>
    <w:p>
      <w:pPr>
        <w:ind w:right="180"/>
        <w:spacing w:after="0" w:line="278" w:lineRule="auto"/>
        <w:rPr>
          <w:sz w:val="20"/>
          <w:szCs w:val="20"/>
          <w:color w:val="auto"/>
        </w:rPr>
      </w:pPr>
      <w:r>
        <w:rPr>
          <w:rFonts w:ascii="Times New Roman" w:cs="Times New Roman" w:eastAsia="Times New Roman" w:hAnsi="Times New Roman"/>
          <w:sz w:val="18"/>
          <w:szCs w:val="18"/>
          <w:color w:val="auto"/>
        </w:rPr>
        <w:t>$1.1 million, respectively. The Company simultaneously entered into lease agreements with future lease payments of $4.6 million over seven years for the Queensbury, NY facility and $0.4 million over three years for the Glens Falls, NY facility.</w:t>
      </w:r>
    </w:p>
    <w:p>
      <w:pPr>
        <w:spacing w:after="0" w:line="110" w:lineRule="exact"/>
        <w:rPr>
          <w:sz w:val="20"/>
          <w:szCs w:val="20"/>
          <w:color w:val="auto"/>
        </w:rPr>
      </w:pPr>
    </w:p>
    <w:p>
      <w:pPr>
        <w:ind w:right="60" w:firstLine="402"/>
        <w:spacing w:after="0" w:line="286" w:lineRule="auto"/>
        <w:rPr>
          <w:sz w:val="20"/>
          <w:szCs w:val="20"/>
          <w:color w:val="auto"/>
        </w:rPr>
      </w:pPr>
      <w:r>
        <w:rPr>
          <w:rFonts w:ascii="Times New Roman" w:cs="Times New Roman" w:eastAsia="Times New Roman" w:hAnsi="Times New Roman"/>
          <w:sz w:val="17"/>
          <w:szCs w:val="17"/>
          <w:color w:val="auto"/>
        </w:rPr>
        <w:t>On May 28, 2025, the Company entered into a new Credit Agreement (the “Credit Agreement”) with JPMorgan Chase Bank, N.A. The Credit Agreement has a two-year maturity and provides for a $25.0 million secured revolving credit facility (the "Revolving Facility"), which is subject to a borrowing base comprised of certain working capital assets of the Company. As of May 31, 2025, there is no outstanding balance on the Revolving Facility.</w:t>
      </w:r>
    </w:p>
    <w:p>
      <w:pPr>
        <w:spacing w:after="0" w:line="105" w:lineRule="exact"/>
        <w:rPr>
          <w:sz w:val="20"/>
          <w:szCs w:val="20"/>
          <w:color w:val="auto"/>
        </w:rPr>
      </w:pPr>
    </w:p>
    <w:p>
      <w:pPr>
        <w:ind w:firstLine="385"/>
        <w:spacing w:after="0" w:line="278" w:lineRule="auto"/>
        <w:rPr>
          <w:sz w:val="20"/>
          <w:szCs w:val="20"/>
          <w:color w:val="auto"/>
        </w:rPr>
      </w:pPr>
      <w:r>
        <w:rPr>
          <w:rFonts w:ascii="Times New Roman" w:cs="Times New Roman" w:eastAsia="Times New Roman" w:hAnsi="Times New Roman"/>
          <w:sz w:val="18"/>
          <w:szCs w:val="18"/>
          <w:color w:val="auto"/>
        </w:rPr>
        <w:t>In evaluating the operating performance of our business, management focuses on revenue, gross margin, operating income, earnings per share and cash flow from operations. A summary of these key financial metrics for the year ended May 31, 2025 compared to the year ended May 31, 2024 follows: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Year ended May 31, 2025:</w:t>
      </w:r>
    </w:p>
    <w:p>
      <w:pPr>
        <w:spacing w:after="0" w:line="168" w:lineRule="exact"/>
        <w:rPr>
          <w:sz w:val="20"/>
          <w:szCs w:val="20"/>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3.8% to $292.5 million</w:t>
      </w:r>
    </w:p>
    <w:p>
      <w:pPr>
        <w:spacing w:after="0" w:line="26"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 Tech growth of 19.0% and Med Device declined by 16.0%</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increased by 300 bps to 53.9%</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by $150.4 million to $34.0 million</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per share decreased by $3.76 to a loss of $0.83</w:t>
      </w:r>
    </w:p>
    <w:p>
      <w:pPr>
        <w:spacing w:after="0" w:line="7" w:lineRule="exact"/>
        <w:rPr>
          <w:rFonts w:ascii="Times New Roman" w:cs="Times New Roman" w:eastAsia="Times New Roman" w:hAnsi="Times New Roman"/>
          <w:sz w:val="18"/>
          <w:szCs w:val="18"/>
          <w:color w:val="auto"/>
        </w:rPr>
      </w:pPr>
    </w:p>
    <w:p>
      <w:pPr>
        <w:ind w:left="960" w:hanging="31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increased by $18.0 million resulting in cash used in operations of $10.1 million</w:t>
      </w:r>
    </w:p>
    <w:p>
      <w:pPr>
        <w:spacing w:after="0" w:line="149"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For the year ended May 31, 2025, the decrease in revenue is due to the divestiture of the PICCs, Midline, dialysis and BioSentry businesses, along with the discontinuation of the RadioFrequency Ablation and Syntrax product lines, the total of which impacted sales by $33.4 million compared to the year ended May 31, 2024. Our Med Tech business, comprised of Auryon, the thrombus management platform and NanoKnife grew 19.0% in fiscal year 2025 was driven by growth in growth in Auryon and the thrombus management platform, while Nanoknife sales remained consistent year over year. Our Med Device business decreased 16.0% in fiscal year 2025 driven mainly by the divestiture of the PICCs, Midlines, dialysis and BioSentry businesses along with the discontinuation of the RadioFrequency Ablation product lines.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Initiatives to Drive Growth</w:t>
      </w:r>
    </w:p>
    <w:p>
      <w:pPr>
        <w:spacing w:after="0" w:line="172" w:lineRule="exact"/>
        <w:rPr>
          <w:sz w:val="20"/>
          <w:szCs w:val="20"/>
          <w:color w:val="auto"/>
        </w:rPr>
      </w:pPr>
    </w:p>
    <w:p>
      <w:pPr>
        <w:ind w:right="40" w:firstLine="442"/>
        <w:spacing w:after="0" w:line="258" w:lineRule="auto"/>
        <w:rPr>
          <w:sz w:val="20"/>
          <w:szCs w:val="20"/>
          <w:color w:val="auto"/>
        </w:rPr>
      </w:pPr>
      <w:r>
        <w:rPr>
          <w:rFonts w:ascii="Times New Roman" w:cs="Times New Roman" w:eastAsia="Times New Roman" w:hAnsi="Times New Roman"/>
          <w:sz w:val="18"/>
          <w:szCs w:val="18"/>
          <w:color w:val="auto"/>
        </w:rPr>
        <w:t>The Company is focused on its Med Tech segment which is committed to expanding treatment options and improving patient outcomes and quality of life by focusing on cardiovascular disease and cancer. Our execution strategy is built on innovative R&amp;D, clinical and regulatory pathway expansion and customer centric sales performance. Our investments in our high technology products including Auryon, Mechanical Thrombectomy (which includes AngioVac and AlphaVac) and NanoKnife, will provide us access to larger and faster growing markets.</w:t>
      </w:r>
    </w:p>
    <w:p>
      <w:pPr>
        <w:spacing w:after="0" w:line="128" w:lineRule="exact"/>
        <w:rPr>
          <w:sz w:val="20"/>
          <w:szCs w:val="20"/>
          <w:color w:val="auto"/>
        </w:rPr>
      </w:pPr>
    </w:p>
    <w:p>
      <w:pPr>
        <w:ind w:right="640" w:firstLine="385"/>
        <w:spacing w:after="0" w:line="278" w:lineRule="auto"/>
        <w:rPr>
          <w:sz w:val="20"/>
          <w:szCs w:val="20"/>
          <w:color w:val="auto"/>
        </w:rPr>
      </w:pPr>
      <w:r>
        <w:rPr>
          <w:rFonts w:ascii="Times New Roman" w:cs="Times New Roman" w:eastAsia="Times New Roman" w:hAnsi="Times New Roman"/>
          <w:sz w:val="18"/>
          <w:szCs w:val="18"/>
          <w:color w:val="auto"/>
        </w:rPr>
        <w:t>Throughout the year, we introduced strategic moves designed to streamline our business, improve our overall business operations and position ourselves for growth. Those initiatives included:</w:t>
      </w:r>
    </w:p>
    <w:p>
      <w:pPr>
        <w:spacing w:after="0" w:line="108" w:lineRule="exact"/>
        <w:rPr>
          <w:sz w:val="20"/>
          <w:szCs w:val="20"/>
          <w:color w:val="auto"/>
        </w:rPr>
      </w:pPr>
    </w:p>
    <w:p>
      <w:pPr>
        <w:ind w:left="640" w:right="40" w:hanging="312"/>
        <w:spacing w:after="0" w:line="311" w:lineRule="auto"/>
        <w:tabs>
          <w:tab w:leader="none" w:pos="6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Innovative R&amp;D and Clinical and Regulatory Pathway Expansion. </w:t>
      </w:r>
      <w:r>
        <w:rPr>
          <w:rFonts w:ascii="Times New Roman" w:cs="Times New Roman" w:eastAsia="Times New Roman" w:hAnsi="Times New Roman"/>
          <w:sz w:val="17"/>
          <w:szCs w:val="17"/>
          <w:color w:val="auto"/>
        </w:rPr>
        <w:t>The Company continued its disciplined product development process 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intended to improve the Company’s ability to bring new products to market and achieve clinical and regulatory pathway expansion. The Company:</w:t>
      </w:r>
    </w:p>
    <w:p>
      <w:pPr>
        <w:spacing w:after="0" w:line="84" w:lineRule="exact"/>
        <w:rPr>
          <w:rFonts w:ascii="Times New Roman" w:cs="Times New Roman" w:eastAsia="Times New Roman" w:hAnsi="Times New Roman"/>
          <w:sz w:val="17"/>
          <w:szCs w:val="17"/>
          <w:color w:val="auto"/>
        </w:rPr>
      </w:pPr>
    </w:p>
    <w:p>
      <w:pPr>
        <w:ind w:left="1280" w:hanging="30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CE mark approval in Europe for Auryon;</w:t>
      </w:r>
    </w:p>
    <w:p>
      <w:pPr>
        <w:spacing w:after="0" w:line="13" w:lineRule="exact"/>
        <w:rPr>
          <w:rFonts w:ascii="Times New Roman" w:cs="Times New Roman" w:eastAsia="Times New Roman" w:hAnsi="Times New Roman"/>
          <w:sz w:val="18"/>
          <w:szCs w:val="18"/>
          <w:color w:val="auto"/>
        </w:rPr>
      </w:pPr>
    </w:p>
    <w:p>
      <w:pPr>
        <w:ind w:left="1300" w:right="200" w:hanging="329"/>
        <w:spacing w:after="0" w:line="232"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CPT Category I Codes for Irreversible Electroporation (IRE), the primary method of action for the NanoKnife System, for the treatment of lesions in the prostate and liver, effective January 2026;</w:t>
      </w:r>
    </w:p>
    <w:p>
      <w:pPr>
        <w:spacing w:after="0" w:line="1" w:lineRule="exact"/>
        <w:rPr>
          <w:rFonts w:ascii="Times New Roman" w:cs="Times New Roman" w:eastAsia="Times New Roman" w:hAnsi="Times New Roman"/>
          <w:sz w:val="18"/>
          <w:szCs w:val="18"/>
          <w:color w:val="auto"/>
        </w:rPr>
      </w:pPr>
    </w:p>
    <w:p>
      <w:pPr>
        <w:ind w:left="1280" w:hanging="309"/>
        <w:spacing w:after="0" w:line="21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FDA 510(k) clearance for NanoKnife Prostate Tissue Ablation;</w:t>
      </w:r>
    </w:p>
    <w:p>
      <w:pPr>
        <w:ind w:left="1300" w:right="200" w:hanging="329"/>
        <w:spacing w:after="0" w:line="225"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CPT Category I Codes for Irreversible Electroporation (IRE), the primary method of action for the NanoKnife System, for the treatment of the pancreas, effective January 2027;</w:t>
      </w:r>
    </w:p>
    <w:p>
      <w:pPr>
        <w:ind w:left="1300" w:right="180" w:hanging="329"/>
        <w:spacing w:after="0" w:line="217"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Published APEX-AV trial results in the Journal of the Society for Cardiovascular Angiography &amp; Interventions demonstrating the safety and efficacy of the AlphaVac F1885 System;</w:t>
      </w:r>
    </w:p>
    <w:p>
      <w:pPr>
        <w:ind w:left="1280" w:hanging="309"/>
        <w:spacing w:after="0" w:line="217" w:lineRule="auto"/>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RECOVER-AV Clinical Trial in Europe for AlphaVac; and</w:t>
      </w:r>
    </w:p>
    <w:p>
      <w:pPr>
        <w:ind w:left="1300" w:right="180" w:hanging="329"/>
        <w:spacing w:after="0" w:line="239" w:lineRule="auto"/>
        <w:tabs>
          <w:tab w:leader="none" w:pos="12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the AMBITION BTK RCT and Registry to generate definitive clinical evidence supporting the use of the Auryon Atherectomy System in treating below the knee lesions in patients with critical limb ischemia.</w:t>
      </w:r>
    </w:p>
    <w:p>
      <w:pPr>
        <w:spacing w:after="0" w:line="221" w:lineRule="exact"/>
        <w:rPr>
          <w:rFonts w:ascii="Times New Roman" w:cs="Times New Roman" w:eastAsia="Times New Roman" w:hAnsi="Times New Roman"/>
          <w:sz w:val="18"/>
          <w:szCs w:val="18"/>
          <w:color w:val="auto"/>
        </w:rPr>
      </w:pPr>
    </w:p>
    <w:p>
      <w:pPr>
        <w:ind w:left="640" w:right="80" w:hanging="312"/>
        <w:spacing w:after="0" w:line="264"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Customer Centric Sales Performance. </w:t>
      </w:r>
      <w:r>
        <w:rPr>
          <w:rFonts w:ascii="Times New Roman" w:cs="Times New Roman" w:eastAsia="Times New Roman" w:hAnsi="Times New Roman"/>
          <w:sz w:val="18"/>
          <w:szCs w:val="18"/>
          <w:color w:val="auto"/>
        </w:rPr>
        <w:t>To create value and drive future growth, the Company is focused on ensuring that the sales team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appropriately trained on how to market the products to our customers and that our customers are receiving the appropriate training and exposure to our products. This included:</w:t>
      </w:r>
    </w:p>
    <w:p>
      <w:pPr>
        <w:spacing w:after="0" w:line="122" w:lineRule="exact"/>
        <w:rPr>
          <w:rFonts w:ascii="Times New Roman" w:cs="Times New Roman" w:eastAsia="Times New Roman" w:hAnsi="Times New Roman"/>
          <w:sz w:val="18"/>
          <w:szCs w:val="18"/>
          <w:color w:val="auto"/>
        </w:rPr>
      </w:pPr>
    </w:p>
    <w:p>
      <w:pPr>
        <w:ind w:left="1280" w:hanging="309"/>
        <w:spacing w:after="0"/>
        <w:tabs>
          <w:tab w:leader="none" w:pos="12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training of the sales teams; and</w:t>
      </w: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45" w:right="379" w:bottom="1440" w:gutter="0" w:footer="0" w:header="0"/>
        </w:sectPr>
      </w:pPr>
    </w:p>
    <w:bookmarkStart w:id="37" w:name="page38"/>
    <w:bookmarkEnd w:id="37"/>
    <w:p>
      <w:pPr>
        <w:ind w:left="1280" w:hanging="309"/>
        <w:spacing w:after="0"/>
        <w:tabs>
          <w:tab w:leader="none" w:pos="12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targeted physician trainings and symposiums both in the U.S. and internationally throughout the year.</w:t>
      </w:r>
    </w:p>
    <w:p>
      <w:pPr>
        <w:spacing w:after="0" w:line="24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Focused Resource Deployment. </w:t>
      </w:r>
      <w:r>
        <w:rPr>
          <w:rFonts w:ascii="Times New Roman" w:cs="Times New Roman" w:eastAsia="Times New Roman" w:hAnsi="Times New Roman"/>
          <w:sz w:val="18"/>
          <w:szCs w:val="18"/>
          <w:color w:val="auto"/>
        </w:rPr>
        <w:t>The Company continued its discipline on deploying resources. This included:</w:t>
      </w:r>
    </w:p>
    <w:p>
      <w:pPr>
        <w:spacing w:after="0" w:line="169" w:lineRule="exact"/>
        <w:rPr>
          <w:rFonts w:ascii="Times New Roman" w:cs="Times New Roman" w:eastAsia="Times New Roman" w:hAnsi="Times New Roman"/>
          <w:sz w:val="18"/>
          <w:szCs w:val="18"/>
          <w:color w:val="auto"/>
        </w:rPr>
      </w:pPr>
    </w:p>
    <w:p>
      <w:pPr>
        <w:ind w:left="1300" w:right="220" w:hanging="329"/>
        <w:spacing w:after="0" w:line="255" w:lineRule="auto"/>
        <w:tabs>
          <w:tab w:leader="none" w:pos="12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to restructure the manufacturing footprint, which includes maintaining a presence in Queensbury, NY for select products, customer service, logistics, shipping, quality and regulatory operations, and shifting all other products to an outsourced model utilizing third-party manufacturers to allow the Company to more effectively compete in chosen markets and fundamentally change its corporate gross margin profile. The restructuring activities are expected to be completed in the third quarter of fiscal year 2026 and are expected to generate $15.0 million in annual cost savings starting in fiscal year 2027.</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Use of Estimates</w:t>
      </w:r>
    </w:p>
    <w:p>
      <w:pPr>
        <w:spacing w:after="0" w:line="172" w:lineRule="exact"/>
        <w:rPr>
          <w:sz w:val="20"/>
          <w:szCs w:val="20"/>
          <w:color w:val="auto"/>
        </w:rPr>
      </w:pPr>
    </w:p>
    <w:p>
      <w:pPr>
        <w:ind w:right="40" w:firstLine="385"/>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summarized in Note 1 "Basis of Presentation, Business Description and Summary of Significant Accounting Policies" in the consolidated financial statements included in this Form 10-K.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68" w:lineRule="exact"/>
        <w:rPr>
          <w:sz w:val="20"/>
          <w:szCs w:val="20"/>
          <w:color w:val="auto"/>
        </w:rPr>
      </w:pPr>
    </w:p>
    <w:p>
      <w:pPr>
        <w:ind w:right="20" w:firstLine="402"/>
        <w:spacing w:after="0" w:line="256"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0" w:lineRule="exact"/>
        <w:rPr>
          <w:sz w:val="20"/>
          <w:szCs w:val="20"/>
          <w:color w:val="auto"/>
        </w:rPr>
      </w:pPr>
    </w:p>
    <w:p>
      <w:pPr>
        <w:ind w:right="40" w:firstLine="402"/>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8" w:lineRule="exact"/>
        <w:rPr>
          <w:sz w:val="20"/>
          <w:szCs w:val="20"/>
          <w:color w:val="auto"/>
        </w:rPr>
      </w:pPr>
    </w:p>
    <w:p>
      <w:pPr>
        <w:ind w:right="480" w:firstLine="402"/>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10" w:lineRule="exact"/>
        <w:rPr>
          <w:sz w:val="20"/>
          <w:szCs w:val="20"/>
          <w:color w:val="auto"/>
        </w:rPr>
      </w:pPr>
    </w:p>
    <w:p>
      <w:pPr>
        <w:ind w:right="320" w:firstLine="402"/>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8" w:lineRule="exact"/>
        <w:rPr>
          <w:sz w:val="20"/>
          <w:szCs w:val="20"/>
          <w:color w:val="auto"/>
        </w:rPr>
      </w:pPr>
    </w:p>
    <w:p>
      <w:pPr>
        <w:ind w:firstLine="402"/>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3"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0" w:lineRule="exact"/>
        <w:rPr>
          <w:sz w:val="20"/>
          <w:szCs w:val="20"/>
          <w:color w:val="auto"/>
        </w:rPr>
      </w:pPr>
    </w:p>
    <w:p>
      <w:pPr>
        <w:ind w:right="100" w:firstLine="402"/>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110" w:lineRule="exact"/>
        <w:rPr>
          <w:sz w:val="20"/>
          <w:szCs w:val="20"/>
          <w:color w:val="auto"/>
        </w:rPr>
      </w:pPr>
    </w:p>
    <w:p>
      <w:pPr>
        <w:ind w:right="20" w:firstLine="402"/>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32" w:right="37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8" w:lineRule="exact"/>
        <w:rPr>
          <w:sz w:val="20"/>
          <w:szCs w:val="20"/>
          <w:color w:val="auto"/>
        </w:rPr>
      </w:pPr>
    </w:p>
    <w:p>
      <w:pPr>
        <w:ind w:right="380" w:firstLine="402"/>
        <w:spacing w:after="0" w:line="263"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w:t>
      </w:r>
    </w:p>
    <w:p>
      <w:pPr>
        <w:spacing w:after="0" w:line="123" w:lineRule="exact"/>
        <w:rPr>
          <w:sz w:val="20"/>
          <w:szCs w:val="20"/>
          <w:color w:val="auto"/>
        </w:rPr>
      </w:pPr>
    </w:p>
    <w:p>
      <w:pPr>
        <w:ind w:firstLine="402"/>
        <w:spacing w:after="0" w:line="251" w:lineRule="auto"/>
        <w:rPr>
          <w:sz w:val="20"/>
          <w:szCs w:val="20"/>
          <w:color w:val="auto"/>
        </w:rPr>
      </w:pPr>
      <w:r>
        <w:rPr>
          <w:rFonts w:ascii="Times New Roman" w:cs="Times New Roman" w:eastAsia="Times New Roman" w:hAnsi="Times New Roman"/>
          <w:sz w:val="18"/>
          <w:szCs w:val="18"/>
          <w:color w:val="auto"/>
        </w:rPr>
        <w:t>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years ended May 31, 2025, 2024 and 2023,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136"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as deferred revenue in "Accrued liabilities" in the accompanying 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70"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Appropriate consideration is given to deterioration, obsolescence, expiring and other factors in evaluating net realizable value. When we evaluate inventory for excess quantities and obsolescence, we utilize historical product usage experience and expected demand for establishing our reserve estimates. Our actual product usage may vary from the historical experience and estimating demand is inherently difficult which may result in us recording excess and obsolete inventory amounts that do not match the required amounts. An increase to inventory reserves results in a corresponding increase in cost of revenue. Inventories are written off against the reserve when they are physically disposed.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70" w:lineRule="exact"/>
        <w:rPr>
          <w:sz w:val="20"/>
          <w:szCs w:val="20"/>
          <w:color w:val="auto"/>
        </w:rPr>
      </w:pPr>
    </w:p>
    <w:p>
      <w:pPr>
        <w:ind w:right="60" w:firstLine="385"/>
        <w:spacing w:after="0" w:line="269" w:lineRule="auto"/>
        <w:rPr>
          <w:sz w:val="20"/>
          <w:szCs w:val="20"/>
          <w:color w:val="auto"/>
        </w:rPr>
      </w:pPr>
      <w:r>
        <w:rPr>
          <w:rFonts w:ascii="Times New Roman" w:cs="Times New Roman" w:eastAsia="Times New Roman" w:hAnsi="Times New Roman"/>
          <w:sz w:val="17"/>
          <w:szCs w:val="17"/>
          <w:color w:val="auto"/>
        </w:rPr>
        <w:t>Intangible assets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2025 and 2024</w:t>
      </w:r>
    </w:p>
    <w:p>
      <w:pPr>
        <w:spacing w:after="0" w:line="172" w:lineRule="exact"/>
        <w:rPr>
          <w:sz w:val="20"/>
          <w:szCs w:val="20"/>
          <w:color w:val="auto"/>
        </w:rPr>
      </w:pPr>
    </w:p>
    <w:p>
      <w:pPr>
        <w:ind w:right="240" w:firstLine="385"/>
        <w:spacing w:after="0" w:line="278" w:lineRule="auto"/>
        <w:rPr>
          <w:sz w:val="20"/>
          <w:szCs w:val="20"/>
          <w:color w:val="auto"/>
        </w:rPr>
      </w:pPr>
      <w:r>
        <w:rPr>
          <w:rFonts w:ascii="Times New Roman" w:cs="Times New Roman" w:eastAsia="Times New Roman" w:hAnsi="Times New Roman"/>
          <w:sz w:val="18"/>
          <w:szCs w:val="18"/>
          <w:color w:val="auto"/>
        </w:rPr>
        <w:t>For the fiscal year ended May 31, 2025, the Company reported a net loss of $34.0 million, or a loss of $0.83 per diluted share, on net sales of $292.5 million compared to a net loss of $184.3 million, or a loss of $4.59 per diluted share, on net sales of $303.9 million in fiscal year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xml:space="preserve"> - Net sales are derived from the sale of our products and related freight charges, less discounts, rebates and returns.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6720" w:type="dxa"/>
            <w:vAlign w:val="bottom"/>
            <w:tcBorders>
              <w:bottom w:val="single" w:sz="8" w:color="CCEEFF"/>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106,403</w:t>
            </w:r>
          </w:p>
        </w:tc>
        <w:tc>
          <w:tcPr>
            <w:tcW w:w="10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(31,666)</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40" w:firstLine="321"/>
        <w:spacing w:after="0" w:line="278" w:lineRule="auto"/>
        <w:rPr>
          <w:sz w:val="20"/>
          <w:szCs w:val="20"/>
          <w:color w:val="auto"/>
        </w:rPr>
      </w:pPr>
      <w:r>
        <w:rPr>
          <w:rFonts w:ascii="Times New Roman" w:cs="Times New Roman" w:eastAsia="Times New Roman" w:hAnsi="Times New Roman"/>
          <w:sz w:val="18"/>
          <w:szCs w:val="18"/>
          <w:color w:val="auto"/>
        </w:rPr>
        <w:t>For the year ended May 31, 2025, net sales decreased $11.4 million to $292.5 million compared to the year ended May 31, 2024. At May 31, 2025, the Company had a backlog of $0.3 million compared to $1.3 million at the end of May 31, 2024.</w:t>
      </w:r>
    </w:p>
    <w:p>
      <w:pPr>
        <w:spacing w:after="0" w:line="110" w:lineRule="exact"/>
        <w:rPr>
          <w:sz w:val="20"/>
          <w:szCs w:val="20"/>
          <w:color w:val="auto"/>
        </w:rPr>
      </w:pPr>
    </w:p>
    <w:p>
      <w:pPr>
        <w:ind w:firstLine="321"/>
        <w:spacing w:after="0" w:line="278" w:lineRule="auto"/>
        <w:rPr>
          <w:sz w:val="20"/>
          <w:szCs w:val="20"/>
          <w:color w:val="auto"/>
        </w:rPr>
      </w:pPr>
      <w:r>
        <w:rPr>
          <w:rFonts w:ascii="Times New Roman" w:cs="Times New Roman" w:eastAsia="Times New Roman" w:hAnsi="Times New Roman"/>
          <w:sz w:val="18"/>
          <w:szCs w:val="18"/>
          <w:color w:val="auto"/>
        </w:rPr>
        <w:t>The Med Tech business net sales increased $20.3 million for the year ended May 31, 2025 compared to the prior year. The change in sales from the prior year was primarily driven by:</w:t>
      </w:r>
    </w:p>
    <w:p>
      <w:pPr>
        <w:spacing w:after="0" w:line="110" w:lineRule="exact"/>
        <w:rPr>
          <w:sz w:val="20"/>
          <w:szCs w:val="20"/>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Auryon sales of $9.8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Syntrax of $0.4 million due to the discontinuation of this product line as of February 29, 2024;</w:t>
      </w:r>
    </w:p>
    <w:p>
      <w:pPr>
        <w:spacing w:after="0" w:line="7" w:lineRule="exact"/>
        <w:rPr>
          <w:rFonts w:ascii="Times New Roman" w:cs="Times New Roman" w:eastAsia="Times New Roman" w:hAnsi="Times New Roman"/>
          <w:sz w:val="18"/>
          <w:szCs w:val="18"/>
          <w:color w:val="auto"/>
        </w:rPr>
      </w:pPr>
    </w:p>
    <w:p>
      <w:pPr>
        <w:ind w:left="640" w:right="260" w:hanging="312"/>
        <w:spacing w:after="0" w:line="248"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the thrombus management platform of $10.9 million, which was driven by increases in AngioVac, AlphaVac and thrombolytic sales of $5.8 million, $4.0 million and $1.1 million, respectively; and</w:t>
      </w:r>
    </w:p>
    <w:p>
      <w:pPr>
        <w:ind w:left="640" w:right="700" w:hanging="312"/>
        <w:spacing w:after="0" w:line="25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NanoKnife sales remained consistent year over year, and was comprised of increased NanoKnife disposable sales of $1.7 million offset by decreased capital sales of $1.7 million.</w:t>
      </w:r>
    </w:p>
    <w:p>
      <w:pPr>
        <w:spacing w:after="0" w:line="129" w:lineRule="exact"/>
        <w:rPr>
          <w:sz w:val="20"/>
          <w:szCs w:val="20"/>
          <w:color w:val="auto"/>
        </w:rPr>
      </w:pPr>
    </w:p>
    <w:p>
      <w:pPr>
        <w:ind w:right="140" w:firstLine="321"/>
        <w:spacing w:after="0" w:line="263" w:lineRule="auto"/>
        <w:rPr>
          <w:sz w:val="20"/>
          <w:szCs w:val="20"/>
          <w:color w:val="auto"/>
        </w:rPr>
      </w:pPr>
      <w:r>
        <w:rPr>
          <w:rFonts w:ascii="Times New Roman" w:cs="Times New Roman" w:eastAsia="Times New Roman" w:hAnsi="Times New Roman"/>
          <w:sz w:val="18"/>
          <w:szCs w:val="18"/>
          <w:color w:val="auto"/>
        </w:rPr>
        <w:t>The Med Device business net sales decreased $31.7 million for the year ended May 31, 2025 compared to the prior year. The backlog, which primarily impacted sales of Core and Vascular Access products, was $0.3 million at May 31, 2025 compared to $1.3 million at May 31, 2024. The change in sales from the prior year was primarily driven by:</w:t>
      </w:r>
    </w:p>
    <w:p>
      <w:pPr>
        <w:spacing w:after="0" w:line="123"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PICCs and Midline products of $30.1 million which was due to the divestiture of these businesses on February 15, 2024;</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dialysis and BioSentry products of $0.7 million which was due to the divestiture of these businesses on June 8, 2023;</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RadioFrequency Ablation of $2.2 million due to the discontinuation of this product line as of February 29, 2024; and</w:t>
      </w:r>
    </w:p>
    <w:p>
      <w:pPr>
        <w:spacing w:after="0" w:line="7" w:lineRule="exact"/>
        <w:rPr>
          <w:rFonts w:ascii="Times New Roman" w:cs="Times New Roman" w:eastAsia="Times New Roman" w:hAnsi="Times New Roman"/>
          <w:sz w:val="18"/>
          <w:szCs w:val="18"/>
          <w:color w:val="auto"/>
        </w:rPr>
      </w:pPr>
    </w:p>
    <w:p>
      <w:pPr>
        <w:ind w:left="640" w:right="340" w:hanging="312"/>
        <w:spacing w:after="0" w:line="25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of Core and Venous of $1.9 million and $0.9 million, respectively. This increase was partially offset by decreased sales of Ports, Microwave and other Oncology products of $0.3 million, $0.8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 Tech</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78,515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67,198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11,317</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5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 Device</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79,190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87,500</w:t>
            </w: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157,705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154,698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 of sales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u w:val="single" w:color="auto"/>
          <w:color w:val="auto"/>
        </w:rPr>
        <w:t>Gross margin</w:t>
      </w:r>
      <w:r>
        <w:rPr>
          <w:rFonts w:ascii="Times New Roman" w:cs="Times New Roman" w:eastAsia="Times New Roman" w:hAnsi="Times New Roman"/>
          <w:sz w:val="18"/>
          <w:szCs w:val="18"/>
          <w:color w:val="auto"/>
        </w:rPr>
        <w:t xml:space="preserve"> - Gross margin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Company gross margin increased by $3.0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the PICCs, Midline, dialysis and BioSentry businesses, which negatively impacted gross margin by $9.2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margin by $19.9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incentives and a prior year supplier recall, which positively impacted gross profit by $1.7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costs which negatively impacted gross margin by $1.5 million;</w:t>
      </w:r>
    </w:p>
    <w:p>
      <w:pPr>
        <w:spacing w:after="0" w:line="7" w:lineRule="exact"/>
        <w:rPr>
          <w:rFonts w:ascii="Times New Roman" w:cs="Times New Roman" w:eastAsia="Times New Roman" w:hAnsi="Times New Roman"/>
          <w:sz w:val="18"/>
          <w:szCs w:val="18"/>
          <w:color w:val="auto"/>
        </w:rPr>
      </w:pPr>
    </w:p>
    <w:p>
      <w:pPr>
        <w:ind w:left="640" w:right="360" w:hanging="312"/>
        <w:spacing w:after="0" w:line="248"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along with inflationary costs on raw materials, labor shortages, freight and other costs, which negatively impacted gross margin by $1.6 million and $3.6 million, respectively; and</w:t>
      </w:r>
    </w:p>
    <w:p>
      <w:pPr>
        <w:ind w:left="640" w:hanging="31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$2.6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Tech segment gross margin increased by $11.3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price and product mix, which positively impacted gross margin by $17.2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volume and other incentives which negatively impacted gross margin by $1.5 million;</w:t>
      </w:r>
    </w:p>
    <w:p>
      <w:pPr>
        <w:spacing w:after="0" w:line="7" w:lineRule="exact"/>
        <w:rPr>
          <w:rFonts w:ascii="Times New Roman" w:cs="Times New Roman" w:eastAsia="Times New Roman" w:hAnsi="Times New Roman"/>
          <w:sz w:val="18"/>
          <w:szCs w:val="18"/>
          <w:color w:val="auto"/>
        </w:rPr>
      </w:pPr>
    </w:p>
    <w:p>
      <w:pPr>
        <w:ind w:left="640" w:right="240" w:hanging="312"/>
        <w:spacing w:after="0" w:line="248"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along with inflationary costs on raw materials, labor shortages and freight costs, which negatively impacted gross margin by $1.1 million and $0.4 million, respectively;</w:t>
      </w: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abandonment of the Syntrax product line, which negatively impacted gross margin by $0.2 million;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$2.7 million.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Med Device segment gross margin decreased by $8.3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the PICCs, Midline, dialysis and BioSentry businesses, which negatively impacted gross margin by $9.0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product mix, which positively impacted gross margin by $3.6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incentives and a prior year supplier recall, which positively impacted gross profit by $2.7 million;</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volume and production volume which negatively impacted gross margin by $1.4 million;</w:t>
      </w:r>
    </w:p>
    <w:p>
      <w:pPr>
        <w:spacing w:after="0" w:line="7" w:lineRule="exact"/>
        <w:rPr>
          <w:rFonts w:ascii="Times New Roman" w:cs="Times New Roman" w:eastAsia="Times New Roman" w:hAnsi="Times New Roman"/>
          <w:sz w:val="18"/>
          <w:szCs w:val="18"/>
          <w:color w:val="auto"/>
        </w:rPr>
      </w:pPr>
    </w:p>
    <w:p>
      <w:pPr>
        <w:ind w:left="640" w:right="100" w:hanging="312"/>
        <w:spacing w:after="0" w:line="248"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along with inflationary costs on raw materials, labor shortages and freight and other costs, which negatively impacted gross margin by $0.5 million and $3.7 million, respectively; and</w:t>
      </w:r>
    </w:p>
    <w:p>
      <w:pPr>
        <w:ind w:left="640" w:hanging="31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depreciation on placement units of $0.1 million.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Other Income (expense)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26,222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31,512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103,135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102,818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42,092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41,164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0" w:type="dxa"/>
            <w:vAlign w:val="bottom"/>
          </w:tcPr>
          <w:p>
            <w:pPr>
              <w:spacing w:after="0"/>
              <w:rPr>
                <w:sz w:val="1"/>
                <w:szCs w:val="1"/>
                <w:color w:val="auto"/>
              </w:rPr>
            </w:pP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sales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u w:val="single" w:color="auto"/>
          <w:color w:val="auto"/>
        </w:rPr>
        <w:t>Research and development expense</w:t>
      </w:r>
      <w:r>
        <w:rPr>
          <w:rFonts w:ascii="Times New Roman" w:cs="Times New Roman" w:eastAsia="Times New Roman" w:hAnsi="Times New Roman"/>
          <w:sz w:val="18"/>
          <w:szCs w:val="18"/>
          <w:color w:val="auto"/>
        </w:rPr>
        <w:t xml:space="preserve"> - Research and development (“R&amp;D”) expense includes internal and external costs to develop new products, enhance existing products, validate new and enhanced products, manage clinical, regulatory and medical affairs.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 decreased $5.3 million compared to the prior year. The change from the prior year was primarily driven by:</w:t>
      </w:r>
    </w:p>
    <w:p>
      <w:pPr>
        <w:spacing w:after="0" w:line="168" w:lineRule="exact"/>
        <w:rPr>
          <w:sz w:val="20"/>
          <w:szCs w:val="20"/>
          <w:color w:val="auto"/>
        </w:rPr>
      </w:pPr>
    </w:p>
    <w:p>
      <w:pPr>
        <w:ind w:left="640" w:right="380" w:hanging="312"/>
        <w:spacing w:after="0" w:line="259"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projects, clinical spend and other costs associated with the ongoing clinical trials, which decreased R&amp;D expense by $5.1 million; and</w:t>
      </w:r>
    </w:p>
    <w:p>
      <w:pPr>
        <w:ind w:left="640" w:hanging="31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expenses, which decreased $0.2 million.</w:t>
      </w:r>
    </w:p>
    <w:p>
      <w:pPr>
        <w:spacing w:after="0" w:line="149"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u w:val="single" w:color="auto"/>
          <w:color w:val="auto"/>
        </w:rPr>
        <w:t>Sales and marketing expense</w:t>
      </w:r>
      <w:r>
        <w:rPr>
          <w:rFonts w:ascii="Times New Roman" w:cs="Times New Roman" w:eastAsia="Times New Roman" w:hAnsi="Times New Roman"/>
          <w:sz w:val="18"/>
          <w:szCs w:val="18"/>
          <w:color w:val="auto"/>
        </w:rPr>
        <w:t xml:space="preserve"> - Sales and marketing (“S&amp;M”) expense consists primarily of salaries, commissions, travel and related business expenses, attendance at medical society meetings, product promotions and marketing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S&amp;M expense increased by $0.3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shows, subscriptions and other marketing expenses, which increased $1.5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other selling expenses, which increased $0.7 million;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decreased by $2.0 million.</w:t>
      </w:r>
    </w:p>
    <w:p>
      <w:pPr>
        <w:spacing w:after="0" w:line="256"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u w:val="single" w:color="auto"/>
          <w:color w:val="auto"/>
        </w:rPr>
        <w:t>General and administrative expense</w:t>
      </w:r>
      <w:r>
        <w:rPr>
          <w:rFonts w:ascii="Times New Roman" w:cs="Times New Roman" w:eastAsia="Times New Roman" w:hAnsi="Times New Roman"/>
          <w:sz w:val="18"/>
          <w:szCs w:val="18"/>
          <w:color w:val="auto"/>
        </w:rPr>
        <w:t xml:space="preserve"> - General and administrative (“G&amp;A”) expense includes executive management, finance, information technology, human resources, business development, legal, and the administrative and professional costs associated with those activities.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G&amp;A expense increased by $0.9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benefits expense, which increased $2.1 million;</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outside consultant spend, which increased $0.8 million;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corporate expenses, which decreased $2.0 million.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00" w:type="dxa"/>
            <w:vAlign w:val="bottom"/>
            <w:tcBorders>
              <w:bottom w:val="single" w:sz="8" w:color="CCEEFF"/>
            </w:tcBorders>
            <w:vMerge w:val="continue"/>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860" w:type="dxa"/>
            <w:vAlign w:val="bottom"/>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15,620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20" w:type="dxa"/>
            <w:vAlign w:val="bottom"/>
          </w:tcPr>
          <w:p>
            <w:pPr>
              <w:spacing w:after="0"/>
              <w:rPr>
                <w:sz w:val="19"/>
                <w:szCs w:val="19"/>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(37,562)</w:t>
            </w:r>
          </w:p>
        </w:tc>
        <w:tc>
          <w:tcPr>
            <w:tcW w:w="0" w:type="dxa"/>
            <w:vAlign w:val="bottom"/>
          </w:tcPr>
          <w:p>
            <w:pPr>
              <w:spacing w:after="0"/>
              <w:rPr>
                <w:sz w:val="1"/>
                <w:szCs w:val="1"/>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intangibles</w:t>
      </w:r>
      <w:r>
        <w:rPr>
          <w:rFonts w:ascii="Times New Roman" w:cs="Times New Roman" w:eastAsia="Times New Roman" w:hAnsi="Times New Roman"/>
          <w:sz w:val="18"/>
          <w:szCs w:val="18"/>
          <w:color w:val="auto"/>
        </w:rPr>
        <w:t xml:space="preserve"> - Represents the amount of amortization expense that was taken on intangible assets held by the Company.</w:t>
      </w:r>
    </w:p>
    <w:p>
      <w:pPr>
        <w:spacing w:after="0" w:line="168" w:lineRule="exact"/>
        <w:rPr>
          <w:sz w:val="20"/>
          <w:szCs w:val="20"/>
          <w:color w:val="auto"/>
        </w:rPr>
      </w:pPr>
    </w:p>
    <w:p>
      <w:pPr>
        <w:ind w:left="640" w:right="340" w:hanging="312"/>
        <w:spacing w:after="0" w:line="278"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decreased $2.7 million compared to the prior year. The decrease is due to assets being included in the sale of the dialysis, BioSentry, PICCs and Midlines businesses and the abandonment of the Syntrax product line.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r>
        <w:rPr>
          <w:rFonts w:ascii="Times New Roman" w:cs="Times New Roman" w:eastAsia="Times New Roman" w:hAnsi="Times New Roman"/>
          <w:sz w:val="18"/>
          <w:szCs w:val="18"/>
          <w:color w:val="auto"/>
        </w:rPr>
        <w:t xml:space="preserve"> - Represents the impairment charge taken on goodwill.</w:t>
      </w:r>
    </w:p>
    <w:p>
      <w:pPr>
        <w:spacing w:after="0" w:line="168" w:lineRule="exact"/>
        <w:rPr>
          <w:sz w:val="20"/>
          <w:szCs w:val="20"/>
          <w:color w:val="auto"/>
        </w:rPr>
      </w:pPr>
    </w:p>
    <w:p>
      <w:pPr>
        <w:ind w:left="640" w:right="360" w:hanging="312"/>
        <w:spacing w:after="0" w:line="27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recorded a non-cash goodwill impairment charge of $159.5 million for the year ended May 31, 2024 as the fair value of the Med Tech reporting unit was less than its carrying value.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2" w:name="page43"/>
    <w:bookmarkEnd w:id="42"/>
    <w:p>
      <w:pPr>
        <w:ind w:right="160"/>
        <w:spacing w:after="0" w:line="278" w:lineRule="auto"/>
        <w:rPr>
          <w:sz w:val="20"/>
          <w:szCs w:val="20"/>
          <w:color w:val="auto"/>
        </w:rPr>
      </w:pPr>
      <w:r>
        <w:rPr>
          <w:rFonts w:ascii="Times New Roman" w:cs="Times New Roman" w:eastAsia="Times New Roman" w:hAnsi="Times New Roman"/>
          <w:sz w:val="18"/>
          <w:szCs w:val="18"/>
          <w:u w:val="single" w:color="auto"/>
          <w:color w:val="auto"/>
        </w:rPr>
        <w:t>Change in fair value of contingent consideration</w:t>
      </w:r>
      <w:r>
        <w:rPr>
          <w:rFonts w:ascii="Times New Roman" w:cs="Times New Roman" w:eastAsia="Times New Roman" w:hAnsi="Times New Roman"/>
          <w:sz w:val="18"/>
          <w:szCs w:val="18"/>
          <w:color w:val="auto"/>
        </w:rPr>
        <w:t xml:space="preserve"> - Represents changes in contingent consideration driven by changes to estimated future payments on earn-out liabilities created through acquisitions and amortization of present value discounts on long-term contingent consideration.</w:t>
      </w:r>
    </w:p>
    <w:p>
      <w:pPr>
        <w:spacing w:after="0" w:line="110" w:lineRule="exact"/>
        <w:rPr>
          <w:sz w:val="20"/>
          <w:szCs w:val="20"/>
          <w:color w:val="auto"/>
        </w:rPr>
      </w:pPr>
    </w:p>
    <w:p>
      <w:pPr>
        <w:ind w:left="640" w:right="280" w:hanging="312"/>
        <w:spacing w:after="0" w:line="263"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fair value for the year ended May 31, 2025 is related to the Eximo contingent consideration and the increased probability of achieving the revenue milestones. The final milestone associated with the contingent consideration was reached during the third quarter of fiscal year 2025 and was paid during the fourth quarter of fiscal year 2025.</w:t>
      </w:r>
    </w:p>
    <w:p>
      <w:pPr>
        <w:spacing w:after="0" w:line="123"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17"/>
          <w:szCs w:val="17"/>
          <w:u w:val="single" w:color="auto"/>
          <w:color w:val="auto"/>
        </w:rPr>
        <w:t>Acquisition, restructuring and other items, net</w:t>
      </w:r>
      <w:r>
        <w:rPr>
          <w:rFonts w:ascii="Times New Roman" w:cs="Times New Roman" w:eastAsia="Times New Roman" w:hAnsi="Times New Roman"/>
          <w:sz w:val="17"/>
          <w:szCs w:val="17"/>
          <w:color w:val="auto"/>
        </w:rPr>
        <w:t xml:space="preserve"> - Acquisition, restructuring and other items, net represents costs associated with mergers and acquisitions, restructuring expenses, legal costs that are related to litigation that is not in the ordinary course of business, legal settlements and other one-time items.</w:t>
      </w:r>
    </w:p>
    <w:p>
      <w:pPr>
        <w:spacing w:after="0" w:line="86"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Acquisition, restructuring and other items, net decreased by $37.6 million compared to the prior year. The change from the prior year was primarily driven by:</w:t>
      </w:r>
    </w:p>
    <w:p>
      <w:pPr>
        <w:spacing w:after="0" w:line="110" w:lineRule="exact"/>
        <w:rPr>
          <w:sz w:val="20"/>
          <w:szCs w:val="20"/>
          <w:color w:val="auto"/>
        </w:rPr>
      </w:pPr>
    </w:p>
    <w:p>
      <w:pPr>
        <w:ind w:left="640" w:right="400" w:hanging="312"/>
        <w:spacing w:after="0" w:line="25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 related to litigation that is outside of the normal course of business, which decreased $34.2 million and was driven by the $19.3 million settlement between the Company and BD in the prior year;</w:t>
      </w:r>
    </w:p>
    <w:p>
      <w:pPr>
        <w:ind w:left="640" w:hanging="31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expense, which increased $0.3 million;</w:t>
      </w:r>
    </w:p>
    <w:p>
      <w:pPr>
        <w:spacing w:after="0" w:line="7" w:lineRule="exact"/>
        <w:rPr>
          <w:rFonts w:ascii="Times New Roman" w:cs="Times New Roman" w:eastAsia="Times New Roman" w:hAnsi="Times New Roman"/>
          <w:sz w:val="18"/>
          <w:szCs w:val="18"/>
          <w:color w:val="auto"/>
        </w:rPr>
      </w:pPr>
    </w:p>
    <w:p>
      <w:pPr>
        <w:ind w:left="640" w:right="22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Plant closure expense, related to the restructuring of our manufacturing footprint which was announced on January 5, 2024, which increased $4.3 million;</w:t>
      </w:r>
    </w:p>
    <w:p>
      <w:pPr>
        <w:ind w:left="640" w:right="18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of $3.4 million on the Syntrax product technology intangible and fixed assets and an inventory write-off of $2.9 million was taken in the third quarter of fiscal year 2024 related to the abandonment of the Syntrax and RF product lines;</w:t>
      </w:r>
    </w:p>
    <w:p>
      <w:pPr>
        <w:ind w:left="640" w:right="18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services agreements that were entered into as a result of the divestiture of the PICCs, Midline, dialysis and BioSentry businesses. The increase in the fees invoiced was $0.7 million;</w:t>
      </w:r>
    </w:p>
    <w:p>
      <w:pPr>
        <w:ind w:left="640" w:right="80" w:hanging="312"/>
        <w:spacing w:after="0" w:line="248"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relocation expense related to the move of certain manufacturing lines from Queensbury, New York to a third party, which decreased $0.6 million; and</w:t>
      </w:r>
    </w:p>
    <w:p>
      <w:pPr>
        <w:ind w:left="640" w:hanging="312"/>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mainly severance associated with organizational changes, which decreased $0.4 million.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w:t>
      </w:r>
      <w:r>
        <w:rPr>
          <w:rFonts w:ascii="Times New Roman" w:cs="Times New Roman" w:eastAsia="Times New Roman" w:hAnsi="Times New Roman"/>
          <w:sz w:val="18"/>
          <w:szCs w:val="18"/>
          <w:color w:val="auto"/>
        </w:rPr>
        <w:t xml:space="preserve"> - Other expense includes interest income and expense, foreign currency impacts and bank fees.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increased by $5.1 million compared to the prior year. The change from the prior year was primarily driven by:</w:t>
      </w:r>
    </w:p>
    <w:p>
      <w:pPr>
        <w:spacing w:after="0" w:line="168" w:lineRule="exact"/>
        <w:rPr>
          <w:sz w:val="20"/>
          <w:szCs w:val="20"/>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achieved the $5.5 million sales milestone related to divested products in the third quarter of fiscal year 2025;</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currency fluctuations, which increased $0.2 million;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which decreased $0.6 million compared to the prior year.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228"/>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(7,289)</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60" w:firstLine="402"/>
        <w:spacing w:after="0" w:line="258" w:lineRule="auto"/>
        <w:rPr>
          <w:sz w:val="20"/>
          <w:szCs w:val="20"/>
          <w:color w:val="auto"/>
        </w:rPr>
      </w:pPr>
      <w:r>
        <w:rPr>
          <w:rFonts w:ascii="Times New Roman" w:cs="Times New Roman" w:eastAsia="Times New Roman" w:hAnsi="Times New Roman"/>
          <w:sz w:val="18"/>
          <w:szCs w:val="18"/>
          <w:color w:val="auto"/>
        </w:rPr>
        <w:t>Our effective tax rate was a benefit of 0.1% for fiscal year 2025 compared with an effective tax rate benefit of 3.8% for the prior year. The current year and prior year effective tax rates differ from the U.S. statutory rate primarily due to the impact of the valuation allowance, foreign taxes, and other non-deductible permanent items (such as non-deductible meals and entertainment, Section 162(m) excess compensation), goodwill impairment and the impact of stock-based compensation.</w:t>
      </w:r>
    </w:p>
    <w:p>
      <w:pPr>
        <w:spacing w:after="0" w:line="128" w:lineRule="exact"/>
        <w:rPr>
          <w:sz w:val="20"/>
          <w:szCs w:val="20"/>
          <w:color w:val="auto"/>
        </w:rPr>
      </w:pPr>
    </w:p>
    <w:p>
      <w:pPr>
        <w:ind w:right="180" w:firstLine="402"/>
        <w:spacing w:after="0" w:line="263"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3"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2025. The Company will continue to assess the level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3" w:name="page44"/>
    <w:bookmarkEnd w:id="43"/>
    <w:p>
      <w:pPr>
        <w:ind w:right="20"/>
        <w:spacing w:after="0" w:line="278" w:lineRule="auto"/>
        <w:rPr>
          <w:sz w:val="20"/>
          <w:szCs w:val="20"/>
          <w:color w:val="auto"/>
        </w:rPr>
      </w:pPr>
      <w:r>
        <w:rPr>
          <w:rFonts w:ascii="Times New Roman" w:cs="Times New Roman" w:eastAsia="Times New Roman" w:hAnsi="Times New Roman"/>
          <w:sz w:val="18"/>
          <w:szCs w:val="18"/>
          <w:color w:val="auto"/>
        </w:rPr>
        <w:t>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72" w:lineRule="exact"/>
        <w:rPr>
          <w:sz w:val="20"/>
          <w:szCs w:val="20"/>
          <w:color w:val="auto"/>
        </w:rPr>
      </w:pPr>
    </w:p>
    <w:p>
      <w:pPr>
        <w:ind w:right="380" w:firstLine="402"/>
        <w:spacing w:after="0" w:line="278" w:lineRule="auto"/>
        <w:rPr>
          <w:sz w:val="20"/>
          <w:szCs w:val="20"/>
          <w:color w:val="auto"/>
        </w:rPr>
      </w:pPr>
      <w:r>
        <w:rPr>
          <w:rFonts w:ascii="Times New Roman" w:cs="Times New Roman" w:eastAsia="Times New Roman" w:hAnsi="Times New Roman"/>
          <w:sz w:val="18"/>
          <w:szCs w:val="18"/>
          <w:color w:val="auto"/>
        </w:rPr>
        <w:t>We regularly review our liquidity and anticipated capital requirements and we believe that our current cash on hand provides sufficient liquidity to meet our anticipated needs for capital for at least the next 12 months.</w:t>
      </w:r>
    </w:p>
    <w:p>
      <w:pPr>
        <w:spacing w:after="0" w:line="110" w:lineRule="exact"/>
        <w:rPr>
          <w:sz w:val="20"/>
          <w:szCs w:val="20"/>
          <w:color w:val="auto"/>
        </w:rPr>
      </w:pPr>
    </w:p>
    <w:p>
      <w:pPr>
        <w:ind w:right="320" w:firstLine="385"/>
        <w:spacing w:after="0" w:line="278" w:lineRule="auto"/>
        <w:rPr>
          <w:sz w:val="20"/>
          <w:szCs w:val="20"/>
          <w:color w:val="auto"/>
        </w:rPr>
      </w:pPr>
      <w:r>
        <w:rPr>
          <w:rFonts w:ascii="Times New Roman" w:cs="Times New Roman" w:eastAsia="Times New Roman" w:hAnsi="Times New Roman"/>
          <w:sz w:val="18"/>
          <w:szCs w:val="18"/>
          <w:color w:val="auto"/>
        </w:rPr>
        <w:t>Our cash and cash equivalents totaled $55.9 million as of May 31, 2025, compared with $76.1 million as of May 31, 2024. As of May 31, 2025 and 2024 the Company did not have any outstanding debt.</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our cash flows for the years ended May 31, 2025 and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Year ended May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w w:val="99"/>
              </w:rPr>
              <w:t>2024</w:t>
            </w:r>
          </w:p>
        </w:tc>
        <w:tc>
          <w:tcPr>
            <w:tcW w:w="0" w:type="dxa"/>
            <w:vAlign w:val="bottom"/>
          </w:tcPr>
          <w:p>
            <w:pPr>
              <w:spacing w:after="0"/>
              <w:rPr>
                <w:sz w:val="1"/>
                <w:szCs w:val="1"/>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tcPr>
          <w:p>
            <w:pPr>
              <w:spacing w:after="0"/>
              <w:rPr>
                <w:sz w:val="19"/>
                <w:szCs w:val="19"/>
                <w:color w:val="auto"/>
              </w:rPr>
            </w:pPr>
          </w:p>
        </w:tc>
        <w:tc>
          <w:tcPr>
            <w:tcW w:w="560" w:type="dxa"/>
            <w:vAlign w:val="bottom"/>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123,717</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May 31, 2025 and 2024, cash flows consisted of the following: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operating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2025 and 2024:</w:t>
      </w:r>
    </w:p>
    <w:p>
      <w:pPr>
        <w:spacing w:after="0" w:line="168" w:lineRule="exact"/>
        <w:rPr>
          <w:sz w:val="20"/>
          <w:szCs w:val="20"/>
          <w:color w:val="auto"/>
        </w:rPr>
      </w:pPr>
    </w:p>
    <w:p>
      <w:pPr>
        <w:ind w:left="640" w:right="60" w:hanging="312"/>
        <w:spacing w:after="0" w:line="255"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$34.0 million and $184.3 million, respectively, plus the non-cash items, primarily driven by depreciation and amortization, gain on the divestiture and related expenses, goodwill impairment and stock-based compensation, along with the changes in working capital below, contributed to cash used in operations of $10.1 million and $28.2 million for the years ended May 31, 2025 and 2024, respectively;</w:t>
      </w:r>
    </w:p>
    <w:p>
      <w:pPr>
        <w:spacing w:after="0" w:line="1" w:lineRule="exact"/>
        <w:rPr>
          <w:rFonts w:ascii="Times New Roman" w:cs="Times New Roman" w:eastAsia="Times New Roman" w:hAnsi="Times New Roman"/>
          <w:sz w:val="18"/>
          <w:szCs w:val="18"/>
          <w:color w:val="auto"/>
        </w:rPr>
      </w:pPr>
    </w:p>
    <w:p>
      <w:pPr>
        <w:ind w:left="640" w:right="200" w:hanging="312"/>
        <w:spacing w:after="0" w:line="248"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2025, working capital was unfavorably impacted by decreased accounts payable and accrued liabilities and inventory on hand of $15.9 million and $1.3 million, respectively. This was partially offset by decreased prepaid expenses of $3.1 million; and</w:t>
      </w:r>
    </w:p>
    <w:p>
      <w:pPr>
        <w:ind w:left="640" w:right="40" w:hanging="312"/>
        <w:spacing w:after="0" w:line="252"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May 31, 2024, working capital was unfavorably impacted by increased prepaid expenses and inventory on hand of $11.6 million and $9.4 million, respectively. This was partially offset by decreased accounts receivable and increased accounts payable and accrued liabilities of $7.9 million and $27.5 million,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(used in) provided by investing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2025 and 2024:</w:t>
      </w:r>
    </w:p>
    <w:p>
      <w:pPr>
        <w:spacing w:after="0" w:line="168" w:lineRule="exact"/>
        <w:rPr>
          <w:sz w:val="20"/>
          <w:szCs w:val="20"/>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million and $2.5 million, respectively, of cash was used for fixed asset additions;</w:t>
      </w:r>
    </w:p>
    <w:p>
      <w:pPr>
        <w:spacing w:after="0" w:line="2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 million and $5.0 million, respectively, of cash was used for Auryon placement and evaluation unit additions;</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$134.5 million of cash was received for the divestiture of the PICCs, Midline, dialysis and BioSentry businesses in fiscal year 2024; and</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of cash was used for the acquisition of exclusive licenses in fiscal year 2024.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financing activities: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ended May 31, 2025 and 2024:</w:t>
      </w:r>
    </w:p>
    <w:p>
      <w:pPr>
        <w:spacing w:after="0" w:line="168" w:lineRule="exact"/>
        <w:rPr>
          <w:sz w:val="20"/>
          <w:szCs w:val="20"/>
          <w:color w:val="auto"/>
        </w:rPr>
      </w:pPr>
    </w:p>
    <w:p>
      <w:pPr>
        <w:ind w:left="640" w:right="240" w:hanging="312"/>
        <w:spacing w:after="0" w:line="259"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of proceeds from financing arrangements offset with $0.1 million of principal payments on the financing arrangements in fiscal year 2025;</w:t>
      </w: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of cash was used for the repurchase of common shares in fiscal year 2025;</w:t>
      </w:r>
    </w:p>
    <w:p>
      <w:pPr>
        <w:spacing w:after="0" w:line="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and $15.0 million, respectively, of contingent consideration payments;</w:t>
      </w:r>
    </w:p>
    <w:p>
      <w:pPr>
        <w:spacing w:after="0" w:line="7" w:lineRule="exact"/>
        <w:rPr>
          <w:rFonts w:ascii="Times New Roman" w:cs="Times New Roman" w:eastAsia="Times New Roman" w:hAnsi="Times New Roman"/>
          <w:sz w:val="18"/>
          <w:szCs w:val="18"/>
          <w:color w:val="auto"/>
        </w:rPr>
      </w:pPr>
    </w:p>
    <w:p>
      <w:pPr>
        <w:ind w:left="640" w:right="240" w:hanging="312"/>
        <w:spacing w:after="0" w:line="256"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repayment of the Credit Agreement in connection with the completion of the dialysis and BioSentry divestiture in fiscal year 2024;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4" w:name="page45"/>
    <w:bookmarkEnd w:id="44"/>
    <w:p>
      <w:pPr>
        <w:ind w:left="640" w:hanging="31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$0.9 million and $0.8 million, respectively, of proceeds from stock option and ESPP activity.</w:t>
      </w:r>
    </w:p>
    <w:p>
      <w:pPr>
        <w:spacing w:after="0" w:line="168" w:lineRule="exact"/>
        <w:rPr>
          <w:sz w:val="20"/>
          <w:szCs w:val="20"/>
          <w:color w:val="auto"/>
        </w:rPr>
      </w:pPr>
    </w:p>
    <w:p>
      <w:pPr>
        <w:ind w:right="80" w:firstLine="402"/>
        <w:spacing w:after="0" w:line="254" w:lineRule="auto"/>
        <w:rPr>
          <w:sz w:val="20"/>
          <w:szCs w:val="20"/>
          <w:color w:val="auto"/>
        </w:rPr>
      </w:pPr>
      <w:r>
        <w:rPr>
          <w:rFonts w:ascii="Times New Roman" w:cs="Times New Roman" w:eastAsia="Times New Roman" w:hAnsi="Times New Roman"/>
          <w:sz w:val="18"/>
          <w:szCs w:val="18"/>
          <w:color w:val="auto"/>
        </w:rPr>
        <w:t>On May 28, 2025, the Company entered into a new Credit Agreement (the “Credit Agreement”) with JPMorgan Chase Bank, N.A. The Credit Agreement has a two-year maturity and provides for a $25.0 million secured revolving credit facility (the "Revolving Facility"), which is subject to a borrowing base comprised of certain working capital assets of the Company. As of May 31, 2025, there is no outstanding balance on the Revolving Facility.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w:t>
      </w:r>
    </w:p>
    <w:p>
      <w:pPr>
        <w:spacing w:after="0" w:line="132" w:lineRule="exact"/>
        <w:rPr>
          <w:sz w:val="20"/>
          <w:szCs w:val="20"/>
          <w:color w:val="auto"/>
        </w:rPr>
      </w:pPr>
    </w:p>
    <w:p>
      <w:pPr>
        <w:ind w:right="60" w:firstLine="385"/>
        <w:spacing w:after="0" w:line="278" w:lineRule="auto"/>
        <w:rPr>
          <w:sz w:val="20"/>
          <w:szCs w:val="20"/>
          <w:color w:val="auto"/>
        </w:rPr>
      </w:pPr>
      <w:r>
        <w:rPr>
          <w:rFonts w:ascii="Times New Roman" w:cs="Times New Roman" w:eastAsia="Times New Roman" w:hAnsi="Times New Roman"/>
          <w:sz w:val="18"/>
          <w:szCs w:val="18"/>
          <w:color w:val="auto"/>
        </w:rPr>
        <w:t>Our contractual obligations as of May 31, 2025 are set forth in the table below (in thousands). We have no variable interest entities or other off-balance sheet obligations.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color w:val="auto"/>
              </w:rPr>
              <w:t>Cash payments due by period as of May 31, 2025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1"/>
                <w:szCs w:val="11"/>
                <w:color w:val="auto"/>
              </w:rPr>
            </w:pPr>
          </w:p>
        </w:tc>
        <w:tc>
          <w:tcPr>
            <w:tcW w:w="10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color w:val="auto"/>
              </w:rPr>
              <w:t>Less than</w:t>
            </w:r>
          </w:p>
        </w:tc>
        <w:tc>
          <w:tcPr>
            <w:tcW w:w="20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8"/>
              </w:rPr>
              <w:t>1-3 Years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3-5 Years</w:t>
            </w:r>
          </w:p>
        </w:tc>
        <w:tc>
          <w:tcPr>
            <w:tcW w:w="220" w:type="dxa"/>
            <w:vAlign w:val="bottom"/>
          </w:tcPr>
          <w:p>
            <w:pPr>
              <w:spacing w:after="0"/>
              <w:rPr>
                <w:sz w:val="11"/>
                <w:szCs w:val="11"/>
                <w:color w:val="auto"/>
              </w:rPr>
            </w:pPr>
          </w:p>
        </w:tc>
        <w:tc>
          <w:tcPr>
            <w:tcW w:w="9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color w:val="auto"/>
              </w:rPr>
              <w:t>After 5</w:t>
            </w:r>
          </w:p>
        </w:tc>
        <w:tc>
          <w:tcPr>
            <w:tcW w:w="0" w:type="dxa"/>
            <w:vAlign w:val="bottom"/>
          </w:tcPr>
          <w:p>
            <w:pPr>
              <w:spacing w:after="0"/>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One Year</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4"/>
                <w:szCs w:val="14"/>
                <w:color w:val="auto"/>
              </w:rPr>
              <w:t>Years</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1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Royalties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Operating leases include short-term leases that are not recorded on our Consolidated Balance Sheets under ASU No. 2016-02</w:t>
      </w:r>
      <w:r>
        <w:rPr>
          <w:rFonts w:ascii="Times New Roman" w:cs="Times New Roman" w:eastAsia="Times New Roman" w:hAnsi="Times New Roman"/>
          <w:sz w:val="17"/>
          <w:szCs w:val="17"/>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May 31, 2024 and 2023</w:t>
      </w:r>
    </w:p>
    <w:p>
      <w:pPr>
        <w:spacing w:after="0" w:line="172" w:lineRule="exact"/>
        <w:rPr>
          <w:sz w:val="20"/>
          <w:szCs w:val="20"/>
          <w:color w:val="auto"/>
        </w:rPr>
      </w:pPr>
    </w:p>
    <w:p>
      <w:pPr>
        <w:jc w:val="both"/>
        <w:ind w:right="20" w:firstLine="385"/>
        <w:spacing w:after="0" w:line="309" w:lineRule="auto"/>
        <w:rPr>
          <w:sz w:val="20"/>
          <w:szCs w:val="20"/>
          <w:color w:val="auto"/>
        </w:rPr>
      </w:pPr>
      <w:r>
        <w:rPr>
          <w:rFonts w:ascii="Times New Roman" w:cs="Times New Roman" w:eastAsia="Times New Roman" w:hAnsi="Times New Roman"/>
          <w:sz w:val="17"/>
          <w:szCs w:val="17"/>
          <w:color w:val="auto"/>
        </w:rPr>
        <w:t>For management discussion and analysis of our 2024 financial results and liquidity compared with 2023, see Part II, Item 7 "Management's Discussion and Analysis of Financial Condition and Results of Operations" in our Annual Report on Form 10-K for the year ended May 31, 2024 filed on July 25,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 of the Notes to the consolidated financial statements for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5"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172" w:lineRule="exact"/>
        <w:rPr>
          <w:sz w:val="20"/>
          <w:szCs w:val="20"/>
          <w:color w:val="auto"/>
        </w:rPr>
      </w:pPr>
    </w:p>
    <w:p>
      <w:pPr>
        <w:ind w:right="160" w:firstLine="385"/>
        <w:spacing w:after="0" w:line="278" w:lineRule="auto"/>
        <w:rPr>
          <w:sz w:val="20"/>
          <w:szCs w:val="20"/>
          <w:color w:val="auto"/>
        </w:rPr>
      </w:pPr>
      <w:r>
        <w:rPr>
          <w:rFonts w:ascii="Times New Roman" w:cs="Times New Roman" w:eastAsia="Times New Roman" w:hAnsi="Times New Roman"/>
          <w:sz w:val="18"/>
          <w:szCs w:val="18"/>
          <w:color w:val="auto"/>
        </w:rPr>
        <w:t>We are exposed to market risk from changes in currency exchange rates, as well as interest rate fluctuations on our credit facility and investments that could impact our results of operations and financial position.</w:t>
      </w:r>
    </w:p>
    <w:p>
      <w:pPr>
        <w:spacing w:after="0" w:line="110" w:lineRule="exact"/>
        <w:rPr>
          <w:sz w:val="20"/>
          <w:szCs w:val="20"/>
          <w:color w:val="auto"/>
        </w:rPr>
      </w:pPr>
    </w:p>
    <w:p>
      <w:pPr>
        <w:ind w:right="40" w:firstLine="385"/>
        <w:spacing w:after="0" w:line="274" w:lineRule="auto"/>
        <w:rPr>
          <w:sz w:val="20"/>
          <w:szCs w:val="20"/>
          <w:color w:val="auto"/>
        </w:rPr>
      </w:pPr>
      <w:r>
        <w:rPr>
          <w:rFonts w:ascii="Times New Roman" w:cs="Times New Roman" w:eastAsia="Times New Roman" w:hAnsi="Times New Roman"/>
          <w:sz w:val="17"/>
          <w:szCs w:val="17"/>
          <w:color w:val="auto"/>
        </w:rPr>
        <w:t>We transact sales in currencies other than the U.S. Dollar, particularly the Euro, British pound and Canadian dollar. Approximately 3.4% of our sales in fiscal year 2025 were denominated in foreign currencies. We do not have expenses denominated in foreign currencies at the level of our sales and as a result, our profitability is exposed to currency fluctuations. When the U.S. Dollar strengthens, our sales and gross margin will be negatively impacted. In addition, we have assets and liabilities denominated in non-functional currencies which are remeasured at each reporting period, with the offset to changes presented as a component of Other (Expense) Income. Significant non-functional balances include accounts receivable due from some of our international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2"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The risk associated with fluctuating interest rates is primarily limited to indebtedness. As of May 31, 2025, the Company does not have any outstanding debt (see Note 11, "Long-Term Debt" set forth in the Notes in the consolidated financial statements included in this Annual Report on Form 10-K).</w:t>
      </w:r>
    </w:p>
    <w:p>
      <w:pPr>
        <w:spacing w:after="0" w:line="123" w:lineRule="exact"/>
        <w:rPr>
          <w:sz w:val="20"/>
          <w:szCs w:val="20"/>
          <w:color w:val="auto"/>
        </w:rPr>
      </w:pPr>
    </w:p>
    <w:p>
      <w:pPr>
        <w:ind w:firstLine="402"/>
        <w:spacing w:after="0" w:line="258" w:lineRule="auto"/>
        <w:rPr>
          <w:sz w:val="20"/>
          <w:szCs w:val="20"/>
          <w:color w:val="auto"/>
        </w:rPr>
      </w:pPr>
      <w:r>
        <w:rPr>
          <w:rFonts w:ascii="Times New Roman" w:cs="Times New Roman" w:eastAsia="Times New Roman" w:hAnsi="Times New Roman"/>
          <w:sz w:val="18"/>
          <w:szCs w:val="18"/>
          <w:color w:val="auto"/>
        </w:rPr>
        <w:t>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2" w:lineRule="exact"/>
        <w:rPr>
          <w:sz w:val="20"/>
          <w:szCs w:val="20"/>
          <w:color w:val="auto"/>
        </w:rPr>
      </w:pPr>
    </w:p>
    <w:p>
      <w:pPr>
        <w:ind w:right="20" w:firstLine="385"/>
        <w:spacing w:after="0" w:line="27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significant concentrations of credit risk, consist primarily of cash and cash equivalents and trade accounts receivable.</w:t>
      </w:r>
    </w:p>
    <w:p>
      <w:pPr>
        <w:spacing w:after="0" w:line="110" w:lineRule="exact"/>
        <w:rPr>
          <w:sz w:val="20"/>
          <w:szCs w:val="20"/>
          <w:color w:val="auto"/>
        </w:rPr>
      </w:pPr>
    </w:p>
    <w:p>
      <w:pPr>
        <w:ind w:right="340" w:firstLine="385"/>
        <w:spacing w:after="0" w:line="278" w:lineRule="auto"/>
        <w:rPr>
          <w:sz w:val="20"/>
          <w:szCs w:val="20"/>
          <w:color w:val="auto"/>
        </w:rPr>
      </w:pPr>
      <w:r>
        <w:rPr>
          <w:rFonts w:ascii="Times New Roman" w:cs="Times New Roman" w:eastAsia="Times New Roman" w:hAnsi="Times New Roman"/>
          <w:sz w:val="18"/>
          <w:szCs w:val="18"/>
          <w:color w:val="auto"/>
        </w:rPr>
        <w:t>The Company maintains cash and cash equivalents at various institutions and performs periodic evaluations of the relative credit standings of these financial institutions to ensure their credit worthiness.</w:t>
      </w:r>
    </w:p>
    <w:p>
      <w:pPr>
        <w:spacing w:after="0" w:line="110"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172"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Financial statements and supplementary data required by Part II, Item 8 are included in Part IV of this report and indexed under Item 15 (a) (1) and (2) of this report, and are incorporated by reference into this Item 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under the supervision and with the participation of our Chief Executive Officer and our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72" w:lineRule="exact"/>
        <w:rPr>
          <w:sz w:val="20"/>
          <w:szCs w:val="20"/>
          <w:color w:val="auto"/>
        </w:rPr>
      </w:pPr>
    </w:p>
    <w:p>
      <w:pPr>
        <w:ind w:right="220" w:firstLine="385"/>
        <w:spacing w:after="0" w:line="274"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for our Company. Internal control over financial reporting is defined in Rules 13a-15(f) and 15d-15(f) promulgated under the Securities Exchange Act of 1934, as amended,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and includes those policies and procedures that:</w:t>
      </w:r>
    </w:p>
    <w:p>
      <w:pPr>
        <w:spacing w:after="0" w:line="116" w:lineRule="exact"/>
        <w:rPr>
          <w:sz w:val="20"/>
          <w:szCs w:val="20"/>
          <w:color w:val="auto"/>
        </w:rPr>
      </w:pPr>
    </w:p>
    <w:p>
      <w:pPr>
        <w:ind w:left="640" w:hanging="312"/>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6" w:lineRule="exact"/>
        <w:rPr>
          <w:rFonts w:ascii="Times New Roman" w:cs="Times New Roman" w:eastAsia="Times New Roman" w:hAnsi="Times New Roman"/>
          <w:sz w:val="18"/>
          <w:szCs w:val="18"/>
          <w:color w:val="auto"/>
        </w:rPr>
      </w:pPr>
    </w:p>
    <w:p>
      <w:pPr>
        <w:ind w:left="640" w:right="520" w:hanging="312"/>
        <w:spacing w:after="0" w:line="248"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accounting principles generally accepted in the United States, and that our receipts and expenditures are being made only in accordance with authorizations of our management and members of our Board of Directors; and</w:t>
      </w:r>
    </w:p>
    <w:p>
      <w:pPr>
        <w:spacing w:after="0" w:line="1" w:lineRule="exact"/>
        <w:rPr>
          <w:rFonts w:ascii="Times New Roman" w:cs="Times New Roman" w:eastAsia="Times New Roman" w:hAnsi="Times New Roman"/>
          <w:sz w:val="18"/>
          <w:szCs w:val="18"/>
          <w:color w:val="auto"/>
        </w:rPr>
      </w:pPr>
    </w:p>
    <w:p>
      <w:pPr>
        <w:ind w:left="640" w:hanging="312"/>
        <w:spacing w:after="0" w:line="256"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29"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ind w:right="80" w:firstLine="385"/>
        <w:spacing w:after="0" w:line="286" w:lineRule="auto"/>
        <w:rPr>
          <w:sz w:val="20"/>
          <w:szCs w:val="20"/>
          <w:color w:val="auto"/>
        </w:rPr>
      </w:pPr>
      <w:r>
        <w:rPr>
          <w:rFonts w:ascii="Times New Roman" w:cs="Times New Roman" w:eastAsia="Times New Roman" w:hAnsi="Times New Roman"/>
          <w:sz w:val="17"/>
          <w:szCs w:val="17"/>
          <w:color w:val="auto"/>
        </w:rPr>
        <w:t xml:space="preserve">Our management has assessed the effectiveness of our internal control over financial reporting as of May 31, 2025. In making this assessment, management used the criteria set forth by the Committee of Sponsoring Organizations of the Treadway Commission (COSO) in </w:t>
      </w:r>
      <w:r>
        <w:rPr>
          <w:rFonts w:ascii="Times New Roman" w:cs="Times New Roman" w:eastAsia="Times New Roman" w:hAnsi="Times New Roman"/>
          <w:sz w:val="17"/>
          <w:szCs w:val="17"/>
          <w:i w:val="1"/>
          <w:iCs w:val="1"/>
          <w:color w:val="auto"/>
        </w:rPr>
        <w:t>Internal Control-Integrated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Framework </w:t>
      </w:r>
      <w:r>
        <w:rPr>
          <w:rFonts w:ascii="Times New Roman" w:cs="Times New Roman" w:eastAsia="Times New Roman" w:hAnsi="Times New Roman"/>
          <w:sz w:val="17"/>
          <w:szCs w:val="17"/>
          <w:color w:val="auto"/>
        </w:rPr>
        <w:t>(2013). Based on this evaluation, management concluded that our internal control over financial reporting was effective as of May 31, 2025.</w:t>
      </w:r>
    </w:p>
    <w:p>
      <w:pPr>
        <w:spacing w:after="0" w:line="105" w:lineRule="exact"/>
        <w:rPr>
          <w:sz w:val="20"/>
          <w:szCs w:val="20"/>
          <w:color w:val="auto"/>
        </w:rPr>
      </w:pPr>
    </w:p>
    <w:p>
      <w:pPr>
        <w:ind w:right="460" w:firstLine="385"/>
        <w:spacing w:after="0" w:line="278"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May 31, 2025 has been audited by Deloitte &amp; Touche LLP, an independent registered public accounting firm, as stated in their report which appears herein.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2" w:lineRule="exact"/>
        <w:rPr>
          <w:sz w:val="20"/>
          <w:szCs w:val="20"/>
          <w:color w:val="auto"/>
        </w:rPr>
      </w:pPr>
    </w:p>
    <w:p>
      <w:pPr>
        <w:ind w:right="800" w:firstLine="385"/>
        <w:spacing w:after="0" w:line="278"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for the fiscal year ended May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282" w:right="35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AngioDynamics, Inc. and subsidiaries (the “Company”) as of May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May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8" w:lineRule="exact"/>
        <w:rPr>
          <w:sz w:val="20"/>
          <w:szCs w:val="20"/>
          <w:color w:val="auto"/>
        </w:rPr>
      </w:pPr>
    </w:p>
    <w:p>
      <w:pPr>
        <w:jc w:val="both"/>
        <w:ind w:right="300"/>
        <w:spacing w:after="0" w:line="263"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May 31, 2025, of the Company and our report dated July 18, 2025, expressed an unqualified opinion on those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Foreign Jurisdictions that Prevent Inspections.</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5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282"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2" w:lineRule="exact"/>
        <w:rPr>
          <w:sz w:val="20"/>
          <w:szCs w:val="20"/>
          <w:color w:val="auto"/>
        </w:rPr>
      </w:pPr>
    </w:p>
    <w:p>
      <w:pPr>
        <w:ind w:right="60" w:firstLine="385"/>
        <w:spacing w:after="0" w:line="286" w:lineRule="auto"/>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10-K because we will file a definitive proxy statement within 120 days after the end of our fiscal year end pursuant to Regulation 14A (the “Proxy Statement”) for our Annual Meeting of Stockholders, currently scheduled for October 2025. The information included in the Proxy Statement under the respective headings noted below is incorporated herein by reference.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72" w:lineRule="exact"/>
        <w:rPr>
          <w:sz w:val="20"/>
          <w:szCs w:val="20"/>
          <w:color w:val="auto"/>
        </w:rPr>
      </w:pPr>
    </w:p>
    <w:p>
      <w:pPr>
        <w:ind w:firstLine="385"/>
        <w:spacing w:after="0" w:line="263" w:lineRule="auto"/>
        <w:rPr>
          <w:sz w:val="20"/>
          <w:szCs w:val="20"/>
          <w:color w:val="auto"/>
        </w:rPr>
      </w:pPr>
      <w:r>
        <w:rPr>
          <w:rFonts w:ascii="Times New Roman" w:cs="Times New Roman" w:eastAsia="Times New Roman" w:hAnsi="Times New Roman"/>
          <w:sz w:val="18"/>
          <w:szCs w:val="18"/>
          <w:color w:val="auto"/>
        </w:rPr>
        <w:t>Information required in this Annual Report on Form 10-K with respect to Executive Officers is contained in the discussion titled “Executive Officers of the Company” in Part I of this Annual Report on Form 10-K. The balance of the information required by Item 10 is incorporated herein by reference to our Proxy Statement under the heading “Election of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“Executive Compensation”.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“Ownership of Securities”.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72" w:lineRule="exact"/>
        <w:rPr>
          <w:sz w:val="20"/>
          <w:szCs w:val="20"/>
          <w:color w:val="auto"/>
        </w:rPr>
      </w:pPr>
    </w:p>
    <w:p>
      <w:pPr>
        <w:ind w:right="420" w:firstLine="385"/>
        <w:spacing w:after="0" w:line="278"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 “Certain Relationships and Related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72" w:lineRule="exact"/>
        <w:rPr>
          <w:sz w:val="20"/>
          <w:szCs w:val="20"/>
          <w:color w:val="auto"/>
        </w:rPr>
      </w:pPr>
    </w:p>
    <w:p>
      <w:pPr>
        <w:jc w:val="both"/>
        <w:ind w:right="360" w:firstLine="385"/>
        <w:spacing w:after="0" w:line="263" w:lineRule="auto"/>
        <w:rPr>
          <w:sz w:val="20"/>
          <w:szCs w:val="20"/>
          <w:color w:val="auto"/>
        </w:rPr>
      </w:pPr>
      <w:r>
        <w:rPr>
          <w:rFonts w:ascii="Times New Roman" w:cs="Times New Roman" w:eastAsia="Times New Roman" w:hAnsi="Times New Roman"/>
          <w:sz w:val="18"/>
          <w:szCs w:val="18"/>
          <w:color w:val="auto"/>
        </w:rPr>
        <w:t>The information required by this caption is incorporated herein by reference to our Proxy Statement under the headings “Audit Matters—Principal Accounting Fees and Services and—Policy on Audit Committee Pre-approval of Audit and Permissible Non-Audit Services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(a)(1) </w:t>
      </w:r>
      <w:r>
        <w:rPr>
          <w:rFonts w:ascii="Times New Roman" w:cs="Times New Roman" w:eastAsia="Times New Roman" w:hAnsi="Times New Roman"/>
          <w:sz w:val="18"/>
          <w:szCs w:val="18"/>
          <w:b w:val="1"/>
          <w:bCs w:val="1"/>
          <w:i w:val="1"/>
          <w:iCs w:val="1"/>
          <w:color w:val="auto"/>
        </w:rPr>
        <w:t>Financial Statements</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consolidated financial statements and supplementary data of Registrant and its subsidiaries required by Part II, Item 8, are included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IV of this report: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w:t>
            </w:r>
            <w:r>
              <w:rPr>
                <w:rFonts w:ascii="Times New Roman" w:cs="Times New Roman" w:eastAsia="Times New Roman" w:hAnsi="Times New Roman"/>
                <w:sz w:val="18"/>
                <w:szCs w:val="18"/>
                <w:color w:val="3051F2"/>
              </w:rPr>
              <w:t>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E32E1"/>
              </w:rPr>
              <w:t>34)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Operations—Year ended May 31, 2025, 2024 and 2023</w:t>
            </w:r>
          </w:p>
        </w:tc>
        <w:tc>
          <w:tcPr>
            <w:tcW w:w="2820" w:type="dxa"/>
            <w:vAlign w:val="bottom"/>
            <w:gridSpan w:val="3"/>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r>
      <w:tr>
        <w:trPr>
          <w:trHeight w:val="208"/>
        </w:trPr>
        <w:tc>
          <w:tcPr>
            <w:tcW w:w="20" w:type="dxa"/>
            <w:vAlign w:val="bottom"/>
          </w:tcPr>
          <w:p>
            <w:pPr>
              <w:spacing w:after="0"/>
              <w:rPr>
                <w:sz w:val="18"/>
                <w:szCs w:val="18"/>
                <w:color w:val="auto"/>
              </w:rPr>
            </w:pPr>
          </w:p>
        </w:tc>
        <w:tc>
          <w:tcPr>
            <w:tcW w:w="6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Loss - Year ended May 31, 2025, 2024 and 2023</w:t>
            </w:r>
          </w:p>
        </w:tc>
        <w:tc>
          <w:tcPr>
            <w:tcW w:w="2180" w:type="dxa"/>
            <w:vAlign w:val="bottom"/>
            <w:gridSpan w:val="2"/>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r>
      <w:tr>
        <w:trPr>
          <w:trHeight w:val="208"/>
        </w:trPr>
        <w:tc>
          <w:tcPr>
            <w:tcW w:w="20" w:type="dxa"/>
            <w:vAlign w:val="bottom"/>
          </w:tcPr>
          <w:p>
            <w:pPr>
              <w:spacing w:after="0"/>
              <w:rPr>
                <w:sz w:val="18"/>
                <w:szCs w:val="18"/>
                <w:color w:val="auto"/>
              </w:rPr>
            </w:pPr>
          </w:p>
        </w:tc>
        <w:tc>
          <w:tcPr>
            <w:tcW w:w="4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Balance Sheets—May 31, 2025 and May 31, 2024</w:t>
            </w:r>
          </w:p>
        </w:tc>
        <w:tc>
          <w:tcPr>
            <w:tcW w:w="4240" w:type="dxa"/>
            <w:vAlign w:val="bottom"/>
            <w:gridSpan w:val="8"/>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r>
      <w:tr>
        <w:trPr>
          <w:trHeight w:val="208"/>
        </w:trPr>
        <w:tc>
          <w:tcPr>
            <w:tcW w:w="20" w:type="dxa"/>
            <w:vAlign w:val="bottom"/>
          </w:tcPr>
          <w:p>
            <w:pPr>
              <w:spacing w:after="0"/>
              <w:rPr>
                <w:sz w:val="18"/>
                <w:szCs w:val="18"/>
                <w:color w:val="auto"/>
              </w:rPr>
            </w:pPr>
          </w:p>
        </w:tc>
        <w:tc>
          <w:tcPr>
            <w:tcW w:w="6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Equity—Year ended May 31, 2025, 2024 and 2023</w:t>
            </w:r>
          </w:p>
        </w:tc>
        <w:tc>
          <w:tcPr>
            <w:tcW w:w="2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r>
      <w:tr>
        <w:trPr>
          <w:trHeight w:val="208"/>
        </w:trPr>
        <w:tc>
          <w:tcPr>
            <w:tcW w:w="20" w:type="dxa"/>
            <w:vAlign w:val="bottom"/>
          </w:tcPr>
          <w:p>
            <w:pPr>
              <w:spacing w:after="0"/>
              <w:rPr>
                <w:sz w:val="18"/>
                <w:szCs w:val="18"/>
                <w:color w:val="auto"/>
              </w:rPr>
            </w:pPr>
          </w:p>
        </w:tc>
        <w:tc>
          <w:tcPr>
            <w:tcW w:w="6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Flows—Year ended May 31, 2025, 2024 and 2023</w:t>
            </w:r>
          </w:p>
        </w:tc>
        <w:tc>
          <w:tcPr>
            <w:tcW w:w="2820" w:type="dxa"/>
            <w:vAlign w:val="bottom"/>
            <w:gridSpan w:val="3"/>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r>
      <w:tr>
        <w:trPr>
          <w:trHeight w:val="208"/>
        </w:trPr>
        <w:tc>
          <w:tcPr>
            <w:tcW w:w="20" w:type="dxa"/>
            <w:vAlign w:val="bottom"/>
          </w:tcPr>
          <w:p>
            <w:pPr>
              <w:spacing w:after="0"/>
              <w:rPr>
                <w:sz w:val="18"/>
                <w:szCs w:val="18"/>
                <w:color w:val="auto"/>
              </w:rPr>
            </w:pPr>
          </w:p>
        </w:tc>
        <w:tc>
          <w:tcPr>
            <w:tcW w:w="88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r>
      <w:tr>
        <w:trPr>
          <w:trHeight w:val="20"/>
        </w:trPr>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70"/>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b w:val="1"/>
                <w:bCs w:val="1"/>
                <w:i w:val="1"/>
                <w:iCs w:val="1"/>
                <w:color w:val="auto"/>
              </w:rPr>
              <w:t>Financial Statement Schedules</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8"/>
        </w:trPr>
        <w:tc>
          <w:tcPr>
            <w:tcW w:w="88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in Part IV of this report:</w:t>
            </w: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1"/>
        </w:trPr>
        <w:tc>
          <w:tcPr>
            <w:tcW w:w="20" w:type="dxa"/>
            <w:vAlign w:val="bottom"/>
          </w:tcPr>
          <w:p>
            <w:pPr>
              <w:spacing w:after="0"/>
              <w:rPr>
                <w:sz w:val="24"/>
                <w:szCs w:val="24"/>
                <w:color w:val="auto"/>
              </w:rPr>
            </w:pPr>
          </w:p>
        </w:tc>
        <w:tc>
          <w:tcPr>
            <w:tcW w:w="3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Schedule II—Valuation and qualifying accounts</w:t>
            </w:r>
          </w:p>
        </w:tc>
        <w:tc>
          <w:tcPr>
            <w:tcW w:w="5400" w:type="dxa"/>
            <w:vAlign w:val="bottom"/>
            <w:gridSpan w:val="9"/>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r>
    </w:tbl>
    <w:p>
      <w:pPr>
        <w:spacing w:after="0" w:line="169" w:lineRule="exact"/>
        <w:rPr>
          <w:sz w:val="20"/>
          <w:szCs w:val="20"/>
          <w:color w:val="auto"/>
        </w:rPr>
      </w:pPr>
    </w:p>
    <w:p>
      <w:pPr>
        <w:ind w:right="480" w:firstLine="385"/>
        <w:spacing w:after="0" w:line="269"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not required, or because the required information is included in the consolidated financial statements or notes thereto.</w:t>
      </w:r>
    </w:p>
    <w:tbl>
      <w:tblPr>
        <w:tblLayout w:type="fixed"/>
        <w:tblInd w:w="20" w:type="dxa"/>
        <w:tblCellMar>
          <w:top w:w="0" w:type="dxa"/>
          <w:left w:w="0" w:type="dxa"/>
          <w:bottom w:w="0" w:type="dxa"/>
          <w:right w:w="0" w:type="dxa"/>
        </w:tblCellMar>
      </w:tblPr>
      <w:tr>
        <w:trPr>
          <w:trHeight w:val="197"/>
        </w:trPr>
        <w:tc>
          <w:tcPr>
            <w:tcW w:w="880" w:type="dxa"/>
            <w:vAlign w:val="bottom"/>
            <w:tcBorders>
              <w:bottom w:val="single" w:sz="8" w:color="0000FF"/>
            </w:tcBorders>
          </w:tcPr>
          <w:p>
            <w:pPr>
              <w:spacing w:after="0" w:line="197" w:lineRule="exact"/>
              <w:rPr>
                <w:sz w:val="20"/>
                <w:szCs w:val="20"/>
                <w:color w:val="auto"/>
              </w:rPr>
            </w:pPr>
            <w:r>
              <w:rPr>
                <w:rFonts w:ascii="Times New Roman" w:cs="Times New Roman" w:eastAsia="Times New Roman" w:hAnsi="Times New Roman"/>
                <w:sz w:val="18"/>
                <w:szCs w:val="18"/>
                <w:b w:val="1"/>
                <w:bCs w:val="1"/>
                <w:i w:val="1"/>
                <w:iCs w:val="1"/>
                <w:color w:val="0000FF"/>
                <w:w w:val="98"/>
              </w:rPr>
              <w:t>(b) Exhibits</w:t>
            </w:r>
          </w:p>
        </w:tc>
        <w:tc>
          <w:tcPr>
            <w:tcW w:w="10100" w:type="dxa"/>
            <w:vAlign w:val="bottom"/>
          </w:tcPr>
          <w:p>
            <w:pPr>
              <w:spacing w:after="0"/>
              <w:rPr>
                <w:sz w:val="17"/>
                <w:szCs w:val="17"/>
                <w:color w:val="auto"/>
              </w:rPr>
            </w:pPr>
          </w:p>
        </w:tc>
        <w:tc>
          <w:tcPr>
            <w:tcW w:w="180" w:type="dxa"/>
            <w:vAlign w:val="bottom"/>
            <w:tcBorders>
              <w:bottom w:val="single" w:sz="8" w:color="0000FF"/>
            </w:tcBorders>
          </w:tcPr>
          <w:p>
            <w:pPr>
              <w:jc w:val="right"/>
              <w:spacing w:after="0" w:line="197" w:lineRule="exact"/>
              <w:rPr>
                <w:sz w:val="20"/>
                <w:szCs w:val="20"/>
                <w:color w:val="auto"/>
              </w:rPr>
            </w:pPr>
            <w:r>
              <w:rPr>
                <w:rFonts w:ascii="Times New Roman" w:cs="Times New Roman" w:eastAsia="Times New Roman" w:hAnsi="Times New Roman"/>
                <w:sz w:val="18"/>
                <w:szCs w:val="18"/>
                <w:color w:val="0000FF"/>
                <w:w w:val="88"/>
              </w:rPr>
              <w:t>82</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1041" w:right="399" w:bottom="1440" w:gutter="0" w:footer="0" w:header="0"/>
        </w:sectPr>
      </w:pPr>
    </w:p>
    <w:bookmarkStart w:id="51" w:name="page52"/>
    <w:bookmarkEnd w:id="51"/>
    <w:p>
      <w:pPr>
        <w:ind w:right="2540" w:firstLine="2561"/>
        <w:spacing w:after="0" w:line="40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AngioDynamics,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Latham, New York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audited the accompanying consolidated balance sheets of AngioDynamics, Inc. and subsidiaries (the "Company") as of May 31, 2025 and 2024, the</w:t>
      </w:r>
    </w:p>
    <w:p>
      <w:pPr>
        <w:spacing w:after="0" w:line="186" w:lineRule="auto"/>
        <w:rPr>
          <w:sz w:val="20"/>
          <w:szCs w:val="20"/>
          <w:color w:val="auto"/>
        </w:rPr>
      </w:pPr>
      <w:r>
        <w:rPr>
          <w:rFonts w:ascii="Times New Roman" w:cs="Times New Roman" w:eastAsia="Times New Roman" w:hAnsi="Times New Roman"/>
          <w:sz w:val="18"/>
          <w:szCs w:val="18"/>
          <w:color w:val="auto"/>
        </w:rPr>
        <w:t>related consolidated statements of operations, comprehensive loss, stockholders' equity, and cash flows, for each of the three years in the period ended</w:t>
      </w:r>
    </w:p>
    <w:p>
      <w:pPr>
        <w:spacing w:after="0" w:line="197" w:lineRule="auto"/>
        <w:rPr>
          <w:sz w:val="20"/>
          <w:szCs w:val="20"/>
          <w:color w:val="auto"/>
        </w:rPr>
      </w:pPr>
      <w:r>
        <w:rPr>
          <w:rFonts w:ascii="Times New Roman" w:cs="Times New Roman" w:eastAsia="Times New Roman" w:hAnsi="Times New Roman"/>
          <w:sz w:val="17"/>
          <w:szCs w:val="17"/>
          <w:color w:val="auto"/>
        </w:rPr>
        <w:t>May 31, 2025, and the related notes and the schedule listed in the Index at Item 15 (collectively referred to as the "financial statements"). In our opinion, the</w:t>
      </w:r>
    </w:p>
    <w:p>
      <w:pPr>
        <w:spacing w:after="0" w:line="202" w:lineRule="auto"/>
        <w:rPr>
          <w:sz w:val="20"/>
          <w:szCs w:val="20"/>
          <w:color w:val="auto"/>
        </w:rPr>
      </w:pPr>
      <w:r>
        <w:rPr>
          <w:rFonts w:ascii="Times New Roman" w:cs="Times New Roman" w:eastAsia="Times New Roman" w:hAnsi="Times New Roman"/>
          <w:sz w:val="18"/>
          <w:szCs w:val="18"/>
          <w:color w:val="auto"/>
        </w:rPr>
        <w:t>financial statements present fairly, in all material respects, the financial position of the Company as of May 31, 2025 and 2024, and the results of its</w:t>
      </w:r>
    </w:p>
    <w:p>
      <w:pPr>
        <w:ind w:right="220"/>
        <w:spacing w:after="0" w:line="216" w:lineRule="auto"/>
        <w:rPr>
          <w:sz w:val="20"/>
          <w:szCs w:val="20"/>
          <w:color w:val="auto"/>
        </w:rPr>
      </w:pPr>
      <w:r>
        <w:rPr>
          <w:rFonts w:ascii="Times New Roman" w:cs="Times New Roman" w:eastAsia="Times New Roman" w:hAnsi="Times New Roman"/>
          <w:sz w:val="18"/>
          <w:szCs w:val="18"/>
          <w:color w:val="auto"/>
        </w:rPr>
        <w:t>operations and its cash flows for each of the three years in the period ended May 31, 2025, in conformity with accounting principles generally accepted in the United States of America.</w:t>
      </w:r>
    </w:p>
    <w:p>
      <w:pPr>
        <w:spacing w:after="0" w:line="103"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May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July 18, 2025, expressed an unqualified opinion on the Company's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3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32"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 Excess Quantities and Obsolescence — Refer to Notes 1 &amp; 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6" w:lineRule="exact"/>
        <w:rPr>
          <w:sz w:val="20"/>
          <w:szCs w:val="20"/>
          <w:color w:val="auto"/>
        </w:rPr>
      </w:pPr>
    </w:p>
    <w:p>
      <w:pPr>
        <w:jc w:val="both"/>
        <w:ind w:right="60"/>
        <w:spacing w:after="0" w:line="214" w:lineRule="auto"/>
        <w:rPr>
          <w:sz w:val="20"/>
          <w:szCs w:val="20"/>
          <w:color w:val="auto"/>
        </w:rPr>
      </w:pPr>
      <w:r>
        <w:rPr>
          <w:rFonts w:ascii="Times New Roman" w:cs="Times New Roman" w:eastAsia="Times New Roman" w:hAnsi="Times New Roman"/>
          <w:sz w:val="18"/>
          <w:szCs w:val="18"/>
          <w:color w:val="auto"/>
        </w:rPr>
        <w:t>The Company evaluates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As of May 31, 2025, the Company has inventories of $62.0 million, net of excess quantities and obsolescence reserves.</w:t>
      </w:r>
    </w:p>
    <w:p>
      <w:pPr>
        <w:spacing w:after="0" w:line="116"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We identified the reserve for excess quantities and obsolete inventory as a critical audit matter because of the significant estimates and assumptions management makes to quantify and to record the reserve, including the determination of expected demand. This required a high degree of auditor judgment and an increased extent of effort when performing audit procedures to evaluate the methodology and the reasonableness of assumptions including expected demand.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6"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color w:val="auto"/>
        </w:rPr>
        <w:t>Our audit procedures related to the reserve for excess quantities and obsolete inventory including management’s estimate of expected demand, included the following, among others:</w:t>
      </w:r>
    </w:p>
    <w:p>
      <w:pPr>
        <w:spacing w:after="0" w:line="115" w:lineRule="exact"/>
        <w:rPr>
          <w:sz w:val="20"/>
          <w:szCs w:val="20"/>
          <w:color w:val="auto"/>
        </w:rPr>
      </w:pPr>
    </w:p>
    <w:p>
      <w:pPr>
        <w:ind w:left="640" w:right="720" w:hanging="312"/>
        <w:spacing w:after="0" w:line="259"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design and effectiveness of controls over inventory, including those over the estimation of reserves for excess quantities and obsolescence.</w:t>
      </w:r>
    </w:p>
    <w:p>
      <w:pPr>
        <w:ind w:left="640" w:right="440" w:hanging="312"/>
        <w:spacing w:after="0" w:line="256"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Company's excess and obsolete inventory policy, considering historical experience and the underlying assumptions and considered the Company's disclosures.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52" w:name="page53"/>
    <w:bookmarkEnd w:id="52"/>
    <w:p>
      <w:pPr>
        <w:ind w:left="640" w:right="100" w:hanging="312"/>
        <w:spacing w:after="0" w:line="259"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calculation of the excess and obsolete reserve pursuant to the Company's policy, on a sample basis, including the completeness and accuracy of the data used in the calculation.</w:t>
      </w:r>
    </w:p>
    <w:p>
      <w:pPr>
        <w:ind w:left="640" w:hanging="312"/>
        <w:spacing w:after="0" w:line="248"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 retrospective review by comparing management’s prior year projections of future demand by product, with actual product sales in the current year to identify potential bias in the inventory reserve.</w:t>
      </w:r>
    </w:p>
    <w:p>
      <w:pPr>
        <w:ind w:left="640" w:right="40" w:hanging="312"/>
        <w:spacing w:after="0" w:line="256" w:lineRule="auto"/>
        <w:tabs>
          <w:tab w:leader="none" w:pos="6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discussions with senior financial and operating management to determine whether any strategic, regulatory, or operational changes in the business were consistent with the projections of future demand that were utilized as the basis for the reserves recorded.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1045" w:right="479" w:bottom="1440" w:gutter="0" w:footer="0" w:header="0"/>
        </w:sectPr>
      </w:pPr>
    </w:p>
    <w:bookmarkStart w:id="53" w:name="page54"/>
    <w:bookmarkEnd w:id="53"/>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sales (exclusive of intangible amortization)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164,506</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174,246</w:t>
            </w:r>
          </w:p>
        </w:tc>
        <w:tc>
          <w:tcPr>
            <w:tcW w:w="0" w:type="dxa"/>
            <w:vAlign w:val="bottom"/>
          </w:tcPr>
          <w:p>
            <w:pPr>
              <w:spacing w:after="0"/>
              <w:rPr>
                <w:sz w:val="1"/>
                <w:szCs w:val="1"/>
                <w:color w:val="auto"/>
              </w:rPr>
            </w:pP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40,003</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197,659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225,427</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(51,181)</w:t>
            </w:r>
          </w:p>
        </w:tc>
        <w:tc>
          <w:tcPr>
            <w:tcW w:w="0" w:type="dxa"/>
            <w:vAlign w:val="bottom"/>
          </w:tcPr>
          <w:p>
            <w:pPr>
              <w:spacing w:after="0"/>
              <w:rPr>
                <w:sz w:val="1"/>
                <w:szCs w:val="1"/>
                <w:color w:val="auto"/>
              </w:rPr>
            </w:pPr>
          </w:p>
        </w:tc>
      </w:tr>
      <w:tr>
        <w:trPr>
          <w:trHeight w:val="20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21"/>
        </w:trPr>
        <w:tc>
          <w:tcPr>
            <w:tcW w:w="67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1"/>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 benefit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shd w:val="clear" w:color="auto" w:fill="CCEEFF"/>
          </w:tcPr>
          <w:p>
            <w:pPr>
              <w:ind w:left="660"/>
              <w:spacing w:after="0" w:line="195"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(33,993)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(184,349)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1"/>
              <w:spacing w:after="0" w:line="195"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(52,442)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72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(0.83)</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1"/>
              <w:spacing w:after="0" w:line="20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7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4" w:name="page55"/>
    <w:bookmarkEnd w:id="54"/>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(52,442)</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 (loss)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w:t>
            </w: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(58,522)</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0" w:type="dxa"/>
            <w:vAlign w:val="bottom"/>
          </w:tcPr>
          <w:p>
            <w:pPr>
              <w:spacing w:after="0"/>
              <w:rPr>
                <w:sz w:val="1"/>
                <w:szCs w:val="1"/>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allowances of $2,215 and $2,141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0" w:type="dxa"/>
            <w:vAlign w:val="bottom"/>
          </w:tcPr>
          <w:p>
            <w:pPr>
              <w:spacing w:after="0"/>
              <w:rPr>
                <w:sz w:val="1"/>
                <w:szCs w:val="1"/>
                <w:color w:val="auto"/>
              </w:rPr>
            </w:pPr>
          </w:p>
        </w:tc>
      </w:tr>
      <w:tr>
        <w:trPr>
          <w:trHeight w:val="221"/>
        </w:trPr>
        <w:tc>
          <w:tcPr>
            <w:tcW w:w="82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193,253</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35,666</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11,369</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33,291</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37,751</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41,098</w:t>
            </w:r>
          </w:p>
        </w:tc>
        <w:tc>
          <w:tcPr>
            <w:tcW w:w="0" w:type="dxa"/>
            <w:vAlign w:val="bottom"/>
          </w:tcPr>
          <w:p>
            <w:pPr>
              <w:spacing w:after="0"/>
              <w:rPr>
                <w:sz w:val="1"/>
                <w:szCs w:val="1"/>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0" w:type="dxa"/>
            <w:vAlign w:val="bottom"/>
          </w:tcPr>
          <w:p>
            <w:pPr>
              <w:spacing w:after="0"/>
              <w:rPr>
                <w:sz w:val="1"/>
                <w:szCs w:val="1"/>
                <w:color w:val="auto"/>
              </w:rPr>
            </w:pPr>
          </w:p>
        </w:tc>
      </w:tr>
      <w:tr>
        <w:trPr>
          <w:trHeight w:val="221"/>
        </w:trPr>
        <w:tc>
          <w:tcPr>
            <w:tcW w:w="8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112,085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2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5,000,000 shares authorized; no shares issued and outstanding</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8260" w:type="dxa"/>
            <w:vAlign w:val="bottom"/>
            <w:shd w:val="clear" w:color="auto" w:fill="CCEEFF"/>
          </w:tcPr>
          <w:p>
            <w:pPr>
              <w:ind w:left="340"/>
              <w:spacing w:after="0" w:line="174" w:lineRule="exact"/>
              <w:rPr>
                <w:sz w:val="20"/>
                <w:szCs w:val="20"/>
                <w:color w:val="auto"/>
              </w:rPr>
            </w:pPr>
            <w:r>
              <w:rPr>
                <w:rFonts w:ascii="Times New Roman" w:cs="Times New Roman" w:eastAsia="Times New Roman" w:hAnsi="Times New Roman"/>
                <w:sz w:val="18"/>
                <w:szCs w:val="18"/>
                <w:color w:val="auto"/>
              </w:rPr>
              <w:t>Common stock, par value $0.01 per share, 75,000,000 shares authorized; 41,607,877 and 40,801,597 shares</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issued and 40,994,030 and 40,431,597 shares outstanding at May 31, 2025 and 2024, respectively</w:t>
            </w: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610,484</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(395,204)</w:t>
            </w:r>
          </w:p>
        </w:tc>
        <w:tc>
          <w:tcPr>
            <w:tcW w:w="0" w:type="dxa"/>
            <w:vAlign w:val="bottom"/>
          </w:tcPr>
          <w:p>
            <w:pPr>
              <w:spacing w:after="0"/>
              <w:rPr>
                <w:sz w:val="1"/>
                <w:szCs w:val="1"/>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Treasury stock, 613,847 and 370,000 shares, at cost at May 31, 2025 and 2024, respectively</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0" w:type="dxa"/>
            <w:vAlign w:val="bottom"/>
          </w:tcPr>
          <w:p>
            <w:pPr>
              <w:spacing w:after="0"/>
              <w:rPr>
                <w:sz w:val="1"/>
                <w:szCs w:val="1"/>
                <w:color w:val="auto"/>
              </w:rPr>
            </w:pPr>
          </w:p>
        </w:tc>
      </w:tr>
      <w:tr>
        <w:trPr>
          <w:trHeight w:val="221"/>
        </w:trPr>
        <w:tc>
          <w:tcPr>
            <w:tcW w:w="82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205,586</w:t>
            </w:r>
          </w:p>
        </w:tc>
        <w:tc>
          <w:tcPr>
            <w:tcW w:w="0" w:type="dxa"/>
            <w:vAlign w:val="bottom"/>
          </w:tcPr>
          <w:p>
            <w:pPr>
              <w:spacing w:after="0"/>
              <w:rPr>
                <w:sz w:val="1"/>
                <w:szCs w:val="1"/>
                <w:color w:val="auto"/>
              </w:rPr>
            </w:pPr>
          </w:p>
        </w:tc>
      </w:tr>
      <w:tr>
        <w:trPr>
          <w:trHeight w:val="246"/>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317,671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6" w:name="page57"/>
    <w:bookmarkEnd w:id="56"/>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6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160" w:type="dxa"/>
            <w:vAlign w:val="bottom"/>
            <w:gridSpan w:val="5"/>
          </w:tcPr>
          <w:p>
            <w:pPr>
              <w:ind w:left="580"/>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4"/>
                <w:szCs w:val="14"/>
                <w:color w:val="auto"/>
              </w:rPr>
              <w:t>Treasury Stock</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restart"/>
          </w:tcPr>
          <w:p>
            <w:pPr>
              <w:jc w:val="center"/>
              <w:ind w:right="240"/>
              <w:spacing w:after="0" w:line="138" w:lineRule="exact"/>
              <w:rPr>
                <w:sz w:val="20"/>
                <w:szCs w:val="20"/>
                <w:color w:val="auto"/>
              </w:rPr>
            </w:pPr>
            <w:r>
              <w:rPr>
                <w:rFonts w:ascii="Times New Roman" w:cs="Times New Roman" w:eastAsia="Times New Roman" w:hAnsi="Times New Roman"/>
                <w:sz w:val="14"/>
                <w:szCs w:val="14"/>
                <w:color w:val="auto"/>
              </w:rPr>
              <w:t>Additional</w:t>
            </w:r>
          </w:p>
        </w:tc>
        <w:tc>
          <w:tcPr>
            <w:tcW w:w="140" w:type="dxa"/>
            <w:vAlign w:val="bottom"/>
          </w:tcPr>
          <w:p>
            <w:pPr>
              <w:spacing w:after="0"/>
              <w:rPr>
                <w:sz w:val="5"/>
                <w:szCs w:val="5"/>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5"/>
                <w:szCs w:val="5"/>
                <w:color w:val="auto"/>
              </w:rPr>
            </w:pPr>
          </w:p>
        </w:tc>
        <w:tc>
          <w:tcPr>
            <w:tcW w:w="1240" w:type="dxa"/>
            <w:vAlign w:val="bottom"/>
            <w:gridSpan w:val="2"/>
            <w:vMerge w:val="restart"/>
          </w:tcPr>
          <w:p>
            <w:pPr>
              <w:jc w:val="center"/>
              <w:ind w:right="260"/>
              <w:spacing w:after="0" w:line="138" w:lineRule="exact"/>
              <w:rPr>
                <w:sz w:val="20"/>
                <w:szCs w:val="20"/>
                <w:color w:val="auto"/>
              </w:rPr>
            </w:pPr>
            <w:r>
              <w:rPr>
                <w:rFonts w:ascii="Times New Roman" w:cs="Times New Roman" w:eastAsia="Times New Roman" w:hAnsi="Times New Roman"/>
                <w:sz w:val="14"/>
                <w:szCs w:val="14"/>
                <w:color w:val="auto"/>
              </w:rPr>
              <w:t>other</w:t>
            </w: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440" w:type="dxa"/>
            <w:vAlign w:val="bottom"/>
          </w:tcPr>
          <w:p>
            <w:pPr>
              <w:spacing w:after="0"/>
              <w:rPr>
                <w:sz w:val="12"/>
                <w:szCs w:val="12"/>
                <w:color w:val="auto"/>
              </w:rPr>
            </w:pPr>
          </w:p>
        </w:tc>
        <w:tc>
          <w:tcPr>
            <w:tcW w:w="11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color w:val="auto"/>
              </w:rPr>
              <w:t>paid 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80" w:type="dxa"/>
            <w:vAlign w:val="bottom"/>
          </w:tcPr>
          <w:p>
            <w:pPr>
              <w:spacing w:after="0"/>
              <w:rPr>
                <w:sz w:val="12"/>
                <w:szCs w:val="12"/>
                <w:color w:val="auto"/>
              </w:rPr>
            </w:pPr>
          </w:p>
        </w:tc>
        <w:tc>
          <w:tcPr>
            <w:tcW w:w="6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4"/>
        </w:trPr>
        <w:tc>
          <w:tcPr>
            <w:tcW w:w="24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deficit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income (loss)</w:t>
            </w: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39,541,173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586,879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(158,413)</w:t>
            </w:r>
          </w:p>
        </w:tc>
        <w:tc>
          <w:tcPr>
            <w:tcW w:w="1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424,489</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(52,442)</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239,028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performance share units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46"/>
        </w:trPr>
        <w:tc>
          <w:tcPr>
            <w:tcW w:w="244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149,778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2,046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11,158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11,158</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(6,080)</w:t>
            </w:r>
          </w:p>
        </w:tc>
        <w:tc>
          <w:tcPr>
            <w:tcW w:w="0" w:type="dxa"/>
            <w:vAlign w:val="bottom"/>
          </w:tcPr>
          <w:p>
            <w:pPr>
              <w:spacing w:after="0"/>
              <w:rPr>
                <w:sz w:val="1"/>
                <w:szCs w:val="1"/>
                <w:color w:val="auto"/>
              </w:rPr>
            </w:pPr>
          </w:p>
        </w:tc>
      </w:tr>
      <w:tr>
        <w:trPr>
          <w:trHeight w:val="186"/>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39,981,422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599,206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(210,855)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(4,723)</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378,296</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(184,349)</w:t>
            </w: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450,561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Issuance/cancellation of performance</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282,237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10,529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10,529</w:t>
            </w:r>
          </w:p>
        </w:tc>
        <w:tc>
          <w:tcPr>
            <w:tcW w:w="0" w:type="dxa"/>
            <w:vAlign w:val="bottom"/>
          </w:tcPr>
          <w:p>
            <w:pPr>
              <w:spacing w:after="0"/>
              <w:rPr>
                <w:sz w:val="1"/>
                <w:szCs w:val="1"/>
                <w:color w:val="auto"/>
              </w:rPr>
            </w:pPr>
          </w:p>
        </w:tc>
      </w:tr>
      <w:tr>
        <w:trPr>
          <w:trHeight w:val="194"/>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201"/>
        </w:trPr>
        <w:tc>
          <w:tcPr>
            <w:tcW w:w="2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40,801,597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610,484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(395,204)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205,586</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(33,993)</w:t>
            </w: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Issuance/cancellation of restricted stock</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464,525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4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Issuance/cancellation of performance</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units</w:t>
            </w: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44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Purchase of common stock under</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1,355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1,358</w:t>
            </w:r>
          </w:p>
        </w:tc>
        <w:tc>
          <w:tcPr>
            <w:tcW w:w="0" w:type="dxa"/>
            <w:vAlign w:val="bottom"/>
          </w:tcPr>
          <w:p>
            <w:pPr>
              <w:spacing w:after="0"/>
              <w:rPr>
                <w:sz w:val="1"/>
                <w:szCs w:val="1"/>
                <w:color w:val="auto"/>
              </w:rPr>
            </w:pPr>
          </w:p>
        </w:tc>
      </w:tr>
      <w:tr>
        <w:trPr>
          <w:trHeight w:val="191"/>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9,772</w:t>
            </w:r>
          </w:p>
        </w:tc>
        <w:tc>
          <w:tcPr>
            <w:tcW w:w="0" w:type="dxa"/>
            <w:vAlign w:val="bottom"/>
          </w:tcPr>
          <w:p>
            <w:pPr>
              <w:spacing w:after="0"/>
              <w:rPr>
                <w:sz w:val="1"/>
                <w:szCs w:val="1"/>
                <w:color w:val="auto"/>
              </w:rPr>
            </w:pPr>
          </w:p>
        </w:tc>
      </w:tr>
      <w:tr>
        <w:trPr>
          <w:trHeight w:val="193"/>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repurchased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(243,847)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20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2,342</w:t>
            </w:r>
          </w:p>
        </w:tc>
        <w:tc>
          <w:tcPr>
            <w:tcW w:w="0" w:type="dxa"/>
            <w:vAlign w:val="bottom"/>
          </w:tcPr>
          <w:p>
            <w:pPr>
              <w:spacing w:after="0"/>
              <w:rPr>
                <w:sz w:val="1"/>
                <w:szCs w:val="1"/>
                <w:color w:val="auto"/>
              </w:rPr>
            </w:pPr>
          </w:p>
        </w:tc>
      </w:tr>
      <w:tr>
        <w:trPr>
          <w:trHeight w:val="201"/>
        </w:trPr>
        <w:tc>
          <w:tcPr>
            <w:tcW w:w="2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at May 31, 2025</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41,607,877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621,186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(429,197)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(613,847)</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(7,381)</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182,970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081" w:right="37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(184,349)</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(52,442)</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30,873</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Gain on dispositions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Transaction costs for disposition</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accounts receivable allowances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Asset impairments and disposals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Write-off of other assets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r>
      <w:tr>
        <w:trPr>
          <w:trHeight w:val="228"/>
        </w:trPr>
        <w:tc>
          <w:tcPr>
            <w:tcW w:w="6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(8,198)</w:t>
            </w:r>
          </w:p>
        </w:tc>
      </w:tr>
      <w:tr>
        <w:trPr>
          <w:trHeight w:val="228"/>
        </w:trPr>
        <w:tc>
          <w:tcPr>
            <w:tcW w:w="672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8"/>
        </w:trPr>
        <w:tc>
          <w:tcPr>
            <w:tcW w:w="6720" w:type="dxa"/>
            <w:vAlign w:val="bottom"/>
            <w:tcBorders>
              <w:bottom w:val="single" w:sz="8" w:color="CCEEFF"/>
            </w:tcBorders>
          </w:tcPr>
          <w:p>
            <w:pPr>
              <w:ind w:left="110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Additions to placement and evaluation units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21"/>
        </w:trPr>
        <w:tc>
          <w:tcPr>
            <w:tcW w:w="67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0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and borrowings on long-term debt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financing costs on long-term debt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Principal payments on financing arrangement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financing arrangement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acquisition related contingent consideration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Proceeds from exercise of stock options and employee stock purchase plan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21"/>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25,420</w:t>
            </w:r>
          </w:p>
        </w:tc>
      </w:tr>
      <w:tr>
        <w:trPr>
          <w:trHeight w:val="221"/>
        </w:trPr>
        <w:tc>
          <w:tcPr>
            <w:tcW w:w="67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1"/>
        </w:trPr>
        <w:tc>
          <w:tcPr>
            <w:tcW w:w="6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r>
      <w:tr>
        <w:trPr>
          <w:trHeight w:val="246"/>
        </w:trPr>
        <w:tc>
          <w:tcPr>
            <w:tcW w:w="6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44,620</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8" w:name="page59"/>
    <w:bookmarkEnd w:id="58"/>
    <w:p>
      <w:pPr>
        <w:ind w:left="4180"/>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FLOWS—(Continued)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color w:val="auto"/>
        </w:rPr>
        <w:t>Year ended May 31,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2025</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Increase (decrease) in accounts payable for purchases of fixed assets</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9"/>
                <w:szCs w:val="19"/>
                <w:color w:val="auto"/>
              </w:rPr>
            </w:pP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during the year for:</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8"/>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w:t>
            </w: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98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28"/>
        </w:trPr>
        <w:tc>
          <w:tcPr>
            <w:tcW w:w="67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1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8" w:lineRule="exact"/>
        <w:rPr>
          <w:sz w:val="20"/>
          <w:szCs w:val="20"/>
          <w:color w:val="auto"/>
        </w:rPr>
      </w:pPr>
    </w:p>
    <w:p>
      <w:pPr>
        <w:ind w:right="1440"/>
        <w:spacing w:after="0" w:line="437" w:lineRule="auto"/>
        <w:rPr>
          <w:sz w:val="20"/>
          <w:szCs w:val="20"/>
          <w:color w:val="auto"/>
        </w:rPr>
      </w:pPr>
      <w:r>
        <w:rPr>
          <w:rFonts w:ascii="Times New Roman" w:cs="Times New Roman" w:eastAsia="Times New Roman" w:hAnsi="Times New Roman"/>
          <w:sz w:val="18"/>
          <w:szCs w:val="18"/>
          <w:b w:val="1"/>
          <w:bCs w:val="1"/>
          <w:color w:val="auto"/>
        </w:rPr>
        <w:t xml:space="preserve">1. BASIS OF PRESENTATION, BUSINESS DESCRIPTION AND SUMMARY OF SIGNIFICANT ACCOUNTING POLICIES </w:t>
      </w:r>
      <w:r>
        <w:rPr>
          <w:rFonts w:ascii="Times New Roman" w:cs="Times New Roman" w:eastAsia="Times New Roman" w:hAnsi="Times New Roman"/>
          <w:sz w:val="18"/>
          <w:szCs w:val="18"/>
          <w:b w:val="1"/>
          <w:bCs w:val="1"/>
          <w:i w:val="1"/>
          <w:iCs w:val="1"/>
          <w:color w:val="auto"/>
        </w:rPr>
        <w:t>Basis of Presentation and Description of Business</w:t>
      </w: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Inc. and its wholly owned subsidiaries, (collectively, the "Company", "we", "our", or "us").</w:t>
      </w:r>
    </w:p>
    <w:p>
      <w:pPr>
        <w:spacing w:after="0" w:line="110"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Company is a dynamic, diversified medical technology company committed to expanding treatment options and improving patient outcomes and quality of life by focusing on cardiovascular disease and cancer. Our execution strategy is built on innovative R&amp;D, clinical and regulatory pathway expansion and customer centric sales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72" w:lineRule="exact"/>
        <w:rPr>
          <w:sz w:val="20"/>
          <w:szCs w:val="20"/>
          <w:color w:val="auto"/>
        </w:rPr>
      </w:pPr>
    </w:p>
    <w:p>
      <w:pPr>
        <w:ind w:right="12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and accompanying notes have been prepared in conformity with accounting principles generally accepted in the United States of America ("GAAP").</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2"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AngioDynamics and its subsidiaries (all of which are wholly owned). All intercompany balances and transactions have been eliminated.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2" w:lineRule="exact"/>
        <w:rPr>
          <w:sz w:val="20"/>
          <w:szCs w:val="20"/>
          <w:color w:val="auto"/>
        </w:rPr>
      </w:pPr>
    </w:p>
    <w:p>
      <w:pPr>
        <w:jc w:val="both"/>
        <w:ind w:right="320" w:firstLine="385"/>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Estimates also affect reported amounts of sales and expenses during the reporting period. Actual results could differ from those estimates.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2"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considers all unrestricted highly liquid investments with an initial maturity of less than three months at the date of purchase to be cash equivalents. The Company maintains cash and cash equivalent balances with financial institutions in the United States in excess of amounts insured by the Federal Deposit Insurance Corporation.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Instruments</w:t>
      </w:r>
    </w:p>
    <w:p>
      <w:pPr>
        <w:spacing w:after="0" w:line="172" w:lineRule="exact"/>
        <w:rPr>
          <w:sz w:val="20"/>
          <w:szCs w:val="20"/>
          <w:color w:val="auto"/>
        </w:rPr>
      </w:pPr>
    </w:p>
    <w:p>
      <w:pPr>
        <w:jc w:val="both"/>
        <w:ind w:right="100" w:firstLine="385"/>
        <w:spacing w:after="0" w:line="255"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accounts receivable, accounts payable and long-term debt approximates fair value due to the short-term nature or market interest rates of these items. The Company bases the fair value of short-term investments on quoted market prices or other relevant information generated by market transactions involving identical or comparable assets. See Note 4, "Fair Value of Financial Instruments" set forth in the Notes to our consolidated financial statements included in this Annual Report on Form 10-K, for further discussion of financial instruments that are carried at fair value on a recurring and nonrecurring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Accounts receivable, principally trade receivables, are generally due within 30 to 90 days and are stated at amounts due from customers, net of an allowance for estimated sales returns and doubtful accounts. The Company performs ongoing credit evaluations of customers and adjusts credit limits based upon payment history and the customer’s current creditworthiness, as determined by a review of their current credit information. The Company continuously monitors aging reports, collections and payments from customers, and a provision for estimated credit losses is maintained based upon historical experience and any specific customer collection issues that have been identified. While such credit losses have historically been within expectations and the provisions established, the Company cannot guarantee that the same credit loss rates will be experienced in the future. The Company writes off accounts receivable when they are determined to be uncollectible.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72"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based on the first-in, first-out cost method and consist of raw materials, work in process and finished goods. The standard cost of finished goods and work-in-process inventory is composed of material, labor and manufacturing overhead, which approximates actual cost. In addition to stating inventory at the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60" w:name="page61"/>
    <w:bookmarkEnd w:id="60"/>
    <w:p>
      <w:pPr>
        <w:ind w:right="320"/>
        <w:spacing w:after="0" w:line="258" w:lineRule="auto"/>
        <w:rPr>
          <w:sz w:val="20"/>
          <w:szCs w:val="20"/>
          <w:color w:val="auto"/>
        </w:rPr>
      </w:pPr>
      <w:r>
        <w:rPr>
          <w:rFonts w:ascii="Times New Roman" w:cs="Times New Roman" w:eastAsia="Times New Roman" w:hAnsi="Times New Roman"/>
          <w:sz w:val="18"/>
          <w:szCs w:val="18"/>
          <w:color w:val="auto"/>
        </w:rPr>
        <w:t>lower of cost or net realizable value, we also evaluate inventory each reporting period for excess quantities and obsolescence, establishing reserves when necessary based upon historical experience, assessment of economic conditions and expected demand. Once recorded, these reserves are considered permanent adjustments to the carrying value of inventory. An increase to inventory reserves results in a corresponding increase in cost of revenue. Inventories are written off against the reserve when they are physically disposed.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72"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Depreciation is computed using the straight-line method over the estimated useful lives of the assets. Placement and evaluation units represent capital equipment placed at customer locations under placement or evaluation agreements for which depreciation expense is included in cost of sales on the Consolidated Statements of Operations. Refer below for useful lives by category: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00" w:type="dxa"/>
            <w:vAlign w:val="bottom"/>
          </w:tcPr>
          <w:p>
            <w:pPr>
              <w:spacing w:after="0"/>
              <w:rPr>
                <w:sz w:val="20"/>
                <w:szCs w:val="20"/>
                <w:color w:val="auto"/>
              </w:rPr>
            </w:pP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9"/>
              </w:rPr>
              <w:t>Estimated useful lives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7"/>
              </w:rPr>
              <w:t>3 to 39 years</w:t>
            </w: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7"/>
              </w:rPr>
              <w:t>1 to 10 years</w:t>
            </w:r>
          </w:p>
        </w:tc>
      </w:tr>
      <w:tr>
        <w:trPr>
          <w:trHeight w:val="228"/>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240" w:type="dxa"/>
            <w:vAlign w:val="bottom"/>
            <w:shd w:val="clear" w:color="auto" w:fill="CCEEFF"/>
          </w:tcPr>
          <w:p>
            <w:pPr>
              <w:jc w:val="center"/>
              <w:ind w:left="2971"/>
              <w:spacing w:after="0"/>
              <w:rPr>
                <w:sz w:val="20"/>
                <w:szCs w:val="20"/>
                <w:color w:val="auto"/>
              </w:rPr>
            </w:pPr>
            <w:r>
              <w:rPr>
                <w:rFonts w:ascii="Times New Roman" w:cs="Times New Roman" w:eastAsia="Times New Roman" w:hAnsi="Times New Roman"/>
                <w:sz w:val="18"/>
                <w:szCs w:val="18"/>
                <w:color w:val="auto"/>
                <w:w w:val="97"/>
              </w:rPr>
              <w:t>3 to 11 years</w:t>
            </w:r>
          </w:p>
        </w:tc>
      </w:tr>
      <w:tr>
        <w:trPr>
          <w:trHeight w:val="23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5240" w:type="dxa"/>
            <w:vAlign w:val="bottom"/>
          </w:tcPr>
          <w:p>
            <w:pPr>
              <w:jc w:val="center"/>
              <w:ind w:left="2971"/>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231" w:lineRule="exact"/>
        <w:rPr>
          <w:sz w:val="20"/>
          <w:szCs w:val="20"/>
          <w:color w:val="auto"/>
        </w:rPr>
      </w:pPr>
    </w:p>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Company evaluates property, plant and equipment for impairment periodically to determine if changes in circumstances or the occurrence of events suggest the carrying value of the asset or asset group may not be recoverable. Expenditures for repairs and maintenance are charged to expense as incurred. Renewals and betterments are capitalized.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2" w:lineRule="exact"/>
        <w:rPr>
          <w:sz w:val="20"/>
          <w:szCs w:val="20"/>
          <w:color w:val="auto"/>
        </w:rPr>
      </w:pPr>
    </w:p>
    <w:p>
      <w:pPr>
        <w:ind w:right="60" w:firstLine="385"/>
        <w:spacing w:after="0" w:line="269" w:lineRule="auto"/>
        <w:rPr>
          <w:sz w:val="20"/>
          <w:szCs w:val="20"/>
          <w:color w:val="auto"/>
        </w:rPr>
      </w:pPr>
      <w:r>
        <w:rPr>
          <w:rFonts w:ascii="Times New Roman" w:cs="Times New Roman" w:eastAsia="Times New Roman" w:hAnsi="Times New Roman"/>
          <w:sz w:val="17"/>
          <w:szCs w:val="17"/>
          <w:color w:val="auto"/>
        </w:rPr>
        <w:t>Intangible assets are amortized over their estimated useful lives, which range between two to eighteen years, on a straight-line basis over the expected period of benefit. The Company periodically reviews the estimated useful lives of intangible assets and reviews such assets or asset groups for impairment whenever events or changes in circumstances indicate that the carrying value of the assets may not be recoverable. Such conditions could include significant adverse changes in the business climate, current-period operating or cash flow losses, significant declines in forecasted operations, or a current expectation that an asset group will be disposed of before the end of its useful life. When testing for impairment of definite-lived intangible assets held for use, the Company groups assets at the lowest level for which cash flows are separately identifiable. The Company operates as two reporting units and two asset groups. If a triggering event is deemed to exist, the Company performs an undiscounted operating cash flow analysis to determine if an impairment exists. If an intangible asset is considered to be impaired, the amount of the impairment will equal the excess of the carrying value over the fair value of the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2"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fair value of the liability for contingent consideration recorded on the acquisition date for a business combination is based on probability weighted estimated cash flow streams, discounted back to present value using a discount rate determined in accordance with accepted valuation methods and reflective of the risk associated with the estimated cash flow streams. The liability for contingent consideration is remeasured to fair value at each reporting period with changes recorded in earnings until the contingency is resolved.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2"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The Company recognizes revenue when it transfers control of promised goods or services to its customers in an amount that reflects the consideration to which the Company expects to be entitled to in exchange for those goods and services. See Note 3, “Revenue from Contracts with Customers” set forth in the Notes to our consolidated financial statements included in this Annual Report on Form 10-K for further discussion 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2"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Research and development costs, including salaries, consulting fees, building costs, utilities and administrative expenses that are related to developing new products, enhancing existing products, validating new and enhanced products, managing clinical, regulatory and medical affairs are expensed as incurred.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2"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The Company calculates income tax expense for each jurisdiction in which it operates. This involves estimating actual current taxes due plus assessing temporary differences arising from differing treatment for tax and accounting purposes that 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1" w:name="page62"/>
    <w:bookmarkEnd w:id="61"/>
    <w:p>
      <w:pPr>
        <w:ind w:right="220"/>
        <w:spacing w:after="0" w:line="258" w:lineRule="auto"/>
        <w:rPr>
          <w:sz w:val="20"/>
          <w:szCs w:val="20"/>
          <w:color w:val="auto"/>
        </w:rPr>
      </w:pPr>
      <w:r>
        <w:rPr>
          <w:rFonts w:ascii="Times New Roman" w:cs="Times New Roman" w:eastAsia="Times New Roman" w:hAnsi="Times New Roman"/>
          <w:sz w:val="18"/>
          <w:szCs w:val="18"/>
          <w:color w:val="auto"/>
        </w:rPr>
        <w:t>recorded as deferred tax assets and liabilities. The Company periodically evaluates deferred tax assets, capital loss carryforwards and tax credit carryforwards to determine their recoverability based primarily on the Company's ability to generate future taxable income and capital gains. Where it is more-likely-than-not these will not be recovered, the Company estimates a valuation allowance and records a corresponding additional tax expense in the Consolidated Statements of Operations.</w:t>
      </w:r>
    </w:p>
    <w:p>
      <w:pPr>
        <w:spacing w:after="0" w:line="128"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Company recognizes and measures uncertain tax positions taken or expected to be taken in a tax return utilizing a two-step approach. The Company first determines if the weight of available evidence indicates that it is more likely than not that the tax position will be sustained on audit, including resolution of any related appeals or litigation processes. The second step is that the Company measures the tax benefit as the largest amount that is more likely than not to be realized upon ultimate settlement. The Company recognizes interest and penalties related to uncertain tax positions in the provision for income taxes on the Consolidated Statements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2" w:lineRule="exact"/>
        <w:rPr>
          <w:sz w:val="20"/>
          <w:szCs w:val="20"/>
          <w:color w:val="auto"/>
        </w:rPr>
      </w:pPr>
    </w:p>
    <w:p>
      <w:pPr>
        <w:ind w:firstLine="385"/>
        <w:spacing w:after="0" w:line="253" w:lineRule="auto"/>
        <w:rPr>
          <w:sz w:val="20"/>
          <w:szCs w:val="20"/>
          <w:color w:val="auto"/>
        </w:rPr>
      </w:pPr>
      <w:r>
        <w:rPr>
          <w:rFonts w:ascii="Times New Roman" w:cs="Times New Roman" w:eastAsia="Times New Roman" w:hAnsi="Times New Roman"/>
          <w:sz w:val="18"/>
          <w:szCs w:val="18"/>
          <w:color w:val="auto"/>
        </w:rPr>
        <w:t>Stock-based compensation expense reflects the fair value of stock-based awards measured at the grant date and recognized over the relevant service period. The expense recognized includes the impact of forfeitures as they occur. The Company estimates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restricted stock units, a risk-free interest rate and dividend yield. The Company recognizes stock-based compensation expense related to options, restricted stock units and market based performance stock units on a straight-line basis over the service period of the award, which is generally 4 years for options and restricted stock units and 3 years for market based performance stock units.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2"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subsidiaries is the local currency in which the subsidiary operates. For foreign operations where the local currency is considered to be the functional currency, the Company translates assets and liabilities into U.S. dollars at the exchange rate on the balance sheet date. The Company translates income and expense items at average rates of exchange prevailing during each period. The Company accumulates translation adjustments in accumulated other comprehensive loss, a component of stockholders’ equity.</w:t>
      </w:r>
    </w:p>
    <w:p>
      <w:pPr>
        <w:spacing w:after="0" w:line="128" w:lineRule="exact"/>
        <w:rPr>
          <w:sz w:val="20"/>
          <w:szCs w:val="20"/>
          <w:color w:val="auto"/>
        </w:rPr>
      </w:pPr>
    </w:p>
    <w:p>
      <w:pPr>
        <w:ind w:right="80" w:firstLine="385"/>
        <w:spacing w:after="0" w:line="278" w:lineRule="auto"/>
        <w:rPr>
          <w:sz w:val="20"/>
          <w:szCs w:val="20"/>
          <w:color w:val="auto"/>
        </w:rPr>
      </w:pPr>
      <w:r>
        <w:rPr>
          <w:rFonts w:ascii="Times New Roman" w:cs="Times New Roman" w:eastAsia="Times New Roman" w:hAnsi="Times New Roman"/>
          <w:sz w:val="18"/>
          <w:szCs w:val="18"/>
          <w:color w:val="auto"/>
        </w:rPr>
        <w:t>Transaction gains or losses that arise from exchange rate fluctuations on transactions denominated in a currency other than the functional currency are included in "Other expense, net" in the Consolidated Statements of Operations as incurred.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2" w:lineRule="exact"/>
        <w:rPr>
          <w:sz w:val="20"/>
          <w:szCs w:val="20"/>
          <w:color w:val="auto"/>
        </w:rPr>
      </w:pPr>
    </w:p>
    <w:p>
      <w:pPr>
        <w:ind w:firstLine="385"/>
        <w:spacing w:after="0" w:line="255" w:lineRule="auto"/>
        <w:rPr>
          <w:sz w:val="20"/>
          <w:szCs w:val="20"/>
          <w:color w:val="auto"/>
        </w:rPr>
      </w:pPr>
      <w:r>
        <w:rPr>
          <w:rFonts w:ascii="Times New Roman" w:cs="Times New Roman" w:eastAsia="Times New Roman" w:hAnsi="Times New Roman"/>
          <w:sz w:val="18"/>
          <w:szCs w:val="18"/>
          <w:color w:val="auto"/>
        </w:rPr>
        <w:t>The Company is subject to various legal proceedings that arise in the ordinary course of business, including patent infringement and product liability matters. The Company records accruals for contingencies when it is probable the liability has been incurred and the amount can be reasonably estimated. Legal fees are expensed as incurred. Insurance recoveries related to potential claims are recognized up to the amount of the recorded liability when coverage is confirmed and the estimated recoveries are probable of payment. These recoveries are not netted against the related liabilities for financial statement presentation.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Adopted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8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r>
      <w:tr>
        <w:trPr>
          <w:trHeight w:val="25"/>
        </w:trPr>
        <w:tc>
          <w:tcPr>
            <w:tcW w:w="23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67"/>
        </w:trPr>
        <w:tc>
          <w:tcPr>
            <w:tcW w:w="2380" w:type="dxa"/>
            <w:vAlign w:val="bottom"/>
            <w:tcBorders>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 xml:space="preserve">ASU 2023-07, </w:t>
            </w:r>
            <w:r>
              <w:rPr>
                <w:rFonts w:ascii="Times New Roman" w:cs="Times New Roman" w:eastAsia="Times New Roman" w:hAnsi="Times New Roman"/>
                <w:sz w:val="18"/>
                <w:szCs w:val="18"/>
                <w:i w:val="1"/>
                <w:iCs w:val="1"/>
                <w:color w:val="auto"/>
              </w:rPr>
              <w:t>Segment</w:t>
            </w:r>
          </w:p>
        </w:tc>
        <w:tc>
          <w:tcPr>
            <w:tcW w:w="3800" w:type="dxa"/>
            <w:vAlign w:val="bottom"/>
            <w:tcBorders>
              <w:right w:val="single" w:sz="8" w:color="auto"/>
            </w:tcBorders>
          </w:tcPr>
          <w:p>
            <w:pPr>
              <w:ind w:left="20"/>
              <w:spacing w:after="0" w:line="168" w:lineRule="exact"/>
              <w:rPr>
                <w:sz w:val="20"/>
                <w:szCs w:val="20"/>
                <w:color w:val="auto"/>
              </w:rPr>
            </w:pPr>
            <w:r>
              <w:rPr>
                <w:rFonts w:ascii="Times New Roman" w:cs="Times New Roman" w:eastAsia="Times New Roman" w:hAnsi="Times New Roman"/>
                <w:sz w:val="18"/>
                <w:szCs w:val="18"/>
                <w:color w:val="auto"/>
              </w:rPr>
              <w:t>This ASU improves the reportable segment</w:t>
            </w:r>
          </w:p>
        </w:tc>
        <w:tc>
          <w:tcPr>
            <w:tcW w:w="1260" w:type="dxa"/>
            <w:vAlign w:val="bottom"/>
            <w:tcBorders>
              <w:right w:val="single" w:sz="8" w:color="auto"/>
            </w:tcBorders>
          </w:tcPr>
          <w:p>
            <w:pPr>
              <w:ind w:left="160"/>
              <w:spacing w:after="0" w:line="168" w:lineRule="exact"/>
              <w:rPr>
                <w:sz w:val="20"/>
                <w:szCs w:val="20"/>
                <w:color w:val="auto"/>
              </w:rPr>
            </w:pPr>
            <w:r>
              <w:rPr>
                <w:rFonts w:ascii="Times New Roman" w:cs="Times New Roman" w:eastAsia="Times New Roman" w:hAnsi="Times New Roman"/>
                <w:sz w:val="18"/>
                <w:szCs w:val="18"/>
                <w:color w:val="auto"/>
              </w:rPr>
              <w:t>June 1, 2024</w:t>
            </w:r>
          </w:p>
        </w:tc>
        <w:tc>
          <w:tcPr>
            <w:tcW w:w="374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The Company adopted the new standard in fiscal</w:t>
            </w: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Reporting (Topic 280):</w:t>
            </w:r>
          </w:p>
        </w:tc>
        <w:tc>
          <w:tcPr>
            <w:tcW w:w="380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disclosure requirements, primarily through</w:t>
            </w:r>
          </w:p>
        </w:tc>
        <w:tc>
          <w:tcPr>
            <w:tcW w:w="1260" w:type="dxa"/>
            <w:vAlign w:val="bottom"/>
            <w:tcBorders>
              <w:right w:val="single" w:sz="8" w:color="auto"/>
            </w:tcBorders>
          </w:tcPr>
          <w:p>
            <w:pPr>
              <w:spacing w:after="0"/>
              <w:rPr>
                <w:sz w:val="16"/>
                <w:szCs w:val="16"/>
                <w:color w:val="auto"/>
              </w:rPr>
            </w:pPr>
          </w:p>
        </w:tc>
        <w:tc>
          <w:tcPr>
            <w:tcW w:w="374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year 2025 and the related additional disclosures are</w:t>
            </w:r>
          </w:p>
        </w:tc>
      </w:tr>
      <w:tr>
        <w:trPr>
          <w:trHeight w:val="201"/>
        </w:trPr>
        <w:tc>
          <w:tcPr>
            <w:tcW w:w="23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Improvements to Reportable</w:t>
            </w:r>
          </w:p>
        </w:tc>
        <w:tc>
          <w:tcPr>
            <w:tcW w:w="380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enhanced disclosures about significant segment</w:t>
            </w:r>
          </w:p>
        </w:tc>
        <w:tc>
          <w:tcPr>
            <w:tcW w:w="1260" w:type="dxa"/>
            <w:vAlign w:val="bottom"/>
            <w:tcBorders>
              <w:right w:val="single" w:sz="8" w:color="auto"/>
            </w:tcBorders>
          </w:tcPr>
          <w:p>
            <w:pPr>
              <w:spacing w:after="0"/>
              <w:rPr>
                <w:sz w:val="17"/>
                <w:szCs w:val="17"/>
                <w:color w:val="auto"/>
              </w:rPr>
            </w:pPr>
          </w:p>
        </w:tc>
        <w:tc>
          <w:tcPr>
            <w:tcW w:w="37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contained in Note 18 to the consolidated financial</w:t>
            </w:r>
          </w:p>
        </w:tc>
      </w:tr>
      <w:tr>
        <w:trPr>
          <w:trHeight w:val="248"/>
        </w:trPr>
        <w:tc>
          <w:tcPr>
            <w:tcW w:w="23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Segment Disclosures</w:t>
            </w:r>
          </w:p>
        </w:tc>
        <w:tc>
          <w:tcPr>
            <w:tcW w:w="38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60" w:type="dxa"/>
            <w:vAlign w:val="bottom"/>
            <w:tcBorders>
              <w:bottom w:val="single" w:sz="8" w:color="auto"/>
              <w:right w:val="single" w:sz="8" w:color="auto"/>
            </w:tcBorders>
          </w:tcPr>
          <w:p>
            <w:pPr>
              <w:spacing w:after="0"/>
              <w:rPr>
                <w:sz w:val="21"/>
                <w:szCs w:val="21"/>
                <w:color w:val="auto"/>
              </w:rPr>
            </w:pP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statements in this Annual Report on Form 10-K.</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884" w:right="399"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 Not Yet Applicable or Adopted</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23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80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37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Effect on the Consolidated Financial Statements</w:t>
            </w:r>
          </w:p>
        </w:tc>
        <w:tc>
          <w:tcPr>
            <w:tcW w:w="0" w:type="dxa"/>
            <w:vAlign w:val="bottom"/>
          </w:tcPr>
          <w:p>
            <w:pPr>
              <w:spacing w:after="0"/>
              <w:rPr>
                <w:sz w:val="1"/>
                <w:szCs w:val="1"/>
                <w:color w:val="auto"/>
              </w:rPr>
            </w:pPr>
          </w:p>
        </w:tc>
      </w:tr>
      <w:tr>
        <w:trPr>
          <w:trHeight w:val="174"/>
        </w:trPr>
        <w:tc>
          <w:tcPr>
            <w:tcW w:w="23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 xml:space="preserve">ASU 2023-09, </w:t>
            </w:r>
            <w:r>
              <w:rPr>
                <w:rFonts w:ascii="Times New Roman" w:cs="Times New Roman" w:eastAsia="Times New Roman" w:hAnsi="Times New Roman"/>
                <w:sz w:val="18"/>
                <w:szCs w:val="18"/>
                <w:i w:val="1"/>
                <w:iCs w:val="1"/>
                <w:color w:val="auto"/>
              </w:rPr>
              <w:t>Income Taxes</w:t>
            </w:r>
          </w:p>
        </w:tc>
        <w:tc>
          <w:tcPr>
            <w:tcW w:w="380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This ASU improves the income tax disclosure</w:t>
            </w:r>
          </w:p>
        </w:tc>
        <w:tc>
          <w:tcPr>
            <w:tcW w:w="1260" w:type="dxa"/>
            <w:vAlign w:val="bottom"/>
            <w:tcBorders>
              <w:right w:val="single" w:sz="8" w:color="auto"/>
            </w:tcBorders>
          </w:tcPr>
          <w:p>
            <w:pPr>
              <w:ind w:left="160"/>
              <w:spacing w:after="0" w:line="174" w:lineRule="exact"/>
              <w:rPr>
                <w:sz w:val="20"/>
                <w:szCs w:val="20"/>
                <w:color w:val="auto"/>
              </w:rPr>
            </w:pPr>
            <w:r>
              <w:rPr>
                <w:rFonts w:ascii="Times New Roman" w:cs="Times New Roman" w:eastAsia="Times New Roman" w:hAnsi="Times New Roman"/>
                <w:sz w:val="18"/>
                <w:szCs w:val="18"/>
                <w:color w:val="auto"/>
              </w:rPr>
              <w:t>June 1, 2025</w:t>
            </w:r>
          </w:p>
        </w:tc>
        <w:tc>
          <w:tcPr>
            <w:tcW w:w="37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The Company plans to adopt the new standard in</w:t>
            </w: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(Topic 740): Improvements to</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requirements on an annual basis by (1) disclose</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first quarter of fiscal year 2026 and is assessing</w:t>
            </w:r>
          </w:p>
        </w:tc>
        <w:tc>
          <w:tcPr>
            <w:tcW w:w="0" w:type="dxa"/>
            <w:vAlign w:val="bottom"/>
          </w:tcPr>
          <w:p>
            <w:pPr>
              <w:spacing w:after="0"/>
              <w:rPr>
                <w:sz w:val="1"/>
                <w:szCs w:val="1"/>
                <w:color w:val="auto"/>
              </w:rPr>
            </w:pPr>
          </w:p>
        </w:tc>
      </w:tr>
      <w:tr>
        <w:trPr>
          <w:trHeight w:val="209"/>
        </w:trPr>
        <w:tc>
          <w:tcPr>
            <w:tcW w:w="23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Income Tax Disclosures</w:t>
            </w:r>
          </w:p>
        </w:tc>
        <w:tc>
          <w:tcPr>
            <w:tcW w:w="38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specific categories in the rate reconciliation and (2)</w:t>
            </w:r>
          </w:p>
        </w:tc>
        <w:tc>
          <w:tcPr>
            <w:tcW w:w="1260" w:type="dxa"/>
            <w:vAlign w:val="bottom"/>
            <w:tcBorders>
              <w:right w:val="single" w:sz="8" w:color="auto"/>
            </w:tcBorders>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the impact to the consolidated financial statements.</w:t>
            </w: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spacing w:after="0"/>
              <w:rPr>
                <w:sz w:val="16"/>
                <w:szCs w:val="16"/>
                <w:color w:val="auto"/>
              </w:rPr>
            </w:pP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provide additional information for reconciling items</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380" w:type="dxa"/>
            <w:vAlign w:val="bottom"/>
            <w:tcBorders>
              <w:bottom w:val="single" w:sz="8" w:color="auto"/>
              <w:right w:val="single" w:sz="8" w:color="auto"/>
            </w:tcBorders>
          </w:tcPr>
          <w:p>
            <w:pPr>
              <w:spacing w:after="0"/>
              <w:rPr>
                <w:sz w:val="20"/>
                <w:szCs w:val="20"/>
                <w:color w:val="auto"/>
              </w:rPr>
            </w:pPr>
          </w:p>
        </w:tc>
        <w:tc>
          <w:tcPr>
            <w:tcW w:w="38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that meet a quantitative threshold.</w:t>
            </w:r>
          </w:p>
        </w:tc>
        <w:tc>
          <w:tcPr>
            <w:tcW w:w="1260" w:type="dxa"/>
            <w:vAlign w:val="bottom"/>
            <w:tcBorders>
              <w:bottom w:val="single" w:sz="8" w:color="auto"/>
              <w:right w:val="single" w:sz="8" w:color="auto"/>
            </w:tcBorders>
          </w:tcPr>
          <w:p>
            <w:pPr>
              <w:spacing w:after="0"/>
              <w:rPr>
                <w:sz w:val="20"/>
                <w:szCs w:val="20"/>
                <w:color w:val="auto"/>
              </w:rPr>
            </w:pPr>
          </w:p>
        </w:tc>
        <w:tc>
          <w:tcPr>
            <w:tcW w:w="3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tcBorders>
              <w:right w:val="single" w:sz="8" w:color="auto"/>
            </w:tcBorders>
          </w:tcPr>
          <w:p>
            <w:pPr>
              <w:ind w:left="20"/>
              <w:spacing w:after="0" w:line="174" w:lineRule="exact"/>
              <w:rPr>
                <w:sz w:val="20"/>
                <w:szCs w:val="20"/>
                <w:color w:val="auto"/>
              </w:rPr>
            </w:pPr>
            <w:r>
              <w:rPr>
                <w:rFonts w:ascii="Times New Roman" w:cs="Times New Roman" w:eastAsia="Times New Roman" w:hAnsi="Times New Roman"/>
                <w:sz w:val="18"/>
                <w:szCs w:val="18"/>
                <w:color w:val="auto"/>
              </w:rPr>
              <w:t xml:space="preserve">ASU 2024-03, </w:t>
            </w:r>
            <w:r>
              <w:rPr>
                <w:rFonts w:ascii="Times New Roman" w:cs="Times New Roman" w:eastAsia="Times New Roman" w:hAnsi="Times New Roman"/>
                <w:sz w:val="18"/>
                <w:szCs w:val="18"/>
                <w:i w:val="1"/>
                <w:iCs w:val="1"/>
                <w:color w:val="auto"/>
              </w:rPr>
              <w:t>Income</w:t>
            </w:r>
          </w:p>
        </w:tc>
        <w:tc>
          <w:tcPr>
            <w:tcW w:w="3800" w:type="dxa"/>
            <w:vAlign w:val="bottom"/>
            <w:tcBorders>
              <w:right w:val="single" w:sz="8" w:color="auto"/>
            </w:tcBorders>
          </w:tcPr>
          <w:p>
            <w:pPr>
              <w:spacing w:after="0" w:line="174" w:lineRule="exact"/>
              <w:rPr>
                <w:sz w:val="20"/>
                <w:szCs w:val="20"/>
                <w:color w:val="auto"/>
              </w:rPr>
            </w:pPr>
            <w:r>
              <w:rPr>
                <w:rFonts w:ascii="Times New Roman" w:cs="Times New Roman" w:eastAsia="Times New Roman" w:hAnsi="Times New Roman"/>
                <w:sz w:val="18"/>
                <w:szCs w:val="18"/>
                <w:color w:val="auto"/>
              </w:rPr>
              <w:t>This ASU improves the disclosures about a public</w:t>
            </w:r>
          </w:p>
        </w:tc>
        <w:tc>
          <w:tcPr>
            <w:tcW w:w="1260" w:type="dxa"/>
            <w:vAlign w:val="bottom"/>
            <w:tcBorders>
              <w:right w:val="single" w:sz="8" w:color="auto"/>
            </w:tcBorders>
          </w:tcPr>
          <w:p>
            <w:pPr>
              <w:ind w:left="160"/>
              <w:spacing w:after="0" w:line="174" w:lineRule="exact"/>
              <w:rPr>
                <w:sz w:val="20"/>
                <w:szCs w:val="20"/>
                <w:color w:val="auto"/>
              </w:rPr>
            </w:pPr>
            <w:r>
              <w:rPr>
                <w:rFonts w:ascii="Times New Roman" w:cs="Times New Roman" w:eastAsia="Times New Roman" w:hAnsi="Times New Roman"/>
                <w:sz w:val="18"/>
                <w:szCs w:val="18"/>
                <w:color w:val="auto"/>
              </w:rPr>
              <w:t>June 1, 2027</w:t>
            </w:r>
          </w:p>
        </w:tc>
        <w:tc>
          <w:tcPr>
            <w:tcW w:w="374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The Company plans to adopt the new standard for</w:t>
            </w: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Statement-Reporting</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w w:val="99"/>
              </w:rPr>
              <w:t>business entity's costs and expenses by requiring the</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fiscal year 2028 and is assessing the impact to</w:t>
            </w:r>
          </w:p>
        </w:tc>
        <w:tc>
          <w:tcPr>
            <w:tcW w:w="0" w:type="dxa"/>
            <w:vAlign w:val="bottom"/>
          </w:tcPr>
          <w:p>
            <w:pPr>
              <w:spacing w:after="0"/>
              <w:rPr>
                <w:sz w:val="1"/>
                <w:szCs w:val="1"/>
                <w:color w:val="auto"/>
              </w:rPr>
            </w:pPr>
          </w:p>
        </w:tc>
      </w:tr>
      <w:tr>
        <w:trPr>
          <w:trHeight w:val="201"/>
        </w:trPr>
        <w:tc>
          <w:tcPr>
            <w:tcW w:w="23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Comprehensive Income-</w:t>
            </w:r>
          </w:p>
        </w:tc>
        <w:tc>
          <w:tcPr>
            <w:tcW w:w="3800" w:type="dxa"/>
            <w:vAlign w:val="bottom"/>
            <w:tcBorders>
              <w:right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Company to disclose more detailed information</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consolidated financial statements.</w:t>
            </w: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Expense Disaggregation</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about the types of expenses (including purchases of</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Disclosures (Subtopic 220-04):</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inventory, employee compensation, depreciation,</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80" w:type="dxa"/>
            <w:vAlign w:val="bottom"/>
            <w:tcBorders>
              <w:right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i w:val="1"/>
                <w:iCs w:val="1"/>
                <w:color w:val="auto"/>
              </w:rPr>
              <w:t>Disaggregation of Income</w:t>
            </w:r>
          </w:p>
        </w:tc>
        <w:tc>
          <w:tcPr>
            <w:tcW w:w="3800" w:type="dxa"/>
            <w:vAlign w:val="bottom"/>
            <w:tcBorders>
              <w:right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amortization and depletion) included in each</w:t>
            </w:r>
          </w:p>
        </w:tc>
        <w:tc>
          <w:tcPr>
            <w:tcW w:w="1260" w:type="dxa"/>
            <w:vAlign w:val="bottom"/>
            <w:tcBorders>
              <w:right w:val="single" w:sz="8" w:color="auto"/>
            </w:tcBorders>
          </w:tcPr>
          <w:p>
            <w:pPr>
              <w:spacing w:after="0"/>
              <w:rPr>
                <w:sz w:val="16"/>
                <w:szCs w:val="16"/>
                <w:color w:val="auto"/>
              </w:rPr>
            </w:pPr>
          </w:p>
        </w:tc>
        <w:tc>
          <w:tcPr>
            <w:tcW w:w="3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80" w:type="dxa"/>
            <w:vAlign w:val="bottom"/>
            <w:tcBorders>
              <w:right w:val="single" w:sz="8" w:color="auto"/>
            </w:tcBorders>
          </w:tcPr>
          <w:p>
            <w:pPr>
              <w:ind w:left="20"/>
              <w:spacing w:after="0" w:line="201" w:lineRule="exact"/>
              <w:rPr>
                <w:sz w:val="20"/>
                <w:szCs w:val="20"/>
                <w:color w:val="auto"/>
              </w:rPr>
            </w:pPr>
            <w:r>
              <w:rPr>
                <w:rFonts w:ascii="Times New Roman" w:cs="Times New Roman" w:eastAsia="Times New Roman" w:hAnsi="Times New Roman"/>
                <w:sz w:val="18"/>
                <w:szCs w:val="18"/>
                <w:i w:val="1"/>
                <w:iCs w:val="1"/>
                <w:color w:val="auto"/>
              </w:rPr>
              <w:t>Statement Expenses</w:t>
            </w:r>
          </w:p>
        </w:tc>
        <w:tc>
          <w:tcPr>
            <w:tcW w:w="38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relevant income statement caption.</w:t>
            </w:r>
          </w:p>
        </w:tc>
        <w:tc>
          <w:tcPr>
            <w:tcW w:w="1260" w:type="dxa"/>
            <w:vAlign w:val="bottom"/>
            <w:tcBorders>
              <w:right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380" w:type="dxa"/>
            <w:vAlign w:val="bottom"/>
            <w:tcBorders>
              <w:bottom w:val="single" w:sz="8" w:color="auto"/>
              <w:right w:val="single" w:sz="8" w:color="auto"/>
            </w:tcBorders>
          </w:tcPr>
          <w:p>
            <w:pPr>
              <w:spacing w:after="0"/>
              <w:rPr>
                <w:sz w:val="5"/>
                <w:szCs w:val="5"/>
                <w:color w:val="auto"/>
              </w:rPr>
            </w:pPr>
          </w:p>
        </w:tc>
        <w:tc>
          <w:tcPr>
            <w:tcW w:w="3800" w:type="dxa"/>
            <w:vAlign w:val="bottom"/>
            <w:tcBorders>
              <w:bottom w:val="single" w:sz="8" w:color="auto"/>
              <w:right w:val="single" w:sz="8" w:color="auto"/>
            </w:tcBorders>
            <w:vMerge w:val="continue"/>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DIVESTITURES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PICCs and Midlines</w:t>
      </w:r>
    </w:p>
    <w:p>
      <w:pPr>
        <w:spacing w:after="0" w:line="225" w:lineRule="exact"/>
        <w:rPr>
          <w:sz w:val="20"/>
          <w:szCs w:val="20"/>
          <w:color w:val="auto"/>
        </w:rPr>
      </w:pPr>
    </w:p>
    <w:p>
      <w:pPr>
        <w:ind w:right="40" w:firstLine="402"/>
        <w:spacing w:after="0" w:line="253" w:lineRule="auto"/>
        <w:rPr>
          <w:sz w:val="20"/>
          <w:szCs w:val="20"/>
          <w:color w:val="auto"/>
        </w:rPr>
      </w:pPr>
      <w:r>
        <w:rPr>
          <w:rFonts w:ascii="Times New Roman" w:cs="Times New Roman" w:eastAsia="Times New Roman" w:hAnsi="Times New Roman"/>
          <w:sz w:val="18"/>
          <w:szCs w:val="18"/>
          <w:color w:val="auto"/>
        </w:rPr>
        <w:t>Pursuant to an asset purchase agreement dated February 15, 2024 (the "Spectrum Asset Purchase Agreement"), the Company completed the divestiture of its PICC and Midline businesses (the "Spectrum Divestiture") to Spectrum Vascular ("Spectrum"). Total consideration received by the Company for the Spectrum Divestiture in the third quarter of fiscal year 2024 was $34.5 million in cash and resulted in a pre-tax book gain of $6.7 million. Included in the agreement is a $5.5 million earn-out related to the sales of divested products over a two year period and a milestone payment of $5.0 million paid upon final transfer of the manufacturing to a third-party that Spectrum will pay to the Company upon achievement. The Company achieved the sales milestone related to the divested products in the third quarter of fiscal year 2025 and $5.5 million was paid to the Company in the fourth quarter of fiscal year 2025. The final transfer of manufacturing has not been achieved as of May 31, 2025.</w:t>
      </w:r>
    </w:p>
    <w:p>
      <w:pPr>
        <w:spacing w:after="0" w:line="186" w:lineRule="exact"/>
        <w:rPr>
          <w:sz w:val="20"/>
          <w:szCs w:val="20"/>
          <w:color w:val="auto"/>
        </w:rPr>
      </w:pPr>
    </w:p>
    <w:p>
      <w:pPr>
        <w:jc w:val="both"/>
        <w:ind w:right="140" w:firstLine="402"/>
        <w:spacing w:after="0" w:line="258" w:lineRule="auto"/>
        <w:rPr>
          <w:sz w:val="20"/>
          <w:szCs w:val="20"/>
          <w:color w:val="auto"/>
        </w:rPr>
      </w:pPr>
      <w:r>
        <w:rPr>
          <w:rFonts w:ascii="Times New Roman" w:cs="Times New Roman" w:eastAsia="Times New Roman" w:hAnsi="Times New Roman"/>
          <w:sz w:val="18"/>
          <w:szCs w:val="18"/>
          <w:color w:val="auto"/>
        </w:rPr>
        <w:t>The Company and Spectrum entered into various agreements to facilitate the transition of the divested businesses to Spectrum, including a Transition Services Agreement ("TSA") and Transition Manufacturing Agreement. The Company determined that the divestiture of the businesses did not constitute a strategic shift that had a major effect on the Company's operations or financial results and as a result, this transaction will not be classified as discontinued operations.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As of February 15, 2024</w:t>
            </w:r>
          </w:p>
        </w:tc>
        <w:tc>
          <w:tcPr>
            <w:tcW w:w="0" w:type="dxa"/>
            <w:vAlign w:val="bottom"/>
          </w:tcPr>
          <w:p>
            <w:pPr>
              <w:spacing w:after="0"/>
              <w:rPr>
                <w:sz w:val="1"/>
                <w:szCs w:val="1"/>
                <w:color w:val="auto"/>
              </w:rPr>
            </w:pPr>
          </w:p>
        </w:tc>
      </w:tr>
      <w:tr>
        <w:trPr>
          <w:trHeight w:val="25"/>
        </w:trPr>
        <w:tc>
          <w:tcPr>
            <w:tcW w:w="9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9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46"/>
        </w:trPr>
        <w:tc>
          <w:tcPr>
            <w:tcW w:w="9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0" w:type="dxa"/>
            <w:vAlign w:val="bottom"/>
          </w:tcPr>
          <w:p>
            <w:pPr>
              <w:spacing w:after="0"/>
              <w:rPr>
                <w:sz w:val="1"/>
                <w:szCs w:val="1"/>
                <w:color w:val="auto"/>
              </w:rPr>
            </w:pPr>
          </w:p>
        </w:tc>
      </w:tr>
      <w:tr>
        <w:trPr>
          <w:trHeight w:val="20"/>
        </w:trPr>
        <w:tc>
          <w:tcPr>
            <w:tcW w:w="9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28"/>
        </w:trPr>
        <w:tc>
          <w:tcPr>
            <w:tcW w:w="9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20,781</w:t>
            </w:r>
          </w:p>
        </w:tc>
        <w:tc>
          <w:tcPr>
            <w:tcW w:w="0" w:type="dxa"/>
            <w:vAlign w:val="bottom"/>
          </w:tcPr>
          <w:p>
            <w:pPr>
              <w:spacing w:after="0"/>
              <w:rPr>
                <w:sz w:val="1"/>
                <w:szCs w:val="1"/>
                <w:color w:val="auto"/>
              </w:rPr>
            </w:pPr>
          </w:p>
        </w:tc>
      </w:tr>
      <w:tr>
        <w:trPr>
          <w:trHeight w:val="228"/>
        </w:trPr>
        <w:tc>
          <w:tcPr>
            <w:tcW w:w="9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1"/>
        </w:trPr>
        <w:tc>
          <w:tcPr>
            <w:tcW w:w="9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Dialysis and BioSentry</w:t>
      </w:r>
    </w:p>
    <w:p>
      <w:pPr>
        <w:spacing w:after="0" w:line="225" w:lineRule="exact"/>
        <w:rPr>
          <w:sz w:val="20"/>
          <w:szCs w:val="20"/>
          <w:color w:val="auto"/>
        </w:rPr>
      </w:pPr>
    </w:p>
    <w:p>
      <w:pPr>
        <w:ind w:right="220" w:firstLine="402"/>
        <w:spacing w:after="0" w:line="258" w:lineRule="auto"/>
        <w:rPr>
          <w:sz w:val="20"/>
          <w:szCs w:val="20"/>
          <w:color w:val="auto"/>
        </w:rPr>
      </w:pPr>
      <w:r>
        <w:rPr>
          <w:rFonts w:ascii="Times New Roman" w:cs="Times New Roman" w:eastAsia="Times New Roman" w:hAnsi="Times New Roman"/>
          <w:sz w:val="18"/>
          <w:szCs w:val="18"/>
          <w:color w:val="auto"/>
        </w:rPr>
        <w:t>Pursuant to an asset purchase agreement dated June 8, 2023 (the "Merit Asset Purchase Agreement"), the Company completed the divestiture of the dialysis and BioSentry tract sealant system biopsy businesses (the "Merit Divestiture") to Merit Medical Systems, Inc. ("Merit"). Total consideration received by the Company for the Merit Divestiture in the first quarter of fiscal year 2024 was $100.0 million in cash and resulted in a pre-tax book gain of $47.8 million.</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63" w:name="page64"/>
    <w:bookmarkEnd w:id="63"/>
    <w:p>
      <w:pPr>
        <w:ind w:right="100" w:firstLine="402"/>
        <w:spacing w:after="0" w:line="286" w:lineRule="auto"/>
        <w:rPr>
          <w:sz w:val="20"/>
          <w:szCs w:val="20"/>
          <w:color w:val="auto"/>
        </w:rPr>
      </w:pPr>
      <w:r>
        <w:rPr>
          <w:rFonts w:ascii="Times New Roman" w:cs="Times New Roman" w:eastAsia="Times New Roman" w:hAnsi="Times New Roman"/>
          <w:sz w:val="17"/>
          <w:szCs w:val="17"/>
          <w:color w:val="auto"/>
        </w:rPr>
        <w:t>The Company and Merit entered into various agreements to facilitate the transition of the divested businesses to Merit, including a Transition Services Agreement and Contract Manufacturing Agreement. The Company determined that the divestiture of the businesses did not constitute a strategic shift that had a major effect on the Company's operations or financial results and as a result, this transaction will not be classified as discontinued operations.</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sold on the date of the sale: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50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As of June 8, 2023</w:t>
            </w:r>
          </w:p>
        </w:tc>
      </w:tr>
      <w:tr>
        <w:trPr>
          <w:trHeight w:val="25"/>
        </w:trPr>
        <w:tc>
          <w:tcPr>
            <w:tcW w:w="9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8"/>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8"/>
        </w:trPr>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28"/>
        </w:trPr>
        <w:tc>
          <w:tcPr>
            <w:tcW w:w="9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1"/>
        </w:trPr>
        <w:tc>
          <w:tcPr>
            <w:tcW w:w="9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0"/>
        </w:trPr>
        <w:tc>
          <w:tcPr>
            <w:tcW w:w="9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4"/>
        </w:trPr>
        <w:tc>
          <w:tcPr>
            <w:tcW w:w="95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28"/>
        </w:trPr>
        <w:tc>
          <w:tcPr>
            <w:tcW w:w="9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8"/>
        </w:trPr>
        <w:tc>
          <w:tcPr>
            <w:tcW w:w="9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17,629</w:t>
            </w:r>
          </w:p>
        </w:tc>
      </w:tr>
      <w:tr>
        <w:trPr>
          <w:trHeight w:val="228"/>
        </w:trPr>
        <w:tc>
          <w:tcPr>
            <w:tcW w:w="9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w:t>
            </w:r>
          </w:p>
        </w:tc>
      </w:tr>
      <w:tr>
        <w:trPr>
          <w:trHeight w:val="246"/>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non-current assets</w:t>
            </w: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0" w:lineRule="exact"/>
        <w:rPr>
          <w:sz w:val="20"/>
          <w:szCs w:val="20"/>
          <w:color w:val="auto"/>
        </w:rPr>
      </w:pPr>
    </w:p>
    <w:p>
      <w:pPr>
        <w:ind w:right="60" w:firstLine="402"/>
        <w:spacing w:after="0" w:line="256"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revenue is recognized when a customer obtains control of promised goods or services, in an amount that reflects the consideration which the Company expects to receive in exchange for those goods or services. To determine revenue recognition for arrangements,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has one primary revenue stream which is the sales of its products.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net sales by Med Tech, Med Device and by geography: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11"/>
          </w:tcPr>
          <w:p>
            <w:pPr>
              <w:jc w:val="center"/>
              <w:ind w:left="597"/>
              <w:spacing w:after="0"/>
              <w:rPr>
                <w:sz w:val="20"/>
                <w:szCs w:val="20"/>
                <w:color w:val="auto"/>
              </w:rPr>
            </w:pPr>
            <w:r>
              <w:rPr>
                <w:rFonts w:ascii="Times New Roman" w:cs="Times New Roman" w:eastAsia="Times New Roman" w:hAnsi="Times New Roman"/>
                <w:sz w:val="14"/>
                <w:szCs w:val="14"/>
                <w:color w:val="auto"/>
              </w:rPr>
              <w:t>Year ended May 31, 2025</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6"/>
          </w:tcPr>
          <w:p>
            <w:pPr>
              <w:jc w:val="center"/>
              <w:ind w:left="638"/>
              <w:spacing w:after="0"/>
              <w:rPr>
                <w:sz w:val="20"/>
                <w:szCs w:val="20"/>
                <w:color w:val="auto"/>
              </w:rPr>
            </w:pPr>
            <w:r>
              <w:rPr>
                <w:rFonts w:ascii="Times New Roman" w:cs="Times New Roman" w:eastAsia="Times New Roman" w:hAnsi="Times New Roman"/>
                <w:sz w:val="14"/>
                <w:szCs w:val="14"/>
                <w:color w:val="auto"/>
              </w:rPr>
              <w:t>Year ended May 31, 2024</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color w:val="auto"/>
              </w:rPr>
              <w:t>United States</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color w:val="auto"/>
              </w:rPr>
              <w:t>International</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International</w:t>
            </w: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14"/>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109,254</w:t>
            </w: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126,653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90,361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106,403</w:t>
            </w:r>
          </w:p>
        </w:tc>
        <w:tc>
          <w:tcPr>
            <w:tcW w:w="0" w:type="dxa"/>
            <w:vAlign w:val="bottom"/>
          </w:tcPr>
          <w:p>
            <w:pPr>
              <w:spacing w:after="0"/>
              <w:rPr>
                <w:sz w:val="1"/>
                <w:szCs w:val="1"/>
                <w:color w:val="auto"/>
              </w:rPr>
            </w:pPr>
          </w:p>
        </w:tc>
      </w:tr>
      <w:tr>
        <w:trPr>
          <w:trHeight w:val="228"/>
        </w:trPr>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141,729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165,845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197,511</w:t>
            </w:r>
          </w:p>
        </w:tc>
        <w:tc>
          <w:tcPr>
            <w:tcW w:w="0" w:type="dxa"/>
            <w:vAlign w:val="bottom"/>
          </w:tcPr>
          <w:p>
            <w:pPr>
              <w:spacing w:after="0"/>
              <w:rPr>
                <w:sz w:val="1"/>
                <w:szCs w:val="1"/>
                <w:color w:val="auto"/>
              </w:rPr>
            </w:pPr>
          </w:p>
        </w:tc>
      </w:tr>
      <w:tr>
        <w:trPr>
          <w:trHeight w:val="221"/>
        </w:trPr>
        <w:tc>
          <w:tcPr>
            <w:tcW w:w="4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250,983</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4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gridSpan w:val="10"/>
          </w:tcPr>
          <w:p>
            <w:pPr>
              <w:jc w:val="center"/>
              <w:ind w:right="51"/>
              <w:spacing w:after="0"/>
              <w:rPr>
                <w:sz w:val="20"/>
                <w:szCs w:val="20"/>
                <w:color w:val="auto"/>
              </w:rPr>
            </w:pPr>
            <w:r>
              <w:rPr>
                <w:rFonts w:ascii="Times New Roman" w:cs="Times New Roman" w:eastAsia="Times New Roman" w:hAnsi="Times New Roman"/>
                <w:sz w:val="14"/>
                <w:szCs w:val="14"/>
                <w:color w:val="auto"/>
              </w:rPr>
              <w:t>Year ended May 31, 2023</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color w:val="auto"/>
              </w:rPr>
              <w:t>United States</w:t>
            </w: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International</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2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Med Tech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84,332</w:t>
            </w:r>
          </w:p>
        </w:tc>
        <w:tc>
          <w:tcPr>
            <w:tcW w:w="3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96,687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242,065</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282,713</w:t>
            </w:r>
          </w:p>
        </w:tc>
        <w:tc>
          <w:tcPr>
            <w:tcW w:w="80" w:type="dxa"/>
            <w:vAlign w:val="bottom"/>
            <w:tcBorders>
              <w:top w:val="single" w:sz="8" w:color="auto"/>
              <w:bottom w:val="single" w:sz="8" w:color="auto"/>
            </w:tcBorders>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338,752</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Product Revenue</w:t>
      </w:r>
    </w:p>
    <w:p>
      <w:pPr>
        <w:spacing w:after="0" w:line="172" w:lineRule="exact"/>
        <w:rPr>
          <w:sz w:val="20"/>
          <w:szCs w:val="20"/>
          <w:color w:val="auto"/>
        </w:rPr>
      </w:pPr>
    </w:p>
    <w:p>
      <w:pPr>
        <w:ind w:right="100" w:firstLine="402"/>
        <w:spacing w:after="0" w:line="255" w:lineRule="auto"/>
        <w:rPr>
          <w:sz w:val="20"/>
          <w:szCs w:val="20"/>
          <w:color w:val="auto"/>
        </w:rPr>
      </w:pPr>
      <w:r>
        <w:rPr>
          <w:rFonts w:ascii="Times New Roman" w:cs="Times New Roman" w:eastAsia="Times New Roman" w:hAnsi="Times New Roman"/>
          <w:sz w:val="18"/>
          <w:szCs w:val="18"/>
          <w:color w:val="auto"/>
        </w:rPr>
        <w:t>The Company's products consist of medical technology products focused on restoring healthy blood flow in the body's vascular system, expanding cancer treatment options and improving quality of life for patients.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Contracts and Performance Obligations</w:t>
      </w:r>
    </w:p>
    <w:p>
      <w:pPr>
        <w:spacing w:after="0" w:line="170" w:lineRule="exact"/>
        <w:rPr>
          <w:sz w:val="20"/>
          <w:szCs w:val="20"/>
          <w:color w:val="auto"/>
        </w:rPr>
      </w:pPr>
    </w:p>
    <w:p>
      <w:pPr>
        <w:ind w:right="80" w:firstLine="402"/>
        <w:spacing w:after="0" w:line="258" w:lineRule="auto"/>
        <w:rPr>
          <w:sz w:val="20"/>
          <w:szCs w:val="20"/>
          <w:color w:val="auto"/>
        </w:rPr>
      </w:pPr>
      <w:r>
        <w:rPr>
          <w:rFonts w:ascii="Times New Roman" w:cs="Times New Roman" w:eastAsia="Times New Roman" w:hAnsi="Times New Roman"/>
          <w:sz w:val="18"/>
          <w:szCs w:val="18"/>
          <w:color w:val="auto"/>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Price and Allocation to Performance Obligations</w:t>
      </w:r>
    </w:p>
    <w:p>
      <w:pPr>
        <w:spacing w:after="0" w:line="170" w:lineRule="exact"/>
        <w:rPr>
          <w:sz w:val="20"/>
          <w:szCs w:val="20"/>
          <w:color w:val="auto"/>
        </w:rPr>
      </w:pPr>
    </w:p>
    <w:p>
      <w:pPr>
        <w:ind w:right="520" w:firstLine="402"/>
        <w:spacing w:after="0" w:line="278" w:lineRule="auto"/>
        <w:rPr>
          <w:sz w:val="20"/>
          <w:szCs w:val="20"/>
          <w:color w:val="auto"/>
        </w:rPr>
      </w:pPr>
      <w:r>
        <w:rPr>
          <w:rFonts w:ascii="Times New Roman" w:cs="Times New Roman" w:eastAsia="Times New Roman" w:hAnsi="Times New Roman"/>
          <w:sz w:val="18"/>
          <w:szCs w:val="18"/>
          <w:color w:val="auto"/>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spacing w:after="0" w:line="110" w:lineRule="exact"/>
        <w:rPr>
          <w:sz w:val="20"/>
          <w:szCs w:val="20"/>
          <w:color w:val="auto"/>
        </w:rPr>
      </w:pPr>
    </w:p>
    <w:p>
      <w:pPr>
        <w:ind w:right="360" w:firstLine="402"/>
        <w:spacing w:after="0" w:line="258" w:lineRule="auto"/>
        <w:rPr>
          <w:sz w:val="20"/>
          <w:szCs w:val="20"/>
          <w:color w:val="auto"/>
        </w:rPr>
      </w:pPr>
      <w:r>
        <w:rPr>
          <w:rFonts w:ascii="Times New Roman" w:cs="Times New Roman" w:eastAsia="Times New Roman" w:hAnsi="Times New Roman"/>
          <w:sz w:val="18"/>
          <w:szCs w:val="18"/>
          <w:color w:val="auto"/>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0" w:lineRule="exact"/>
        <w:rPr>
          <w:sz w:val="20"/>
          <w:szCs w:val="20"/>
          <w:color w:val="auto"/>
        </w:rPr>
      </w:pPr>
    </w:p>
    <w:p>
      <w:pPr>
        <w:ind w:right="40" w:firstLine="402"/>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spacing w:after="0" w:line="123" w:lineRule="exact"/>
        <w:rPr>
          <w:sz w:val="20"/>
          <w:szCs w:val="20"/>
          <w:color w:val="auto"/>
        </w:rPr>
      </w:pPr>
    </w:p>
    <w:p>
      <w:pPr>
        <w:ind w:right="380" w:firstLine="402"/>
        <w:spacing w:after="0" w:line="278" w:lineRule="auto"/>
        <w:rPr>
          <w:sz w:val="20"/>
          <w:szCs w:val="20"/>
          <w:color w:val="auto"/>
        </w:rPr>
      </w:pPr>
      <w:r>
        <w:rPr>
          <w:rFonts w:ascii="Times New Roman" w:cs="Times New Roman" w:eastAsia="Times New Roman" w:hAnsi="Times New Roman"/>
          <w:sz w:val="18"/>
          <w:szCs w:val="18"/>
          <w:color w:val="auto"/>
        </w:rPr>
        <w:t>In determining whether control has transferred, the Company considers if there is a present right to payment from the customer and when physical possession, legal title and risks and rewards of ownership have transferred to the customer.</w:t>
      </w:r>
    </w:p>
    <w:p>
      <w:pPr>
        <w:spacing w:after="0" w:line="110"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The Company typically invoices customers upon satisfaction of identified performance obligations. As the Company’s standard payment terms are 30 to 90 days from invoicing, the Company does not provide any significant financing to its customers.</w:t>
      </w:r>
    </w:p>
    <w:p>
      <w:pPr>
        <w:spacing w:after="0" w:line="96" w:lineRule="exact"/>
        <w:rPr>
          <w:sz w:val="20"/>
          <w:szCs w:val="20"/>
          <w:color w:val="auto"/>
        </w:rPr>
      </w:pPr>
    </w:p>
    <w:p>
      <w:pPr>
        <w:ind w:right="60" w:firstLine="402"/>
        <w:spacing w:after="0"/>
        <w:rPr>
          <w:sz w:val="20"/>
          <w:szCs w:val="20"/>
          <w:color w:val="auto"/>
        </w:rPr>
      </w:pPr>
      <w:r>
        <w:rPr>
          <w:rFonts w:ascii="Times New Roman" w:cs="Times New Roman" w:eastAsia="Times New Roman" w:hAnsi="Times New Roman"/>
          <w:sz w:val="18"/>
          <w:szCs w:val="18"/>
          <w:color w:val="auto"/>
        </w:rPr>
        <w:t>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between the disposable revenue and lease revenue due to the insignificant value of the units in relation to the total agreement value.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70" w:lineRule="exact"/>
        <w:rPr>
          <w:sz w:val="20"/>
          <w:szCs w:val="20"/>
          <w:color w:val="auto"/>
        </w:rPr>
      </w:pPr>
    </w:p>
    <w:p>
      <w:pPr>
        <w:ind w:firstLine="402"/>
        <w:spacing w:after="0" w:line="250" w:lineRule="auto"/>
        <w:rPr>
          <w:sz w:val="20"/>
          <w:szCs w:val="20"/>
          <w:color w:val="auto"/>
        </w:rPr>
      </w:pPr>
      <w:r>
        <w:rPr>
          <w:rFonts w:ascii="Times New Roman" w:cs="Times New Roman" w:eastAsia="Times New Roman" w:hAnsi="Times New Roman"/>
          <w:sz w:val="18"/>
          <w:szCs w:val="18"/>
          <w:color w:val="auto"/>
        </w:rPr>
        <w:t>Reserves: Revenue from product sales are recorded at the net sales price (transaction price), which includes estimates of variable consideration for which reserves are established for discounts, product returns, rebates and allowances that are offered within contracts between the Company and its customers.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Discounts and product returns are based on amounts earned or to be claimed on the related sales and are classified as a contra asset. During the years ended May 31, 2025, 2024 and 2023, such product returns were not material.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liabilities"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with Customers</w:t>
      </w:r>
    </w:p>
    <w:p>
      <w:pPr>
        <w:spacing w:after="0" w:line="172" w:lineRule="exact"/>
        <w:rPr>
          <w:sz w:val="20"/>
          <w:szCs w:val="20"/>
          <w:color w:val="auto"/>
        </w:rPr>
      </w:pPr>
    </w:p>
    <w:p>
      <w:pPr>
        <w:ind w:right="40" w:firstLine="402"/>
        <w:spacing w:after="0" w:line="255" w:lineRule="auto"/>
        <w:rPr>
          <w:sz w:val="20"/>
          <w:szCs w:val="20"/>
          <w:color w:val="auto"/>
        </w:rPr>
      </w:pPr>
      <w:r>
        <w:rPr>
          <w:rFonts w:ascii="Times New Roman" w:cs="Times New Roman" w:eastAsia="Times New Roman" w:hAnsi="Times New Roman"/>
          <w:sz w:val="18"/>
          <w:szCs w:val="18"/>
          <w:color w:val="auto"/>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as deferred revenue in "Accrued liabilities" in the accompanying Consolidated Balance Sheets.</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changes in the Company’s receivables, contract assets and contract liabilities with customers: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36" w:lineRule="exact"/>
        <w:rPr>
          <w:sz w:val="20"/>
          <w:szCs w:val="20"/>
          <w:color w:val="auto"/>
        </w:rPr>
      </w:pPr>
    </w:p>
    <w:p>
      <w:pPr>
        <w:ind w:right="20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2025 and 2024, the Company had additions to contract liabilities of $0.2 million and $0.6 million, respectively. This was offset by $0.3 million and $0.7 million in revenue that was recognized during the years ended May 31,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or Fulfill a Customer Contract</w:t>
      </w:r>
    </w:p>
    <w:p>
      <w:pPr>
        <w:spacing w:after="0" w:line="172"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spacing w:after="0" w:line="128" w:lineRule="exact"/>
        <w:rPr>
          <w:sz w:val="20"/>
          <w:szCs w:val="20"/>
          <w:color w:val="auto"/>
        </w:rPr>
      </w:pPr>
    </w:p>
    <w:p>
      <w:pPr>
        <w:ind w:right="140" w:firstLine="385"/>
        <w:spacing w:after="0" w:line="263" w:lineRule="auto"/>
        <w:rPr>
          <w:sz w:val="20"/>
          <w:szCs w:val="20"/>
          <w:color w:val="auto"/>
        </w:rPr>
      </w:pPr>
      <w:r>
        <w:rPr>
          <w:rFonts w:ascii="Times New Roman" w:cs="Times New Roman" w:eastAsia="Times New Roman" w:hAnsi="Times New Roman"/>
          <w:sz w:val="18"/>
          <w:szCs w:val="18"/>
          <w:color w:val="auto"/>
        </w:rPr>
        <w:t>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are recorded in net sales.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72" w:lineRule="exact"/>
        <w:rPr>
          <w:sz w:val="20"/>
          <w:szCs w:val="20"/>
          <w:color w:val="auto"/>
        </w:rPr>
      </w:pPr>
    </w:p>
    <w:p>
      <w:pPr>
        <w:ind w:right="180" w:firstLine="385"/>
        <w:spacing w:after="0" w:line="255" w:lineRule="auto"/>
        <w:rPr>
          <w:sz w:val="20"/>
          <w:szCs w:val="20"/>
          <w:color w:val="auto"/>
        </w:rPr>
      </w:pPr>
      <w:r>
        <w:rPr>
          <w:rFonts w:ascii="Times New Roman" w:cs="Times New Roman" w:eastAsia="Times New Roman" w:hAnsi="Times New Roman"/>
          <w:sz w:val="18"/>
          <w:szCs w:val="18"/>
          <w:color w:val="auto"/>
        </w:rPr>
        <w:t xml:space="preserve">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spacing w:after="0" w:line="132" w:lineRule="exact"/>
        <w:rPr>
          <w:sz w:val="20"/>
          <w:szCs w:val="20"/>
          <w:color w:val="auto"/>
        </w:rPr>
      </w:pPr>
    </w:p>
    <w:p>
      <w:pPr>
        <w:ind w:left="640" w:hanging="312"/>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26" w:lineRule="exact"/>
        <w:rPr>
          <w:rFonts w:ascii="Times New Roman" w:cs="Times New Roman" w:eastAsia="Times New Roman" w:hAnsi="Times New Roman"/>
          <w:sz w:val="18"/>
          <w:szCs w:val="18"/>
          <w:color w:val="auto"/>
        </w:rPr>
      </w:pPr>
    </w:p>
    <w:p>
      <w:pPr>
        <w:ind w:left="640" w:hanging="312"/>
        <w:spacing w:after="0" w:line="248"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ind w:left="640" w:hanging="312"/>
        <w:spacing w:after="0" w:line="256"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29" w:lineRule="exact"/>
        <w:rPr>
          <w:sz w:val="20"/>
          <w:szCs w:val="20"/>
          <w:color w:val="auto"/>
        </w:rPr>
      </w:pPr>
    </w:p>
    <w:p>
      <w:pPr>
        <w:jc w:val="both"/>
        <w:ind w:right="460" w:firstLine="385"/>
        <w:spacing w:after="0" w:line="286" w:lineRule="auto"/>
        <w:rPr>
          <w:sz w:val="20"/>
          <w:szCs w:val="20"/>
          <w:color w:val="auto"/>
        </w:rPr>
      </w:pPr>
      <w:r>
        <w:rPr>
          <w:rFonts w:ascii="Times New Roman" w:cs="Times New Roman" w:eastAsia="Times New Roman" w:hAnsi="Times New Roman"/>
          <w:sz w:val="17"/>
          <w:szCs w:val="17"/>
          <w:color w:val="auto"/>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spacing w:after="0" w:line="105" w:lineRule="exact"/>
        <w:rPr>
          <w:sz w:val="20"/>
          <w:szCs w:val="20"/>
          <w:color w:val="auto"/>
        </w:rPr>
      </w:pPr>
    </w:p>
    <w:p>
      <w:pPr>
        <w:ind w:right="240" w:firstLine="385"/>
        <w:spacing w:after="0" w:line="278"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at May 31, 2025. The following table provides information by level for assets and liabilities that are measured at fair value on a recurring basis at May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00" w:type="dxa"/>
            <w:vAlign w:val="bottom"/>
            <w:gridSpan w:val="8"/>
          </w:tcPr>
          <w:p>
            <w:pPr>
              <w:jc w:val="right"/>
              <w:ind w:right="60"/>
              <w:spacing w:after="0"/>
              <w:rPr>
                <w:sz w:val="20"/>
                <w:szCs w:val="20"/>
                <w:color w:val="auto"/>
              </w:rPr>
            </w:pPr>
            <w:r>
              <w:rPr>
                <w:rFonts w:ascii="Times New Roman" w:cs="Times New Roman" w:eastAsia="Times New Roman" w:hAnsi="Times New Roman"/>
                <w:sz w:val="14"/>
                <w:szCs w:val="14"/>
                <w:color w:val="auto"/>
              </w:rPr>
              <w:t>Fair Value Measurements using inputs considered as: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Level 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Level 2</w:t>
            </w:r>
          </w:p>
        </w:tc>
        <w:tc>
          <w:tcPr>
            <w:tcW w:w="320" w:type="dxa"/>
            <w:vAlign w:val="bottom"/>
          </w:tcPr>
          <w:p>
            <w:pPr>
              <w:spacing w:after="0"/>
              <w:rPr>
                <w:sz w:val="14"/>
                <w:szCs w:val="14"/>
                <w:color w:val="auto"/>
              </w:rPr>
            </w:pPr>
          </w:p>
        </w:tc>
        <w:tc>
          <w:tcPr>
            <w:tcW w:w="116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Level 3</w:t>
            </w:r>
          </w:p>
        </w:tc>
        <w:tc>
          <w:tcPr>
            <w:tcW w:w="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Fair Value at May 31,</w:t>
            </w:r>
          </w:p>
        </w:tc>
        <w:tc>
          <w:tcPr>
            <w:tcW w:w="0" w:type="dxa"/>
            <w:vAlign w:val="bottom"/>
          </w:tcPr>
          <w:p>
            <w:pPr>
              <w:spacing w:after="0"/>
              <w:rPr>
                <w:sz w:val="1"/>
                <w:szCs w:val="1"/>
                <w:color w:val="auto"/>
              </w:rPr>
            </w:pPr>
          </w:p>
        </w:tc>
      </w:tr>
      <w:tr>
        <w:trPr>
          <w:trHeight w:val="191"/>
        </w:trPr>
        <w:tc>
          <w:tcPr>
            <w:tcW w:w="5340" w:type="dxa"/>
            <w:vAlign w:val="bottom"/>
            <w:gridSpan w:val="3"/>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193"/>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auto"/>
            </w:tcBorders>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w w:val="98"/>
              </w:rPr>
              <w:t>Financial Liabilities</w:t>
            </w:r>
          </w:p>
        </w:tc>
        <w:tc>
          <w:tcPr>
            <w:tcW w:w="38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Contingent consideration for acquisition earn outs</w:t>
            </w:r>
          </w:p>
        </w:tc>
        <w:tc>
          <w:tcPr>
            <w:tcW w:w="1140" w:type="dxa"/>
            <w:vAlign w:val="bottom"/>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4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320" w:type="dxa"/>
            <w:vAlign w:val="bottom"/>
            <w:tcBorders>
              <w:top w:val="single" w:sz="8" w:color="CCEEFF"/>
              <w:bottom w:val="single" w:sz="8" w:color="CCEEFF"/>
            </w:tcBorders>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1140" w:type="dxa"/>
            <w:vAlign w:val="bottom"/>
            <w:tcBorders>
              <w:top w:val="single" w:sz="8" w:color="auto"/>
              <w:bottom w:val="single" w:sz="8" w:color="auto"/>
            </w:tcBorders>
            <w:shd w:val="clear" w:color="auto" w:fill="CCEEFF"/>
          </w:tcPr>
          <w:p>
            <w:pPr>
              <w:jc w:val="right"/>
              <w:ind w:right="957"/>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7220" w:type="dxa"/>
            <w:vAlign w:val="bottom"/>
            <w:gridSpan w:val="6"/>
          </w:tcPr>
          <w:p>
            <w:pPr>
              <w:ind w:left="380"/>
              <w:spacing w:after="0"/>
              <w:rPr>
                <w:sz w:val="20"/>
                <w:szCs w:val="20"/>
                <w:color w:val="auto"/>
              </w:rPr>
            </w:pPr>
            <w:r>
              <w:rPr>
                <w:rFonts w:ascii="Times New Roman" w:cs="Times New Roman" w:eastAsia="Times New Roman" w:hAnsi="Times New Roman"/>
                <w:sz w:val="18"/>
                <w:szCs w:val="18"/>
                <w:color w:val="auto"/>
              </w:rPr>
              <w:t>There were no transfers between Level 1, 2 and 3 for the years ended May 31, 2025 and 2024.</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following tables present the changes in fair value components of Level 3 instruments: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center"/>
              <w:ind w:right="55"/>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520" w:type="dxa"/>
            <w:vAlign w:val="bottom"/>
            <w:gridSpan w:val="5"/>
          </w:tcPr>
          <w:p>
            <w:pPr>
              <w:jc w:val="center"/>
              <w:spacing w:after="0" w:line="127"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115"/>
              <w:spacing w:after="0" w:line="138"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47"/>
        </w:trPr>
        <w:tc>
          <w:tcPr>
            <w:tcW w:w="5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3"/>
          </w:tcPr>
          <w:p>
            <w:pPr>
              <w:jc w:val="center"/>
              <w:ind w:right="55"/>
              <w:spacing w:after="0" w:line="147"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85"/>
        </w:trPr>
        <w:tc>
          <w:tcPr>
            <w:tcW w:w="5340" w:type="dxa"/>
            <w:vAlign w:val="bottom"/>
            <w:gridSpan w:val="3"/>
            <w:vMerge w:val="continue"/>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315"/>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5"/>
        </w:trPr>
        <w:tc>
          <w:tcPr>
            <w:tcW w:w="5340" w:type="dxa"/>
            <w:vAlign w:val="bottom"/>
            <w:tcBorders>
              <w:bottom w:val="single" w:sz="8" w:color="CCEEFF"/>
            </w:tcBorders>
            <w:gridSpan w:val="3"/>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5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xml:space="preserve">Change in present value of contingent consideration </w:t>
            </w:r>
            <w:r>
              <w:rPr>
                <w:rFonts w:ascii="Times New Roman" w:cs="Times New Roman" w:eastAsia="Times New Roman" w:hAnsi="Times New Roman"/>
                <w:sz w:val="16"/>
                <w:szCs w:val="16"/>
                <w:color w:val="auto"/>
              </w:rPr>
              <w:t>(1)</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21"/>
        </w:trPr>
        <w:tc>
          <w:tcPr>
            <w:tcW w:w="5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220" w:firstLine="7"/>
        <w:spacing w:after="0" w:line="294" w:lineRule="auto"/>
        <w:tabs>
          <w:tab w:leader="none" w:pos="227"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Financial Liabilities</w:t>
            </w:r>
          </w:p>
        </w:tc>
        <w:tc>
          <w:tcPr>
            <w:tcW w:w="0" w:type="dxa"/>
            <w:vAlign w:val="bottom"/>
          </w:tcPr>
          <w:p>
            <w:pPr>
              <w:spacing w:after="0"/>
              <w:rPr>
                <w:sz w:val="1"/>
                <w:szCs w:val="1"/>
                <w:color w:val="auto"/>
              </w:rPr>
            </w:pPr>
          </w:p>
        </w:tc>
      </w:tr>
      <w:tr>
        <w:trPr>
          <w:trHeight w:val="25"/>
        </w:trPr>
        <w:tc>
          <w:tcPr>
            <w:tcW w:w="972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9720" w:type="dxa"/>
            <w:vAlign w:val="bottom"/>
          </w:tcPr>
          <w:p>
            <w:pPr>
              <w:spacing w:after="0"/>
              <w:rPr>
                <w:sz w:val="11"/>
                <w:szCs w:val="11"/>
                <w:color w:val="auto"/>
              </w:rPr>
            </w:pPr>
          </w:p>
        </w:tc>
        <w:tc>
          <w:tcPr>
            <w:tcW w:w="15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color w:val="auto"/>
              </w:rPr>
              <w:t>Fair Value Measurements</w:t>
            </w:r>
          </w:p>
        </w:tc>
        <w:tc>
          <w:tcPr>
            <w:tcW w:w="0" w:type="dxa"/>
            <w:vAlign w:val="bottom"/>
          </w:tcPr>
          <w:p>
            <w:pPr>
              <w:spacing w:after="0"/>
              <w:rPr>
                <w:sz w:val="1"/>
                <w:szCs w:val="1"/>
                <w:color w:val="auto"/>
              </w:rPr>
            </w:pPr>
          </w:p>
        </w:tc>
      </w:tr>
      <w:tr>
        <w:trPr>
          <w:trHeight w:val="143"/>
        </w:trPr>
        <w:tc>
          <w:tcPr>
            <w:tcW w:w="9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center"/>
              <w:ind w:right="60"/>
              <w:spacing w:after="0" w:line="143" w:lineRule="exact"/>
              <w:rPr>
                <w:sz w:val="20"/>
                <w:szCs w:val="20"/>
                <w:color w:val="auto"/>
              </w:rPr>
            </w:pPr>
            <w:r>
              <w:rPr>
                <w:rFonts w:ascii="Times New Roman" w:cs="Times New Roman" w:eastAsia="Times New Roman" w:hAnsi="Times New Roman"/>
                <w:sz w:val="14"/>
                <w:szCs w:val="14"/>
                <w:color w:val="auto"/>
              </w:rPr>
              <w:t>Using Significant</w:t>
            </w:r>
          </w:p>
        </w:tc>
        <w:tc>
          <w:tcPr>
            <w:tcW w:w="0" w:type="dxa"/>
            <w:vAlign w:val="bottom"/>
          </w:tcPr>
          <w:p>
            <w:pPr>
              <w:spacing w:after="0"/>
              <w:rPr>
                <w:sz w:val="1"/>
                <w:szCs w:val="1"/>
                <w:color w:val="auto"/>
              </w:rPr>
            </w:pPr>
          </w:p>
        </w:tc>
      </w:tr>
      <w:tr>
        <w:trPr>
          <w:trHeight w:val="138"/>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2"/>
                <w:szCs w:val="12"/>
                <w:color w:val="auto"/>
              </w:rPr>
            </w:pPr>
          </w:p>
        </w:tc>
        <w:tc>
          <w:tcPr>
            <w:tcW w:w="1380" w:type="dxa"/>
            <w:vAlign w:val="bottom"/>
          </w:tcPr>
          <w:p>
            <w:pPr>
              <w:jc w:val="center"/>
              <w:ind w:right="60"/>
              <w:spacing w:after="0" w:line="138" w:lineRule="exact"/>
              <w:rPr>
                <w:sz w:val="20"/>
                <w:szCs w:val="20"/>
                <w:color w:val="auto"/>
              </w:rPr>
            </w:pPr>
            <w:r>
              <w:rPr>
                <w:rFonts w:ascii="Times New Roman" w:cs="Times New Roman" w:eastAsia="Times New Roman" w:hAnsi="Times New Roman"/>
                <w:sz w:val="14"/>
                <w:szCs w:val="14"/>
                <w:color w:val="auto"/>
              </w:rPr>
              <w:t>Unobservable Inputs</w:t>
            </w:r>
          </w:p>
        </w:tc>
        <w:tc>
          <w:tcPr>
            <w:tcW w:w="0" w:type="dxa"/>
            <w:vAlign w:val="bottom"/>
          </w:tcPr>
          <w:p>
            <w:pPr>
              <w:spacing w:after="0"/>
              <w:rPr>
                <w:sz w:val="1"/>
                <w:szCs w:val="1"/>
                <w:color w:val="auto"/>
              </w:rPr>
            </w:pPr>
          </w:p>
        </w:tc>
      </w:tr>
      <w:tr>
        <w:trPr>
          <w:trHeight w:val="185"/>
        </w:trPr>
        <w:tc>
          <w:tcPr>
            <w:tcW w:w="9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right="6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5"/>
        </w:trPr>
        <w:tc>
          <w:tcPr>
            <w:tcW w:w="9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w:t>
            </w:r>
          </w:p>
        </w:tc>
        <w:tc>
          <w:tcPr>
            <w:tcW w:w="0" w:type="dxa"/>
            <w:vAlign w:val="bottom"/>
          </w:tcPr>
          <w:p>
            <w:pPr>
              <w:spacing w:after="0"/>
              <w:rPr>
                <w:sz w:val="1"/>
                <w:szCs w:val="1"/>
                <w:color w:val="auto"/>
              </w:rPr>
            </w:pPr>
          </w:p>
        </w:tc>
      </w:tr>
      <w:tr>
        <w:trPr>
          <w:trHeight w:val="228"/>
        </w:trPr>
        <w:tc>
          <w:tcPr>
            <w:tcW w:w="9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Change in fair value of contingent consideration </w:t>
            </w:r>
            <w:r>
              <w:rPr>
                <w:rFonts w:ascii="Times New Roman" w:cs="Times New Roman" w:eastAsia="Times New Roman" w:hAnsi="Times New Roman"/>
                <w:sz w:val="16"/>
                <w:szCs w:val="16"/>
                <w:color w:val="auto"/>
              </w:rPr>
              <w:t>(1)</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28"/>
        </w:trPr>
        <w:tc>
          <w:tcPr>
            <w:tcW w:w="9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1"/>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20" w:firstLine="7"/>
        <w:spacing w:after="0" w:line="277" w:lineRule="auto"/>
        <w:tabs>
          <w:tab w:leader="none" w:pos="22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in the fair value of contingent consideration is included in earnings and comprised of changes in estimated earn out payments based on projections of Company performance and amortization of the present value discount.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 for Acquisition Earn Outs</w:t>
      </w:r>
    </w:p>
    <w:p>
      <w:pPr>
        <w:spacing w:after="0" w:line="172" w:lineRule="exact"/>
        <w:rPr>
          <w:sz w:val="20"/>
          <w:szCs w:val="20"/>
          <w:color w:val="auto"/>
        </w:rPr>
      </w:pPr>
    </w:p>
    <w:p>
      <w:pPr>
        <w:ind w:firstLine="385"/>
        <w:spacing w:after="0" w:line="254" w:lineRule="auto"/>
        <w:rPr>
          <w:sz w:val="20"/>
          <w:szCs w:val="20"/>
          <w:color w:val="auto"/>
        </w:rPr>
      </w:pPr>
      <w:r>
        <w:rPr>
          <w:rFonts w:ascii="Times New Roman" w:cs="Times New Roman" w:eastAsia="Times New Roman" w:hAnsi="Times New Roman"/>
          <w:sz w:val="18"/>
          <w:szCs w:val="18"/>
          <w:color w:val="auto"/>
        </w:rPr>
        <w:t>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w:t>
      </w:r>
    </w:p>
    <w:p>
      <w:pPr>
        <w:spacing w:after="0" w:line="132"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sales are based on internal projections and extensive analysis of the target market and the sales potential. Increases or decreases in any valuation inputs in isolation may result in a significantly lower or higher fair value measurement in the future.</w:t>
      </w:r>
    </w:p>
    <w:p>
      <w:pPr>
        <w:spacing w:after="0" w:line="132" w:lineRule="exact"/>
        <w:rPr>
          <w:sz w:val="20"/>
          <w:szCs w:val="20"/>
          <w:color w:val="auto"/>
        </w:rPr>
      </w:pPr>
    </w:p>
    <w:p>
      <w:pPr>
        <w:ind w:right="20" w:firstLine="385"/>
        <w:spacing w:after="0" w:line="278" w:lineRule="auto"/>
        <w:rPr>
          <w:sz w:val="20"/>
          <w:szCs w:val="20"/>
          <w:color w:val="auto"/>
        </w:rPr>
      </w:pPr>
      <w:r>
        <w:rPr>
          <w:rFonts w:ascii="Times New Roman" w:cs="Times New Roman" w:eastAsia="Times New Roman" w:hAnsi="Times New Roman"/>
          <w:sz w:val="18"/>
          <w:szCs w:val="18"/>
          <w:color w:val="auto"/>
        </w:rPr>
        <w:t>The final milestone associated with the contingent consideration was reached during the third quarter of fiscal year 2025 and was paid during the fourth quarter of fiscal year 2025.</w:t>
      </w:r>
    </w:p>
    <w:p>
      <w:pPr>
        <w:sectPr>
          <w:pgSz w:w="11900" w:h="16838" w:orient="portrait"/>
          <w:cols w:equalWidth="0" w:num="1">
            <w:col w:w="11240"/>
          </w:cols>
          <w:pgMar w:left="320" w:top="9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172" w:lineRule="exact"/>
        <w:rPr>
          <w:sz w:val="20"/>
          <w:szCs w:val="20"/>
          <w:color w:val="auto"/>
        </w:rPr>
      </w:pPr>
    </w:p>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The Company recorded a goodwill impairment charge of $159.5 million for the quarter ended February 29, 2024 to write down the carrying value of the Med Tech reporting unit to fair value. The Company recorded a goodwill impairment charge of $14.5 million for the year ended May 31, 2023 to write down the carrying value of the Med Device reporting unit to fair value.</w:t>
      </w:r>
    </w:p>
    <w:p>
      <w:pPr>
        <w:spacing w:after="0" w:line="123" w:lineRule="exact"/>
        <w:rPr>
          <w:sz w:val="20"/>
          <w:szCs w:val="20"/>
          <w:color w:val="auto"/>
        </w:rPr>
      </w:pPr>
    </w:p>
    <w:p>
      <w:pPr>
        <w:ind w:right="780" w:firstLine="385"/>
        <w:spacing w:after="0" w:line="278" w:lineRule="auto"/>
        <w:rPr>
          <w:sz w:val="20"/>
          <w:szCs w:val="20"/>
          <w:color w:val="auto"/>
        </w:rPr>
      </w:pPr>
      <w:r>
        <w:rPr>
          <w:rFonts w:ascii="Times New Roman" w:cs="Times New Roman" w:eastAsia="Times New Roman" w:hAnsi="Times New Roman"/>
          <w:sz w:val="18"/>
          <w:szCs w:val="18"/>
          <w:color w:val="auto"/>
        </w:rPr>
        <w:t>During the third quarter of fiscal year 2024, the Company made the decision to abandon the Syntrax product technology which resulted in an impairment charge of $3.3 million.</w:t>
      </w:r>
    </w:p>
    <w:p>
      <w:pPr>
        <w:spacing w:after="0" w:line="110" w:lineRule="exact"/>
        <w:rPr>
          <w:sz w:val="20"/>
          <w:szCs w:val="20"/>
          <w:color w:val="auto"/>
        </w:rPr>
      </w:pPr>
    </w:p>
    <w:p>
      <w:pPr>
        <w:ind w:right="120" w:firstLine="385"/>
        <w:spacing w:after="0" w:line="309" w:lineRule="auto"/>
        <w:rPr>
          <w:sz w:val="20"/>
          <w:szCs w:val="20"/>
          <w:color w:val="auto"/>
        </w:rPr>
      </w:pPr>
      <w:r>
        <w:rPr>
          <w:rFonts w:ascii="Times New Roman" w:cs="Times New Roman" w:eastAsia="Times New Roman" w:hAnsi="Times New Roman"/>
          <w:sz w:val="17"/>
          <w:szCs w:val="17"/>
          <w:color w:val="auto"/>
        </w:rPr>
        <w:t>During the third quarter of fiscal year 2024, the Company received a purchase offer for the properties located at 603 Queensbury Avenue, Queensbury NY and 8 Glens Falls Tech Park, Glens Falls, NY. This resulted in an impairment charge of $3.4 million to write the buildings down to fair value.</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were no other items measured at fair value on a nonrecurring basis during the year ended May 31, 2025 or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Inventories are stated at lower of cost and net realizable value (using the first-in, first-out method). Inventories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30,736</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60,616</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periodically reviews inventory for both obsolescence and loss of value. The Company makes assumptions about the future demand for and market value of the inventory. Based on these assumptions, the Company estimates the amount of obsolete, expiring and slow moving inventory. The total inventory reserve at May 31, 2025 and 2024 was $4.4 million and $3.3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licenses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TSA receivable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shows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prepaid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4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68" w:name="page69"/>
    <w:bookmarkEnd w:id="68"/>
    <w:p>
      <w:pPr>
        <w:ind w:left="400"/>
        <w:spacing w:after="0"/>
        <w:rPr>
          <w:sz w:val="20"/>
          <w:szCs w:val="20"/>
          <w:color w:val="auto"/>
        </w:rPr>
      </w:pPr>
      <w:r>
        <w:rPr>
          <w:rFonts w:ascii="Times New Roman" w:cs="Times New Roman" w:eastAsia="Times New Roman" w:hAnsi="Times New Roman"/>
          <w:sz w:val="18"/>
          <w:szCs w:val="18"/>
          <w:color w:val="auto"/>
        </w:rPr>
        <w:t>Property, plant and equipment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 and equipment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28,407</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Placement and evaluation units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21"/>
        </w:trPr>
        <w:tc>
          <w:tcPr>
            <w:tcW w:w="8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(69,675)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building impairment</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21"/>
        </w:trPr>
        <w:tc>
          <w:tcPr>
            <w:tcW w:w="8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35,173</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46"/>
        </w:trPr>
        <w:tc>
          <w:tcPr>
            <w:tcW w:w="8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 w:firstLine="385"/>
        <w:spacing w:after="0" w:line="254" w:lineRule="auto"/>
        <w:rPr>
          <w:sz w:val="20"/>
          <w:szCs w:val="20"/>
          <w:color w:val="auto"/>
        </w:rPr>
      </w:pPr>
      <w:r>
        <w:rPr>
          <w:rFonts w:ascii="Times New Roman" w:cs="Times New Roman" w:eastAsia="Times New Roman" w:hAnsi="Times New Roman"/>
          <w:sz w:val="18"/>
          <w:szCs w:val="18"/>
          <w:color w:val="auto"/>
        </w:rPr>
        <w:t>Depreciation expense for fiscal years 2025, 2024 and 2023 was $13.5 million, $14.7 million and $11.9 million, respectively. Depreciation expense for the year ended May 31, 2025 and 2024 includes accelerated depreciation of $3.4 million and $2.4 million, respectively, related to the plant closure announced on January 5, 2024 (see Note 19 "Acquisition, restructuring and other items, net" as set forth in the Notes to the consolidated financial statements in this Annual Report on Form 10-K). During the third quarter of fiscal year 2024, the Company received a purchase offer for the properties located at 603 Queensbury Avenue, Queensbury NY and 8 Glens Falls Tech Park, Glens Falls, NY. This resulted in an impairment charge of $3.4 million to write the buildings down to fair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172" w:lineRule="exact"/>
        <w:rPr>
          <w:sz w:val="20"/>
          <w:szCs w:val="20"/>
          <w:color w:val="auto"/>
        </w:rPr>
      </w:pPr>
    </w:p>
    <w:p>
      <w:pPr>
        <w:ind w:right="200" w:firstLine="402"/>
        <w:spacing w:after="0" w:line="278" w:lineRule="auto"/>
        <w:rPr>
          <w:sz w:val="20"/>
          <w:szCs w:val="20"/>
          <w:color w:val="auto"/>
        </w:rPr>
      </w:pPr>
      <w:r>
        <w:rPr>
          <w:rFonts w:ascii="Times New Roman" w:cs="Times New Roman" w:eastAsia="Times New Roman" w:hAnsi="Times New Roman"/>
          <w:sz w:val="17"/>
          <w:szCs w:val="17"/>
          <w:color w:val="auto"/>
        </w:rPr>
        <w:t>Intangible assets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spacing w:after="0" w:line="112"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There were no impairment charges on definite lived intangible assets for the year ended May 31, 2025. During the third quarter of fiscal year 2024, the Company made the decision to abandon the Syntrax product line. This resulted in an impairment charge of $3.3 million. The impairment charge is recorded in "Acquisition, restructuring and other items, net", on the Consolidated Statements of Operations (see Note 19 "Acquisition, restructuring and other items, net" as set forth in the Notes to the consolidated financial statements in this Annual Report on Form 10-K). There were no other impairment charges on definite lived intangible assets for the year ended May 31, 2024.</w:t>
      </w:r>
    </w:p>
    <w:p>
      <w:pPr>
        <w:spacing w:after="0" w:line="1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2025</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27"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right"/>
              <w:ind w:right="276"/>
              <w:spacing w:after="0" w:line="127"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4"/>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178,673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May 31, 2024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color w:val="auto"/>
              </w:rPr>
              <w:t>Gross carrying</w:t>
            </w: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11"/>
                <w:szCs w:val="11"/>
                <w:color w:val="auto"/>
              </w:rPr>
            </w:pPr>
          </w:p>
        </w:tc>
        <w:tc>
          <w:tcPr>
            <w:tcW w:w="1200" w:type="dxa"/>
            <w:vAlign w:val="bottom"/>
          </w:tcPr>
          <w:p>
            <w:pPr>
              <w:jc w:val="right"/>
              <w:ind w:right="276"/>
              <w:spacing w:after="0" w:line="131" w:lineRule="exact"/>
              <w:rPr>
                <w:sz w:val="20"/>
                <w:szCs w:val="20"/>
                <w:color w:val="auto"/>
              </w:rPr>
            </w:pPr>
            <w:r>
              <w:rPr>
                <w:rFonts w:ascii="Times New Roman" w:cs="Times New Roman" w:eastAsia="Times New Roman" w:hAnsi="Times New Roman"/>
                <w:sz w:val="14"/>
                <w:szCs w:val="14"/>
                <w:color w:val="auto"/>
              </w:rPr>
              <w:t>Net carrying</w:t>
            </w:r>
          </w:p>
        </w:tc>
        <w:tc>
          <w:tcPr>
            <w:tcW w:w="0" w:type="dxa"/>
            <w:vAlign w:val="bottom"/>
          </w:tcPr>
          <w:p>
            <w:pPr>
              <w:spacing w:after="0"/>
              <w:rPr>
                <w:sz w:val="1"/>
                <w:szCs w:val="1"/>
                <w:color w:val="auto"/>
              </w:rPr>
            </w:pPr>
          </w:p>
        </w:tc>
      </w:tr>
      <w:tr>
        <w:trPr>
          <w:trHeight w:val="191"/>
        </w:trPr>
        <w:tc>
          <w:tcPr>
            <w:tcW w:w="67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27"/>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technologies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73,759</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was $10.3 million, $13.0 million and $18.8 million for fiscal years 2025, 2024 and 2023, respectively.</w:t>
      </w:r>
    </w:p>
    <w:p>
      <w:pPr>
        <w:spacing w:after="0" w:line="1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future amortization expense related to the intangible assets for each of the following fiscal years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2031 and thereafter</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INCOME TAXES</w:t>
            </w: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7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components of loss before income tax benefit are as follows: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tax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(177,314)</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(45,240)</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(54,437)</w:t>
            </w:r>
          </w:p>
        </w:tc>
        <w:tc>
          <w:tcPr>
            <w:tcW w:w="0" w:type="dxa"/>
            <w:vAlign w:val="bottom"/>
          </w:tcPr>
          <w:p>
            <w:pPr>
              <w:spacing w:after="0"/>
              <w:rPr>
                <w:sz w:val="1"/>
                <w:szCs w:val="1"/>
                <w:color w:val="auto"/>
              </w:rPr>
            </w:pPr>
          </w:p>
        </w:tc>
      </w:tr>
      <w:tr>
        <w:trPr>
          <w:trHeight w:val="20"/>
        </w:trPr>
        <w:tc>
          <w:tcPr>
            <w:tcW w:w="67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Income tax benefit is comprised of the following:</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2"/>
        </w:trPr>
        <w:tc>
          <w:tcPr>
            <w:tcW w:w="67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 U.S.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221"/>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68"/>
        </w:trPr>
        <w:tc>
          <w:tcPr>
            <w:tcW w:w="67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0" w:name="page71"/>
    <w:bookmarkEnd w:id="70"/>
    <w:p>
      <w:pPr>
        <w:ind w:left="400"/>
        <w:spacing w:after="0"/>
        <w:rPr>
          <w:sz w:val="20"/>
          <w:szCs w:val="20"/>
          <w:color w:val="auto"/>
        </w:rPr>
      </w:pPr>
      <w:r>
        <w:rPr>
          <w:rFonts w:ascii="Times New Roman" w:cs="Times New Roman" w:eastAsia="Times New Roman" w:hAnsi="Times New Roman"/>
          <w:sz w:val="18"/>
          <w:szCs w:val="18"/>
          <w:color w:val="auto"/>
        </w:rPr>
        <w:t>Temporary differences that give rise to deferred tax assets and liabilities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28,243</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and state R&amp;D tax credit carryforward</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8"/>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 incurred not currently deductible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15,694</w:t>
            </w:r>
          </w:p>
        </w:tc>
      </w:tr>
      <w:tr>
        <w:trPr>
          <w:trHeight w:val="228"/>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1"/>
        </w:trPr>
        <w:tc>
          <w:tcPr>
            <w:tcW w:w="82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Gross deferred tax asset</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56,311</w:t>
            </w:r>
          </w:p>
        </w:tc>
      </w:tr>
      <w:tr>
        <w:trPr>
          <w:trHeight w:val="20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1"/>
        </w:trPr>
        <w:tc>
          <w:tcPr>
            <w:tcW w:w="8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8"/>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(52,680)</w:t>
            </w:r>
          </w:p>
        </w:tc>
      </w:tr>
      <w:tr>
        <w:trPr>
          <w:trHeight w:val="246"/>
        </w:trPr>
        <w:tc>
          <w:tcPr>
            <w:tcW w:w="82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60" w:firstLine="385"/>
        <w:spacing w:after="0" w:line="258" w:lineRule="auto"/>
        <w:rPr>
          <w:sz w:val="20"/>
          <w:szCs w:val="20"/>
          <w:color w:val="auto"/>
        </w:rPr>
      </w:pPr>
      <w:r>
        <w:rPr>
          <w:rFonts w:ascii="Times New Roman" w:cs="Times New Roman" w:eastAsia="Times New Roman" w:hAnsi="Times New Roman"/>
          <w:sz w:val="18"/>
          <w:szCs w:val="18"/>
          <w:color w:val="auto"/>
        </w:rPr>
        <w:t>The net deferred tax liability of $4.0 million as of May 31, 2025 relates to the stock acquisition of Eximo Medical Ltd. primarily related to book intangibles partially offset by tax net operating losses and capitalized R&amp;D expenditures. The net deferred tax liability of $4.9 million as of May 31, 2024 relates to the stock acquisition of Eximo Medical Ltd. primarily related to book intangibles partially offset by tax net operating losses and capitalized R&amp;D expenditures.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U.S. Federal net operating loss carryforwards as of May 31, 2025 after considering IRC Section 382 limitations are $135.6 million.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expiration of the Federal net operating loss carryforwards are as follows: $37.1 million between 2030 and 2032, and $98.5 million indefinitely.</w:t>
      </w:r>
    </w:p>
    <w:p>
      <w:pPr>
        <w:spacing w:after="0" w:line="149" w:lineRule="exact"/>
        <w:rPr>
          <w:sz w:val="20"/>
          <w:szCs w:val="20"/>
          <w:color w:val="auto"/>
        </w:rPr>
      </w:pPr>
    </w:p>
    <w:p>
      <w:pPr>
        <w:ind w:right="140" w:firstLine="385"/>
        <w:spacing w:after="0" w:line="309" w:lineRule="auto"/>
        <w:rPr>
          <w:sz w:val="20"/>
          <w:szCs w:val="20"/>
          <w:color w:val="auto"/>
        </w:rPr>
      </w:pPr>
      <w:r>
        <w:rPr>
          <w:rFonts w:ascii="Times New Roman" w:cs="Times New Roman" w:eastAsia="Times New Roman" w:hAnsi="Times New Roman"/>
          <w:sz w:val="17"/>
          <w:szCs w:val="17"/>
          <w:color w:val="auto"/>
        </w:rPr>
        <w:t>The Company's state net operating loss carryforwards as of May 31, 2025 after considering remaining IRC Section 382 limitations are $23.9 million which expire in various years from 2030 to 2043. The Company has Israel tax net operating losses of $19.2 million that can be carried forward indefinitely.</w:t>
      </w:r>
    </w:p>
    <w:p>
      <w:pPr>
        <w:spacing w:after="0" w:line="86" w:lineRule="exact"/>
        <w:rPr>
          <w:sz w:val="20"/>
          <w:szCs w:val="20"/>
          <w:color w:val="auto"/>
        </w:rPr>
      </w:pPr>
    </w:p>
    <w:p>
      <w:pPr>
        <w:ind w:right="20" w:firstLine="385"/>
        <w:spacing w:after="0" w:line="254" w:lineRule="auto"/>
        <w:rPr>
          <w:sz w:val="20"/>
          <w:szCs w:val="20"/>
          <w:color w:val="auto"/>
        </w:rPr>
      </w:pPr>
      <w:r>
        <w:rPr>
          <w:rFonts w:ascii="Times New Roman" w:cs="Times New Roman" w:eastAsia="Times New Roman" w:hAnsi="Times New Roman"/>
          <w:sz w:val="18"/>
          <w:szCs w:val="18"/>
          <w:color w:val="auto"/>
        </w:rPr>
        <w:t>Beginning in 2018, except for the Global Intangible Low-Taxed Income, the Company will no longer record United States federal income tax on its share of the income of its foreign subsidiaries, nor will it record a benefit for foreign tax credits related to that income. Upon distribution of these earnings in the form of dividends or otherwise, the Company would be subject to withholding taxes payable, where applicable, to foreign countries, but would have no further federal income tax liability. The Company intends to indefinitely reinvest the unremitted foreign earnings of all other subsidiaries as of May 31, 2025, as well as all subsequent earnings generated by all of our foreign subsidiaries. Determining the amount of unrecognized deferred tax liability related to any additional outside basis difference in these entities is not practical.</w:t>
      </w:r>
    </w:p>
    <w:p>
      <w:pPr>
        <w:spacing w:after="0" w:line="132" w:lineRule="exact"/>
        <w:rPr>
          <w:sz w:val="20"/>
          <w:szCs w:val="20"/>
          <w:color w:val="auto"/>
        </w:rPr>
      </w:pPr>
    </w:p>
    <w:p>
      <w:pPr>
        <w:ind w:right="180" w:firstLine="385"/>
        <w:spacing w:after="0" w:line="263"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w:t>
      </w:r>
    </w:p>
    <w:p>
      <w:pPr>
        <w:spacing w:after="0" w:line="123" w:lineRule="exact"/>
        <w:rPr>
          <w:sz w:val="20"/>
          <w:szCs w:val="20"/>
          <w:color w:val="auto"/>
        </w:rPr>
      </w:pPr>
    </w:p>
    <w:p>
      <w:pPr>
        <w:ind w:right="120" w:firstLine="385"/>
        <w:spacing w:after="0" w:line="255" w:lineRule="auto"/>
        <w:rPr>
          <w:sz w:val="20"/>
          <w:szCs w:val="20"/>
          <w:color w:val="auto"/>
        </w:rPr>
      </w:pPr>
      <w:r>
        <w:rPr>
          <w:rFonts w:ascii="Times New Roman" w:cs="Times New Roman" w:eastAsia="Times New Roman" w:hAnsi="Times New Roman"/>
          <w:sz w:val="18"/>
          <w:szCs w:val="18"/>
          <w:color w:val="auto"/>
        </w:rPr>
        <w:t>Based on the review of all available evidence, the Company determined that it has not yet attained a sustained level of profitability and the objectively verifiable negative evidence outweighed the positive evidence. As a result of the full impairment of Goodwill and the reversal of the naked credit deferred tax liability sourced income, the Company has recorded a full valuation allowance on its US net deferred tax assets as of May 31, 2025.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spacing w:after="0" w:line="132" w:lineRule="exact"/>
        <w:rPr>
          <w:sz w:val="20"/>
          <w:szCs w:val="20"/>
          <w:color w:val="auto"/>
        </w:rPr>
      </w:pPr>
    </w:p>
    <w:p>
      <w:pPr>
        <w:ind w:right="180" w:firstLine="385"/>
        <w:spacing w:after="0" w:line="278" w:lineRule="auto"/>
        <w:rPr>
          <w:sz w:val="20"/>
          <w:szCs w:val="20"/>
          <w:color w:val="auto"/>
        </w:rPr>
      </w:pPr>
      <w:r>
        <w:rPr>
          <w:rFonts w:ascii="Times New Roman" w:cs="Times New Roman" w:eastAsia="Times New Roman" w:hAnsi="Times New Roman"/>
          <w:sz w:val="18"/>
          <w:szCs w:val="18"/>
          <w:color w:val="auto"/>
        </w:rPr>
        <w:t>The Company's consolidated income tax expense has differed from the amount that would be provided by applying the U.S. Federal statutory income tax rate to the Company's income before income taxes for the following reasons: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at federal statutory tax rate of 21.0%, 21.0% and 21.0%, respectively</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Meals and entertainment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46"/>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amount of unrecognized tax benefits: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June 1</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gross amounts of tax positions related to prior years due to U.S. tax reform</w:t>
            </w:r>
          </w:p>
        </w:tc>
        <w:tc>
          <w:tcPr>
            <w:tcW w:w="3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due to lapse in statute of limitations</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 balance at May 31</w:t>
            </w: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00" w:firstLine="385"/>
        <w:spacing w:after="0" w:line="278" w:lineRule="auto"/>
        <w:rPr>
          <w:sz w:val="20"/>
          <w:szCs w:val="20"/>
          <w:color w:val="auto"/>
        </w:rPr>
      </w:pPr>
      <w:r>
        <w:rPr>
          <w:rFonts w:ascii="Times New Roman" w:cs="Times New Roman" w:eastAsia="Times New Roman" w:hAnsi="Times New Roman"/>
          <w:sz w:val="18"/>
          <w:szCs w:val="18"/>
          <w:color w:val="auto"/>
        </w:rPr>
        <w:t>The table above includes unrecognized tax benefits associated with the calculation of limitations placed on the utilization of tax attributes related to an acquired company.</w:t>
      </w:r>
    </w:p>
    <w:p>
      <w:pPr>
        <w:spacing w:after="0" w:line="110" w:lineRule="exact"/>
        <w:rPr>
          <w:sz w:val="20"/>
          <w:szCs w:val="20"/>
          <w:color w:val="auto"/>
        </w:rPr>
      </w:pPr>
    </w:p>
    <w:p>
      <w:pPr>
        <w:ind w:right="500" w:firstLine="385"/>
        <w:spacing w:after="0" w:line="278"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a component of income tax expense. There are no accrued interest and penalties recognized in the Consolidated Balance Sheets as of May 31, 2025 and 2024.</w:t>
      </w:r>
    </w:p>
    <w:p>
      <w:pPr>
        <w:spacing w:after="0" w:line="110" w:lineRule="exact"/>
        <w:rPr>
          <w:sz w:val="20"/>
          <w:szCs w:val="20"/>
          <w:color w:val="auto"/>
        </w:rPr>
      </w:pPr>
    </w:p>
    <w:p>
      <w:pPr>
        <w:jc w:val="both"/>
        <w:ind w:right="200" w:firstLine="385"/>
        <w:spacing w:after="0" w:line="26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various state and foreign jurisdictions. In the normal course of business the Company is subject to examination by taxing authorities throughout the world. Fiscal years 2022 through 2024 remain open to examination by the various tax authorities.</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does not anticipate that the amount of unrecognized tax benefits will significantly change in the next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related expenses</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services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franchise taxes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warranties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service agreement payable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w:t>
            </w:r>
          </w:p>
        </w:tc>
      </w:tr>
      <w:tr>
        <w:trPr>
          <w:trHeight w:val="22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41,098</w:t>
            </w:r>
          </w:p>
        </w:tc>
      </w:tr>
      <w:tr>
        <w:trPr>
          <w:trHeight w:val="20"/>
        </w:trPr>
        <w:tc>
          <w:tcPr>
            <w:tcW w:w="8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172" w:lineRule="exact"/>
        <w:rPr>
          <w:sz w:val="20"/>
          <w:szCs w:val="20"/>
          <w:color w:val="auto"/>
        </w:rPr>
      </w:pPr>
    </w:p>
    <w:p>
      <w:pPr>
        <w:ind w:right="80" w:firstLine="402"/>
        <w:spacing w:after="0" w:line="263" w:lineRule="auto"/>
        <w:rPr>
          <w:sz w:val="20"/>
          <w:szCs w:val="20"/>
          <w:color w:val="auto"/>
        </w:rPr>
      </w:pPr>
      <w:r>
        <w:rPr>
          <w:rFonts w:ascii="Times New Roman" w:cs="Times New Roman" w:eastAsia="Times New Roman" w:hAnsi="Times New Roman"/>
          <w:sz w:val="18"/>
          <w:szCs w:val="18"/>
          <w:color w:val="auto"/>
        </w:rPr>
        <w:t>On May 28, 2025, the Company entered into a new Credit Agreement (the “Credit Agreement”) with its subsidiary RITA Medical Systems, LLC (“RITA” and, together with the Company, the “Loan Parties”), the lenders party thereto and JPMorgan Chase Bank, N.A., individually and as administrative agent, issuing bank and swingline lender.</w:t>
      </w:r>
    </w:p>
    <w:p>
      <w:pPr>
        <w:spacing w:after="0" w:line="123" w:lineRule="exact"/>
        <w:rPr>
          <w:sz w:val="20"/>
          <w:szCs w:val="20"/>
          <w:color w:val="auto"/>
        </w:rPr>
      </w:pPr>
    </w:p>
    <w:p>
      <w:pPr>
        <w:ind w:right="40" w:firstLine="402"/>
        <w:spacing w:after="0" w:line="270" w:lineRule="auto"/>
        <w:rPr>
          <w:sz w:val="20"/>
          <w:szCs w:val="20"/>
          <w:color w:val="auto"/>
        </w:rPr>
      </w:pPr>
      <w:r>
        <w:rPr>
          <w:rFonts w:ascii="Times New Roman" w:cs="Times New Roman" w:eastAsia="Times New Roman" w:hAnsi="Times New Roman"/>
          <w:sz w:val="17"/>
          <w:szCs w:val="17"/>
          <w:color w:val="auto"/>
        </w:rPr>
        <w:t>The Credit Agreement provides for a $25.0 million secured revolving credit facility (the "Revolving Facility"), which is subject to a borrowing base comprised of certain working capital assets of the Company. Additionally, until such time as the Company has demonstrated a fixed charge coverage ratio greater than 1.10 to 1.00, the Revolving Facility will be further reduced by $5,000,000 (such period, the “Availability Block Period”). To the extent requested by the Company, and subject to certain customary limitations, the lenders will make revolving loan advances to the Company and the issuing bank will issue letters of credit for the account of the Company, in each case in an aggregate amount not exceeding the availability under the Revolving Facility. Issuances of letters of credit under the Revolving Facility shall further be limited by an issuance cap, which as at the closing date is set at $2,000,000. The proceeds of the Revolving Facility may be used for working capital and for general corporate needs of AngioDynamics and its subsidiaries.</w:t>
      </w:r>
    </w:p>
    <w:p>
      <w:pPr>
        <w:spacing w:after="0" w:line="121" w:lineRule="exact"/>
        <w:rPr>
          <w:sz w:val="20"/>
          <w:szCs w:val="20"/>
          <w:color w:val="auto"/>
        </w:rPr>
      </w:pPr>
    </w:p>
    <w:p>
      <w:pPr>
        <w:ind w:right="100" w:firstLine="402"/>
        <w:spacing w:after="0" w:line="255" w:lineRule="auto"/>
        <w:rPr>
          <w:sz w:val="20"/>
          <w:szCs w:val="20"/>
          <w:color w:val="auto"/>
        </w:rPr>
      </w:pPr>
      <w:r>
        <w:rPr>
          <w:rFonts w:ascii="Times New Roman" w:cs="Times New Roman" w:eastAsia="Times New Roman" w:hAnsi="Times New Roman"/>
          <w:sz w:val="18"/>
          <w:szCs w:val="18"/>
          <w:color w:val="auto"/>
        </w:rPr>
        <w:t>The Credit Agreement has a two-year maturity. Interest on the Revolving Facility will be based, at the Company's option, on a rate equal to (i) the Secured Overnight Financing Rate ("SOFR") plus 0.1% (subject to a floor of 0%) ("Adjusted Term SOFR"), or (ii) the alternate base rate (subject to a floor of 0%) ("ABR"), and in each case with a margin for Adjusted Term SOFR loans of 2.0% and for ABR loans of 1.0%. The Revolving Facility will also carry a commitment fee of 0.2% per annum on the unused portion. The Revolving Facility contains customary benchmark replacement and rate fallback provisions.</w:t>
      </w:r>
    </w:p>
    <w:p>
      <w:pPr>
        <w:spacing w:after="0" w:line="132" w:lineRule="exact"/>
        <w:rPr>
          <w:sz w:val="20"/>
          <w:szCs w:val="20"/>
          <w:color w:val="auto"/>
        </w:rPr>
      </w:pPr>
    </w:p>
    <w:p>
      <w:pPr>
        <w:jc w:val="both"/>
        <w:ind w:right="300" w:firstLine="385"/>
        <w:spacing w:after="0" w:line="286" w:lineRule="auto"/>
        <w:rPr>
          <w:sz w:val="20"/>
          <w:szCs w:val="20"/>
          <w:color w:val="auto"/>
        </w:rPr>
      </w:pPr>
      <w:r>
        <w:rPr>
          <w:rFonts w:ascii="Times New Roman" w:cs="Times New Roman" w:eastAsia="Times New Roman" w:hAnsi="Times New Roman"/>
          <w:sz w:val="17"/>
          <w:szCs w:val="17"/>
          <w:color w:val="auto"/>
        </w:rPr>
        <w:t>The Company's obligations under the Credit Agreement are unconditionally guaranteed, jointly and severally, by the Company's material direct and indirect domestic subsidiaries (the “Guarantors”). The sole Guarantor as at the closing date is RITA. All obligations of the Company and the Guarantors under the Revolving Facility are secured by first priority security interests in substantially all of the assets of the Loan Parties and the Guarantors.</w:t>
      </w:r>
    </w:p>
    <w:p>
      <w:pPr>
        <w:spacing w:after="0" w:line="105" w:lineRule="exact"/>
        <w:rPr>
          <w:sz w:val="20"/>
          <w:szCs w:val="20"/>
          <w:color w:val="auto"/>
        </w:rPr>
      </w:pPr>
    </w:p>
    <w:p>
      <w:pPr>
        <w:ind w:firstLine="385"/>
        <w:spacing w:after="0" w:line="258" w:lineRule="auto"/>
        <w:rPr>
          <w:sz w:val="20"/>
          <w:szCs w:val="20"/>
          <w:color w:val="auto"/>
        </w:rPr>
      </w:pPr>
      <w:r>
        <w:rPr>
          <w:rFonts w:ascii="Times New Roman" w:cs="Times New Roman" w:eastAsia="Times New Roman" w:hAnsi="Times New Roman"/>
          <w:sz w:val="18"/>
          <w:szCs w:val="18"/>
          <w:color w:val="auto"/>
        </w:rPr>
        <w:t>The Credit Agreement includes customary representations, warranties and covenants, and acceleration, indemnity and events of default provisions, including, among other things, a financial covenant which requires the Company to maintain, as of the end of each calendar month commencing after the end of the Availability Block Period, a fixed charge coverage ratio of EBITDA* minus unfinanced capital expenditures to consolidated interest expense paid or payable in cash plus scheduled principal payments in respect of indebtedness under the Credit Agreement of not less than 1.05 to 1.00.</w:t>
      </w:r>
    </w:p>
    <w:p>
      <w:pPr>
        <w:spacing w:after="0" w:line="128" w:lineRule="exact"/>
        <w:rPr>
          <w:sz w:val="20"/>
          <w:szCs w:val="20"/>
          <w:color w:val="auto"/>
        </w:rPr>
      </w:pPr>
    </w:p>
    <w:p>
      <w:pPr>
        <w:ind w:right="180" w:firstLine="7"/>
        <w:spacing w:after="0" w:line="278" w:lineRule="auto"/>
        <w:tabs>
          <w:tab w:leader="none" w:pos="13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total indebtedness, EBITDA, capital expenditures and interest expense are specifically defined in the Credit Agreement included as an exhibit to Form 8-K filed on May 28, 2025.</w:t>
      </w:r>
    </w:p>
    <w:p>
      <w:pPr>
        <w:spacing w:after="0" w:line="110" w:lineRule="exact"/>
        <w:rPr>
          <w:sz w:val="20"/>
          <w:szCs w:val="20"/>
          <w:color w:val="auto"/>
        </w:rPr>
      </w:pPr>
    </w:p>
    <w:p>
      <w:pPr>
        <w:ind w:right="900" w:firstLine="385"/>
        <w:spacing w:after="0" w:line="278" w:lineRule="auto"/>
        <w:rPr>
          <w:sz w:val="20"/>
          <w:szCs w:val="20"/>
          <w:color w:val="auto"/>
        </w:rPr>
      </w:pPr>
      <w:r>
        <w:rPr>
          <w:rFonts w:ascii="Times New Roman" w:cs="Times New Roman" w:eastAsia="Times New Roman" w:hAnsi="Times New Roman"/>
          <w:sz w:val="18"/>
          <w:szCs w:val="18"/>
          <w:color w:val="auto"/>
        </w:rPr>
        <w:t>As of May 31, 2025 there was no amounts outstanding on the Revolving Facility. As of May 31, 2025, the carrying value of long-term debt approximated its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12. RETIREMENT PLANS</w:t>
      </w:r>
    </w:p>
    <w:p>
      <w:pPr>
        <w:spacing w:after="0" w:line="172" w:lineRule="exact"/>
        <w:rPr>
          <w:sz w:val="20"/>
          <w:szCs w:val="20"/>
          <w:color w:val="auto"/>
        </w:rPr>
      </w:pPr>
    </w:p>
    <w:p>
      <w:pPr>
        <w:ind w:right="120" w:firstLine="385"/>
        <w:spacing w:after="0" w:line="263" w:lineRule="auto"/>
        <w:rPr>
          <w:sz w:val="20"/>
          <w:szCs w:val="20"/>
          <w:color w:val="auto"/>
        </w:rPr>
      </w:pPr>
      <w:r>
        <w:rPr>
          <w:rFonts w:ascii="Times New Roman" w:cs="Times New Roman" w:eastAsia="Times New Roman" w:hAnsi="Times New Roman"/>
          <w:sz w:val="18"/>
          <w:szCs w:val="18"/>
          <w:color w:val="auto"/>
        </w:rPr>
        <w:t>The Company has a 401(k) plan under which eligible employees can defer a portion of their compensation, part of which is matched by the Company. Matching contributions were $4.5 million, $4.6 million and $4.2 million in 2025, 2024 and 2023, respectively. There are also various immaterial foreign retirement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STOCKHOLDERS’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w:t>
      </w:r>
    </w:p>
    <w:p>
      <w:pPr>
        <w:spacing w:after="0" w:line="172"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On October 29, 2014, the Board of Directors approved the Amended and Restated Certificate of Incorporation (the “Amended Certificate”). Under the Amended Certificate, the authorized capital stock is 80,000,000 shares, consisting of 75,000,000 shares of common stock, par value $.01 per share and 5,000,000 shares of preferred stock, par value $.01 per share.</w:t>
      </w:r>
    </w:p>
    <w:p>
      <w:pPr>
        <w:spacing w:after="0" w:line="123" w:lineRule="exact"/>
        <w:rPr>
          <w:sz w:val="20"/>
          <w:szCs w:val="20"/>
          <w:color w:val="auto"/>
        </w:rPr>
      </w:pPr>
    </w:p>
    <w:p>
      <w:pPr>
        <w:ind w:right="280" w:firstLine="385"/>
        <w:spacing w:after="0" w:line="253"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Subject to preferences applicable to any outstanding shares of preferred stock, the holders of common stock are entitled to receive ratably dividends, if any, as may be declared by the Board of Directors out of funds legally available for dividend payments. If the Company liquidates, dissolves, or winds up, the holders of common stock are entitled to share ratably in all assets remaining after payment of liabilities and liquidation preferences of any outstanding shares of preferred stock. Holders of common stock have no pre-emptive rights or rights to convert their common stock into any other securities. There are no redemption or sinking fund provisions applicable to the common stock. The rights, preferences and privileges of the holders of common stock are subject to, and may be adversely affected by, the rights of the holders of shares of any series of preferred stock that the Company may designate in the future.</w:t>
      </w:r>
    </w:p>
    <w:p>
      <w:pPr>
        <w:spacing w:after="0" w:line="133" w:lineRule="exact"/>
        <w:rPr>
          <w:sz w:val="20"/>
          <w:szCs w:val="20"/>
          <w:color w:val="auto"/>
        </w:rPr>
      </w:pPr>
    </w:p>
    <w:p>
      <w:pPr>
        <w:jc w:val="both"/>
        <w:ind w:right="120" w:firstLine="385"/>
        <w:spacing w:after="0" w:line="263" w:lineRule="auto"/>
        <w:rPr>
          <w:sz w:val="20"/>
          <w:szCs w:val="20"/>
          <w:color w:val="auto"/>
        </w:rPr>
      </w:pPr>
      <w:r>
        <w:rPr>
          <w:rFonts w:ascii="Times New Roman" w:cs="Times New Roman" w:eastAsia="Times New Roman" w:hAnsi="Times New Roman"/>
          <w:sz w:val="18"/>
          <w:szCs w:val="18"/>
          <w:color w:val="auto"/>
        </w:rPr>
        <w:t>The Board of Directors has the authority to (i) issue the undesignated preferred stock in one or more series, (ii) determine the powers, preferences and rights and the qualifications, limitations or restrictions granted to or imposed upon any wholly un-issued series of undesignated preferred stock and (iii) fix the number of shares constituting any series and the designation of the series, without any further vote or action by the Company's stockholders.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2"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and November 14, 2023, the Company’s shareholders approved amendments to the 2020 Plan to increase the reserve of shares of common stock available for grants by</w:t>
      </w:r>
    </w:p>
    <w:p>
      <w:pPr>
        <w:spacing w:after="0" w:line="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1.95 million shares and 1.5 million shares, respectively. On November 12, 2024, the Company's shareholders approved an additional amendment to the 2020 Plan to increase the reserve of shares of common stock available for future grants by 3.2 million shares. As of May 31, 2025, there remained approximately 4.0 million shares of common stock available for future grant under the 2020 Plan.</w:t>
      </w:r>
    </w:p>
    <w:p>
      <w:pPr>
        <w:spacing w:after="0" w:line="123" w:lineRule="exact"/>
        <w:rPr>
          <w:sz w:val="20"/>
          <w:szCs w:val="20"/>
          <w:color w:val="auto"/>
        </w:rPr>
      </w:pPr>
    </w:p>
    <w:p>
      <w:pPr>
        <w:ind w:right="160" w:firstLine="402"/>
        <w:spacing w:after="0" w:line="263" w:lineRule="auto"/>
        <w:rPr>
          <w:sz w:val="20"/>
          <w:szCs w:val="20"/>
          <w:color w:val="auto"/>
        </w:rPr>
      </w:pPr>
      <w:r>
        <w:rPr>
          <w:rFonts w:ascii="Times New Roman" w:cs="Times New Roman" w:eastAsia="Times New Roman" w:hAnsi="Times New Roman"/>
          <w:sz w:val="18"/>
          <w:szCs w:val="18"/>
          <w:color w:val="auto"/>
        </w:rPr>
        <w:t>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41" w:right="359" w:bottom="1440" w:gutter="0" w:footer="0" w:header="0"/>
        </w:sectPr>
      </w:pPr>
    </w:p>
    <w:bookmarkStart w:id="74" w:name="page75"/>
    <w:bookmarkEnd w:id="74"/>
    <w:p>
      <w:pPr>
        <w:ind w:left="40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 activity for the fiscal year ended May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color w:val="auto"/>
              </w:rPr>
              <w:t>Weighted average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Weighted average</w:t>
            </w:r>
          </w:p>
        </w:tc>
        <w:tc>
          <w:tcPr>
            <w:tcW w:w="140" w:type="dxa"/>
            <w:vAlign w:val="bottom"/>
          </w:tcPr>
          <w:p>
            <w:pPr>
              <w:spacing w:after="0"/>
              <w:rPr>
                <w:sz w:val="13"/>
                <w:szCs w:val="13"/>
                <w:color w:val="auto"/>
              </w:rPr>
            </w:pPr>
          </w:p>
        </w:tc>
        <w:tc>
          <w:tcPr>
            <w:tcW w:w="1300" w:type="dxa"/>
            <w:vAlign w:val="bottom"/>
            <w:vMerge w:val="restart"/>
          </w:tcPr>
          <w:p>
            <w:pPr>
              <w:jc w:val="right"/>
              <w:ind w:right="78"/>
              <w:spacing w:after="0"/>
              <w:rPr>
                <w:sz w:val="20"/>
                <w:szCs w:val="20"/>
                <w:color w:val="auto"/>
              </w:rPr>
            </w:pPr>
            <w:r>
              <w:rPr>
                <w:rFonts w:ascii="Times New Roman" w:cs="Times New Roman" w:eastAsia="Times New Roman" w:hAnsi="Times New Roman"/>
                <w:sz w:val="14"/>
                <w:szCs w:val="14"/>
                <w:color w:val="auto"/>
              </w:rPr>
              <w:t>Aggregate intrinsic</w:t>
            </w: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144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color w:val="auto"/>
              </w:rPr>
              <w:t>remaining contractual</w:t>
            </w:r>
          </w:p>
        </w:tc>
        <w:tc>
          <w:tcPr>
            <w:tcW w:w="14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exercise 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life</w:t>
            </w:r>
          </w:p>
        </w:tc>
        <w:tc>
          <w:tcPr>
            <w:tcW w:w="140" w:type="dxa"/>
            <w:vAlign w:val="bottom"/>
          </w:tcPr>
          <w:p>
            <w:pPr>
              <w:spacing w:after="0"/>
              <w:rPr>
                <w:sz w:val="16"/>
                <w:szCs w:val="16"/>
                <w:color w:val="auto"/>
              </w:rPr>
            </w:pPr>
          </w:p>
        </w:tc>
        <w:tc>
          <w:tcPr>
            <w:tcW w:w="1300" w:type="dxa"/>
            <w:vAlign w:val="bottom"/>
          </w:tcPr>
          <w:p>
            <w:pPr>
              <w:jc w:val="right"/>
              <w:ind w:right="58"/>
              <w:spacing w:after="0"/>
              <w:rPr>
                <w:sz w:val="20"/>
                <w:szCs w:val="20"/>
                <w:color w:val="auto"/>
              </w:rPr>
            </w:pPr>
            <w:r>
              <w:rPr>
                <w:rFonts w:ascii="Times New Roman" w:cs="Times New Roman" w:eastAsia="Times New Roman" w:hAnsi="Times New Roman"/>
                <w:sz w:val="14"/>
                <w:szCs w:val="14"/>
                <w:color w:val="auto"/>
              </w:rPr>
              <w:t>value (in thousands)</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beginning of year - June 1, 2024</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2,162,983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year - May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2,535,502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Options exercisable at year-end</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line="20" w:lineRule="exact"/>
              <w:rPr>
                <w:sz w:val="1"/>
                <w:szCs w:val="1"/>
                <w:color w:val="auto"/>
              </w:rPr>
            </w:pPr>
          </w:p>
        </w:tc>
      </w:tr>
      <w:tr>
        <w:trPr>
          <w:trHeight w:val="201"/>
        </w:trPr>
        <w:tc>
          <w:tcPr>
            <w:tcW w:w="5200" w:type="dxa"/>
            <w:vAlign w:val="bottom"/>
            <w:vMerge w:val="continue"/>
          </w:tcPr>
          <w:p>
            <w:pPr>
              <w:spacing w:after="0"/>
              <w:rPr>
                <w:sz w:val="17"/>
                <w:szCs w:val="17"/>
                <w:color w:val="auto"/>
              </w:rPr>
            </w:pPr>
          </w:p>
        </w:tc>
        <w:tc>
          <w:tcPr>
            <w:tcW w:w="14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1,502,837</w:t>
            </w:r>
          </w:p>
        </w:tc>
        <w:tc>
          <w:tcPr>
            <w:tcW w:w="26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expected to vest in future periods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1,032,665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Stock options are granted at exercise prices equal to the quoted market price of common stock at the date of the grant. Options vest 25% per year over four years for employees. Stock options granted prior to May 1, 2007 and after June 1, 2017 expire on the tenth anniversary of the grant date.</w:t>
      </w:r>
    </w:p>
    <w:p>
      <w:pPr>
        <w:spacing w:after="0" w:line="110" w:lineRule="exact"/>
        <w:rPr>
          <w:sz w:val="20"/>
          <w:szCs w:val="20"/>
          <w:color w:val="auto"/>
        </w:rPr>
      </w:pPr>
    </w:p>
    <w:p>
      <w:pPr>
        <w:ind w:right="20" w:firstLine="385"/>
        <w:spacing w:after="0" w:line="253" w:lineRule="auto"/>
        <w:rPr>
          <w:sz w:val="20"/>
          <w:szCs w:val="20"/>
          <w:color w:val="auto"/>
        </w:rPr>
      </w:pPr>
      <w:r>
        <w:rPr>
          <w:rFonts w:ascii="Times New Roman" w:cs="Times New Roman" w:eastAsia="Times New Roman" w:hAnsi="Times New Roman"/>
          <w:sz w:val="18"/>
          <w:szCs w:val="18"/>
          <w:color w:val="auto"/>
        </w:rPr>
        <w:t>The Company measures the fair value of each stock option grant at the date of grant using a Black-Scholes option pricing model. The weighted average grant-date fair value of options granted during the years ended May 31, 2025, 2024 and 2023 was $3.75, $4.30, and $9.27, respectively. The following assumptions were used in arriving at the fair value of options granted during 2025, 2024 and 2023, respectively: risk-free interest rates of 4.06%, 3.96% and 3.20%; expected volatility of 52%, 49%, and 44%; and expected lives of 5.36 years, 5.23 years, and 5.14 years. The Company does not declare dividends therefore a dividend yield of zero was used for the years ended May 31, 2025, 2024 and 2023. Risk-free interest rates reflect the yield on zero-coupon U.S. Treasury bonds whose maturity period equals the expected term of the option. Expected volatilities are based on the historical volatility of the Company's stock. The expected option lives are based on historical experience of employee exercise behavior.</w:t>
      </w:r>
    </w:p>
    <w:p>
      <w:pPr>
        <w:spacing w:after="0" w:line="133" w:lineRule="exact"/>
        <w:rPr>
          <w:sz w:val="20"/>
          <w:szCs w:val="20"/>
          <w:color w:val="auto"/>
        </w:rPr>
      </w:pPr>
    </w:p>
    <w:p>
      <w:pPr>
        <w:ind w:right="80" w:firstLine="385"/>
        <w:spacing w:after="0" w:line="263"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May 31, 2025 and 2023 was $0.1 million and $0.2 million, respectively. There were no options exercised during the year ended May 31, 2024. As of May 31, 2025, there was $3.2 million of total unrecognized compensation cost related to non-vested options, which is expected to be recognized over a weighted average period of 2 years.</w:t>
      </w:r>
    </w:p>
    <w:p>
      <w:pPr>
        <w:spacing w:after="0" w:line="123" w:lineRule="exact"/>
        <w:rPr>
          <w:sz w:val="20"/>
          <w:szCs w:val="20"/>
          <w:color w:val="auto"/>
        </w:rPr>
      </w:pPr>
    </w:p>
    <w:p>
      <w:pPr>
        <w:ind w:right="60" w:firstLine="385"/>
        <w:spacing w:after="0" w:line="263" w:lineRule="auto"/>
        <w:rPr>
          <w:sz w:val="20"/>
          <w:szCs w:val="20"/>
          <w:color w:val="auto"/>
        </w:rPr>
      </w:pPr>
      <w:r>
        <w:rPr>
          <w:rFonts w:ascii="Times New Roman" w:cs="Times New Roman" w:eastAsia="Times New Roman" w:hAnsi="Times New Roman"/>
          <w:sz w:val="18"/>
          <w:szCs w:val="18"/>
          <w:color w:val="auto"/>
        </w:rPr>
        <w:t>Cash received from option exercises during 2025 and 2023 was $0.2 million and $0.3 million, respectively. There were no options exercised during the year ended May 31, 2024. Due to the valuation allowance there was no tax benefit realized from stock option exercises during the years ended May 31, 2025, 2024 and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and Performance Share Awards</w:t>
      </w:r>
    </w:p>
    <w:p>
      <w:pPr>
        <w:spacing w:after="0" w:line="172" w:lineRule="exact"/>
        <w:rPr>
          <w:sz w:val="20"/>
          <w:szCs w:val="20"/>
          <w:color w:val="auto"/>
        </w:rPr>
      </w:pPr>
    </w:p>
    <w:p>
      <w:pPr>
        <w:ind w:right="20" w:firstLine="385"/>
        <w:spacing w:after="0" w:line="255" w:lineRule="auto"/>
        <w:rPr>
          <w:sz w:val="20"/>
          <w:szCs w:val="20"/>
          <w:color w:val="auto"/>
        </w:rPr>
      </w:pPr>
      <w:r>
        <w:rPr>
          <w:rFonts w:ascii="Times New Roman" w:cs="Times New Roman" w:eastAsia="Times New Roman" w:hAnsi="Times New Roman"/>
          <w:sz w:val="18"/>
          <w:szCs w:val="18"/>
          <w:color w:val="auto"/>
        </w:rPr>
        <w:t>The Company grants restricted stock units to certain employees under the 2020 Plan, and historically under the 2004 Plan, which give the recipients the right to receive shares of Company stock upon vesting. The restricted stock unit awards vest in four equal annual installments beginning on the first anniversary of the grant date. In July 2023, the Board of Directors approved a change in terms of restricted stock units granted to non-employee directors to provide for immediate vesting upon grant of the award. Unvested restricted stock unit awards will be forfeited if the recipient ceases to be employed by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restricted stock unit activity for the year ended May 31, 2025: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Restricted Stock Units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91"/>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c>
          <w:tcPr>
            <w:tcW w:w="0" w:type="dxa"/>
            <w:vAlign w:val="bottom"/>
          </w:tcPr>
          <w:p>
            <w:pPr>
              <w:spacing w:after="0"/>
              <w:rPr>
                <w:sz w:val="1"/>
                <w:szCs w:val="1"/>
                <w:color w:val="auto"/>
              </w:rPr>
            </w:pPr>
          </w:p>
        </w:tc>
      </w:tr>
      <w:tr>
        <w:trPr>
          <w:trHeight w:val="227"/>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(126,372)</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1,508,239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00" w:firstLine="385"/>
        <w:spacing w:after="0" w:line="255" w:lineRule="auto"/>
        <w:rPr>
          <w:sz w:val="20"/>
          <w:szCs w:val="20"/>
          <w:color w:val="auto"/>
        </w:rPr>
      </w:pPr>
      <w:r>
        <w:rPr>
          <w:rFonts w:ascii="Times New Roman" w:cs="Times New Roman" w:eastAsia="Times New Roman" w:hAnsi="Times New Roman"/>
          <w:sz w:val="18"/>
          <w:szCs w:val="18"/>
          <w:color w:val="auto"/>
        </w:rPr>
        <w:t>The fair value of each restricted stock unit is the market price of Company stock on the date of grant. The weighted average grant date fair value of restricted stock units granted during the years ended May 31, 2025, 2024 and 2023 was $7.47, $8.74 and $19.99, respectively. The total intrinsic value of restricted stock units (meaning the fair value of the units on the date of vest) vesting during the years ended May 31, 2025, 2024 and 2023 was $3.7 million, $4.2 million, and $5.6 million, respectively. As of May 31, 2025, there was $9.5 million of total unrecognized compensation cost related to non-vested restricted stock awards, which is expected to be recognized over a weighted average period of 3 years.</w:t>
      </w:r>
    </w:p>
    <w:p>
      <w:pPr>
        <w:spacing w:after="0" w:line="132" w:lineRule="exact"/>
        <w:rPr>
          <w:sz w:val="20"/>
          <w:szCs w:val="20"/>
          <w:color w:val="auto"/>
        </w:rPr>
      </w:pPr>
    </w:p>
    <w:p>
      <w:pPr>
        <w:ind w:right="560" w:firstLine="385"/>
        <w:spacing w:after="0" w:line="278" w:lineRule="auto"/>
        <w:rPr>
          <w:sz w:val="20"/>
          <w:szCs w:val="20"/>
          <w:color w:val="auto"/>
        </w:rPr>
      </w:pPr>
      <w:r>
        <w:rPr>
          <w:rFonts w:ascii="Times New Roman" w:cs="Times New Roman" w:eastAsia="Times New Roman" w:hAnsi="Times New Roman"/>
          <w:sz w:val="18"/>
          <w:szCs w:val="18"/>
          <w:color w:val="auto"/>
        </w:rPr>
        <w:t>The Company grants performance share awards to certain employees under the 2020 Plan, and historically under the 2004 Plan, which gives the recipients the right to receive shares of Company stock if certain criteria is met.</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information about performance unit award activity for the year ended May 31,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4"/>
                <w:szCs w:val="14"/>
                <w:color w:val="auto"/>
              </w:rPr>
              <w:t>Performance Unit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Weighted Average</w:t>
            </w:r>
          </w:p>
        </w:tc>
      </w:tr>
      <w:tr>
        <w:trPr>
          <w:trHeight w:val="194"/>
        </w:trPr>
        <w:tc>
          <w:tcPr>
            <w:tcW w:w="82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Awards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Grant-Date Fair Value</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beginning of year, June 1,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28"/>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513,594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8"/>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20.81</w:t>
            </w:r>
          </w:p>
        </w:tc>
      </w:tr>
      <w:tr>
        <w:trPr>
          <w:trHeight w:val="24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end of year, May 31,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1,077,332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right="120" w:firstLine="385"/>
        <w:spacing w:after="0" w:line="258" w:lineRule="auto"/>
        <w:rPr>
          <w:sz w:val="20"/>
          <w:szCs w:val="20"/>
          <w:color w:val="auto"/>
        </w:rPr>
      </w:pPr>
      <w:r>
        <w:rPr>
          <w:rFonts w:ascii="Times New Roman" w:cs="Times New Roman" w:eastAsia="Times New Roman" w:hAnsi="Times New Roman"/>
          <w:sz w:val="18"/>
          <w:szCs w:val="18"/>
          <w:color w:val="auto"/>
        </w:rPr>
        <w:t>During fiscal years 2025, 2024 and 2023, the Company granted performance unit awards. Performance unit awards subject to vesting are based on the Company's level of attainment of the performance targets which are set for each of the three performance years along with continued employment of the grantee. At the end of the three year period, the vested shares are subject to modification based on the Company’s TSR targets relative to the percentage appreciation of a specified index of companies for the respective three-year period.</w:t>
      </w:r>
    </w:p>
    <w:p>
      <w:pPr>
        <w:spacing w:after="0" w:line="128" w:lineRule="exact"/>
        <w:rPr>
          <w:sz w:val="20"/>
          <w:szCs w:val="20"/>
          <w:color w:val="auto"/>
        </w:rPr>
      </w:pPr>
    </w:p>
    <w:p>
      <w:pPr>
        <w:ind w:right="240" w:firstLine="385"/>
        <w:spacing w:after="0" w:line="258" w:lineRule="auto"/>
        <w:rPr>
          <w:sz w:val="20"/>
          <w:szCs w:val="20"/>
          <w:color w:val="auto"/>
        </w:rPr>
      </w:pPr>
      <w:r>
        <w:rPr>
          <w:rFonts w:ascii="Times New Roman" w:cs="Times New Roman" w:eastAsia="Times New Roman" w:hAnsi="Times New Roman"/>
          <w:sz w:val="18"/>
          <w:szCs w:val="18"/>
          <w:color w:val="auto"/>
        </w:rPr>
        <w:t>In order to estimate the fair value of such awards, a Monte Carlo Simulation valuation model on the date of the grant was used. For the years ended May 31, 2025, 2024 and 2023, the weighted average grant date fair market value for new grants was $8.29, $9.53 and $23.71, respectively. Compensation cost is recognized over the performance period which is typically three years. As of May 31, 2025, there was $1.6 million of unrecognized compensation cost which is expected to be recognized over a weighted average period of 1 year.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represents the break out of stock-based compensation included in the Company's Consolidated Statement of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68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28"/>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0" w:type="dxa"/>
            <w:vAlign w:val="bottom"/>
          </w:tcPr>
          <w:p>
            <w:pPr>
              <w:spacing w:after="0"/>
              <w:rPr>
                <w:sz w:val="1"/>
                <w:szCs w:val="1"/>
                <w:color w:val="auto"/>
              </w:rPr>
            </w:pPr>
          </w:p>
        </w:tc>
      </w:tr>
      <w:tr>
        <w:trPr>
          <w:trHeight w:val="22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6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6" w:name="page77"/>
    <w:bookmarkEnd w:id="76"/>
    <w:p>
      <w:pPr>
        <w:ind w:right="320" w:firstLine="385"/>
        <w:spacing w:after="0" w:line="263" w:lineRule="auto"/>
        <w:rPr>
          <w:sz w:val="20"/>
          <w:szCs w:val="20"/>
          <w:color w:val="auto"/>
        </w:rPr>
      </w:pPr>
      <w:r>
        <w:rPr>
          <w:rFonts w:ascii="Times New Roman" w:cs="Times New Roman" w:eastAsia="Times New Roman" w:hAnsi="Times New Roman"/>
          <w:sz w:val="18"/>
          <w:szCs w:val="18"/>
          <w:color w:val="auto"/>
        </w:rPr>
        <w:t>The income tax benefit on the compensation expense recognized for all stock-based compensation arrangements was $2.2 million, $2.4 million and $2.6 million for the years ended May 31, 2025, 2024 and 2023, respectively. The income tax benefit for 2025, 2024 and 2023 are negated by the full valuation allowance recorded against the deferred tax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2" w:lineRule="exact"/>
        <w:rPr>
          <w:sz w:val="20"/>
          <w:szCs w:val="20"/>
          <w:color w:val="auto"/>
        </w:rPr>
      </w:pPr>
    </w:p>
    <w:p>
      <w:pPr>
        <w:ind w:firstLine="385"/>
        <w:spacing w:after="0" w:line="251" w:lineRule="auto"/>
        <w:rPr>
          <w:sz w:val="20"/>
          <w:szCs w:val="20"/>
          <w:color w:val="auto"/>
        </w:rPr>
      </w:pPr>
      <w:r>
        <w:rPr>
          <w:rFonts w:ascii="Times New Roman" w:cs="Times New Roman" w:eastAsia="Times New Roman" w:hAnsi="Times New Roman"/>
          <w:sz w:val="18"/>
          <w:szCs w:val="18"/>
          <w:color w:val="auto"/>
        </w:rPr>
        <w:t>The Employee Stock Purchase Plan (the “Stock Purchase Plan”) provides a means by which employees (the “participants”) are given an opportunity to purchase the Company's common stock through payroll deductions. A total of 5,000,000 shares of common stock have been reserved for issuance under the Stock Purchase Plan. Shares are offered through two purchase periods, each with duration of approximately 6 months, commencing on the first business day of the first and third fiscal quarters. An employee is eligible to participate in an offering period if, on the first day of an offering period, he or she has been employed in a full-time capacity for at least six months, with a customary working schedule of 20 or more hours per week and more than five months in a calendar year. Employees who own stock possessing 5% or more of the total combined voting power or value of all classes of stock are not eligible to participate in the Stock Purchase Plan. The purchase price of the shares of common stock acquired on each purchase date will be the lower of (i) 85% of the fair market value of a share of common stock on the first day of the offering period or (ii) 85% of the fair market value of a share of common stock on the last day of the purchase period, subject to adjustments made by the Board of Directors. The Stock Purchase Plan is intended to qualify as an “employee stock purchase plan” within the meaning of Section 423 of the Internal Revenue Code. On November 3, 2022 the Company's shareholders approved an amendment to the employee stock purchase plan to increase the reserve of shares of common stock available for future grants by 1,000,000 shares.</w:t>
      </w:r>
    </w:p>
    <w:p>
      <w:pPr>
        <w:spacing w:after="0" w:line="136" w:lineRule="exact"/>
        <w:rPr>
          <w:sz w:val="20"/>
          <w:szCs w:val="20"/>
          <w:color w:val="auto"/>
        </w:rPr>
      </w:pPr>
    </w:p>
    <w:p>
      <w:pPr>
        <w:ind w:right="60" w:firstLine="385"/>
        <w:spacing w:after="0" w:line="258" w:lineRule="auto"/>
        <w:rPr>
          <w:sz w:val="20"/>
          <w:szCs w:val="20"/>
          <w:color w:val="auto"/>
        </w:rPr>
      </w:pPr>
      <w:r>
        <w:rPr>
          <w:rFonts w:ascii="Times New Roman" w:cs="Times New Roman" w:eastAsia="Times New Roman" w:hAnsi="Times New Roman"/>
          <w:sz w:val="18"/>
          <w:szCs w:val="18"/>
          <w:color w:val="auto"/>
        </w:rPr>
        <w:t>The Company uses the Black-Scholes option-pricing model to calculate the purchase date fair value of the shares issued under the Stock Purchase Plan and recognize expense related to shares purchased ratably over the offering period. During the years ended May 31, 2025, 2024 and 2023, 256,024, 282,237 and 149,778 shares, respectively, were issued at an average price of $5.31, $5.68 and $13.67, respectively, under the Stock Purchase Plan. As of May 31, 2025, 2.6 million shares remained available for future purchases under the Stock Purchase Plan.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172" w:lineRule="exact"/>
        <w:rPr>
          <w:sz w:val="20"/>
          <w:szCs w:val="20"/>
          <w:color w:val="auto"/>
        </w:rPr>
      </w:pPr>
    </w:p>
    <w:p>
      <w:pPr>
        <w:ind w:right="40" w:firstLine="402"/>
        <w:spacing w:after="0" w:line="254" w:lineRule="auto"/>
        <w:rPr>
          <w:sz w:val="20"/>
          <w:szCs w:val="20"/>
          <w:color w:val="auto"/>
        </w:rPr>
      </w:pPr>
      <w:r>
        <w:rPr>
          <w:rFonts w:ascii="Times New Roman" w:cs="Times New Roman" w:eastAsia="Times New Roman" w:hAnsi="Times New Roman"/>
          <w:sz w:val="18"/>
          <w:szCs w:val="18"/>
          <w:color w:val="auto"/>
        </w:rPr>
        <w:t>On July 16, 2024, the Board of Directors approved a share repurchase program (the "Repurchase Program") under which they authorized the Company the option to repurchase up to $15.0 million of its outstanding common stock. The timing and amount of any share repurchases under the authorization will be determined by management within certain parameters and based on market conditions and other considerations. During the year ended May 31, 2025, the Company repurchased 243,847 shares of common stock in the open market at an aggregate cost of $1.7 million under the Repurchase Program. There were no share repurchases during the year ended May 31, 2024. As of May 31, 2025, $13.3 million remained available for repurchase under the Repurchase Program.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72" w:lineRule="exact"/>
        <w:rPr>
          <w:sz w:val="20"/>
          <w:szCs w:val="20"/>
          <w:color w:val="auto"/>
        </w:rPr>
      </w:pPr>
    </w:p>
    <w:p>
      <w:pPr>
        <w:jc w:val="both"/>
        <w:ind w:right="80" w:firstLine="385"/>
        <w:spacing w:after="0" w:line="258" w:lineRule="auto"/>
        <w:rPr>
          <w:sz w:val="20"/>
          <w:szCs w:val="20"/>
          <w:color w:val="auto"/>
        </w:rPr>
      </w:pPr>
      <w:r>
        <w:rPr>
          <w:rFonts w:ascii="Times New Roman" w:cs="Times New Roman" w:eastAsia="Times New Roman" w:hAnsi="Times New Roman"/>
          <w:sz w:val="18"/>
          <w:szCs w:val="18"/>
          <w:color w:val="auto"/>
        </w:rPr>
        <w:t>Basic earnings per share are based on the weighted average number of common shares outstanding. In addition, diluted earnings per share include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basic loss per share as the impact would be anti-dilutive.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reconciles basic to diluted weighted average shares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Year ended May 31,</w:t>
            </w:r>
          </w:p>
        </w:tc>
        <w:tc>
          <w:tcPr>
            <w:tcW w:w="1440" w:type="dxa"/>
            <w:vAlign w:val="bottom"/>
          </w:tcPr>
          <w:p>
            <w:pPr>
              <w:spacing w:after="0"/>
              <w:rPr>
                <w:sz w:val="16"/>
                <w:szCs w:val="16"/>
                <w:color w:val="auto"/>
              </w:rPr>
            </w:pPr>
          </w:p>
        </w:tc>
      </w:tr>
      <w:tr>
        <w:trPr>
          <w:trHeight w:val="25"/>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8"/>
        </w:trPr>
        <w:tc>
          <w:tcPr>
            <w:tcW w:w="6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40,852,564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40,180,925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39,480,367</w:t>
            </w:r>
          </w:p>
        </w:tc>
      </w:tr>
      <w:tr>
        <w:trPr>
          <w:trHeight w:val="228"/>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40,852,564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40,180,925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39,480,367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3"/>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excluded as their inclusion would be anti-dilutive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5,121,073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3,973,382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3,491,099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172" w:lineRule="exact"/>
        <w:rPr>
          <w:sz w:val="20"/>
          <w:szCs w:val="20"/>
          <w:color w:val="auto"/>
        </w:rPr>
      </w:pPr>
    </w:p>
    <w:p>
      <w:pPr>
        <w:jc w:val="both"/>
        <w:ind w:firstLine="385"/>
        <w:spacing w:after="0" w:line="278"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The Company has operating leases for buildings, primarily for office space, R&amp;D and warehousing. The Company has financing arrangements for manufacturing and distribution.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w:t>
      </w:r>
    </w:p>
    <w:p>
      <w:pPr>
        <w:spacing w:after="0" w:line="172" w:lineRule="exact"/>
        <w:rPr>
          <w:sz w:val="20"/>
          <w:szCs w:val="20"/>
          <w:color w:val="auto"/>
        </w:rPr>
      </w:pPr>
    </w:p>
    <w:p>
      <w:pPr>
        <w:ind w:right="100" w:firstLine="402"/>
        <w:spacing w:after="0" w:line="258" w:lineRule="auto"/>
        <w:rPr>
          <w:sz w:val="20"/>
          <w:szCs w:val="20"/>
          <w:color w:val="auto"/>
        </w:rPr>
      </w:pPr>
      <w:r>
        <w:rPr>
          <w:rFonts w:ascii="Times New Roman" w:cs="Times New Roman" w:eastAsia="Times New Roman" w:hAnsi="Times New Roman"/>
          <w:sz w:val="18"/>
          <w:szCs w:val="18"/>
          <w:color w:val="auto"/>
        </w:rPr>
        <w:t>On December 24, 2024, the Company entered into an agreement to sell the manufacturing facilities in Queensbury, NY and Glens Falls, NY for a purchase price of $5.5 million and $1.2 million, respectively, and net proceeds of $5.2 million and $1.1 million, respectively. The Company simultaneously entered into lease agreements with future lease payments of $4.6 million over seven years for the Queensbury, NY facility and $0.4 million over three years for the Glens Falls, NY facility.</w:t>
      </w:r>
    </w:p>
    <w:p>
      <w:pPr>
        <w:spacing w:after="0" w:line="128" w:lineRule="exact"/>
        <w:rPr>
          <w:sz w:val="20"/>
          <w:szCs w:val="20"/>
          <w:color w:val="auto"/>
        </w:rPr>
      </w:pPr>
    </w:p>
    <w:p>
      <w:pPr>
        <w:ind w:right="60" w:firstLine="402"/>
        <w:spacing w:after="0" w:line="255" w:lineRule="auto"/>
        <w:rPr>
          <w:sz w:val="20"/>
          <w:szCs w:val="20"/>
          <w:color w:val="auto"/>
        </w:rPr>
      </w:pPr>
      <w:r>
        <w:rPr>
          <w:rFonts w:ascii="Times New Roman" w:cs="Times New Roman" w:eastAsia="Times New Roman" w:hAnsi="Times New Roman"/>
          <w:sz w:val="18"/>
          <w:szCs w:val="18"/>
          <w:color w:val="auto"/>
        </w:rPr>
        <w:t>Based on certain criteria, the transaction was accounted for as a financing arrangement, as it did not meet the criteria for a sale-leaseback. As a result, the assets remain in "Property, plant and equipment, net" on the Consolidated Balance Sheets at their historical book value and are depreciated over the term of the lease agreements. A financing arrangement was recorded in the amount of the net proceeds received. The Company will recognize monthly rent as a reduction of the finance arrangement and interest expense, using the effective interest rate method. No gain or loss was recognized related to the financing arrangement for the twelve months ended May 31, 2025.</w:t>
      </w:r>
    </w:p>
    <w:p>
      <w:pPr>
        <w:spacing w:after="0" w:line="132" w:lineRule="exact"/>
        <w:rPr>
          <w:sz w:val="20"/>
          <w:szCs w:val="20"/>
          <w:color w:val="auto"/>
        </w:rPr>
      </w:pPr>
    </w:p>
    <w:p>
      <w:pPr>
        <w:ind w:right="20" w:firstLine="402"/>
        <w:spacing w:after="0" w:line="263" w:lineRule="auto"/>
        <w:rPr>
          <w:sz w:val="20"/>
          <w:szCs w:val="20"/>
          <w:color w:val="auto"/>
        </w:rPr>
      </w:pPr>
      <w:r>
        <w:rPr>
          <w:rFonts w:ascii="Times New Roman" w:cs="Times New Roman" w:eastAsia="Times New Roman" w:hAnsi="Times New Roman"/>
          <w:sz w:val="18"/>
          <w:szCs w:val="18"/>
          <w:color w:val="auto"/>
        </w:rPr>
        <w:t>As of May 31, 2025, the carrying value of the financing arrangement was $6.2 million, of which $0.4 million was classified as "Other current liabilities" and $5.8 million was classified as "Other long-term liabilities" on the Consolidated Balance Sheets. Interest expense associated with the financing arrangement was $0.2 million for the twelve months ending May 31, 2025.</w:t>
      </w:r>
    </w:p>
    <w:p>
      <w:pPr>
        <w:spacing w:after="0" w:line="1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Remaining future cash payments related to the financing arrangement as of May 31, 2025 for each of the following fiscal years is: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2025</w:t>
            </w:r>
          </w:p>
        </w:tc>
      </w:tr>
      <w:tr>
        <w:trPr>
          <w:trHeight w:val="25"/>
        </w:trPr>
        <w:tc>
          <w:tcPr>
            <w:tcW w:w="9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28"/>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21"/>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liability payments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4,714</w:t>
            </w:r>
          </w:p>
        </w:tc>
      </w:tr>
      <w:tr>
        <w:trPr>
          <w:trHeight w:val="228"/>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21"/>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r>
      <w:tr>
        <w:trPr>
          <w:trHeight w:val="20"/>
        </w:trPr>
        <w:tc>
          <w:tcPr>
            <w:tcW w:w="9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2" w:lineRule="exact"/>
        <w:rPr>
          <w:sz w:val="20"/>
          <w:szCs w:val="20"/>
          <w:color w:val="auto"/>
        </w:rPr>
      </w:pPr>
    </w:p>
    <w:p>
      <w:pPr>
        <w:ind w:right="80" w:firstLine="385"/>
        <w:spacing w:after="0" w:line="258"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spacing w:after="0" w:line="128"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Company elected the three practical expedients that permit an entity to (a) not reassess whether expired or existing contracts contain leases, (b) not reassess lease classification for existing or expired leases, and (c) not consider whether previously capitalized initial direct costs would be appropriate under the new standard. Further, the Company has elected to not recognize leases with terms of 12 months or less on the balance sheet, and elected to account for lease and non-lease components as a single component for certain classes of assets.</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balance sheet information related to leases: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5"/>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7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Balance Sheet Location</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5520" w:type="dxa"/>
            <w:vAlign w:val="bottom"/>
            <w:tcBorders>
              <w:bottom w:val="single" w:sz="8" w:color="CCEEFF"/>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5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28"/>
        </w:trPr>
        <w:tc>
          <w:tcPr>
            <w:tcW w:w="5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r>
      <w:tr>
        <w:trPr>
          <w:trHeight w:val="22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5,914</w:t>
            </w:r>
          </w:p>
        </w:tc>
      </w:tr>
      <w:tr>
        <w:trPr>
          <w:trHeight w:val="20"/>
        </w:trPr>
        <w:tc>
          <w:tcPr>
            <w:tcW w:w="55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40" w:firstLine="385"/>
        <w:spacing w:after="0" w:line="258" w:lineRule="auto"/>
        <w:rPr>
          <w:sz w:val="20"/>
          <w:szCs w:val="20"/>
          <w:color w:val="auto"/>
        </w:rPr>
      </w:pPr>
      <w:r>
        <w:rPr>
          <w:rFonts w:ascii="Times New Roman" w:cs="Times New Roman" w:eastAsia="Times New Roman" w:hAnsi="Times New Roman"/>
          <w:sz w:val="18"/>
          <w:szCs w:val="18"/>
          <w:color w:val="auto"/>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May 31, 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293"/>
              <w:spacing w:after="0"/>
              <w:rPr>
                <w:sz w:val="20"/>
                <w:szCs w:val="20"/>
                <w:color w:val="auto"/>
              </w:rPr>
            </w:pPr>
            <w:r>
              <w:rPr>
                <w:rFonts w:ascii="Times New Roman" w:cs="Times New Roman" w:eastAsia="Times New Roman" w:hAnsi="Times New Roman"/>
                <w:sz w:val="14"/>
                <w:szCs w:val="14"/>
                <w:color w:val="auto"/>
              </w:rPr>
              <w:t>May 31, 2024</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(in years)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450"/>
        </w:trPr>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maturities of the lease liabilities for each of the following fiscal years is: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63"/>
        </w:trPr>
        <w:tc>
          <w:tcPr>
            <w:tcW w:w="8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2025</w:t>
            </w:r>
          </w:p>
        </w:tc>
      </w:tr>
      <w:tr>
        <w:trPr>
          <w:trHeight w:val="25"/>
        </w:trPr>
        <w:tc>
          <w:tcPr>
            <w:tcW w:w="80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8"/>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r>
      <w:tr>
        <w:trPr>
          <w:trHeight w:val="22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obligations</w:t>
            </w: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r>
      <w:tr>
        <w:trPr>
          <w:trHeight w:val="221"/>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r>
      <w:tr>
        <w:trPr>
          <w:trHeight w:val="20"/>
        </w:trPr>
        <w:tc>
          <w:tcPr>
            <w:tcW w:w="8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40" w:firstLine="385"/>
        <w:spacing w:after="0" w:line="278" w:lineRule="auto"/>
        <w:rPr>
          <w:sz w:val="20"/>
          <w:szCs w:val="20"/>
          <w:color w:val="auto"/>
        </w:rPr>
      </w:pPr>
      <w:r>
        <w:rPr>
          <w:rFonts w:ascii="Times New Roman" w:cs="Times New Roman" w:eastAsia="Times New Roman" w:hAnsi="Times New Roman"/>
          <w:sz w:val="18"/>
          <w:szCs w:val="18"/>
          <w:color w:val="auto"/>
        </w:rPr>
        <w:t>During the years ended May 31, 2025, 2024 and 2023 the Company recognized operating lease expense, which includes immaterial short-term leases, of $2.6 million, $2.5 million and $2.7 million, respectively. The expenses on the Consolidated Statement of Operations were classified as follows:</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2024</w:t>
            </w:r>
          </w:p>
        </w:tc>
        <w:tc>
          <w:tcPr>
            <w:tcW w:w="200" w:type="dxa"/>
            <w:vAlign w:val="bottom"/>
          </w:tcPr>
          <w:p>
            <w:pPr>
              <w:spacing w:after="0"/>
              <w:rPr>
                <w:sz w:val="16"/>
                <w:szCs w:val="16"/>
                <w:color w:val="auto"/>
              </w:rPr>
            </w:pPr>
          </w:p>
        </w:tc>
        <w:tc>
          <w:tcPr>
            <w:tcW w:w="1220" w:type="dxa"/>
            <w:vAlign w:val="bottom"/>
          </w:tcPr>
          <w:p>
            <w:pPr>
              <w:jc w:val="right"/>
              <w:ind w:right="233"/>
              <w:spacing w:after="0"/>
              <w:rPr>
                <w:sz w:val="20"/>
                <w:szCs w:val="20"/>
                <w:color w:val="auto"/>
              </w:rPr>
            </w:pPr>
            <w:r>
              <w:rPr>
                <w:rFonts w:ascii="Times New Roman" w:cs="Times New Roman" w:eastAsia="Times New Roman" w:hAnsi="Times New Roman"/>
                <w:sz w:val="14"/>
                <w:szCs w:val="14"/>
                <w:color w:val="auto"/>
              </w:rPr>
              <w:t>May 31, 2023</w:t>
            </w:r>
          </w:p>
        </w:tc>
      </w:tr>
      <w:tr>
        <w:trPr>
          <w:trHeight w:val="25"/>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restructuring and other items,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66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20"/>
        </w:trPr>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supplemental cash flow and other information related to leases: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6"/>
                <w:szCs w:val="16"/>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May 31, 2025</w:t>
            </w:r>
          </w:p>
        </w:tc>
        <w:tc>
          <w:tcPr>
            <w:tcW w:w="220" w:type="dxa"/>
            <w:vAlign w:val="bottom"/>
          </w:tcPr>
          <w:p>
            <w:pPr>
              <w:spacing w:after="0"/>
              <w:rPr>
                <w:sz w:val="16"/>
                <w:szCs w:val="16"/>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May 31, 2024</w:t>
            </w:r>
          </w:p>
        </w:tc>
        <w:tc>
          <w:tcPr>
            <w:tcW w:w="0" w:type="dxa"/>
            <w:vAlign w:val="bottom"/>
          </w:tcPr>
          <w:p>
            <w:pPr>
              <w:spacing w:after="0"/>
              <w:rPr>
                <w:sz w:val="1"/>
                <w:szCs w:val="1"/>
                <w:color w:val="auto"/>
              </w:rPr>
            </w:pPr>
          </w:p>
        </w:tc>
      </w:tr>
      <w:tr>
        <w:trPr>
          <w:trHeight w:val="25"/>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2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2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other future commitments and contingencies as of May 31, 2025:</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Pr>
          <w:p>
            <w:pPr>
              <w:spacing w:after="0"/>
              <w:rPr>
                <w:sz w:val="13"/>
                <w:szCs w:val="13"/>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color w:val="auto"/>
              </w:rPr>
              <w:t>2028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317"/>
              <w:spacing w:after="0"/>
              <w:rPr>
                <w:sz w:val="20"/>
                <w:szCs w:val="20"/>
                <w:color w:val="auto"/>
              </w:rPr>
            </w:pPr>
            <w:r>
              <w:rPr>
                <w:rFonts w:ascii="Times New Roman" w:cs="Times New Roman" w:eastAsia="Times New Roman" w:hAnsi="Times New Roman"/>
                <w:sz w:val="14"/>
                <w:szCs w:val="14"/>
                <w:color w:val="auto"/>
              </w:rPr>
              <w:t>2029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80"/>
              <w:spacing w:after="0"/>
              <w:rPr>
                <w:sz w:val="20"/>
                <w:szCs w:val="20"/>
                <w:color w:val="auto"/>
              </w:rPr>
            </w:pPr>
            <w:r>
              <w:rPr>
                <w:rFonts w:ascii="Times New Roman" w:cs="Times New Roman" w:eastAsia="Times New Roman" w:hAnsi="Times New Roman"/>
                <w:sz w:val="14"/>
                <w:szCs w:val="14"/>
                <w:color w:val="auto"/>
              </w:rPr>
              <w:t>2030 and</w:t>
            </w:r>
          </w:p>
        </w:tc>
        <w:tc>
          <w:tcPr>
            <w:tcW w:w="0" w:type="dxa"/>
            <w:vAlign w:val="bottom"/>
          </w:tcPr>
          <w:p>
            <w:pPr>
              <w:spacing w:after="0"/>
              <w:rPr>
                <w:sz w:val="1"/>
                <w:szCs w:val="1"/>
                <w:color w:val="auto"/>
              </w:rPr>
            </w:pPr>
          </w:p>
        </w:tc>
      </w:tr>
      <w:tr>
        <w:trPr>
          <w:trHeight w:val="191"/>
        </w:trPr>
        <w:tc>
          <w:tcPr>
            <w:tcW w:w="4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180"/>
              <w:spacing w:after="0"/>
              <w:rPr>
                <w:sz w:val="20"/>
                <w:szCs w:val="20"/>
                <w:color w:val="auto"/>
              </w:rPr>
            </w:pPr>
            <w:r>
              <w:rPr>
                <w:rFonts w:ascii="Times New Roman" w:cs="Times New Roman" w:eastAsia="Times New Roman" w:hAnsi="Times New Roman"/>
                <w:sz w:val="14"/>
                <w:szCs w:val="14"/>
                <w:color w:val="auto"/>
              </w:rPr>
              <w:t>thereafter</w:t>
            </w:r>
          </w:p>
        </w:tc>
        <w:tc>
          <w:tcPr>
            <w:tcW w:w="0" w:type="dxa"/>
            <w:vAlign w:val="bottom"/>
          </w:tcPr>
          <w:p>
            <w:pPr>
              <w:spacing w:after="0"/>
              <w:rPr>
                <w:sz w:val="1"/>
                <w:szCs w:val="1"/>
                <w:color w:val="auto"/>
              </w:rPr>
            </w:pPr>
          </w:p>
        </w:tc>
      </w:tr>
      <w:tr>
        <w:trPr>
          <w:trHeight w:val="227"/>
        </w:trPr>
        <w:tc>
          <w:tcPr>
            <w:tcW w:w="4340" w:type="dxa"/>
            <w:vAlign w:val="bottom"/>
            <w:tcBorders>
              <w:top w:val="single" w:sz="8" w:color="CCEEFF"/>
            </w:tcBorders>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 xml:space="preserve">Royalties </w:t>
            </w:r>
            <w:r>
              <w:rPr>
                <w:rFonts w:ascii="Times New Roman" w:cs="Times New Roman" w:eastAsia="Times New Roman" w:hAnsi="Times New Roman"/>
                <w:sz w:val="23"/>
                <w:szCs w:val="23"/>
                <w:color w:val="auto"/>
                <w:vertAlign w:val="superscript"/>
              </w:rPr>
              <w:t>(1)</w:t>
            </w: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21"/>
        </w:trPr>
        <w:tc>
          <w:tcPr>
            <w:tcW w:w="434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These are future minimum royalty payments.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2" w:lineRule="exact"/>
        <w:rPr>
          <w:sz w:val="20"/>
          <w:szCs w:val="20"/>
          <w:color w:val="auto"/>
        </w:rPr>
      </w:pPr>
    </w:p>
    <w:p>
      <w:pPr>
        <w:ind w:right="20" w:firstLine="402"/>
        <w:spacing w:after="0" w:line="258" w:lineRule="auto"/>
        <w:rPr>
          <w:sz w:val="20"/>
          <w:szCs w:val="20"/>
          <w:color w:val="auto"/>
        </w:rPr>
      </w:pPr>
      <w:r>
        <w:rPr>
          <w:rFonts w:ascii="Times New Roman" w:cs="Times New Roman" w:eastAsia="Times New Roman" w:hAnsi="Times New Roman"/>
          <w:sz w:val="18"/>
          <w:szCs w:val="18"/>
          <w:color w:val="auto"/>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 Bard, Inc. v. AngioDynamics, Inc.</w:t>
      </w:r>
    </w:p>
    <w:p>
      <w:pPr>
        <w:spacing w:after="0" w:line="172" w:lineRule="exact"/>
        <w:rPr>
          <w:sz w:val="20"/>
          <w:szCs w:val="20"/>
          <w:color w:val="auto"/>
        </w:rPr>
      </w:pPr>
    </w:p>
    <w:p>
      <w:pPr>
        <w:ind w:right="240" w:firstLine="402"/>
        <w:spacing w:after="0" w:line="278" w:lineRule="auto"/>
        <w:rPr>
          <w:sz w:val="20"/>
          <w:szCs w:val="20"/>
          <w:color w:val="auto"/>
        </w:rPr>
      </w:pPr>
      <w:r>
        <w:rPr>
          <w:rFonts w:ascii="Times New Roman" w:cs="Times New Roman" w:eastAsia="Times New Roman" w:hAnsi="Times New Roman"/>
          <w:sz w:val="18"/>
          <w:szCs w:val="18"/>
          <w:color w:val="auto"/>
        </w:rPr>
        <w:t>On January 11, 2012, C.R. Bard, Inc. (“Bard”) filed a suit in the United States District Court of Utah claiming certain of the Company's implantable port products infringe on three U.S. patents held by Bard (US Patent Nos. 7,785,302 ("302"), 7,959,615 (“615”) and 7,947,022 ("022")).</w:t>
      </w:r>
    </w:p>
    <w:p>
      <w:pPr>
        <w:spacing w:after="0" w:line="110" w:lineRule="exact"/>
        <w:rPr>
          <w:sz w:val="20"/>
          <w:szCs w:val="20"/>
          <w:color w:val="auto"/>
        </w:rPr>
      </w:pPr>
    </w:p>
    <w:p>
      <w:pPr>
        <w:ind w:right="300" w:firstLine="402"/>
        <w:spacing w:after="0" w:line="263" w:lineRule="auto"/>
        <w:rPr>
          <w:sz w:val="20"/>
          <w:szCs w:val="20"/>
          <w:color w:val="auto"/>
        </w:rPr>
      </w:pPr>
      <w:r>
        <w:rPr>
          <w:rFonts w:ascii="Times New Roman" w:cs="Times New Roman" w:eastAsia="Times New Roman" w:hAnsi="Times New Roman"/>
          <w:sz w:val="18"/>
          <w:szCs w:val="18"/>
          <w:color w:val="auto"/>
        </w:rPr>
        <w:t>On March 10, 2015, Bard and Bard Peripheral Vascular filed suit in the District of Delaware claiming certain of the Company's implantable port products infringe on three U.S. patents held by Bard (US Patent Nos. 8,475,417, 8,545,460, 8,805,478). The Court entered Judgement on June 1, 2023 in favor of the Company.</w:t>
      </w:r>
    </w:p>
    <w:p>
      <w:pPr>
        <w:spacing w:after="0" w:line="123" w:lineRule="exact"/>
        <w:rPr>
          <w:sz w:val="20"/>
          <w:szCs w:val="20"/>
          <w:color w:val="auto"/>
        </w:rPr>
      </w:pPr>
    </w:p>
    <w:p>
      <w:pPr>
        <w:jc w:val="both"/>
        <w:ind w:right="100" w:firstLine="402"/>
        <w:spacing w:after="0" w:line="263" w:lineRule="auto"/>
        <w:rPr>
          <w:sz w:val="20"/>
          <w:szCs w:val="20"/>
          <w:color w:val="auto"/>
        </w:rPr>
      </w:pPr>
      <w:r>
        <w:rPr>
          <w:rFonts w:ascii="Times New Roman" w:cs="Times New Roman" w:eastAsia="Times New Roman" w:hAnsi="Times New Roman"/>
          <w:sz w:val="18"/>
          <w:szCs w:val="18"/>
          <w:color w:val="auto"/>
        </w:rPr>
        <w:t>On March 8, 2021, Bard filed suit in the District of Delaware asserting certain of the Company’s port products (including certain related infusion sets) infringe U.S. Patent Nos. 8,025,639, 9,603,992 and 9,603,993. The Company counterclaimed, alleging that certain of Bard’s catheter products infringe U.S. Patent Nos. 8,377,011, 10,729,881, 8,454,574.</w:t>
      </w:r>
    </w:p>
    <w:p>
      <w:pPr>
        <w:spacing w:after="0" w:line="123" w:lineRule="exact"/>
        <w:rPr>
          <w:sz w:val="20"/>
          <w:szCs w:val="20"/>
          <w:color w:val="auto"/>
        </w:rPr>
      </w:pPr>
    </w:p>
    <w:p>
      <w:pPr>
        <w:ind w:firstLine="402"/>
        <w:spacing w:after="0" w:line="251" w:lineRule="auto"/>
        <w:rPr>
          <w:sz w:val="20"/>
          <w:szCs w:val="20"/>
          <w:color w:val="auto"/>
        </w:rPr>
      </w:pPr>
      <w:r>
        <w:rPr>
          <w:rFonts w:ascii="Times New Roman" w:cs="Times New Roman" w:eastAsia="Times New Roman" w:hAnsi="Times New Roman"/>
          <w:sz w:val="18"/>
          <w:szCs w:val="18"/>
          <w:color w:val="auto"/>
        </w:rPr>
        <w:t>On March 31, 2024, the Company and Bard’s parent company Becton, Dickinson and Company (collectively, “BD”) entered into a settlement agreement (the “Settlement Agreement”) to resolve the ongoing litigations. Under the terms of the Settlement Agreement, BD granted a license to the Company under certain of BD’s port patents and AngioDynamics granted BD a license under certain of the Company’s catheter patents. The Company made a one-time lump sum payment to BD in the amount of $7.0 million, $3.0 million which was paid within 5 business days of execution of the Settlement Agreement, and the remainder is payable in installments during 12 month period ending March 31, 2025. The Company will also make six minimum annual payments to BD of $2.5 million starting in fiscal year 2025, and potential additional payments if six percent (6%) of annual net sales of the Company’s port products exceed the minimum payment. The Company made payments of $6.5 million related to the minimum annual payments to BD during the fiscal year ended May 31, 2025. The parties will participate in the pending appeal before the Federal Circuit of the case that was filed March 10, 2015 and a contingent payment of $3.0 million will be due from the Company to BD if the Federal Circuit reverses or vacates the District Court’s findings of invalidity with respect to the patent claims at issue in the case. Appellate briefing is closed, but an argument date has not yet been set. Neither party admitted any liability and the agreement contains mutual covenants not to sue and releases. As of May 31, 2025, there was $2.5 million payable to BD recorded in other current liabilities and $9.0 million recorded in other long-term liabilities.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 Product Claims</w:t>
      </w:r>
    </w:p>
    <w:p>
      <w:pPr>
        <w:spacing w:after="0" w:line="172" w:lineRule="exact"/>
        <w:rPr>
          <w:sz w:val="20"/>
          <w:szCs w:val="20"/>
          <w:color w:val="auto"/>
        </w:rPr>
      </w:pPr>
    </w:p>
    <w:p>
      <w:pPr>
        <w:ind w:right="260" w:firstLine="402"/>
        <w:spacing w:after="0" w:line="254" w:lineRule="auto"/>
        <w:rPr>
          <w:sz w:val="20"/>
          <w:szCs w:val="20"/>
          <w:color w:val="auto"/>
        </w:rPr>
      </w:pPr>
      <w:r>
        <w:rPr>
          <w:rFonts w:ascii="Times New Roman" w:cs="Times New Roman" w:eastAsia="Times New Roman" w:hAnsi="Times New Roman"/>
          <w:sz w:val="18"/>
          <w:szCs w:val="18"/>
          <w:color w:val="auto"/>
        </w:rPr>
        <w:t>As of May 31, 2025, the Company is defending approximately 162 product liability claims involving the Company's port products (collectively, the “Port Product Claims”). The Port Product Claims are consolidated for pretrial proceedings in the United States District Court for the Southern District of California. The Port Product Claims generally seek damages for personal injury allegedly resulting from use of the products. The Company has limited information regarding the nature and quantity of certain of the Port Product Claims. The Company continues to receive claims and lawsuits and may in future periods learn additional information regarding other unfiled or unknown claims, or other lawsuits, which could materially impact the Company’s estimate of the number of claims or lawsuits against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0"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18. SEGMENTS AND GEOGRAPHIC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72" w:lineRule="exact"/>
        <w:rPr>
          <w:sz w:val="20"/>
          <w:szCs w:val="20"/>
          <w:color w:val="auto"/>
        </w:rPr>
      </w:pPr>
    </w:p>
    <w:p>
      <w:pPr>
        <w:ind w:right="180" w:firstLine="385"/>
        <w:spacing w:after="0" w:line="254" w:lineRule="auto"/>
        <w:rPr>
          <w:sz w:val="20"/>
          <w:szCs w:val="20"/>
          <w:color w:val="auto"/>
        </w:rPr>
      </w:pPr>
      <w:r>
        <w:rPr>
          <w:rFonts w:ascii="Times New Roman" w:cs="Times New Roman" w:eastAsia="Times New Roman" w:hAnsi="Times New Roman"/>
          <w:sz w:val="18"/>
          <w:szCs w:val="18"/>
          <w:color w:val="auto"/>
        </w:rPr>
        <w:t>The Company regularly reviews its segments and the approach used by the chief operating decision maker, the President and Chief Executive Officer ("CEO"), to evaluate performance and allocate resources. The Company manages its operations through two operating segments, Med Tech and Med Device. The CEO evaluates these two operating segments based on gross margin to, among other items, allocate resources and assess performance. The CEO uses gross margin in the budgeting and forecasting process to assess profitability and enable decision making regarding strategic initiatives, investments and personnel across the two operating segments. Executives reporting to the CEO include those responsible for commercial operations, manufacturing operations, regulatory and quality and certain corporate functions.</w:t>
      </w:r>
    </w:p>
    <w:p>
      <w:pPr>
        <w:spacing w:after="0" w:line="132" w:lineRule="exact"/>
        <w:rPr>
          <w:sz w:val="20"/>
          <w:szCs w:val="20"/>
          <w:color w:val="auto"/>
        </w:rPr>
      </w:pPr>
    </w:p>
    <w:p>
      <w:pPr>
        <w:ind w:right="400" w:firstLine="385"/>
        <w:spacing w:after="0" w:line="278" w:lineRule="auto"/>
        <w:rPr>
          <w:sz w:val="20"/>
          <w:szCs w:val="20"/>
          <w:color w:val="auto"/>
        </w:rPr>
      </w:pPr>
      <w:r>
        <w:rPr>
          <w:rFonts w:ascii="Times New Roman" w:cs="Times New Roman" w:eastAsia="Times New Roman" w:hAnsi="Times New Roman"/>
          <w:sz w:val="18"/>
          <w:szCs w:val="18"/>
          <w:color w:val="auto"/>
        </w:rPr>
        <w:t>The Med Tech segment is comprised of our technology portfolio including Auryon, the thrombus management platform and NanoKnife. The Med Device segment is comprised of our Core, Venous, Ports and other Oncology products.</w:t>
      </w:r>
    </w:p>
    <w:p>
      <w:pPr>
        <w:spacing w:after="0" w:line="110" w:lineRule="exact"/>
        <w:rPr>
          <w:sz w:val="20"/>
          <w:szCs w:val="20"/>
          <w:color w:val="auto"/>
        </w:rPr>
      </w:pPr>
    </w:p>
    <w:p>
      <w:pPr>
        <w:ind w:right="340" w:firstLine="402"/>
        <w:spacing w:after="0" w:line="278" w:lineRule="auto"/>
        <w:rPr>
          <w:sz w:val="20"/>
          <w:szCs w:val="20"/>
          <w:color w:val="auto"/>
        </w:rPr>
      </w:pPr>
      <w:r>
        <w:rPr>
          <w:rFonts w:ascii="Times New Roman" w:cs="Times New Roman" w:eastAsia="Times New Roman" w:hAnsi="Times New Roman"/>
          <w:sz w:val="18"/>
          <w:szCs w:val="18"/>
          <w:color w:val="auto"/>
        </w:rPr>
        <w:t>The Company manages its assets on a total company basis, not by operating segment; therefore, the CEO does not review any asset information by operating segment and, accordingly, asset information is not reported or evaluated by operating segment.</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cost of sales and gross margin by Med Tech and Med Device: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Year ended May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0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41"/>
        </w:trPr>
        <w:tc>
          <w:tcPr>
            <w:tcW w:w="64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Tech Net Sales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126,653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106,403</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96,687</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Tech Cost of Sales (exclusive of intangible amortization)</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48,138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39,205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34,721</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78,515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67,198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61,966</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0" w:type="dxa"/>
            <w:vAlign w:val="bottom"/>
          </w:tcPr>
          <w:p>
            <w:pPr>
              <w:spacing w:after="0"/>
              <w:rPr>
                <w:sz w:val="1"/>
                <w:szCs w:val="1"/>
                <w:color w:val="auto"/>
              </w:rPr>
            </w:pPr>
          </w:p>
        </w:tc>
      </w:tr>
      <w:tr>
        <w:trPr>
          <w:trHeight w:val="25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Med Device Net Sales</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165,845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197,511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242,065</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Med Device Cost of Sales (exclusive of intangible amortization)</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86,655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110,011</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129,785</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79,190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112,280</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46.4 %</w:t>
            </w:r>
          </w:p>
        </w:tc>
        <w:tc>
          <w:tcPr>
            <w:tcW w:w="0" w:type="dxa"/>
            <w:vAlign w:val="bottom"/>
          </w:tcPr>
          <w:p>
            <w:pPr>
              <w:spacing w:after="0"/>
              <w:rPr>
                <w:sz w:val="1"/>
                <w:szCs w:val="1"/>
                <w:color w:val="auto"/>
              </w:rPr>
            </w:pPr>
          </w:p>
        </w:tc>
      </w:tr>
      <w:tr>
        <w:trPr>
          <w:trHeight w:val="254"/>
        </w:trPr>
        <w:tc>
          <w:tcPr>
            <w:tcW w:w="64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292,498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338,752</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 of Sales (exclusive of intangible amortization)</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134,793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149,216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164,506</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157,705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154,698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174,246</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Gross Margin %</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0" w:type="dxa"/>
            <w:vAlign w:val="bottom"/>
          </w:tcPr>
          <w:p>
            <w:pPr>
              <w:spacing w:after="0"/>
              <w:rPr>
                <w:sz w:val="1"/>
                <w:szCs w:val="1"/>
                <w:color w:val="auto"/>
              </w:rPr>
            </w:pPr>
          </w:p>
        </w:tc>
      </w:tr>
      <w:tr>
        <w:trPr>
          <w:trHeight w:val="254"/>
        </w:trPr>
        <w:tc>
          <w:tcPr>
            <w:tcW w:w="6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197,659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401,632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225,427</w:t>
            </w:r>
          </w:p>
        </w:tc>
        <w:tc>
          <w:tcPr>
            <w:tcW w:w="0" w:type="dxa"/>
            <w:vAlign w:val="bottom"/>
          </w:tcPr>
          <w:p>
            <w:pPr>
              <w:spacing w:after="0"/>
              <w:rPr>
                <w:sz w:val="1"/>
                <w:szCs w:val="1"/>
                <w:color w:val="auto"/>
              </w:rPr>
            </w:pPr>
          </w:p>
        </w:tc>
      </w:tr>
      <w:tr>
        <w:trPr>
          <w:trHeight w:val="228"/>
        </w:trPr>
        <w:tc>
          <w:tcPr>
            <w:tcW w:w="6400" w:type="dxa"/>
            <w:vAlign w:val="bottom"/>
          </w:tcPr>
          <w:p>
            <w:pPr>
              <w:ind w:left="340"/>
              <w:spacing w:after="0" w:line="228" w:lineRule="exact"/>
              <w:rPr>
                <w:sz w:val="20"/>
                <w:szCs w:val="20"/>
                <w:color w:val="auto"/>
              </w:rPr>
            </w:pPr>
            <w:r>
              <w:rPr>
                <w:rFonts w:ascii="Times New Roman" w:cs="Times New Roman" w:eastAsia="Times New Roman" w:hAnsi="Times New Roman"/>
                <w:sz w:val="18"/>
                <w:szCs w:val="18"/>
                <w:color w:val="auto"/>
              </w:rPr>
              <w:t>Gain on sale of assets</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54,499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00" w:type="dxa"/>
            <w:vAlign w:val="bottom"/>
            <w:shd w:val="clear" w:color="auto" w:fill="CCEEFF"/>
          </w:tcPr>
          <w:p>
            <w:pPr>
              <w:ind w:left="340"/>
              <w:spacing w:after="0" w:line="228" w:lineRule="exact"/>
              <w:rPr>
                <w:sz w:val="20"/>
                <w:szCs w:val="20"/>
                <w:color w:val="auto"/>
              </w:rPr>
            </w:pPr>
            <w:r>
              <w:rPr>
                <w:rFonts w:ascii="Times New Roman" w:cs="Times New Roman" w:eastAsia="Times New Roman" w:hAnsi="Times New Roman"/>
                <w:sz w:val="18"/>
                <w:szCs w:val="18"/>
                <w:color w:val="auto"/>
              </w:rPr>
              <w:t>Other income (expense), net</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5,922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(3,256)</w:t>
            </w:r>
          </w:p>
        </w:tc>
        <w:tc>
          <w:tcPr>
            <w:tcW w:w="0" w:type="dxa"/>
            <w:vAlign w:val="bottom"/>
          </w:tcPr>
          <w:p>
            <w:pPr>
              <w:spacing w:after="0"/>
              <w:rPr>
                <w:sz w:val="1"/>
                <w:szCs w:val="1"/>
                <w:color w:val="auto"/>
              </w:rPr>
            </w:pPr>
          </w:p>
        </w:tc>
      </w:tr>
      <w:tr>
        <w:trPr>
          <w:trHeight w:val="221"/>
        </w:trPr>
        <w:tc>
          <w:tcPr>
            <w:tcW w:w="6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before income tax benefit</w:t>
            </w: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(34,032)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(191,638)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(54,437)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200" w:firstLine="7"/>
        <w:spacing w:after="0" w:line="256" w:lineRule="auto"/>
        <w:tabs>
          <w:tab w:leader="none" w:pos="227"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expenses include Research and development, Sales and marketing, General and administrative, Amortization of intangibles, Goodwill impairment, Change in fair value of contingent consideration and Acquisition, restructuring and other items, net.</w:t>
      </w:r>
    </w:p>
    <w:p>
      <w:pPr>
        <w:ind w:left="240" w:hanging="233"/>
        <w:spacing w:after="0"/>
        <w:tabs>
          <w:tab w:leader="none" w:pos="2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Gain on sale of assets includes the gain on the sale of divested products.</w:t>
      </w:r>
    </w:p>
    <w:p>
      <w:pPr>
        <w:spacing w:after="0" w:line="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income (expense), net includes interest income, interest expense, foreign currency impacts and bank fees.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table below summarizes net sales by geographic area based on external customer location: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0"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by Geography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251,486</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282,713</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56,039</w:t>
            </w:r>
          </w:p>
        </w:tc>
        <w:tc>
          <w:tcPr>
            <w:tcW w:w="0" w:type="dxa"/>
            <w:vAlign w:val="bottom"/>
          </w:tcPr>
          <w:p>
            <w:pPr>
              <w:spacing w:after="0"/>
              <w:rPr>
                <w:sz w:val="1"/>
                <w:szCs w:val="1"/>
                <w:color w:val="auto"/>
              </w:rPr>
            </w:pPr>
          </w:p>
        </w:tc>
      </w:tr>
      <w:tr>
        <w:trPr>
          <w:trHeight w:val="221"/>
        </w:trPr>
        <w:tc>
          <w:tcPr>
            <w:tcW w:w="6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292,498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303,914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338,752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320" w:firstLine="385"/>
        <w:spacing w:after="0" w:line="258" w:lineRule="auto"/>
        <w:rPr>
          <w:sz w:val="20"/>
          <w:szCs w:val="20"/>
          <w:color w:val="auto"/>
        </w:rPr>
      </w:pPr>
      <w:r>
        <w:rPr>
          <w:rFonts w:ascii="Times New Roman" w:cs="Times New Roman" w:eastAsia="Times New Roman" w:hAnsi="Times New Roman"/>
          <w:sz w:val="18"/>
          <w:szCs w:val="18"/>
          <w:color w:val="auto"/>
        </w:rPr>
        <w:t>For fiscal years 2025, 2024 and 2023, international sales as a percentage of total net sales were 14%, 17% and 17%, respectively. Sales to any one country outside the U.S., as determined by shipment destination, did not comprise a material portion of net sales in any of the last three fiscal years. In addition, no one customer represents more than 10% of consolidated net sales. 65% of long-lived assets are located within the United States and 34% are located within Israel.</w:t>
      </w:r>
    </w:p>
    <w:p>
      <w:pPr>
        <w:spacing w:after="0" w:line="124" w:lineRule="exact"/>
        <w:rPr>
          <w:sz w:val="20"/>
          <w:szCs w:val="20"/>
          <w:color w:val="auto"/>
        </w:rPr>
      </w:pPr>
    </w:p>
    <w:p>
      <w:pPr>
        <w:ind w:left="400" w:right="5900" w:hanging="393"/>
        <w:spacing w:after="0" w:line="457" w:lineRule="auto"/>
        <w:tabs>
          <w:tab w:leader="none" w:pos="28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RESTRUCTURING AND OTHER ITEMS, NET </w:t>
      </w:r>
      <w:r>
        <w:rPr>
          <w:rFonts w:ascii="Times New Roman" w:cs="Times New Roman" w:eastAsia="Times New Roman" w:hAnsi="Times New Roman"/>
          <w:sz w:val="18"/>
          <w:szCs w:val="18"/>
          <w:color w:val="auto"/>
        </w:rPr>
        <w:t>Acquisition, restructuring and other items, net consisted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Year ended May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7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Legal </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w:t>
            </w:r>
          </w:p>
        </w:tc>
        <w:tc>
          <w:tcPr>
            <w:tcW w:w="10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Mergers and acquisitions </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Transition service agreement </w:t>
            </w:r>
            <w:r>
              <w:rPr>
                <w:rFonts w:ascii="Times New Roman" w:cs="Times New Roman" w:eastAsia="Times New Roman" w:hAnsi="Times New Roman"/>
                <w:sz w:val="23"/>
                <w:szCs w:val="23"/>
                <w:color w:val="auto"/>
                <w:vertAlign w:val="superscript"/>
              </w:rPr>
              <w:t>(3)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Plant Closure </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Manufacturing Relocation </w:t>
            </w:r>
            <w:r>
              <w:rPr>
                <w:rFonts w:ascii="Times New Roman" w:cs="Times New Roman" w:eastAsia="Times New Roman" w:hAnsi="Times New Roman"/>
                <w:sz w:val="23"/>
                <w:szCs w:val="23"/>
                <w:color w:val="auto"/>
                <w:vertAlign w:val="superscript"/>
              </w:rPr>
              <w:t>(5)</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Intangible and other asset impairment </w:t>
            </w:r>
            <w:r>
              <w:rPr>
                <w:rFonts w:ascii="Times New Roman" w:cs="Times New Roman" w:eastAsia="Times New Roman" w:hAnsi="Times New Roman"/>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Israeli Innovation Authority prepayment </w:t>
            </w:r>
            <w:r>
              <w:rPr>
                <w:rFonts w:ascii="Times New Roman" w:cs="Times New Roman" w:eastAsia="Times New Roman" w:hAnsi="Times New Roman"/>
                <w:sz w:val="23"/>
                <w:szCs w:val="23"/>
                <w:color w:val="auto"/>
                <w:vertAlign w:val="superscript"/>
              </w:rPr>
              <w:t>(7)</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(8)</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1"/>
        </w:trPr>
        <w:tc>
          <w:tcPr>
            <w:tcW w:w="6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15,633</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right="160" w:firstLine="7"/>
        <w:spacing w:after="0" w:line="270" w:lineRule="auto"/>
        <w:tabs>
          <w:tab w:leader="none" w:pos="22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Legal expenses related to litigation that is outside the normal course of business. For the year ended May 31, 2024</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 xml:space="preserve"> a $19.3 million settlement expense was recorded as a result of the Settlement Agreement that was entered into between the Company and BD.</w:t>
      </w:r>
    </w:p>
    <w:p>
      <w:pPr>
        <w:ind w:left="240" w:hanging="233"/>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Mergers and acquisitions expenses related to investment banking, legal and due diligence.</w:t>
      </w:r>
    </w:p>
    <w:p>
      <w:pPr>
        <w:spacing w:after="0" w:line="13"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 services agreement that were entered into with Merit and Spectrum.</w:t>
      </w:r>
    </w:p>
    <w:p>
      <w:pPr>
        <w:spacing w:after="0" w:line="3"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Plant closure expense, related to the restructuring of our manufacturing footprint which was announced on January 5, 2024.</w:t>
      </w:r>
    </w:p>
    <w:p>
      <w:pPr>
        <w:spacing w:after="0" w:line="7" w:lineRule="exact"/>
        <w:rPr>
          <w:rFonts w:ascii="Times New Roman" w:cs="Times New Roman" w:eastAsia="Times New Roman" w:hAnsi="Times New Roman"/>
          <w:sz w:val="16"/>
          <w:szCs w:val="16"/>
          <w:color w:val="auto"/>
        </w:rPr>
      </w:pPr>
    </w:p>
    <w:p>
      <w:pPr>
        <w:ind w:left="240" w:hanging="233"/>
        <w:spacing w:after="0"/>
        <w:tabs>
          <w:tab w:leader="none" w:pos="2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to relocate manufacturing lines out of Queensbury, NY.</w:t>
      </w:r>
    </w:p>
    <w:p>
      <w:pPr>
        <w:spacing w:after="0" w:line="13" w:lineRule="exact"/>
        <w:rPr>
          <w:rFonts w:ascii="Times New Roman" w:cs="Times New Roman" w:eastAsia="Times New Roman" w:hAnsi="Times New Roman"/>
          <w:sz w:val="16"/>
          <w:szCs w:val="16"/>
          <w:color w:val="auto"/>
        </w:rPr>
      </w:pPr>
    </w:p>
    <w:p>
      <w:pPr>
        <w:ind w:right="260" w:firstLine="7"/>
        <w:spacing w:after="0" w:line="253" w:lineRule="auto"/>
        <w:tabs>
          <w:tab w:leader="none" w:pos="22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impairment of $3.4 million on intangible and fixed assets and an inventory write-off of $2.9 million was taken in the third quarter of fiscal year 2024 relating to the abandonment of the Syntrax and RF product lines.</w:t>
      </w:r>
    </w:p>
    <w:p>
      <w:pPr>
        <w:ind w:right="160" w:firstLine="7"/>
        <w:spacing w:after="0" w:line="246" w:lineRule="auto"/>
        <w:tabs>
          <w:tab w:leader="none" w:pos="22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w:t>
      </w:r>
    </w:p>
    <w:p>
      <w:pPr>
        <w:spacing w:after="0" w:line="1" w:lineRule="exact"/>
        <w:rPr>
          <w:rFonts w:ascii="Times New Roman" w:cs="Times New Roman" w:eastAsia="Times New Roman" w:hAnsi="Times New Roman"/>
          <w:sz w:val="16"/>
          <w:szCs w:val="16"/>
          <w:color w:val="auto"/>
        </w:rPr>
      </w:pPr>
    </w:p>
    <w:p>
      <w:pPr>
        <w:ind w:right="160" w:firstLine="7"/>
        <w:spacing w:after="0" w:line="264" w:lineRule="auto"/>
        <w:tabs>
          <w:tab w:leader="none" w:pos="227"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$2.2 million and $2.6 million in other for the years ended May 31, 2025 and 2024 is $0.9 million and $1.4 million, respectively, of severance due to restructurings outside of the plant closure. In addition, for the year ended May 31, 2024, $0.9 million of deferred financing fees that were written-off in conjunction with the divestiture of the Dialysis and BioSentry businesses and concurrent extinguishment of the 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172" w:lineRule="exact"/>
        <w:rPr>
          <w:sz w:val="20"/>
          <w:szCs w:val="20"/>
          <w:color w:val="auto"/>
        </w:rPr>
      </w:pPr>
    </w:p>
    <w:p>
      <w:pPr>
        <w:ind w:right="120" w:firstLine="321"/>
        <w:spacing w:after="0" w:line="263" w:lineRule="auto"/>
        <w:rPr>
          <w:sz w:val="20"/>
          <w:szCs w:val="20"/>
          <w:color w:val="auto"/>
        </w:rPr>
      </w:pPr>
      <w:r>
        <w:rPr>
          <w:rFonts w:ascii="Times New Roman" w:cs="Times New Roman" w:eastAsia="Times New Roman" w:hAnsi="Times New Roman"/>
          <w:sz w:val="18"/>
          <w:szCs w:val="18"/>
          <w:color w:val="auto"/>
        </w:rPr>
        <w:t>The Company evaluates its performance and looks for opportunities to improve the overall operations of the Company on an ongoing basis. As a result of this evaluation, certain restructuring initiatives are taken to enhance the Company’s overall operations. On January 5, 2024, the Company announced a restructuring to optimize its manufacturing efficiency, capabilities and footprint (the "Plan").</w:t>
      </w:r>
    </w:p>
    <w:p>
      <w:pPr>
        <w:spacing w:after="0" w:line="123" w:lineRule="exact"/>
        <w:rPr>
          <w:sz w:val="20"/>
          <w:szCs w:val="20"/>
          <w:color w:val="auto"/>
        </w:rPr>
      </w:pPr>
    </w:p>
    <w:p>
      <w:pPr>
        <w:ind w:right="340" w:firstLine="321"/>
        <w:spacing w:after="0" w:line="263" w:lineRule="auto"/>
        <w:rPr>
          <w:sz w:val="20"/>
          <w:szCs w:val="20"/>
          <w:color w:val="auto"/>
        </w:rPr>
      </w:pPr>
      <w:r>
        <w:rPr>
          <w:rFonts w:ascii="Times New Roman" w:cs="Times New Roman" w:eastAsia="Times New Roman" w:hAnsi="Times New Roman"/>
          <w:sz w:val="18"/>
          <w:szCs w:val="18"/>
          <w:color w:val="auto"/>
        </w:rPr>
        <w:t>In the second quarter of fiscal year 2025, the Company announced a modification to the Plan to maintain a presence in Queensbury, NY for the manufacturing of select products, customer service, logistics, shipping, quality and regulatory operations. The restructuring activities associated with the modified Plan are still expected to be completed in the third quarter of fiscal year 2026.</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summary of our estimated costs associated with the plan: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5"/>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Type of cost (in thousands)</w:t>
            </w:r>
          </w:p>
        </w:tc>
        <w:tc>
          <w:tcPr>
            <w:tcW w:w="340" w:type="dxa"/>
            <w:vAlign w:val="bottom"/>
          </w:tcPr>
          <w:p>
            <w:pPr>
              <w:spacing w:after="0"/>
              <w:rPr>
                <w:sz w:val="16"/>
                <w:szCs w:val="16"/>
                <w:color w:val="auto"/>
              </w:rPr>
            </w:pP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Total original estimated amount expected to be incurred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color w:val="auto"/>
              </w:rPr>
              <w:t>Total modified estimated amount expected to be incurred</w:t>
            </w:r>
          </w:p>
        </w:tc>
      </w:tr>
      <w:tr>
        <w:trPr>
          <w:trHeight w:val="25"/>
        </w:trPr>
        <w:tc>
          <w:tcPr>
            <w:tcW w:w="2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1"/>
        </w:trPr>
        <w:tc>
          <w:tcPr>
            <w:tcW w:w="264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 xml:space="preserve">Facilities closeout fees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14,500</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17,000</w:t>
            </w:r>
          </w:p>
        </w:tc>
      </w:tr>
      <w:tr>
        <w:trPr>
          <w:trHeight w:val="22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benefits</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2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r>
      <w:tr>
        <w:trPr>
          <w:trHeight w:val="22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Validation expenses</w:t>
            </w:r>
          </w:p>
        </w:tc>
        <w:tc>
          <w:tcPr>
            <w:tcW w:w="3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w:t>
            </w:r>
          </w:p>
        </w:tc>
      </w:tr>
      <w:tr>
        <w:trPr>
          <w:trHeight w:val="228"/>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filings</w:t>
            </w:r>
          </w:p>
        </w:tc>
        <w:tc>
          <w:tcPr>
            <w:tcW w:w="3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28"/>
        </w:trPr>
        <w:tc>
          <w:tcPr>
            <w:tcW w:w="2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1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11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w:t>
            </w:r>
          </w:p>
        </w:tc>
        <w:tc>
          <w:tcPr>
            <w:tcW w:w="660" w:type="dxa"/>
            <w:vAlign w:val="bottom"/>
            <w:tcBorders>
              <w:bottom w:val="single" w:sz="8" w:color="auto"/>
            </w:tcBorders>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43,250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720" w:type="dxa"/>
            <w:vAlign w:val="bottom"/>
            <w:tcBorders>
              <w:bottom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Included in the original and modified estimate is approximately $13.6 million and $13.3 million of non-cash charges for accelerated depreciation and building impairment.</w:t>
      </w:r>
    </w:p>
    <w:p>
      <w:pPr>
        <w:spacing w:after="0" w:line="160" w:lineRule="exact"/>
        <w:rPr>
          <w:sz w:val="20"/>
          <w:szCs w:val="20"/>
          <w:color w:val="auto"/>
        </w:rPr>
      </w:pPr>
    </w:p>
    <w:p>
      <w:pPr>
        <w:ind w:right="100" w:firstLine="321"/>
        <w:spacing w:after="0" w:line="263" w:lineRule="auto"/>
        <w:rPr>
          <w:sz w:val="20"/>
          <w:szCs w:val="20"/>
          <w:color w:val="auto"/>
        </w:rPr>
      </w:pPr>
      <w:r>
        <w:rPr>
          <w:rFonts w:ascii="Times New Roman" w:cs="Times New Roman" w:eastAsia="Times New Roman" w:hAnsi="Times New Roman"/>
          <w:sz w:val="18"/>
          <w:szCs w:val="18"/>
          <w:color w:val="auto"/>
        </w:rPr>
        <w:t>The Company recorded restructuring charges related to the Plan during the years ended May 31, 2025 and 2024 of $13.8 million and $9.5 million, respectively. Total restructuring charges recorded to date are $23.2 million. Termination benefits are only earned if an employee stays until their termination date; therefore, the expenses related to termination benefits are being recorded ratably over the service period.</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the restructuring reserve for the twelve months ending May 31</w:t>
      </w:r>
      <w:r>
        <w:rPr>
          <w:rFonts w:ascii="Times New Roman" w:cs="Times New Roman" w:eastAsia="Times New Roman" w:hAnsi="Times New Roman"/>
          <w:sz w:val="16"/>
          <w:szCs w:val="16"/>
          <w:color w:val="auto"/>
        </w:rPr>
        <w:t>, 2025</w:t>
      </w:r>
      <w:r>
        <w:rPr>
          <w:rFonts w:ascii="Times New Roman" w:cs="Times New Roman" w:eastAsia="Times New Roman" w:hAnsi="Times New Roman"/>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May 31, 2025</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rPr>
              <w:t>Termination</w:t>
            </w:r>
          </w:p>
        </w:tc>
        <w:tc>
          <w:tcPr>
            <w:tcW w:w="140" w:type="dxa"/>
            <w:vAlign w:val="bottom"/>
          </w:tcPr>
          <w:p>
            <w:pPr>
              <w:spacing w:after="0"/>
              <w:rPr>
                <w:sz w:val="11"/>
                <w:szCs w:val="11"/>
                <w:color w:val="auto"/>
              </w:rPr>
            </w:pPr>
          </w:p>
        </w:tc>
        <w:tc>
          <w:tcPr>
            <w:tcW w:w="10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color w:val="auto"/>
              </w:rPr>
              <w:t>Outside</w:t>
            </w:r>
          </w:p>
        </w:tc>
        <w:tc>
          <w:tcPr>
            <w:tcW w:w="180" w:type="dxa"/>
            <w:vAlign w:val="bottom"/>
          </w:tcPr>
          <w:p>
            <w:pPr>
              <w:spacing w:after="0"/>
              <w:rPr>
                <w:sz w:val="11"/>
                <w:szCs w:val="11"/>
                <w:color w:val="auto"/>
              </w:rPr>
            </w:pPr>
          </w:p>
        </w:tc>
        <w:tc>
          <w:tcPr>
            <w:tcW w:w="10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w w:val="98"/>
              </w:rPr>
              <w:t>Validation</w:t>
            </w:r>
          </w:p>
        </w:tc>
        <w:tc>
          <w:tcPr>
            <w:tcW w:w="140" w:type="dxa"/>
            <w:vAlign w:val="bottom"/>
          </w:tcPr>
          <w:p>
            <w:pPr>
              <w:spacing w:after="0"/>
              <w:rPr>
                <w:sz w:val="11"/>
                <w:szCs w:val="11"/>
                <w:color w:val="auto"/>
              </w:rPr>
            </w:pPr>
          </w:p>
        </w:tc>
        <w:tc>
          <w:tcPr>
            <w:tcW w:w="1120" w:type="dxa"/>
            <w:vAlign w:val="bottom"/>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color w:val="auto"/>
              </w:rPr>
              <w:t>Facilities</w:t>
            </w: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color w:val="auto"/>
              </w:rPr>
              <w:t>Regulatory</w:t>
            </w:r>
          </w:p>
        </w:tc>
        <w:tc>
          <w:tcPr>
            <w:tcW w:w="240" w:type="dxa"/>
            <w:vAlign w:val="bottom"/>
          </w:tcPr>
          <w:p>
            <w:pPr>
              <w:spacing w:after="0"/>
              <w:rPr>
                <w:sz w:val="11"/>
                <w:szCs w:val="11"/>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0"/>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Benefits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Consultants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Expenses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Closeout Fees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Filings</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w:t>
            </w:r>
          </w:p>
        </w:tc>
        <w:tc>
          <w:tcPr>
            <w:tcW w:w="0" w:type="dxa"/>
            <w:vAlign w:val="bottom"/>
          </w:tcPr>
          <w:p>
            <w:pPr>
              <w:spacing w:after="0"/>
              <w:rPr>
                <w:sz w:val="1"/>
                <w:szCs w:val="1"/>
                <w:color w:val="auto"/>
              </w:rPr>
            </w:pPr>
          </w:p>
        </w:tc>
      </w:tr>
      <w:tr>
        <w:trPr>
          <w:trHeight w:val="228"/>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adjustments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8"/>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0" w:type="dxa"/>
            <w:vAlign w:val="bottom"/>
          </w:tcPr>
          <w:p>
            <w:pPr>
              <w:spacing w:after="0"/>
              <w:rPr>
                <w:sz w:val="1"/>
                <w:szCs w:val="1"/>
                <w:color w:val="auto"/>
              </w:rPr>
            </w:pPr>
          </w:p>
        </w:tc>
      </w:tr>
      <w:tr>
        <w:trPr>
          <w:trHeight w:val="246"/>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May 31, 2025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AngioDynamics, Inc. and Subsidiaries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Pr>
          <w:p>
            <w:pPr>
              <w:spacing w:after="0"/>
              <w:rPr>
                <w:sz w:val="16"/>
                <w:szCs w:val="16"/>
                <w:color w:val="auto"/>
              </w:rPr>
            </w:pPr>
          </w:p>
        </w:tc>
        <w:tc>
          <w:tcPr>
            <w:tcW w:w="5740" w:type="dxa"/>
            <w:vAlign w:val="bottom"/>
            <w:gridSpan w:val="10"/>
          </w:tcPr>
          <w:p>
            <w:pPr>
              <w:jc w:val="right"/>
              <w:ind w:right="995"/>
              <w:spacing w:after="0"/>
              <w:rPr>
                <w:sz w:val="20"/>
                <w:szCs w:val="20"/>
                <w:color w:val="auto"/>
              </w:rPr>
            </w:pPr>
            <w:r>
              <w:rPr>
                <w:rFonts w:ascii="Times New Roman" w:cs="Times New Roman" w:eastAsia="Times New Roman" w:hAnsi="Times New Roman"/>
                <w:sz w:val="14"/>
                <w:szCs w:val="14"/>
                <w:color w:val="auto"/>
              </w:rPr>
              <w:t>SCHEDULE II -VALUATION AND QUALIFYING ACCOUNTS</w:t>
            </w:r>
          </w:p>
        </w:tc>
        <w:tc>
          <w:tcPr>
            <w:tcW w:w="0" w:type="dxa"/>
            <w:vAlign w:val="bottom"/>
          </w:tcPr>
          <w:p>
            <w:pPr>
              <w:spacing w:after="0"/>
              <w:rPr>
                <w:sz w:val="1"/>
                <w:szCs w:val="1"/>
                <w:color w:val="auto"/>
              </w:rPr>
            </w:pPr>
          </w:p>
        </w:tc>
      </w:tr>
      <w:tr>
        <w:trPr>
          <w:trHeight w:val="25"/>
        </w:trPr>
        <w:tc>
          <w:tcPr>
            <w:tcW w:w="52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Description</w:t>
            </w:r>
          </w:p>
        </w:tc>
        <w:tc>
          <w:tcPr>
            <w:tcW w:w="15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color w:val="auto"/>
              </w:rPr>
              <w:t>Balance at Beginning</w:t>
            </w:r>
          </w:p>
        </w:tc>
        <w:tc>
          <w:tcPr>
            <w:tcW w:w="154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color w:val="auto"/>
              </w:rPr>
              <w:t>Additions - Charged to</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Deductions</w:t>
            </w:r>
          </w:p>
        </w:tc>
        <w:tc>
          <w:tcPr>
            <w:tcW w:w="220" w:type="dxa"/>
            <w:vAlign w:val="bottom"/>
          </w:tcPr>
          <w:p>
            <w:pPr>
              <w:spacing w:after="0"/>
              <w:rPr>
                <w:sz w:val="11"/>
                <w:szCs w:val="11"/>
                <w:color w:val="auto"/>
              </w:rPr>
            </w:pPr>
          </w:p>
        </w:tc>
        <w:tc>
          <w:tcPr>
            <w:tcW w:w="1220" w:type="dxa"/>
            <w:vAlign w:val="bottom"/>
          </w:tcPr>
          <w:p>
            <w:pPr>
              <w:jc w:val="right"/>
              <w:ind w:right="335"/>
              <w:spacing w:after="0" w:line="131" w:lineRule="exact"/>
              <w:rPr>
                <w:sz w:val="20"/>
                <w:szCs w:val="20"/>
                <w:color w:val="auto"/>
              </w:rPr>
            </w:pPr>
            <w:r>
              <w:rPr>
                <w:rFonts w:ascii="Times New Roman" w:cs="Times New Roman" w:eastAsia="Times New Roman" w:hAnsi="Times New Roman"/>
                <w:sz w:val="14"/>
                <w:szCs w:val="14"/>
                <w:color w:val="auto"/>
              </w:rPr>
              <w:t>Balance at</w:t>
            </w:r>
          </w:p>
        </w:tc>
        <w:tc>
          <w:tcPr>
            <w:tcW w:w="0" w:type="dxa"/>
            <w:vAlign w:val="bottom"/>
          </w:tcPr>
          <w:p>
            <w:pPr>
              <w:spacing w:after="0"/>
              <w:rPr>
                <w:sz w:val="1"/>
                <w:szCs w:val="1"/>
                <w:color w:val="auto"/>
              </w:rPr>
            </w:pPr>
          </w:p>
        </w:tc>
      </w:tr>
      <w:tr>
        <w:trPr>
          <w:trHeight w:val="191"/>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w w:val="99"/>
              </w:rPr>
              <w:t>of Year</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costs and expenses</w:t>
            </w: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35"/>
              <w:spacing w:after="0"/>
              <w:rPr>
                <w:sz w:val="20"/>
                <w:szCs w:val="20"/>
                <w:color w:val="auto"/>
              </w:rPr>
            </w:pPr>
            <w:r>
              <w:rPr>
                <w:rFonts w:ascii="Times New Roman" w:cs="Times New Roman" w:eastAsia="Times New Roman" w:hAnsi="Times New Roman"/>
                <w:sz w:val="14"/>
                <w:szCs w:val="14"/>
                <w:color w:val="auto"/>
              </w:rPr>
              <w:t>End of Period</w:t>
            </w:r>
          </w:p>
        </w:tc>
        <w:tc>
          <w:tcPr>
            <w:tcW w:w="0" w:type="dxa"/>
            <w:vAlign w:val="bottom"/>
          </w:tcPr>
          <w:p>
            <w:pPr>
              <w:spacing w:after="0"/>
              <w:rPr>
                <w:sz w:val="1"/>
                <w:szCs w:val="1"/>
                <w:color w:val="auto"/>
              </w:rPr>
            </w:pPr>
          </w:p>
        </w:tc>
      </w:tr>
      <w:tr>
        <w:trPr>
          <w:trHeight w:val="213"/>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2023</w:t>
            </w: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May 31, 2024</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Ended May 31, 2025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deferred tax asset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Pr>
          <w:p>
            <w:pPr>
              <w:spacing w:after="0"/>
              <w:rPr>
                <w:sz w:val="19"/>
                <w:szCs w:val="19"/>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58,440</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sales returns and doubtful accounts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20"/>
          </w:tcPr>
          <w:p>
            <w:pPr>
              <w:ind w:left="240"/>
              <w:spacing w:after="0"/>
              <w:rPr>
                <w:sz w:val="20"/>
                <w:szCs w:val="20"/>
                <w:color w:val="auto"/>
              </w:rPr>
            </w:pPr>
            <w:r>
              <w:rPr>
                <w:rFonts w:ascii="Times New Roman" w:cs="Times New Roman" w:eastAsia="Times New Roman" w:hAnsi="Times New Roman"/>
                <w:sz w:val="18"/>
                <w:szCs w:val="18"/>
                <w:color w:val="auto"/>
              </w:rPr>
              <w:t>Description of Exhibits</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Form</w:t>
            </w:r>
          </w:p>
        </w:tc>
        <w:tc>
          <w:tcPr>
            <w:tcW w:w="1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Exhibit</w:t>
            </w:r>
          </w:p>
        </w:tc>
        <w:tc>
          <w:tcPr>
            <w:tcW w:w="1460" w:type="dxa"/>
            <w:vAlign w:val="bottom"/>
            <w:tcBorders>
              <w:bottom w:val="single" w:sz="8" w:color="auto"/>
            </w:tcBorders>
          </w:tcPr>
          <w:p>
            <w:pPr>
              <w:jc w:val="center"/>
              <w:ind w:left="9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7"/>
              </w:rPr>
              <w:t>2.2</w:t>
            </w:r>
          </w:p>
        </w:tc>
        <w:tc>
          <w:tcPr>
            <w:tcW w:w="5180" w:type="dxa"/>
            <w:vAlign w:val="bottom"/>
            <w:gridSpan w:val="24"/>
            <w:shd w:val="clear" w:color="auto" w:fill="CCEEFF"/>
          </w:tcPr>
          <w:p>
            <w:pPr>
              <w:spacing w:after="0" w:line="181"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Asset Purchase Agreement dated as of June 8, 2023 by and between</w:t>
              </w:r>
            </w:hyperlink>
          </w:p>
        </w:tc>
        <w:tc>
          <w:tcPr>
            <w:tcW w:w="1180" w:type="dxa"/>
            <w:vAlign w:val="bottom"/>
            <w:shd w:val="clear" w:color="auto" w:fill="CCEEFF"/>
          </w:tcPr>
          <w:p>
            <w:pPr>
              <w:jc w:val="center"/>
              <w:ind w:right="11"/>
              <w:spacing w:after="0" w:line="181"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ind w:left="11"/>
              <w:spacing w:after="0" w:line="181" w:lineRule="exact"/>
              <w:rPr>
                <w:sz w:val="20"/>
                <w:szCs w:val="20"/>
                <w:color w:val="auto"/>
              </w:rPr>
            </w:pPr>
            <w:r>
              <w:rPr>
                <w:rFonts w:ascii="Times New Roman" w:cs="Times New Roman" w:eastAsia="Times New Roman" w:hAnsi="Times New Roman"/>
                <w:sz w:val="18"/>
                <w:szCs w:val="18"/>
                <w:color w:val="auto"/>
                <w:w w:val="97"/>
              </w:rPr>
              <w:t>2.4</w:t>
            </w:r>
          </w:p>
        </w:tc>
        <w:tc>
          <w:tcPr>
            <w:tcW w:w="1460" w:type="dxa"/>
            <w:vAlign w:val="bottom"/>
            <w:shd w:val="clear" w:color="auto" w:fill="CCEEFF"/>
          </w:tcPr>
          <w:p>
            <w:pPr>
              <w:jc w:val="center"/>
              <w:ind w:left="91"/>
              <w:spacing w:after="0" w:line="181" w:lineRule="exact"/>
              <w:rPr>
                <w:sz w:val="20"/>
                <w:szCs w:val="20"/>
                <w:color w:val="auto"/>
              </w:rPr>
            </w:pPr>
            <w:r>
              <w:rPr>
                <w:rFonts w:ascii="Times New Roman" w:cs="Times New Roman" w:eastAsia="Times New Roman" w:hAnsi="Times New Roman"/>
                <w:sz w:val="18"/>
                <w:szCs w:val="18"/>
                <w:color w:val="auto"/>
                <w:w w:val="99"/>
              </w:rPr>
              <w:t>June 14, 2023</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3920" w:type="dxa"/>
            <w:vAlign w:val="bottom"/>
            <w:tcBorders>
              <w:top w:val="single" w:sz="8" w:color="0000FF"/>
              <w:bottom w:val="single" w:sz="8" w:color="0000FF"/>
            </w:tcBorders>
            <w:gridSpan w:val="11"/>
            <w:shd w:val="clear" w:color="auto" w:fill="CCEEFF"/>
          </w:tcPr>
          <w:p>
            <w:pPr>
              <w:spacing w:after="0" w:line="168" w:lineRule="exact"/>
              <w:rPr>
                <w:rFonts w:ascii="Times New Roman" w:cs="Times New Roman" w:eastAsia="Times New Roman" w:hAnsi="Times New Roman"/>
                <w:sz w:val="18"/>
                <w:szCs w:val="18"/>
                <w:color w:val="0000FF"/>
                <w:w w:val="98"/>
              </w:rPr>
            </w:pPr>
            <w:hyperlink r:id="rId105">
              <w:r>
                <w:rPr>
                  <w:rFonts w:ascii="Times New Roman" w:cs="Times New Roman" w:eastAsia="Times New Roman" w:hAnsi="Times New Roman"/>
                  <w:sz w:val="18"/>
                  <w:szCs w:val="18"/>
                  <w:color w:val="0000FF"/>
                  <w:w w:val="98"/>
                </w:rPr>
                <w:t>AngioDynamics, Inc. and Merit Medical Systems, Inc.</w:t>
              </w:r>
            </w:hyperlink>
          </w:p>
        </w:tc>
        <w:tc>
          <w:tcPr>
            <w:tcW w:w="940" w:type="dxa"/>
            <w:vAlign w:val="bottom"/>
            <w:tcBorders>
              <w:top w:val="single" w:sz="8" w:color="0000FF"/>
              <w:bottom w:val="single" w:sz="8" w:color="CCEEFF"/>
            </w:tcBorders>
            <w:gridSpan w:val="7"/>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3.1.1</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Certificate of Incorporation.</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7"/>
              </w:rPr>
              <w:t>3.1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7, 2005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Certificate of Amendment to the Amended and Restated Certificate of</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3.1.2</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10, 2015</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0000FF"/>
              <w:bottom w:val="single" w:sz="8" w:color="0000FF"/>
            </w:tcBorders>
            <w:gridSpan w:val="6"/>
            <w:shd w:val="clear" w:color="auto" w:fill="CCEEFF"/>
          </w:tcPr>
          <w:p>
            <w:pPr>
              <w:spacing w:after="0" w:line="168" w:lineRule="exact"/>
              <w:rPr>
                <w:rFonts w:ascii="Times New Roman" w:cs="Times New Roman" w:eastAsia="Times New Roman" w:hAnsi="Times New Roman"/>
                <w:sz w:val="18"/>
                <w:szCs w:val="18"/>
                <w:color w:val="0000FF"/>
                <w:w w:val="98"/>
              </w:rPr>
            </w:pPr>
            <w:hyperlink r:id="rId107">
              <w:r>
                <w:rPr>
                  <w:rFonts w:ascii="Times New Roman" w:cs="Times New Roman" w:eastAsia="Times New Roman" w:hAnsi="Times New Roman"/>
                  <w:sz w:val="18"/>
                  <w:szCs w:val="18"/>
                  <w:color w:val="0000FF"/>
                  <w:w w:val="98"/>
                </w:rPr>
                <w:t>Incorporation of AngioDynamics, Inc.</w:t>
              </w:r>
            </w:hyperlink>
          </w:p>
        </w:tc>
        <w:tc>
          <w:tcPr>
            <w:tcW w:w="228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3.2</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Second Amended and Restated By-Laws, effective October 16, 2015.</w:t>
              </w:r>
            </w:hyperlink>
          </w:p>
        </w:tc>
        <w:tc>
          <w:tcPr>
            <w:tcW w:w="118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21, 2015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Credit Agreement, dated as of May 28, 2025, by and among</w:t>
              </w:r>
            </w:hyperlink>
          </w:p>
        </w:tc>
        <w:tc>
          <w:tcPr>
            <w:tcW w:w="118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28, 2025</w:t>
            </w:r>
          </w:p>
        </w:tc>
        <w:tc>
          <w:tcPr>
            <w:tcW w:w="0" w:type="dxa"/>
            <w:vAlign w:val="bottom"/>
          </w:tcPr>
          <w:p>
            <w:pPr>
              <w:spacing w:after="0"/>
              <w:rPr>
                <w:sz w:val="1"/>
                <w:szCs w:val="1"/>
                <w:color w:val="auto"/>
              </w:rPr>
            </w:pPr>
          </w:p>
        </w:tc>
      </w:tr>
      <w:tr>
        <w:trPr>
          <w:trHeight w:val="20"/>
        </w:trPr>
        <w:tc>
          <w:tcPr>
            <w:tcW w:w="980" w:type="dxa"/>
            <w:vAlign w:val="bottom"/>
            <w:shd w:val="clear" w:color="auto" w:fill="CCEE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980" w:type="dxa"/>
            <w:vAlign w:val="bottom"/>
            <w:shd w:val="clear" w:color="auto" w:fill="CCEEFF"/>
          </w:tcPr>
          <w:p>
            <w:pPr>
              <w:spacing w:after="0"/>
              <w:rPr>
                <w:sz w:val="14"/>
                <w:szCs w:val="14"/>
                <w:color w:val="auto"/>
              </w:rPr>
            </w:pPr>
          </w:p>
        </w:tc>
        <w:tc>
          <w:tcPr>
            <w:tcW w:w="5180" w:type="dxa"/>
            <w:vAlign w:val="bottom"/>
            <w:gridSpan w:val="24"/>
            <w:shd w:val="clear" w:color="auto" w:fill="CCEEFF"/>
          </w:tcPr>
          <w:p>
            <w:pPr>
              <w:spacing w:after="0" w:line="168"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AngioDynamics, Inc., RITA Medical Systems, LLC, the lenders party</w:t>
              </w:r>
            </w:hyperlink>
          </w:p>
        </w:tc>
        <w:tc>
          <w:tcPr>
            <w:tcW w:w="1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5000" w:type="dxa"/>
            <w:vAlign w:val="bottom"/>
            <w:tcBorders>
              <w:top w:val="single" w:sz="8" w:color="0000FF"/>
              <w:bottom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thereto, JPMorgan Chase Bank, N.A., individually and as administrative</w:t>
              </w:r>
            </w:hyperlink>
          </w:p>
        </w:tc>
        <w:tc>
          <w:tcPr>
            <w:tcW w:w="6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980" w:type="dxa"/>
            <w:vAlign w:val="bottom"/>
            <w:tcBorders>
              <w:bottom w:val="single" w:sz="8" w:color="CCEEFF"/>
            </w:tcBorders>
            <w:shd w:val="clear" w:color="auto" w:fill="CCEEFF"/>
          </w:tcPr>
          <w:p>
            <w:pPr>
              <w:spacing w:after="0"/>
              <w:rPr>
                <w:sz w:val="15"/>
                <w:szCs w:val="15"/>
                <w:color w:val="auto"/>
              </w:rPr>
            </w:pPr>
          </w:p>
        </w:tc>
        <w:tc>
          <w:tcPr>
            <w:tcW w:w="2940" w:type="dxa"/>
            <w:vAlign w:val="bottom"/>
            <w:tcBorders>
              <w:bottom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agent, issuing bank and swingline lender.</w:t>
              </w:r>
            </w:hyperlink>
          </w:p>
        </w:tc>
        <w:tc>
          <w:tcPr>
            <w:tcW w:w="2220" w:type="dxa"/>
            <w:vAlign w:val="bottom"/>
            <w:tcBorders>
              <w:bottom w:val="single" w:sz="8" w:color="CCEEFF"/>
            </w:tcBorders>
            <w:gridSpan w:val="16"/>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10.1.3</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AngioDynamics, Inc. 2004 Stock and Incentive Award Plan (as</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tcPr>
          <w:p>
            <w:pPr>
              <w:spacing w:after="0"/>
              <w:rPr>
                <w:sz w:val="16"/>
                <w:szCs w:val="16"/>
                <w:color w:val="auto"/>
              </w:rPr>
            </w:pP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August 30, 2018</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52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w:t>
              </w:r>
            </w:hyperlink>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10.1.6</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AngioDynamics 2017 Total Shareholder Return Performance Unit</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29,</w:t>
            </w:r>
          </w:p>
        </w:tc>
        <w:tc>
          <w:tcPr>
            <w:tcW w:w="0" w:type="dxa"/>
            <w:vAlign w:val="bottom"/>
          </w:tcPr>
          <w:p>
            <w:pPr>
              <w:spacing w:after="0"/>
              <w:rPr>
                <w:sz w:val="1"/>
                <w:szCs w:val="1"/>
                <w:color w:val="auto"/>
              </w:rPr>
            </w:pPr>
          </w:p>
        </w:tc>
      </w:tr>
      <w:tr>
        <w:trPr>
          <w:trHeight w:val="167"/>
        </w:trPr>
        <w:tc>
          <w:tcPr>
            <w:tcW w:w="980" w:type="dxa"/>
            <w:vAlign w:val="bottom"/>
            <w:tcBorders>
              <w:top w:val="single" w:sz="8" w:color="CCEEFF"/>
            </w:tcBorders>
            <w:shd w:val="clear" w:color="auto" w:fill="CCEEFF"/>
          </w:tcPr>
          <w:p>
            <w:pPr>
              <w:spacing w:after="0"/>
              <w:rPr>
                <w:sz w:val="14"/>
                <w:szCs w:val="14"/>
                <w:color w:val="auto"/>
              </w:rPr>
            </w:pPr>
          </w:p>
        </w:tc>
        <w:tc>
          <w:tcPr>
            <w:tcW w:w="4740" w:type="dxa"/>
            <w:vAlign w:val="bottom"/>
            <w:tcBorders>
              <w:top w:val="single" w:sz="8" w:color="0000FF"/>
            </w:tcBorders>
            <w:gridSpan w:val="16"/>
            <w:shd w:val="clear" w:color="auto" w:fill="CCEEFF"/>
          </w:tcPr>
          <w:p>
            <w:pPr>
              <w:spacing w:after="0" w:line="168"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Agreement Program.</w:t>
              </w:r>
            </w:hyperlink>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gridSpan w:val="5"/>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11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61"/>
        </w:trPr>
        <w:tc>
          <w:tcPr>
            <w:tcW w:w="98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560" w:type="dxa"/>
            <w:vAlign w:val="bottom"/>
            <w:tcBorders>
              <w:top w:val="single" w:sz="8" w:color="0000FF"/>
            </w:tcBorders>
            <w:shd w:val="clear" w:color="auto" w:fill="CCEEFF"/>
          </w:tcPr>
          <w:p>
            <w:pPr>
              <w:spacing w:after="0"/>
              <w:rPr>
                <w:sz w:val="22"/>
                <w:szCs w:val="22"/>
                <w:color w:val="auto"/>
              </w:rPr>
            </w:pPr>
          </w:p>
        </w:tc>
        <w:tc>
          <w:tcPr>
            <w:tcW w:w="7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10.1.7</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AngioDynamics 2018 Total Shareholder Return Performance Unit</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10.1.7</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74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Agreement Program.</w:t>
              </w:r>
            </w:hyperlink>
          </w:p>
        </w:tc>
        <w:tc>
          <w:tcPr>
            <w:tcW w:w="100" w:type="dxa"/>
            <w:vAlign w:val="bottom"/>
          </w:tcPr>
          <w:p>
            <w:pPr>
              <w:spacing w:after="0"/>
              <w:rPr>
                <w:sz w:val="14"/>
                <w:szCs w:val="14"/>
                <w:color w:val="auto"/>
              </w:rPr>
            </w:pPr>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10.1.8</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AngioDynamics 2019 Total Shareholder Return Performance Unit</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10.1.8</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2020</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0000FF"/>
              <w:bottom w:val="single" w:sz="8" w:color="0000FF"/>
            </w:tcBorders>
            <w:gridSpan w:val="4"/>
            <w:shd w:val="clear" w:color="auto" w:fill="CCEEFF"/>
          </w:tcPr>
          <w:p>
            <w:pPr>
              <w:spacing w:after="0" w:line="168" w:lineRule="exact"/>
              <w:rPr>
                <w:rFonts w:ascii="Times New Roman" w:cs="Times New Roman" w:eastAsia="Times New Roman" w:hAnsi="Times New Roman"/>
                <w:sz w:val="18"/>
                <w:szCs w:val="18"/>
                <w:color w:val="0000FF"/>
                <w:w w:val="98"/>
              </w:rPr>
            </w:pPr>
            <w:hyperlink r:id="rId113">
              <w:r>
                <w:rPr>
                  <w:rFonts w:ascii="Times New Roman" w:cs="Times New Roman" w:eastAsia="Times New Roman" w:hAnsi="Times New Roman"/>
                  <w:sz w:val="18"/>
                  <w:szCs w:val="18"/>
                  <w:color w:val="0000FF"/>
                  <w:w w:val="98"/>
                </w:rPr>
                <w:t>Agreement Program.</w:t>
              </w:r>
            </w:hyperlink>
          </w:p>
        </w:tc>
        <w:tc>
          <w:tcPr>
            <w:tcW w:w="324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10.1.9</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AngioDynamics, Inc. 2020 Stock and Incentive Award Plan (as</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tcPr>
          <w:p>
            <w:pPr>
              <w:spacing w:after="0"/>
              <w:rPr>
                <w:sz w:val="16"/>
                <w:szCs w:val="16"/>
                <w:color w:val="auto"/>
              </w:rPr>
            </w:pP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28,</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52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amended)</w:t>
              </w:r>
            </w:hyperlink>
          </w:p>
        </w:tc>
        <w:tc>
          <w:tcPr>
            <w:tcW w:w="6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2023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AngioDynamics, Inc. Employee Stock Purchase Plan (as amended).</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DEF 14A</w:t>
            </w:r>
          </w:p>
        </w:tc>
        <w:tc>
          <w:tcPr>
            <w:tcW w:w="1000" w:type="dxa"/>
            <w:vAlign w:val="bottom"/>
            <w:shd w:val="clear" w:color="auto" w:fill="CCEEFF"/>
          </w:tcPr>
          <w:p>
            <w:pPr>
              <w:spacing w:after="0"/>
              <w:rPr>
                <w:sz w:val="16"/>
                <w:szCs w:val="16"/>
                <w:color w:val="auto"/>
              </w:rPr>
            </w:pP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w:t>
            </w:r>
          </w:p>
        </w:tc>
        <w:tc>
          <w:tcPr>
            <w:tcW w:w="0" w:type="dxa"/>
            <w:vAlign w:val="bottom"/>
          </w:tcPr>
          <w:p>
            <w:pPr>
              <w:spacing w:after="0"/>
              <w:rPr>
                <w:sz w:val="1"/>
                <w:szCs w:val="1"/>
                <w:color w:val="auto"/>
              </w:rPr>
            </w:pPr>
          </w:p>
        </w:tc>
      </w:tr>
      <w:tr>
        <w:trPr>
          <w:trHeight w:val="208"/>
        </w:trPr>
        <w:tc>
          <w:tcPr>
            <w:tcW w:w="9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560" w:type="dxa"/>
            <w:vAlign w:val="bottom"/>
            <w:tcBorders>
              <w:top w:val="single" w:sz="8" w:color="0000FF"/>
            </w:tcBorders>
            <w:shd w:val="clear" w:color="auto" w:fill="CCEEFF"/>
          </w:tcPr>
          <w:p>
            <w:pPr>
              <w:spacing w:after="0"/>
              <w:rPr>
                <w:sz w:val="18"/>
                <w:szCs w:val="18"/>
                <w:color w:val="auto"/>
              </w:rPr>
            </w:pPr>
          </w:p>
        </w:tc>
        <w:tc>
          <w:tcPr>
            <w:tcW w:w="78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right w:val="single" w:sz="8" w:color="CCEE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16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jc w:val="center"/>
              <w:ind w:left="91"/>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Non-Statutory Stock Option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October 12, 2004</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58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AngioDynamics, Inc. Stock and Incentive Award Plan.</w:t>
              </w:r>
            </w:hyperlink>
          </w:p>
        </w:tc>
        <w:tc>
          <w:tcPr>
            <w:tcW w:w="260" w:type="dxa"/>
            <w:vAlign w:val="bottom"/>
            <w:gridSpan w:val="2"/>
          </w:tcPr>
          <w:p>
            <w:pPr>
              <w:spacing w:after="0"/>
              <w:rPr>
                <w:sz w:val="14"/>
                <w:szCs w:val="14"/>
                <w:color w:val="auto"/>
              </w:rPr>
            </w:pPr>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10.3.1</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Form of Non-Statutory Stock Option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10.3.1</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3920" w:type="dxa"/>
            <w:vAlign w:val="bottom"/>
            <w:tcBorders>
              <w:top w:val="single" w:sz="8" w:color="0000FF"/>
              <w:bottom w:val="single" w:sz="8" w:color="0000FF"/>
            </w:tcBorders>
            <w:gridSpan w:val="11"/>
            <w:shd w:val="clear" w:color="auto" w:fill="CCEEFF"/>
          </w:tcPr>
          <w:p>
            <w:pPr>
              <w:spacing w:after="0" w:line="168"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AngioDynamics, Inc. Stock and Incentive Award Plan.</w:t>
              </w:r>
            </w:hyperlink>
          </w:p>
        </w:tc>
        <w:tc>
          <w:tcPr>
            <w:tcW w:w="66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10.4.3</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2016 Performance Share Award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October 5, 2016</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840" w:type="dxa"/>
            <w:vAlign w:val="bottom"/>
            <w:tcBorders>
              <w:top w:val="single" w:sz="8" w:color="0000FF"/>
            </w:tcBorders>
            <w:gridSpan w:val="17"/>
          </w:tcPr>
          <w:p>
            <w:pPr>
              <w:spacing w:after="0" w:line="168"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AngioDynamics, Inc. 2004 Stock and Incentive Award Plan.</w:t>
              </w:r>
            </w:hyperlink>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10.4.4</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2017 Performance Share Award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29,</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right w:val="single" w:sz="8" w:color="CCEEFF"/>
            </w:tcBorders>
            <w:gridSpan w:val="13"/>
            <w:shd w:val="clear" w:color="auto" w:fill="CCEEFF"/>
          </w:tcPr>
          <w:p>
            <w:pPr>
              <w:spacing w:after="0" w:line="168"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AngioDynamics, Inc. 2004 Stock and Incentive Award Plan.</w:t>
              </w:r>
            </w:hyperlink>
          </w:p>
        </w:tc>
        <w:tc>
          <w:tcPr>
            <w:tcW w:w="5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10.4.5</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2018 Performance Share Award Agreement pursuant to the</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10.4.5</w:t>
            </w:r>
          </w:p>
        </w:tc>
        <w:tc>
          <w:tcPr>
            <w:tcW w:w="146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July 23, 2018</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840" w:type="dxa"/>
            <w:vAlign w:val="bottom"/>
            <w:tcBorders>
              <w:top w:val="single" w:sz="8" w:color="0000FF"/>
            </w:tcBorders>
            <w:gridSpan w:val="17"/>
          </w:tcPr>
          <w:p>
            <w:pPr>
              <w:spacing w:after="0" w:line="168"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AngioDynamics, Inc. 2004 Stock and Incentive Award Plan.</w:t>
              </w:r>
            </w:hyperlink>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10.4.6</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2020 Performance Share Award Agreement pursuant to the</w:t>
              </w:r>
            </w:hyperlink>
          </w:p>
        </w:tc>
        <w:tc>
          <w:tcPr>
            <w:tcW w:w="11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10.4.6</w:t>
            </w:r>
          </w:p>
        </w:tc>
        <w:tc>
          <w:tcPr>
            <w:tcW w:w="1460" w:type="dxa"/>
            <w:vAlign w:val="bottom"/>
            <w:shd w:val="clear" w:color="auto" w:fill="CCEEFF"/>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9"/>
              </w:rPr>
              <w:t>January 8, 2021</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right w:val="single" w:sz="8" w:color="CCEEFF"/>
            </w:tcBorders>
            <w:gridSpan w:val="13"/>
            <w:shd w:val="clear" w:color="auto" w:fill="CCEEFF"/>
          </w:tcPr>
          <w:p>
            <w:pPr>
              <w:spacing w:after="0" w:line="168"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AngioDynamics, Inc. 2004 Stock and Incentive Award Plan</w:t>
              </w:r>
            </w:hyperlink>
          </w:p>
        </w:tc>
        <w:tc>
          <w:tcPr>
            <w:tcW w:w="520" w:type="dxa"/>
            <w:vAlign w:val="bottom"/>
            <w:tcBorders>
              <w:top w:val="single" w:sz="8" w:color="0000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7"/>
              </w:rPr>
              <w:t>10.4.7</w:t>
            </w:r>
          </w:p>
        </w:tc>
        <w:tc>
          <w:tcPr>
            <w:tcW w:w="5180" w:type="dxa"/>
            <w:vAlign w:val="bottom"/>
            <w:gridSpan w:val="24"/>
          </w:tcPr>
          <w:p>
            <w:pPr>
              <w:spacing w:after="0" w:line="18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Performance Share Award Agreement pursuant to the 2020</w:t>
              </w:r>
            </w:hyperlink>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840" w:type="dxa"/>
            <w:vAlign w:val="bottom"/>
            <w:tcBorders>
              <w:top w:val="single" w:sz="8" w:color="0000FF"/>
            </w:tcBorders>
            <w:gridSpan w:val="17"/>
          </w:tcPr>
          <w:p>
            <w:pPr>
              <w:spacing w:after="0" w:line="168"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Stock and Incentive Award Plan</w:t>
              </w:r>
            </w:hyperlink>
          </w:p>
        </w:tc>
        <w:tc>
          <w:tcPr>
            <w:tcW w:w="220" w:type="dxa"/>
            <w:vAlign w:val="bottom"/>
            <w:gridSpan w:val="5"/>
          </w:tcPr>
          <w:p>
            <w:pPr>
              <w:spacing w:after="0"/>
              <w:rPr>
                <w:sz w:val="14"/>
                <w:szCs w:val="14"/>
                <w:color w:val="auto"/>
              </w:rPr>
            </w:pPr>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jc w:val="center"/>
              <w:ind w:left="91"/>
              <w:spacing w:after="0" w:line="168" w:lineRule="exact"/>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5180" w:type="dxa"/>
            <w:vAlign w:val="bottom"/>
            <w:gridSpan w:val="24"/>
            <w:shd w:val="clear" w:color="auto" w:fill="CCEEFF"/>
          </w:tcPr>
          <w:p>
            <w:pPr>
              <w:spacing w:after="0" w:line="188"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Form of Restricted Stock Award Agreement pursuant to the</w:t>
              </w:r>
            </w:hyperlink>
          </w:p>
        </w:tc>
        <w:tc>
          <w:tcPr>
            <w:tcW w:w="118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shd w:val="clear" w:color="auto" w:fill="CCEEFF"/>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46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9"/>
              </w:rPr>
              <w:t>May 12, 2005</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4320" w:type="dxa"/>
            <w:vAlign w:val="bottom"/>
            <w:tcBorders>
              <w:top w:val="single" w:sz="8" w:color="0000FF"/>
              <w:bottom w:val="single" w:sz="8" w:color="0000FF"/>
              <w:right w:val="single" w:sz="8" w:color="CCEEFF"/>
            </w:tcBorders>
            <w:gridSpan w:val="13"/>
            <w:shd w:val="clear" w:color="auto" w:fill="CCEEFF"/>
          </w:tcPr>
          <w:p>
            <w:pPr>
              <w:spacing w:after="0" w:line="168" w:lineRule="exact"/>
              <w:rPr>
                <w:rFonts w:ascii="Times New Roman" w:cs="Times New Roman" w:eastAsia="Times New Roman" w:hAnsi="Times New Roman"/>
                <w:sz w:val="18"/>
                <w:szCs w:val="18"/>
                <w:color w:val="0000FF"/>
                <w:w w:val="97"/>
              </w:rPr>
            </w:pPr>
            <w:hyperlink r:id="rId122">
              <w:r>
                <w:rPr>
                  <w:rFonts w:ascii="Times New Roman" w:cs="Times New Roman" w:eastAsia="Times New Roman" w:hAnsi="Times New Roman"/>
                  <w:sz w:val="18"/>
                  <w:szCs w:val="18"/>
                  <w:color w:val="0000FF"/>
                  <w:w w:val="97"/>
                </w:rPr>
                <w:t>AngioDynamics, Inc. 2004 Stock and Incentive Award Plan.</w:t>
              </w:r>
            </w:hyperlink>
          </w:p>
        </w:tc>
        <w:tc>
          <w:tcPr>
            <w:tcW w:w="740" w:type="dxa"/>
            <w:vAlign w:val="bottom"/>
            <w:tcBorders>
              <w:top w:val="single" w:sz="8" w:color="CCEEFF"/>
              <w:bottom w:val="single" w:sz="8" w:color="CCEEFF"/>
            </w:tcBorders>
            <w:gridSpan w:val="9"/>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10.6</w:t>
            </w:r>
          </w:p>
        </w:tc>
        <w:tc>
          <w:tcPr>
            <w:tcW w:w="3900" w:type="dxa"/>
            <w:vAlign w:val="bottom"/>
            <w:tcBorders>
              <w:bottom w:val="single" w:sz="8" w:color="0000FF"/>
            </w:tcBorders>
            <w:gridSpan w:val="10"/>
          </w:tcPr>
          <w:p>
            <w:pPr>
              <w:spacing w:after="0" w:line="188" w:lineRule="exact"/>
              <w:rPr>
                <w:rFonts w:ascii="Times New Roman" w:cs="Times New Roman" w:eastAsia="Times New Roman" w:hAnsi="Times New Roman"/>
                <w:sz w:val="18"/>
                <w:szCs w:val="18"/>
                <w:color w:val="0000FF"/>
                <w:w w:val="98"/>
              </w:rPr>
            </w:pPr>
            <w:hyperlink r:id="rId123">
              <w:r>
                <w:rPr>
                  <w:rFonts w:ascii="Times New Roman" w:cs="Times New Roman" w:eastAsia="Times New Roman" w:hAnsi="Times New Roman"/>
                  <w:sz w:val="18"/>
                  <w:szCs w:val="18"/>
                  <w:color w:val="0000FF"/>
                  <w:w w:val="98"/>
                </w:rPr>
                <w:t>Rita Medical Systems, Inc. 1994 Incentive Stock Plan.</w:t>
              </w:r>
            </w:hyperlink>
          </w:p>
        </w:tc>
        <w:tc>
          <w:tcPr>
            <w:tcW w:w="1280" w:type="dxa"/>
            <w:vAlign w:val="bottom"/>
            <w:gridSpan w:val="14"/>
          </w:tcPr>
          <w:p>
            <w:pPr>
              <w:spacing w:after="0"/>
              <w:rPr>
                <w:sz w:val="16"/>
                <w:szCs w:val="16"/>
                <w:color w:val="auto"/>
              </w:rPr>
            </w:pPr>
          </w:p>
        </w:tc>
        <w:tc>
          <w:tcPr>
            <w:tcW w:w="11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000" w:type="dxa"/>
            <w:vAlign w:val="bottom"/>
          </w:tcPr>
          <w:p>
            <w:pPr>
              <w:jc w:val="center"/>
              <w:ind w:left="1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60" w:type="dxa"/>
            <w:vAlign w:val="bottom"/>
          </w:tcPr>
          <w:p>
            <w:pPr>
              <w:jc w:val="center"/>
              <w:ind w:left="111"/>
              <w:spacing w:after="0" w:line="188" w:lineRule="exact"/>
              <w:rPr>
                <w:sz w:val="20"/>
                <w:szCs w:val="20"/>
                <w:color w:val="auto"/>
              </w:rPr>
            </w:pPr>
            <w:r>
              <w:rPr>
                <w:rFonts w:ascii="Times New Roman" w:cs="Times New Roman" w:eastAsia="Times New Roman" w:hAnsi="Times New Roman"/>
                <w:sz w:val="18"/>
                <w:szCs w:val="18"/>
                <w:color w:val="auto"/>
                <w:w w:val="98"/>
              </w:rPr>
              <w:t>May 3, 2000</w:t>
            </w:r>
          </w:p>
        </w:tc>
        <w:tc>
          <w:tcPr>
            <w:tcW w:w="0" w:type="dxa"/>
            <w:vAlign w:val="bottom"/>
          </w:tcPr>
          <w:p>
            <w:pPr>
              <w:spacing w:after="0"/>
              <w:rPr>
                <w:sz w:val="1"/>
                <w:szCs w:val="1"/>
                <w:color w:val="auto"/>
              </w:rPr>
            </w:pPr>
          </w:p>
        </w:tc>
      </w:tr>
      <w:tr>
        <w:trPr>
          <w:trHeight w:val="20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518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Horizon Medical Products, Inc. 1998 Stock Incentive Plan.</w:t>
              </w:r>
            </w:hyperlink>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4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February 13,</w:t>
            </w:r>
          </w:p>
        </w:tc>
        <w:tc>
          <w:tcPr>
            <w:tcW w:w="0" w:type="dxa"/>
            <w:vAlign w:val="bottom"/>
          </w:tcPr>
          <w:p>
            <w:pPr>
              <w:spacing w:after="0"/>
              <w:rPr>
                <w:sz w:val="1"/>
                <w:szCs w:val="1"/>
                <w:color w:val="auto"/>
              </w:rPr>
            </w:pPr>
          </w:p>
        </w:tc>
      </w:tr>
      <w:tr>
        <w:trPr>
          <w:trHeight w:val="203"/>
        </w:trPr>
        <w:tc>
          <w:tcPr>
            <w:tcW w:w="980" w:type="dxa"/>
            <w:vAlign w:val="bottom"/>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tcPr>
          <w:p>
            <w:pPr>
              <w:jc w:val="center"/>
              <w:ind w:left="91"/>
              <w:spacing w:after="0" w:line="202" w:lineRule="exact"/>
              <w:rPr>
                <w:sz w:val="20"/>
                <w:szCs w:val="20"/>
                <w:color w:val="auto"/>
              </w:rPr>
            </w:pPr>
            <w:r>
              <w:rPr>
                <w:rFonts w:ascii="Times New Roman" w:cs="Times New Roman" w:eastAsia="Times New Roman" w:hAnsi="Times New Roman"/>
                <w:sz w:val="18"/>
                <w:szCs w:val="18"/>
                <w:color w:val="auto"/>
                <w:w w:val="99"/>
              </w:rPr>
              <w:t>1998</w:t>
            </w:r>
          </w:p>
        </w:tc>
        <w:tc>
          <w:tcPr>
            <w:tcW w:w="0" w:type="dxa"/>
            <w:vAlign w:val="bottom"/>
          </w:tcPr>
          <w:p>
            <w:pPr>
              <w:spacing w:after="0"/>
              <w:rPr>
                <w:sz w:val="1"/>
                <w:szCs w:val="1"/>
                <w:color w:val="auto"/>
              </w:rPr>
            </w:pPr>
          </w:p>
        </w:tc>
      </w:tr>
      <w:tr>
        <w:trPr>
          <w:trHeight w:val="192"/>
        </w:trPr>
        <w:tc>
          <w:tcPr>
            <w:tcW w:w="9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rPr>
              <w:t>10.8</w:t>
            </w:r>
          </w:p>
        </w:tc>
        <w:tc>
          <w:tcPr>
            <w:tcW w:w="5180" w:type="dxa"/>
            <w:vAlign w:val="bottom"/>
            <w:gridSpan w:val="24"/>
          </w:tcPr>
          <w:p>
            <w:pPr>
              <w:spacing w:after="0" w:line="193"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Rita Medical Systems, Inc. 2000 Stock Plan.</w:t>
              </w:r>
            </w:hyperlink>
          </w:p>
        </w:tc>
        <w:tc>
          <w:tcPr>
            <w:tcW w:w="1180" w:type="dxa"/>
            <w:vAlign w:val="bottom"/>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S-1/A</w:t>
            </w:r>
          </w:p>
        </w:tc>
        <w:tc>
          <w:tcPr>
            <w:tcW w:w="1000" w:type="dxa"/>
            <w:vAlign w:val="bottom"/>
          </w:tcPr>
          <w:p>
            <w:pPr>
              <w:jc w:val="center"/>
              <w:ind w:left="11"/>
              <w:spacing w:after="0" w:line="193" w:lineRule="exact"/>
              <w:rPr>
                <w:sz w:val="20"/>
                <w:szCs w:val="20"/>
                <w:color w:val="auto"/>
              </w:rPr>
            </w:pPr>
            <w:r>
              <w:rPr>
                <w:rFonts w:ascii="Times New Roman" w:cs="Times New Roman" w:eastAsia="Times New Roman" w:hAnsi="Times New Roman"/>
                <w:sz w:val="18"/>
                <w:szCs w:val="18"/>
                <w:color w:val="auto"/>
                <w:w w:val="95"/>
              </w:rPr>
              <w:t>10.3</w:t>
            </w:r>
          </w:p>
        </w:tc>
        <w:tc>
          <w:tcPr>
            <w:tcW w:w="1460" w:type="dxa"/>
            <w:vAlign w:val="bottom"/>
          </w:tcPr>
          <w:p>
            <w:pPr>
              <w:jc w:val="center"/>
              <w:ind w:left="91"/>
              <w:spacing w:after="0" w:line="193" w:lineRule="exact"/>
              <w:rPr>
                <w:sz w:val="20"/>
                <w:szCs w:val="20"/>
                <w:color w:val="auto"/>
              </w:rPr>
            </w:pPr>
            <w:r>
              <w:rPr>
                <w:rFonts w:ascii="Times New Roman" w:cs="Times New Roman" w:eastAsia="Times New Roman" w:hAnsi="Times New Roman"/>
                <w:sz w:val="18"/>
                <w:szCs w:val="18"/>
                <w:color w:val="auto"/>
                <w:w w:val="99"/>
              </w:rPr>
              <w:t>June 14, 2000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880" w:type="dxa"/>
            <w:vAlign w:val="bottom"/>
            <w:gridSpan w:val="1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5180" w:type="dxa"/>
            <w:vAlign w:val="bottom"/>
            <w:gridSpan w:val="2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Rita Medical Systems, Inc. 2000 Directors’ Stock Plan, as amended on</w:t>
              </w:r>
            </w:hyperlink>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100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95"/>
              </w:rPr>
              <w:t>99.2</w:t>
            </w:r>
          </w:p>
        </w:tc>
        <w:tc>
          <w:tcPr>
            <w:tcW w:w="1460" w:type="dxa"/>
            <w:vAlign w:val="bottom"/>
          </w:tcPr>
          <w:p>
            <w:pPr>
              <w:jc w:val="center"/>
              <w:ind w:left="91"/>
              <w:spacing w:after="0"/>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5060" w:type="dxa"/>
            <w:vAlign w:val="bottom"/>
            <w:tcBorders>
              <w:top w:val="single" w:sz="8" w:color="0000FF"/>
            </w:tcBorders>
            <w:gridSpan w:val="22"/>
          </w:tcPr>
          <w:p>
            <w:pPr>
              <w:spacing w:after="0" w:line="168"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June 8, 2005.</w:t>
              </w:r>
            </w:hyperlink>
          </w:p>
        </w:tc>
        <w:tc>
          <w:tcPr>
            <w:tcW w:w="12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884" w:right="1440"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Exhibit</w:t>
            </w: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54"/>
        </w:trPr>
        <w:tc>
          <w:tcPr>
            <w:tcW w:w="9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1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21"/>
          </w:tcPr>
          <w:p>
            <w:pPr>
              <w:ind w:left="220"/>
              <w:spacing w:after="0"/>
              <w:rPr>
                <w:sz w:val="20"/>
                <w:szCs w:val="20"/>
                <w:color w:val="auto"/>
              </w:rPr>
            </w:pPr>
            <w:r>
              <w:rPr>
                <w:rFonts w:ascii="Times New Roman" w:cs="Times New Roman" w:eastAsia="Times New Roman" w:hAnsi="Times New Roman"/>
                <w:sz w:val="18"/>
                <w:szCs w:val="18"/>
                <w:color w:val="auto"/>
              </w:rPr>
              <w:t>Description of Exhibits</w:t>
            </w:r>
          </w:p>
        </w:tc>
        <w:tc>
          <w:tcPr>
            <w:tcW w:w="840" w:type="dxa"/>
            <w:vAlign w:val="bottom"/>
            <w:tcBorders>
              <w:bottom w:val="single" w:sz="8" w:color="auto"/>
            </w:tcBorders>
          </w:tcPr>
          <w:p>
            <w:pPr>
              <w:jc w:val="center"/>
              <w:ind w:left="171"/>
              <w:spacing w:after="0"/>
              <w:rPr>
                <w:sz w:val="20"/>
                <w:szCs w:val="20"/>
                <w:color w:val="auto"/>
              </w:rPr>
            </w:pPr>
            <w:r>
              <w:rPr>
                <w:rFonts w:ascii="Times New Roman" w:cs="Times New Roman" w:eastAsia="Times New Roman" w:hAnsi="Times New Roman"/>
                <w:sz w:val="18"/>
                <w:szCs w:val="18"/>
                <w:color w:val="auto"/>
                <w:w w:val="97"/>
              </w:rPr>
              <w:t>Form</w:t>
            </w:r>
          </w:p>
        </w:tc>
        <w:tc>
          <w:tcPr>
            <w:tcW w:w="13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Exhibit</w:t>
            </w:r>
          </w:p>
        </w:tc>
        <w:tc>
          <w:tcPr>
            <w:tcW w:w="144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Filing Date</w:t>
            </w:r>
          </w:p>
        </w:tc>
        <w:tc>
          <w:tcPr>
            <w:tcW w:w="0" w:type="dxa"/>
            <w:vAlign w:val="bottom"/>
          </w:tcPr>
          <w:p>
            <w:pPr>
              <w:spacing w:after="0"/>
              <w:rPr>
                <w:sz w:val="1"/>
                <w:szCs w:val="1"/>
                <w:color w:val="auto"/>
              </w:rPr>
            </w:pPr>
          </w:p>
        </w:tc>
      </w:tr>
      <w:tr>
        <w:trPr>
          <w:trHeight w:val="201"/>
        </w:trPr>
        <w:tc>
          <w:tcPr>
            <w:tcW w:w="980" w:type="dxa"/>
            <w:vAlign w:val="bottom"/>
            <w:tcBorders>
              <w:bottom w:val="single" w:sz="8" w:color="CCEEFF"/>
            </w:tcBorders>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10.10</w:t>
            </w:r>
          </w:p>
        </w:tc>
        <w:tc>
          <w:tcPr>
            <w:tcW w:w="4200" w:type="dxa"/>
            <w:vAlign w:val="bottom"/>
            <w:tcBorders>
              <w:bottom w:val="single" w:sz="8" w:color="0000FF"/>
            </w:tcBorders>
            <w:gridSpan w:val="10"/>
            <w:shd w:val="clear" w:color="auto" w:fill="CCEEFF"/>
          </w:tcPr>
          <w:p>
            <w:pPr>
              <w:spacing w:after="0" w:line="181" w:lineRule="exact"/>
              <w:rPr>
                <w:rFonts w:ascii="Times New Roman" w:cs="Times New Roman" w:eastAsia="Times New Roman" w:hAnsi="Times New Roman"/>
                <w:sz w:val="18"/>
                <w:szCs w:val="18"/>
                <w:color w:val="0000FF"/>
                <w:w w:val="98"/>
              </w:rPr>
            </w:pPr>
            <w:hyperlink r:id="rId128">
              <w:r>
                <w:rPr>
                  <w:rFonts w:ascii="Times New Roman" w:cs="Times New Roman" w:eastAsia="Times New Roman" w:hAnsi="Times New Roman"/>
                  <w:sz w:val="18"/>
                  <w:szCs w:val="18"/>
                  <w:color w:val="0000FF"/>
                  <w:w w:val="98"/>
                </w:rPr>
                <w:t>Rita Medical Systems, Inc. 2005 Stock and Incentive Plan.</w:t>
              </w:r>
            </w:hyperlink>
          </w:p>
        </w:tc>
        <w:tc>
          <w:tcPr>
            <w:tcW w:w="980" w:type="dxa"/>
            <w:vAlign w:val="bottom"/>
            <w:tcBorders>
              <w:bottom w:val="single" w:sz="8" w:color="CCEEFF"/>
            </w:tcBorders>
            <w:gridSpan w:val="13"/>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71"/>
              <w:spacing w:after="0" w:line="181" w:lineRule="exact"/>
              <w:rPr>
                <w:sz w:val="20"/>
                <w:szCs w:val="20"/>
                <w:color w:val="auto"/>
              </w:rPr>
            </w:pPr>
            <w:r>
              <w:rPr>
                <w:rFonts w:ascii="Times New Roman" w:cs="Times New Roman" w:eastAsia="Times New Roman" w:hAnsi="Times New Roman"/>
                <w:sz w:val="18"/>
                <w:szCs w:val="18"/>
                <w:color w:val="auto"/>
              </w:rPr>
              <w:t>S-8</w:t>
            </w:r>
          </w:p>
        </w:tc>
        <w:tc>
          <w:tcPr>
            <w:tcW w:w="1360" w:type="dxa"/>
            <w:vAlign w:val="bottom"/>
            <w:tcBorders>
              <w:bottom w:val="single" w:sz="8" w:color="CCEEFF"/>
            </w:tcBorders>
            <w:shd w:val="clear" w:color="auto" w:fill="CCEEFF"/>
          </w:tcPr>
          <w:p>
            <w:pPr>
              <w:jc w:val="center"/>
              <w:ind w:left="331"/>
              <w:spacing w:after="0" w:line="181" w:lineRule="exact"/>
              <w:rPr>
                <w:sz w:val="20"/>
                <w:szCs w:val="20"/>
                <w:color w:val="auto"/>
              </w:rPr>
            </w:pPr>
            <w:r>
              <w:rPr>
                <w:rFonts w:ascii="Times New Roman" w:cs="Times New Roman" w:eastAsia="Times New Roman" w:hAnsi="Times New Roman"/>
                <w:sz w:val="18"/>
                <w:szCs w:val="18"/>
                <w:color w:val="auto"/>
                <w:w w:val="95"/>
              </w:rPr>
              <w:t>99.1</w:t>
            </w:r>
          </w:p>
        </w:tc>
        <w:tc>
          <w:tcPr>
            <w:tcW w:w="1440" w:type="dxa"/>
            <w:vAlign w:val="bottom"/>
            <w:tcBorders>
              <w:bottom w:val="single" w:sz="8" w:color="CCEEFF"/>
            </w:tcBorders>
            <w:shd w:val="clear" w:color="auto" w:fill="CCEEFF"/>
          </w:tcPr>
          <w:p>
            <w:pPr>
              <w:jc w:val="center"/>
              <w:ind w:left="71"/>
              <w:spacing w:after="0" w:line="181" w:lineRule="exact"/>
              <w:rPr>
                <w:sz w:val="20"/>
                <w:szCs w:val="20"/>
                <w:color w:val="auto"/>
              </w:rPr>
            </w:pPr>
            <w:r>
              <w:rPr>
                <w:rFonts w:ascii="Times New Roman" w:cs="Times New Roman" w:eastAsia="Times New Roman" w:hAnsi="Times New Roman"/>
                <w:sz w:val="18"/>
                <w:szCs w:val="18"/>
                <w:color w:val="auto"/>
                <w:w w:val="99"/>
              </w:rPr>
              <w:t>July 8, 2005</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10.11</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Form of Indemnification Agreement of AngioDynamics, Inc.</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May 12, 2006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10.11.1</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Employment Agreement, dated April 1, 2016, between</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3920" w:type="dxa"/>
            <w:vAlign w:val="bottom"/>
            <w:tcBorders>
              <w:top w:val="single" w:sz="8" w:color="0000FF"/>
            </w:tcBorders>
            <w:gridSpan w:val="7"/>
            <w:shd w:val="clear" w:color="auto" w:fill="CCEEFF"/>
          </w:tcPr>
          <w:p>
            <w:pPr>
              <w:spacing w:after="0" w:line="154" w:lineRule="exact"/>
              <w:rPr>
                <w:rFonts w:ascii="Times New Roman" w:cs="Times New Roman" w:eastAsia="Times New Roman" w:hAnsi="Times New Roman"/>
                <w:sz w:val="17"/>
                <w:szCs w:val="17"/>
                <w:color w:val="0000FF"/>
              </w:rPr>
            </w:pPr>
            <w:hyperlink r:id="rId130">
              <w:r>
                <w:rPr>
                  <w:rFonts w:ascii="Times New Roman" w:cs="Times New Roman" w:eastAsia="Times New Roman" w:hAnsi="Times New Roman"/>
                  <w:sz w:val="17"/>
                  <w:szCs w:val="17"/>
                  <w:color w:val="0000FF"/>
                </w:rPr>
                <w:t>AngioDynamics, Inc. and James C. Clemmer.</w:t>
              </w:r>
            </w:hyperlink>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10.12</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Change in Control Agreement, dated April 1, 2016, between</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32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AngioDynamics, Inc. and James C. Clemmer.</w:t>
              </w:r>
            </w:hyperlink>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98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3960" w:type="dxa"/>
            <w:vAlign w:val="bottom"/>
            <w:tcBorders>
              <w:bottom w:val="single" w:sz="8" w:color="0000FF"/>
            </w:tcBorders>
            <w:gridSpan w:val="8"/>
            <w:shd w:val="clear" w:color="auto" w:fill="CCEEFF"/>
          </w:tcPr>
          <w:p>
            <w:pPr>
              <w:spacing w:after="0" w:line="188" w:lineRule="exact"/>
              <w:rPr>
                <w:rFonts w:ascii="Times New Roman" w:cs="Times New Roman" w:eastAsia="Times New Roman" w:hAnsi="Times New Roman"/>
                <w:sz w:val="18"/>
                <w:szCs w:val="18"/>
                <w:color w:val="0000FF"/>
                <w:w w:val="98"/>
              </w:rPr>
            </w:pPr>
            <w:hyperlink r:id="rId132">
              <w:r>
                <w:rPr>
                  <w:rFonts w:ascii="Times New Roman" w:cs="Times New Roman" w:eastAsia="Times New Roman" w:hAnsi="Times New Roman"/>
                  <w:sz w:val="18"/>
                  <w:szCs w:val="18"/>
                  <w:color w:val="0000FF"/>
                  <w:w w:val="98"/>
                </w:rPr>
                <w:t>Form of Severance Agreement of AngioDynamics, Inc.</w:t>
              </w:r>
            </w:hyperlink>
          </w:p>
        </w:tc>
        <w:tc>
          <w:tcPr>
            <w:tcW w:w="1220" w:type="dxa"/>
            <w:vAlign w:val="bottom"/>
            <w:tcBorders>
              <w:bottom w:val="single" w:sz="8" w:color="CCEEFF"/>
            </w:tcBorders>
            <w:gridSpan w:val="15"/>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Borders>
              <w:bottom w:val="single" w:sz="8" w:color="CCEEFF"/>
            </w:tcBorders>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10.12.2</w:t>
            </w:r>
          </w:p>
        </w:tc>
        <w:tc>
          <w:tcPr>
            <w:tcW w:w="1440" w:type="dxa"/>
            <w:vAlign w:val="bottom"/>
            <w:tcBorders>
              <w:bottom w:val="single" w:sz="8" w:color="CCEEFF"/>
            </w:tcBorders>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August 10, 2020</w:t>
            </w: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Form of Change in Control Agreement.</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w w:val="98"/>
              </w:rPr>
              <w:t>10-K/A</w:t>
            </w:r>
          </w:p>
        </w:tc>
        <w:tc>
          <w:tcPr>
            <w:tcW w:w="1360" w:type="dxa"/>
            <w:vAlign w:val="bottom"/>
          </w:tcPr>
          <w:p>
            <w:pPr>
              <w:jc w:val="center"/>
              <w:ind w:left="311"/>
              <w:spacing w:after="0" w:line="188" w:lineRule="exact"/>
              <w:rPr>
                <w:sz w:val="20"/>
                <w:szCs w:val="20"/>
                <w:color w:val="auto"/>
              </w:rPr>
            </w:pPr>
            <w:r>
              <w:rPr>
                <w:rFonts w:ascii="Times New Roman" w:cs="Times New Roman" w:eastAsia="Times New Roman" w:hAnsi="Times New Roman"/>
                <w:sz w:val="18"/>
                <w:szCs w:val="18"/>
                <w:color w:val="auto"/>
                <w:w w:val="98"/>
              </w:rPr>
              <w:t>10.13</w:t>
            </w:r>
          </w:p>
        </w:tc>
        <w:tc>
          <w:tcPr>
            <w:tcW w:w="14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January 12, 2015</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10.14</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Performance Share Award Agreement, with a grant date of April 4,</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800" w:type="dxa"/>
            <w:vAlign w:val="bottom"/>
            <w:tcBorders>
              <w:top w:val="single" w:sz="8" w:color="0000FF"/>
            </w:tcBorders>
            <w:gridSpan w:val="18"/>
            <w:shd w:val="clear" w:color="auto" w:fill="CCEEFF"/>
          </w:tcPr>
          <w:p>
            <w:pPr>
              <w:spacing w:after="0" w:line="154"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2016, between AngioDynamics, Inc. and James C. Clemmer.</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10.15</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AngioDynamics, Inc. Total Shareholder Return Performance Share</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10.4</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780" w:type="dxa"/>
            <w:vAlign w:val="bottom"/>
            <w:tcBorders>
              <w:top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Award Program - Performance Period Ending July 2019.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10.16</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Stock Option Award Agreement, with a grant date of April 4, 2016,</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10.5</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82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between AngioDynamics, Inc. and James C. Clemmer.</w:t>
              </w:r>
            </w:hyperlink>
          </w:p>
        </w:tc>
        <w:tc>
          <w:tcPr>
            <w:tcW w:w="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10.17</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Restricted Stock Unit Award Agreement, with a grant date of April 4,</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10.6</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April 6, 2016</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96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2016, between AngioDynamics, Inc. and James C. Clemmer.</w:t>
              </w:r>
            </w:hyperlink>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10.18</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Separation Agreement and General Release, dated April 22, 2016,</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8"/>
              </w:rPr>
              <w:t>April 27, 2016</w:t>
            </w:r>
          </w:p>
        </w:tc>
        <w:tc>
          <w:tcPr>
            <w:tcW w:w="0" w:type="dxa"/>
            <w:vAlign w:val="bottom"/>
          </w:tcPr>
          <w:p>
            <w:pPr>
              <w:spacing w:after="0"/>
              <w:rPr>
                <w:sz w:val="1"/>
                <w:szCs w:val="1"/>
                <w:color w:val="auto"/>
              </w:rPr>
            </w:pPr>
          </w:p>
        </w:tc>
      </w:tr>
      <w:tr>
        <w:trPr>
          <w:trHeight w:val="188"/>
        </w:trPr>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3900" w:type="dxa"/>
            <w:vAlign w:val="bottom"/>
            <w:tcBorders>
              <w:top w:val="single" w:sz="8" w:color="0000FF"/>
              <w:bottom w:val="single" w:sz="8" w:color="0000FF"/>
            </w:tcBorders>
            <w:gridSpan w:val="6"/>
            <w:shd w:val="clear" w:color="auto" w:fill="CCEEFF"/>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between AngioDynamics, Inc. and Joseph M. DeVivo.</w:t>
              </w:r>
            </w:hyperlink>
          </w:p>
        </w:tc>
        <w:tc>
          <w:tcPr>
            <w:tcW w:w="82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10.19</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Amended and Restated Change in Control Agreement, by and between</w:t>
              </w:r>
            </w:hyperlink>
          </w:p>
        </w:tc>
        <w:tc>
          <w:tcPr>
            <w:tcW w:w="840" w:type="dxa"/>
            <w:vAlign w:val="bottom"/>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5060" w:type="dxa"/>
            <w:vAlign w:val="bottom"/>
            <w:tcBorders>
              <w:top w:val="single" w:sz="8" w:color="0000FF"/>
            </w:tcBorders>
            <w:gridSpan w:val="22"/>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AngioDynamics, Inc. and James C. Clemmer.</w:t>
              </w:r>
            </w:hyperlink>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Form of Amended and Restated Change in Control Agreement with</w:t>
              </w:r>
            </w:hyperlink>
          </w:p>
        </w:tc>
        <w:tc>
          <w:tcPr>
            <w:tcW w:w="840" w:type="dxa"/>
            <w:vAlign w:val="bottom"/>
            <w:shd w:val="clear" w:color="auto" w:fill="CCEEFF"/>
          </w:tcPr>
          <w:p>
            <w:pPr>
              <w:jc w:val="center"/>
              <w:ind w:left="151"/>
              <w:spacing w:after="0" w:line="188" w:lineRule="exact"/>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5"/>
              </w:rPr>
              <w:t>10.2</w:t>
            </w:r>
          </w:p>
        </w:tc>
        <w:tc>
          <w:tcPr>
            <w:tcW w:w="1440" w:type="dxa"/>
            <w:vAlign w:val="bottom"/>
            <w:shd w:val="clear" w:color="auto" w:fill="CCEEFF"/>
          </w:tcPr>
          <w:p>
            <w:pPr>
              <w:jc w:val="center"/>
              <w:ind w:left="91"/>
              <w:spacing w:after="0" w:line="188" w:lineRule="exact"/>
              <w:rPr>
                <w:sz w:val="20"/>
                <w:szCs w:val="20"/>
                <w:color w:val="auto"/>
              </w:rPr>
            </w:pPr>
            <w:r>
              <w:rPr>
                <w:rFonts w:ascii="Times New Roman" w:cs="Times New Roman" w:eastAsia="Times New Roman" w:hAnsi="Times New Roman"/>
                <w:sz w:val="18"/>
                <w:szCs w:val="18"/>
                <w:color w:val="auto"/>
                <w:w w:val="98"/>
              </w:rPr>
              <w:t>February 3, 2021</w:t>
            </w:r>
          </w:p>
        </w:tc>
        <w:tc>
          <w:tcPr>
            <w:tcW w:w="0" w:type="dxa"/>
            <w:vAlign w:val="bottom"/>
          </w:tcPr>
          <w:p>
            <w:pPr>
              <w:spacing w:after="0"/>
              <w:rPr>
                <w:sz w:val="1"/>
                <w:szCs w:val="1"/>
                <w:color w:val="auto"/>
              </w:rPr>
            </w:pPr>
          </w:p>
        </w:tc>
      </w:tr>
      <w:tr>
        <w:trPr>
          <w:trHeight w:val="154"/>
        </w:trPr>
        <w:tc>
          <w:tcPr>
            <w:tcW w:w="980" w:type="dxa"/>
            <w:vAlign w:val="bottom"/>
            <w:tcBorders>
              <w:top w:val="single" w:sz="8" w:color="CCEEFF"/>
            </w:tcBorders>
            <w:shd w:val="clear" w:color="auto" w:fill="CCEEFF"/>
          </w:tcPr>
          <w:p>
            <w:pPr>
              <w:spacing w:after="0"/>
              <w:rPr>
                <w:sz w:val="13"/>
                <w:szCs w:val="13"/>
                <w:color w:val="auto"/>
              </w:rPr>
            </w:pPr>
          </w:p>
        </w:tc>
        <w:tc>
          <w:tcPr>
            <w:tcW w:w="4840" w:type="dxa"/>
            <w:vAlign w:val="bottom"/>
            <w:tcBorders>
              <w:top w:val="single" w:sz="8" w:color="0000FF"/>
            </w:tcBorders>
            <w:gridSpan w:val="20"/>
            <w:shd w:val="clear" w:color="auto" w:fill="CCEEFF"/>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AngioDynamics, Inc.</w:t>
              </w:r>
            </w:hyperlink>
          </w:p>
        </w:tc>
        <w:tc>
          <w:tcPr>
            <w:tcW w:w="340" w:type="dxa"/>
            <w:vAlign w:val="bottom"/>
            <w:tcBorders>
              <w:top w:val="single" w:sz="8" w:color="CCEEFF"/>
            </w:tcBorders>
            <w:gridSpan w:val="3"/>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6"/>
              </w:rPr>
              <w:t>10.21*</w:t>
            </w:r>
          </w:p>
        </w:tc>
        <w:tc>
          <w:tcPr>
            <w:tcW w:w="5180" w:type="dxa"/>
            <w:vAlign w:val="bottom"/>
            <w:gridSpan w:val="23"/>
          </w:tcPr>
          <w:p>
            <w:pPr>
              <w:spacing w:after="0" w:line="18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Settlement and License Agreement, dated March 31, 2024, by and</w:t>
              </w:r>
            </w:hyperlink>
          </w:p>
        </w:tc>
        <w:tc>
          <w:tcPr>
            <w:tcW w:w="840" w:type="dxa"/>
            <w:vAlign w:val="bottom"/>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tcPr>
          <w:p>
            <w:pPr>
              <w:jc w:val="center"/>
              <w:ind w:left="311"/>
              <w:spacing w:after="0" w:line="188" w:lineRule="exact"/>
              <w:rPr>
                <w:sz w:val="20"/>
                <w:szCs w:val="20"/>
                <w:color w:val="auto"/>
              </w:rPr>
            </w:pPr>
            <w:r>
              <w:rPr>
                <w:rFonts w:ascii="Times New Roman" w:cs="Times New Roman" w:eastAsia="Times New Roman" w:hAnsi="Times New Roman"/>
                <w:sz w:val="18"/>
                <w:szCs w:val="18"/>
                <w:color w:val="auto"/>
                <w:w w:val="98"/>
              </w:rPr>
              <w:t>10.21</w:t>
            </w:r>
          </w:p>
        </w:tc>
        <w:tc>
          <w:tcPr>
            <w:tcW w:w="1440" w:type="dxa"/>
            <w:vAlign w:val="bottom"/>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8"/>
              </w:rPr>
              <w:t>July 25, 2024</w:t>
            </w:r>
          </w:p>
        </w:tc>
        <w:tc>
          <w:tcPr>
            <w:tcW w:w="0" w:type="dxa"/>
            <w:vAlign w:val="bottom"/>
          </w:tcPr>
          <w:p>
            <w:pPr>
              <w:spacing w:after="0"/>
              <w:rPr>
                <w:sz w:val="1"/>
                <w:szCs w:val="1"/>
                <w:color w:val="auto"/>
              </w:rPr>
            </w:pPr>
          </w:p>
        </w:tc>
      </w:tr>
      <w:tr>
        <w:trPr>
          <w:trHeight w:val="154"/>
        </w:trPr>
        <w:tc>
          <w:tcPr>
            <w:tcW w:w="980" w:type="dxa"/>
            <w:vAlign w:val="bottom"/>
          </w:tcPr>
          <w:p>
            <w:pPr>
              <w:spacing w:after="0"/>
              <w:rPr>
                <w:sz w:val="13"/>
                <w:szCs w:val="13"/>
                <w:color w:val="auto"/>
              </w:rPr>
            </w:pPr>
          </w:p>
        </w:tc>
        <w:tc>
          <w:tcPr>
            <w:tcW w:w="4740" w:type="dxa"/>
            <w:vAlign w:val="bottom"/>
            <w:tcBorders>
              <w:top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among Becton, Dickinson and Company, C.R. Bard, Inc., Bard</w:t>
              </w:r>
            </w:hyperlink>
          </w:p>
        </w:tc>
        <w:tc>
          <w:tcPr>
            <w:tcW w:w="440" w:type="dxa"/>
            <w:vAlign w:val="bottom"/>
            <w:gridSpan w:val="7"/>
          </w:tcPr>
          <w:p>
            <w:pPr>
              <w:spacing w:after="0"/>
              <w:rPr>
                <w:sz w:val="13"/>
                <w:szCs w:val="13"/>
                <w:color w:val="auto"/>
              </w:rPr>
            </w:pPr>
          </w:p>
        </w:tc>
        <w:tc>
          <w:tcPr>
            <w:tcW w:w="8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4480" w:type="dxa"/>
            <w:vAlign w:val="bottom"/>
            <w:tcBorders>
              <w:top w:val="single" w:sz="8" w:color="0000FF"/>
            </w:tcBorders>
            <w:gridSpan w:val="14"/>
          </w:tcPr>
          <w:p>
            <w:pPr>
              <w:spacing w:after="0" w:line="168"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Peripheral Vascular, Inc. and AngioDynamics Inc.</w:t>
              </w:r>
            </w:hyperlink>
          </w:p>
        </w:tc>
        <w:tc>
          <w:tcPr>
            <w:tcW w:w="700" w:type="dxa"/>
            <w:vAlign w:val="bottom"/>
            <w:gridSpan w:val="9"/>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5180" w:type="dxa"/>
            <w:vAlign w:val="bottom"/>
            <w:gridSpan w:val="23"/>
            <w:shd w:val="clear" w:color="auto" w:fill="CCEEFF"/>
          </w:tcPr>
          <w:p>
            <w:pPr>
              <w:spacing w:after="0" w:line="18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Code of Ethics.</w:t>
              </w:r>
            </w:hyperlink>
          </w:p>
        </w:tc>
        <w:tc>
          <w:tcPr>
            <w:tcW w:w="840" w:type="dxa"/>
            <w:vAlign w:val="bottom"/>
            <w:shd w:val="clear" w:color="auto" w:fill="CCEEFF"/>
          </w:tcPr>
          <w:p>
            <w:pPr>
              <w:jc w:val="center"/>
              <w:ind w:left="171"/>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360" w:type="dxa"/>
            <w:vAlign w:val="bottom"/>
            <w:shd w:val="clear" w:color="auto" w:fill="CCEEFF"/>
          </w:tcPr>
          <w:p>
            <w:pPr>
              <w:jc w:val="center"/>
              <w:ind w:left="331"/>
              <w:spacing w:after="0" w:line="188" w:lineRule="exact"/>
              <w:rPr>
                <w:sz w:val="20"/>
                <w:szCs w:val="20"/>
                <w:color w:val="auto"/>
              </w:rPr>
            </w:pPr>
            <w:r>
              <w:rPr>
                <w:rFonts w:ascii="Times New Roman" w:cs="Times New Roman" w:eastAsia="Times New Roman" w:hAnsi="Times New Roman"/>
                <w:sz w:val="18"/>
                <w:szCs w:val="18"/>
                <w:color w:val="auto"/>
                <w:w w:val="99"/>
              </w:rPr>
              <w:t>14</w:t>
            </w:r>
          </w:p>
        </w:tc>
        <w:tc>
          <w:tcPr>
            <w:tcW w:w="1440" w:type="dxa"/>
            <w:vAlign w:val="bottom"/>
            <w:shd w:val="clear" w:color="auto" w:fill="CCEEFF"/>
          </w:tcPr>
          <w:p>
            <w:pPr>
              <w:jc w:val="center"/>
              <w:ind w:left="71"/>
              <w:spacing w:after="0" w:line="188" w:lineRule="exact"/>
              <w:rPr>
                <w:sz w:val="20"/>
                <w:szCs w:val="20"/>
                <w:color w:val="auto"/>
              </w:rPr>
            </w:pPr>
            <w:r>
              <w:rPr>
                <w:rFonts w:ascii="Times New Roman" w:cs="Times New Roman" w:eastAsia="Times New Roman" w:hAnsi="Times New Roman"/>
                <w:sz w:val="18"/>
                <w:szCs w:val="18"/>
                <w:color w:val="auto"/>
                <w:w w:val="99"/>
              </w:rPr>
              <w:t>October 1, 2021</w:t>
            </w:r>
          </w:p>
        </w:tc>
        <w:tc>
          <w:tcPr>
            <w:tcW w:w="0" w:type="dxa"/>
            <w:vAlign w:val="bottom"/>
          </w:tcPr>
          <w:p>
            <w:pPr>
              <w:spacing w:after="0"/>
              <w:rPr>
                <w:sz w:val="1"/>
                <w:szCs w:val="1"/>
                <w:color w:val="auto"/>
              </w:rPr>
            </w:pP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980" w:hanging="587"/>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w:t>
      </w:r>
    </w:p>
    <w:p>
      <w:pPr>
        <w:spacing w:after="0" w:line="21" w:lineRule="exact"/>
        <w:rPr>
          <w:rFonts w:ascii="Times New Roman" w:cs="Times New Roman" w:eastAsia="Times New Roman" w:hAnsi="Times New Roman"/>
          <w:sz w:val="18"/>
          <w:szCs w:val="18"/>
          <w:color w:val="auto"/>
        </w:rPr>
      </w:pPr>
    </w:p>
    <w:p>
      <w:pPr>
        <w:ind w:left="980" w:hanging="587"/>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w:t>
      </w:r>
    </w:p>
    <w:p>
      <w:pPr>
        <w:spacing w:after="0" w:line="20" w:lineRule="exact"/>
        <w:rPr>
          <w:rFonts w:ascii="Times New Roman" w:cs="Times New Roman" w:eastAsia="Times New Roman" w:hAnsi="Times New Roman"/>
          <w:sz w:val="18"/>
          <w:szCs w:val="18"/>
          <w:color w:val="auto"/>
        </w:rPr>
      </w:pPr>
    </w:p>
    <w:p>
      <w:pPr>
        <w:ind w:left="980" w:hanging="587"/>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Deloitte &amp; Touche LLP, an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6223635" cy="1447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6223635" cy="144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12700</wp:posOffset>
            </wp:positionV>
            <wp:extent cx="6223635" cy="1447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6223635" cy="144780"/>
                    </a:xfrm>
                    <a:prstGeom prst="rect">
                      <a:avLst/>
                    </a:prstGeom>
                    <a:noFill/>
                  </pic:spPr>
                </pic:pic>
              </a:graphicData>
            </a:graphic>
          </wp:anchor>
        </w:drawing>
      </w:r>
    </w:p>
    <w:p>
      <w:pPr>
        <w:spacing w:after="0" w:line="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by the Chief Executive Officer Pursuant to Section 302 of the Sarbanes-Oxley Act of 2002.</w:t>
      </w:r>
    </w:p>
    <w:p>
      <w:pPr>
        <w:spacing w:after="0" w:line="2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6223635" cy="2635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6223635" cy="263525"/>
                    </a:xfrm>
                    <a:prstGeom prst="rect">
                      <a:avLst/>
                    </a:prstGeom>
                    <a:noFill/>
                  </pic:spPr>
                </pic:pic>
              </a:graphicData>
            </a:graphic>
          </wp:anchor>
        </w:drawing>
      </w:r>
    </w:p>
    <w:p>
      <w:pPr>
        <w:spacing w:after="0" w:line="1" w:lineRule="exact"/>
        <w:rPr>
          <w:sz w:val="20"/>
          <w:szCs w:val="20"/>
          <w:color w:val="auto"/>
        </w:rPr>
      </w:pPr>
    </w:p>
    <w:p>
      <w:pPr>
        <w:ind w:left="980" w:right="1660" w:hanging="648"/>
        <w:spacing w:after="0" w:line="232" w:lineRule="auto"/>
        <w:tabs>
          <w:tab w:leader="none" w:pos="9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by the Chief Executive Officer Pursuant to 18 U.S.C. Section 1350, as Adopted Pursuant to Section 906 of the Sarbanes-Oxley Act of 2002.</w:t>
      </w:r>
    </w:p>
    <w:p>
      <w:pPr>
        <w:spacing w:after="0" w:line="9" w:lineRule="exact"/>
        <w:rPr>
          <w:sz w:val="20"/>
          <w:szCs w:val="20"/>
          <w:color w:val="auto"/>
        </w:rPr>
      </w:pPr>
    </w:p>
    <w:p>
      <w:pPr>
        <w:ind w:left="980" w:right="1440" w:hanging="648"/>
        <w:spacing w:after="0" w:line="236" w:lineRule="auto"/>
        <w:tabs>
          <w:tab w:leader="none" w:pos="9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by the Chief Financial Officer Pursuant to 18 U.S.C. Section 1350, as Adopted Pursuant to Section 906 of the Sarbanes-Oxley Act of 2002.</w:t>
      </w:r>
    </w:p>
    <w:p>
      <w:pPr>
        <w:spacing w:after="0" w:line="8" w:lineRule="exact"/>
        <w:rPr>
          <w:sz w:val="20"/>
          <w:szCs w:val="20"/>
          <w:color w:val="auto"/>
        </w:rPr>
      </w:pPr>
    </w:p>
    <w:p>
      <w:pPr>
        <w:ind w:left="980" w:hanging="587"/>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6223635" cy="1447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6223635" cy="14478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2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Calculation Linkbase Documents</w:t>
            </w:r>
          </w:p>
        </w:tc>
      </w:tr>
      <w:tr>
        <w:trPr>
          <w:trHeight w:val="22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8"/>
        </w:trPr>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8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Labels Linkbase Documents</w:t>
            </w:r>
          </w:p>
        </w:tc>
      </w:tr>
      <w:tr>
        <w:trPr>
          <w:trHeight w:val="228"/>
        </w:trPr>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8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XBRL Presentation Linkbase Documents</w:t>
            </w:r>
          </w:p>
        </w:tc>
      </w:tr>
    </w:tbl>
    <w:p>
      <w:pPr>
        <w:spacing w:after="0" w:line="316"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undertakes to furnish supplementally a copy of any omitted exhibit or schedule upon request by the SEC.</w:t>
      </w: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924" w:right="379" w:bottom="1440" w:gutter="0" w:footer="0" w:header="0"/>
        </w:sectPr>
      </w:pPr>
    </w:p>
    <w:bookmarkStart w:id="85" w:name="page86"/>
    <w:bookmarkEnd w:id="8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9" w:lineRule="exact"/>
        <w:rPr>
          <w:sz w:val="20"/>
          <w:szCs w:val="20"/>
          <w:color w:val="auto"/>
        </w:rPr>
      </w:pPr>
    </w:p>
    <w:p>
      <w:pPr>
        <w:ind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ANGIODYNAMICS, INC.</w:t>
      </w:r>
    </w:p>
    <w:p>
      <w:pPr>
        <w:spacing w:after="0" w:line="30" w:lineRule="exact"/>
        <w:rPr>
          <w:sz w:val="20"/>
          <w:szCs w:val="20"/>
          <w:color w:val="auto"/>
        </w:rPr>
      </w:pPr>
    </w:p>
    <w:p>
      <w:pPr>
        <w:ind w:left="20"/>
        <w:spacing w:after="0"/>
        <w:tabs>
          <w:tab w:leader="none" w:pos="720" w:val="left"/>
          <w:tab w:leader="none" w:pos="5600" w:val="left"/>
          <w:tab w:leader="none" w:pos="7540" w:val="left"/>
          <w:tab w:leader="none" w:pos="7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21590</wp:posOffset>
            </wp:positionV>
            <wp:extent cx="31286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49" w:lineRule="exact"/>
        <w:rPr>
          <w:sz w:val="20"/>
          <w:szCs w:val="20"/>
          <w:color w:val="auto"/>
        </w:rPr>
      </w:pPr>
    </w:p>
    <w:p>
      <w:pPr>
        <w:ind w:right="260" w:firstLine="442"/>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60"/>
          </w:cols>
          <w:pgMar w:left="320" w:top="880" w:right="519" w:bottom="1440" w:gutter="0" w:footer="0" w:header="0"/>
        </w:sectPr>
      </w:pPr>
    </w:p>
    <w:p>
      <w:pPr>
        <w:spacing w:after="0" w:line="177"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1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0" w:lineRule="exact"/>
        <w:rPr>
          <w:sz w:val="20"/>
          <w:szCs w:val="20"/>
          <w:color w:val="auto"/>
        </w:rPr>
      </w:pPr>
    </w:p>
    <w:p>
      <w:pPr>
        <w:spacing w:after="0" w:line="301"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July 18, 2025</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340"/>
        <w:spacing w:after="0"/>
        <w:tabs>
          <w:tab w:leader="none" w:pos="6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OWARD</w:t>
      </w:r>
      <w:r>
        <w:rPr>
          <w:rFonts w:ascii="Times New Roman" w:cs="Times New Roman" w:eastAsia="Times New Roman" w:hAnsi="Times New Roman"/>
          <w:sz w:val="17"/>
          <w:szCs w:val="17"/>
          <w:color w:val="auto"/>
        </w:rPr>
        <w:t xml:space="preserve"> W. D</w:t>
      </w:r>
      <w:r>
        <w:rPr>
          <w:rFonts w:ascii="Times New Roman" w:cs="Times New Roman" w:eastAsia="Times New Roman" w:hAnsi="Times New Roman"/>
          <w:sz w:val="13"/>
          <w:szCs w:val="13"/>
          <w:color w:val="auto"/>
        </w:rPr>
        <w:t>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Howard W. Donnelly,</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Chairman of the Board, Director</w:t>
      </w:r>
    </w:p>
    <w:p>
      <w:pPr>
        <w:spacing w:after="0" w:line="100" w:lineRule="exact"/>
        <w:rPr>
          <w:sz w:val="20"/>
          <w:szCs w:val="20"/>
          <w:color w:val="auto"/>
        </w:rPr>
      </w:pPr>
    </w:p>
    <w:p>
      <w:pPr>
        <w:ind w:left="580"/>
        <w:spacing w:after="0"/>
        <w:tabs>
          <w:tab w:leader="none" w:pos="9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AMES</w:t>
      </w:r>
      <w:r>
        <w:rPr>
          <w:rFonts w:ascii="Times New Roman" w:cs="Times New Roman" w:eastAsia="Times New Roman" w:hAnsi="Times New Roman"/>
          <w:sz w:val="18"/>
          <w:szCs w:val="18"/>
          <w:color w:val="auto"/>
        </w:rPr>
        <w:t xml:space="preserve"> C. C</w:t>
      </w:r>
      <w:r>
        <w:rPr>
          <w:rFonts w:ascii="Times New Roman" w:cs="Times New Roman" w:eastAsia="Times New Roman" w:hAnsi="Times New Roman"/>
          <w:sz w:val="14"/>
          <w:szCs w:val="14"/>
          <w:color w:val="auto"/>
        </w:rPr>
        <w:t>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James C. Clemmer,</w:t>
      </w:r>
    </w:p>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President, Chief Executive Officer</w:t>
      </w:r>
    </w:p>
    <w:p>
      <w:pPr>
        <w:spacing w:after="0" w:line="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68"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S</w:t>
      </w:r>
      <w:r>
        <w:rPr>
          <w:rFonts w:ascii="Times New Roman" w:cs="Times New Roman" w:eastAsia="Times New Roman" w:hAnsi="Times New Roman"/>
          <w:sz w:val="14"/>
          <w:szCs w:val="14"/>
          <w:color w:val="auto"/>
        </w:rPr>
        <w:t>TEPHEN</w:t>
      </w:r>
      <w:r>
        <w:rPr>
          <w:rFonts w:ascii="Times New Roman" w:cs="Times New Roman" w:eastAsia="Times New Roman" w:hAnsi="Times New Roman"/>
          <w:sz w:val="18"/>
          <w:szCs w:val="18"/>
          <w:color w:val="auto"/>
        </w:rPr>
        <w:t xml:space="preserve"> A. T</w:t>
      </w:r>
      <w:r>
        <w:rPr>
          <w:rFonts w:ascii="Times New Roman" w:cs="Times New Roman" w:eastAsia="Times New Roman" w:hAnsi="Times New Roman"/>
          <w:sz w:val="14"/>
          <w:szCs w:val="14"/>
          <w:color w:val="auto"/>
        </w:rPr>
        <w: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b w:val="1"/>
          <w:bCs w:val="1"/>
          <w:color w:val="auto"/>
        </w:rPr>
        <w:t>Stephen A. Trowbridge,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Vice President, Chief Financial Officer,</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68" w:lineRule="exact"/>
        <w:rPr>
          <w:sz w:val="20"/>
          <w:szCs w:val="20"/>
          <w:color w:val="auto"/>
        </w:rPr>
      </w:pPr>
    </w:p>
    <w:p>
      <w:pPr>
        <w:ind w:left="240"/>
        <w:spacing w:after="0"/>
        <w:tabs>
          <w:tab w:leader="none" w:pos="5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W</w:t>
      </w:r>
      <w:r>
        <w:rPr>
          <w:rFonts w:ascii="Times New Roman" w:cs="Times New Roman" w:eastAsia="Times New Roman" w:hAnsi="Times New Roman"/>
          <w:sz w:val="14"/>
          <w:szCs w:val="14"/>
          <w:color w:val="auto"/>
        </w:rPr>
        <w:t>ESLEY</w:t>
      </w:r>
      <w:r>
        <w:rPr>
          <w:rFonts w:ascii="Times New Roman" w:cs="Times New Roman" w:eastAsia="Times New Roman" w:hAnsi="Times New Roman"/>
          <w:sz w:val="18"/>
          <w:szCs w:val="18"/>
          <w:color w:val="auto"/>
        </w:rPr>
        <w:t xml:space="preserve"> E. J</w:t>
      </w:r>
      <w:r>
        <w:rPr>
          <w:rFonts w:ascii="Times New Roman" w:cs="Times New Roman" w:eastAsia="Times New Roman" w:hAnsi="Times New Roman"/>
          <w:sz w:val="14"/>
          <w:szCs w:val="14"/>
          <w:color w:val="auto"/>
        </w:rPr>
        <w:t>OHNSON</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Wesley E. Johnson, Jr.,</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jc w:val="center"/>
        <w:ind w:right="1160"/>
        <w:spacing w:after="0"/>
        <w:tabs>
          <w:tab w:leader="none" w:pos="1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J</w:t>
      </w:r>
      <w:r>
        <w:rPr>
          <w:rFonts w:ascii="Times New Roman" w:cs="Times New Roman" w:eastAsia="Times New Roman" w:hAnsi="Times New Roman"/>
          <w:sz w:val="14"/>
          <w:szCs w:val="14"/>
          <w:color w:val="auto"/>
        </w:rPr>
        <w:t>AN</w:t>
      </w:r>
      <w:r>
        <w:rPr>
          <w:rFonts w:ascii="Times New Roman" w:cs="Times New Roman" w:eastAsia="Times New Roman" w:hAnsi="Times New Roman"/>
          <w:sz w:val="18"/>
          <w:szCs w:val="18"/>
          <w:color w:val="auto"/>
        </w:rPr>
        <w:t xml:space="preserve"> S. R</w:t>
      </w:r>
      <w:r>
        <w:rPr>
          <w:rFonts w:ascii="Times New Roman" w:cs="Times New Roman" w:eastAsia="Times New Roman" w:hAnsi="Times New Roman"/>
          <w:sz w:val="14"/>
          <w:szCs w:val="14"/>
          <w:color w:val="auto"/>
        </w:rPr>
        <w: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Jan S. Reed,</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720"/>
        <w:spacing w:after="0"/>
        <w:tabs>
          <w:tab w:leader="none" w:pos="106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E</w:t>
      </w:r>
      <w:r>
        <w:rPr>
          <w:rFonts w:ascii="Times New Roman" w:cs="Times New Roman" w:eastAsia="Times New Roman" w:hAnsi="Times New Roman"/>
          <w:sz w:val="14"/>
          <w:szCs w:val="14"/>
          <w:color w:val="auto"/>
        </w:rPr>
        <w:t>ILEEN</w:t>
      </w:r>
      <w:r>
        <w:rPr>
          <w:rFonts w:ascii="Times New Roman" w:cs="Times New Roman" w:eastAsia="Times New Roman" w:hAnsi="Times New Roman"/>
          <w:sz w:val="18"/>
          <w:szCs w:val="18"/>
          <w:color w:val="auto"/>
        </w:rPr>
        <w:t xml:space="preserve"> O. A</w:t>
      </w:r>
      <w:r>
        <w:rPr>
          <w:rFonts w:ascii="Times New Roman" w:cs="Times New Roman" w:eastAsia="Times New Roman" w:hAnsi="Times New Roman"/>
          <w:sz w:val="14"/>
          <w:szCs w:val="14"/>
          <w:color w:val="auto"/>
        </w:rPr>
        <w:t>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b w:val="1"/>
          <w:bCs w:val="1"/>
          <w:color w:val="auto"/>
        </w:rPr>
        <w:t>Eileen O. Auen,</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K</w:t>
      </w:r>
      <w:r>
        <w:rPr>
          <w:rFonts w:ascii="Times New Roman" w:cs="Times New Roman" w:eastAsia="Times New Roman" w:hAnsi="Times New Roman"/>
          <w:sz w:val="14"/>
          <w:szCs w:val="14"/>
          <w:color w:val="auto"/>
        </w:rPr>
        <w:t>AREN</w:t>
      </w:r>
      <w:r>
        <w:rPr>
          <w:rFonts w:ascii="Times New Roman" w:cs="Times New Roman" w:eastAsia="Times New Roman" w:hAnsi="Times New Roman"/>
          <w:sz w:val="18"/>
          <w:szCs w:val="18"/>
          <w:color w:val="auto"/>
        </w:rPr>
        <w:t xml:space="preserve"> A. L</w:t>
      </w:r>
      <w:r>
        <w:rPr>
          <w:rFonts w:ascii="Times New Roman" w:cs="Times New Roman" w:eastAsia="Times New Roman" w:hAnsi="Times New Roman"/>
          <w:sz w:val="14"/>
          <w:szCs w:val="14"/>
          <w:color w:val="auto"/>
        </w:rPr>
        <w:t>ICITRA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Karen A. Licitra,</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0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E. T</w:t>
      </w:r>
      <w:r>
        <w:rPr>
          <w:rFonts w:ascii="Times New Roman" w:cs="Times New Roman" w:eastAsia="Times New Roman" w:hAnsi="Times New Roman"/>
          <w:sz w:val="14"/>
          <w:szCs w:val="14"/>
          <w:color w:val="auto"/>
        </w:rPr>
        <w:t>ARNOFF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24765</wp:posOffset>
            </wp:positionV>
            <wp:extent cx="35369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5">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Michael E. Tarnoff,</w:t>
      </w:r>
    </w:p>
    <w:p>
      <w:pPr>
        <w:spacing w:after="0" w:line="4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color w:val="auto"/>
        </w:rPr>
        <w:t>/S/  LORINDA A. BURGESS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31115</wp:posOffset>
            </wp:positionV>
            <wp:extent cx="35369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6">
                      <a:extLst>
                        <a:ext uri="{28A0092B-C50C-407E-A947-70E740481C1C}"/>
                      </a:extLst>
                    </a:blip>
                    <a:srcRect/>
                    <a:stretch>
                      <a:fillRect/>
                    </a:stretch>
                  </pic:blipFill>
                  <pic:spPr bwMode="auto">
                    <a:xfrm>
                      <a:off x="0" y="0"/>
                      <a:ext cx="3536950" cy="8255"/>
                    </a:xfrm>
                    <a:prstGeom prst="rect">
                      <a:avLst/>
                    </a:prstGeom>
                    <a:noFill/>
                  </pic:spPr>
                </pic:pic>
              </a:graphicData>
            </a:graphic>
          </wp:anchor>
        </w:drawing>
      </w:r>
    </w:p>
    <w:p>
      <w:pPr>
        <w:spacing w:after="0" w:line="3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Lorinda A. Burgess,</w:t>
      </w:r>
    </w:p>
    <w:p>
      <w:pPr>
        <w:spacing w:after="0" w:line="4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Director</w:t>
      </w:r>
    </w:p>
    <w:p>
      <w:pPr>
        <w:spacing w:after="0" w:line="200" w:lineRule="exact"/>
        <w:rPr>
          <w:sz w:val="20"/>
          <w:szCs w:val="20"/>
          <w:color w:val="auto"/>
        </w:rPr>
      </w:pPr>
    </w:p>
    <w:p>
      <w:pPr>
        <w:sectPr>
          <w:pgSz w:w="11900" w:h="16838" w:orient="portrait"/>
          <w:cols w:equalWidth="0" w:num="2">
            <w:col w:w="6200" w:space="720"/>
            <w:col w:w="4140"/>
          </w:cols>
          <w:pgMar w:left="320" w:top="880"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320" w:top="880" w:right="519" w:bottom="1440" w:gutter="0" w:footer="0" w:header="0"/>
          <w:type w:val="continuous"/>
        </w:sectPr>
      </w:pPr>
    </w:p>
    <w:bookmarkStart w:id="86" w:name="page87"/>
    <w:bookmarkEnd w:id="86"/>
    <w:p>
      <w:pPr>
        <w:spacing w:after="0" w:line="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335280</wp:posOffset>
            </wp:positionH>
            <wp:positionV relativeFrom="page">
              <wp:posOffset>913765</wp:posOffset>
            </wp:positionV>
            <wp:extent cx="6844665" cy="8928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7">
                      <a:extLst>
                        <a:ext uri="{28A0092B-C50C-407E-A947-70E740481C1C}"/>
                      </a:extLst>
                    </a:blip>
                    <a:srcRect/>
                    <a:stretch>
                      <a:fillRect/>
                    </a:stretch>
                  </pic:blipFill>
                  <pic:spPr bwMode="auto">
                    <a:xfrm>
                      <a:off x="0" y="0"/>
                      <a:ext cx="6844665" cy="892810"/>
                    </a:xfrm>
                    <a:prstGeom prst="rect">
                      <a:avLst/>
                    </a:prstGeom>
                    <a:noFill/>
                  </pic:spPr>
                </pic:pic>
              </a:graphicData>
            </a:graphic>
          </wp:anchor>
        </w:drawing>
      </w:r>
    </w:p>
    <w:p>
      <w:pPr>
        <w:ind w:left="220"/>
        <w:spacing w:after="0"/>
        <w:rPr>
          <w:sz w:val="20"/>
          <w:szCs w:val="20"/>
          <w:color w:val="auto"/>
        </w:rPr>
      </w:pPr>
      <w:r>
        <w:rPr>
          <w:rFonts w:ascii="Arial" w:cs="Arial" w:eastAsia="Arial" w:hAnsi="Arial"/>
          <w:sz w:val="20"/>
          <w:szCs w:val="20"/>
          <w:b w:val="1"/>
          <w:bCs w:val="1"/>
          <w:color w:val="auto"/>
        </w:rPr>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1 of 10</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2640" w:type="dxa"/>
            <w:vAlign w:val="bottom"/>
            <w:tcBorders>
              <w:top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340" w:type="dxa"/>
            <w:vAlign w:val="bottom"/>
            <w:tcBorders>
              <w:top w:val="single" w:sz="8" w:color="auto"/>
              <w:right w:val="single" w:sz="8" w:color="auto"/>
            </w:tcBorders>
          </w:tcPr>
          <w:p>
            <w:pPr>
              <w:spacing w:after="0"/>
              <w:rPr>
                <w:sz w:val="21"/>
                <w:szCs w:val="21"/>
                <w:color w:val="auto"/>
              </w:rPr>
            </w:pPr>
          </w:p>
        </w:tc>
        <w:tc>
          <w:tcPr>
            <w:tcW w:w="2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244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2640" w:type="dxa"/>
            <w:vAlign w:val="bottom"/>
            <w:tcBorders>
              <w:bottom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244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r>
        <w:trPr>
          <w:trHeight w:val="732"/>
        </w:trPr>
        <w:tc>
          <w:tcPr>
            <w:tcW w:w="2640" w:type="dxa"/>
            <w:vAlign w:val="bottom"/>
          </w:tcPr>
          <w:p>
            <w:pPr>
              <w:spacing w:after="0"/>
              <w:rPr>
                <w:sz w:val="24"/>
                <w:szCs w:val="24"/>
                <w:color w:val="auto"/>
              </w:rPr>
            </w:pPr>
          </w:p>
        </w:tc>
        <w:tc>
          <w:tcPr>
            <w:tcW w:w="5700" w:type="dxa"/>
            <w:vAlign w:val="bottom"/>
            <w:gridSpan w:val="2"/>
          </w:tcPr>
          <w:p>
            <w:pPr>
              <w:ind w:left="1120"/>
              <w:spacing w:after="0"/>
              <w:rPr>
                <w:sz w:val="20"/>
                <w:szCs w:val="20"/>
                <w:color w:val="auto"/>
              </w:rPr>
            </w:pPr>
            <w:r>
              <w:rPr>
                <w:rFonts w:ascii="Arial" w:cs="Arial" w:eastAsia="Arial" w:hAnsi="Arial"/>
                <w:sz w:val="32"/>
                <w:szCs w:val="32"/>
                <w:b w:val="1"/>
                <w:bCs w:val="1"/>
                <w:color w:val="auto"/>
              </w:rPr>
              <w:t>Insider Trading Policy</w:t>
            </w:r>
          </w:p>
        </w:tc>
        <w:tc>
          <w:tcPr>
            <w:tcW w:w="2440" w:type="dxa"/>
            <w:vAlign w:val="bottom"/>
          </w:tcPr>
          <w:p>
            <w:pPr>
              <w:spacing w:after="0"/>
              <w:rPr>
                <w:sz w:val="24"/>
                <w:szCs w:val="24"/>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Purpose</w:t>
      </w:r>
    </w:p>
    <w:p>
      <w:pPr>
        <w:spacing w:after="0" w:line="219" w:lineRule="exact"/>
        <w:rPr>
          <w:sz w:val="20"/>
          <w:szCs w:val="20"/>
          <w:color w:val="auto"/>
        </w:rPr>
      </w:pPr>
    </w:p>
    <w:p>
      <w:pPr>
        <w:jc w:val="both"/>
        <w:ind w:right="820"/>
        <w:spacing w:after="0" w:line="258" w:lineRule="auto"/>
        <w:rPr>
          <w:sz w:val="20"/>
          <w:szCs w:val="20"/>
          <w:color w:val="auto"/>
        </w:rPr>
      </w:pPr>
      <w:r>
        <w:rPr>
          <w:rFonts w:ascii="Arial" w:cs="Arial" w:eastAsia="Arial" w:hAnsi="Arial"/>
          <w:sz w:val="20"/>
          <w:szCs w:val="20"/>
          <w:color w:val="auto"/>
        </w:rPr>
        <w:t>As a public company, AngioDynamics Inc. (the “Company”) is subject to various Federal and state laws and regulations governing trading in its securities. The Company’s policy is to comply fully, and to assist its directors and employees in complying fully, with these laws and regulations.</w:t>
      </w:r>
    </w:p>
    <w:p>
      <w:pPr>
        <w:spacing w:after="0" w:line="75"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The Company has established this Insider Trading Policy (the “Policy”) to provide procedures and guidelines with respect to transactions in the Company’s securities and the protection of material non- public information, to protect its directors and employees from violating the law when buying or selling the Company’s securities and to prevent any appearance of impropriety. It is important that all directors and employees read and understand this Policy to ensure compliance with the applicable laws. The Company depends upon the conduct and diligence of its directors and employees, in both their professional and personal capacities, to ensure full compliance with this Policy.</w:t>
      </w:r>
    </w:p>
    <w:p>
      <w:pPr>
        <w:spacing w:after="0" w:line="183"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Scope</w:t>
      </w:r>
    </w:p>
    <w:p>
      <w:pPr>
        <w:spacing w:after="0" w:line="219" w:lineRule="exact"/>
        <w:rPr>
          <w:sz w:val="20"/>
          <w:szCs w:val="20"/>
          <w:color w:val="auto"/>
        </w:rPr>
      </w:pPr>
    </w:p>
    <w:p>
      <w:pPr>
        <w:jc w:val="both"/>
        <w:ind w:right="140"/>
        <w:spacing w:after="0" w:line="265" w:lineRule="auto"/>
        <w:rPr>
          <w:sz w:val="20"/>
          <w:szCs w:val="20"/>
          <w:color w:val="auto"/>
        </w:rPr>
      </w:pPr>
      <w:r>
        <w:rPr>
          <w:rFonts w:ascii="Arial" w:cs="Arial" w:eastAsia="Arial" w:hAnsi="Arial"/>
          <w:sz w:val="19"/>
          <w:szCs w:val="19"/>
          <w:color w:val="auto"/>
        </w:rPr>
        <w:t xml:space="preserve">This Policy applies to all members of the Company’s Board of Directors (the “Board”), employees, consultants, and such other people who gain access to material non-public information because of their relationship with the Company, as well as members of such persons’ immediate families and households and certain other affiliated persons, as more fully described in the </w:t>
      </w:r>
      <w:r>
        <w:rPr>
          <w:rFonts w:ascii="Arial" w:cs="Arial" w:eastAsia="Arial" w:hAnsi="Arial"/>
          <w:sz w:val="19"/>
          <w:szCs w:val="19"/>
          <w:u w:val="single" w:color="auto"/>
          <w:color w:val="0000FF"/>
        </w:rPr>
        <w:t>Who Is</w:t>
      </w:r>
      <w:r>
        <w:rPr>
          <w:rFonts w:ascii="Arial" w:cs="Arial" w:eastAsia="Arial" w:hAnsi="Arial"/>
          <w:sz w:val="19"/>
          <w:szCs w:val="19"/>
          <w:color w:val="auto"/>
        </w:rPr>
        <w:t xml:space="preserve"> </w:t>
      </w:r>
      <w:r>
        <w:rPr>
          <w:rFonts w:ascii="Arial" w:cs="Arial" w:eastAsia="Arial" w:hAnsi="Arial"/>
          <w:sz w:val="19"/>
          <w:szCs w:val="19"/>
          <w:u w:val="single" w:color="auto"/>
          <w:color w:val="0000FF"/>
        </w:rPr>
        <w:t>Covered?</w:t>
      </w:r>
      <w:r>
        <w:rPr>
          <w:rFonts w:ascii="Arial" w:cs="Arial" w:eastAsia="Arial" w:hAnsi="Arial"/>
          <w:sz w:val="19"/>
          <w:szCs w:val="19"/>
          <w:color w:val="0000FF"/>
        </w:rPr>
        <w:t xml:space="preserve"> </w:t>
      </w:r>
      <w:r>
        <w:rPr>
          <w:rFonts w:ascii="Arial" w:cs="Arial" w:eastAsia="Arial" w:hAnsi="Arial"/>
          <w:sz w:val="19"/>
          <w:szCs w:val="19"/>
          <w:color w:val="000000"/>
        </w:rPr>
        <w:t>section. This Policy applies to both domestic and international employees of the Company and its subsidiaries.</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 xml:space="preserve">Company policy subjects its directors and certain covered employees to additional restrictions because of their access to confidential information on a regular basis. All references in this Policy to employees of the Company should be read to include all such persons listed in the </w:t>
      </w:r>
      <w:r>
        <w:rPr>
          <w:rFonts w:ascii="Arial" w:cs="Arial" w:eastAsia="Arial" w:hAnsi="Arial"/>
          <w:sz w:val="20"/>
          <w:szCs w:val="20"/>
          <w:u w:val="single" w:color="auto"/>
          <w:color w:val="0000FF"/>
        </w:rPr>
        <w:t>Who Is Covered?</w:t>
      </w:r>
      <w:r>
        <w:rPr>
          <w:rFonts w:ascii="Arial" w:cs="Arial" w:eastAsia="Arial" w:hAnsi="Arial"/>
          <w:sz w:val="20"/>
          <w:szCs w:val="20"/>
          <w:color w:val="auto"/>
        </w:rPr>
        <w:t xml:space="preserve"> section. It is the personal obligation and responsibility of each director, employee, and consultant to act in a manner consistent with this Policy.</w:t>
      </w:r>
    </w:p>
    <w:p>
      <w:pPr>
        <w:spacing w:after="0" w:line="19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Definitions</w:t>
      </w:r>
    </w:p>
    <w:p>
      <w:pPr>
        <w:spacing w:after="0" w:line="22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Insider Trading</w:t>
      </w:r>
    </w:p>
    <w:p>
      <w:pPr>
        <w:spacing w:after="0" w:line="229" w:lineRule="exact"/>
        <w:rPr>
          <w:sz w:val="20"/>
          <w:szCs w:val="20"/>
          <w:color w:val="auto"/>
        </w:rPr>
      </w:pPr>
    </w:p>
    <w:p>
      <w:pPr>
        <w:ind w:right="280"/>
        <w:spacing w:after="0" w:line="251" w:lineRule="auto"/>
        <w:rPr>
          <w:sz w:val="20"/>
          <w:szCs w:val="20"/>
          <w:color w:val="auto"/>
        </w:rPr>
      </w:pPr>
      <w:r>
        <w:rPr>
          <w:rFonts w:ascii="Arial" w:cs="Arial" w:eastAsia="Arial" w:hAnsi="Arial"/>
          <w:sz w:val="20"/>
          <w:szCs w:val="20"/>
          <w:color w:val="auto"/>
        </w:rPr>
        <w:t>Insider trading generally involves (1) the purchase or sale of Company securities while in possession of material non-public information; (2) disclosing or “tipping” material non-public information to others or recommending the purchase or sale of securities based on such information; or (3) assisting someone who is engaged in any of the above activities. Additionally, the prohibition on insider trading is not limited to trading in Company securities, and includes trading in the securities of other companies, such as the Company’s customers, suppliers, strategic partners, and competitors.</w:t>
      </w:r>
    </w:p>
    <w:p>
      <w:pPr>
        <w:sectPr>
          <w:pgSz w:w="11900" w:h="16838" w:orient="portrait"/>
          <w:cols w:equalWidth="0" w:num="1">
            <w:col w:w="11140"/>
          </w:cols>
          <w:pgMar w:left="420" w:top="1440" w:right="339" w:bottom="1440" w:gutter="0" w:footer="0" w:header="0"/>
        </w:sectPr>
      </w:pPr>
    </w:p>
    <w:bookmarkStart w:id="87" w:name="page88"/>
    <w:bookmarkEnd w:id="87"/>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8">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2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Non-Public Information</w:t>
      </w:r>
    </w:p>
    <w:p>
      <w:pPr>
        <w:spacing w:after="0" w:line="229" w:lineRule="exact"/>
        <w:rPr>
          <w:sz w:val="20"/>
          <w:szCs w:val="20"/>
          <w:color w:val="auto"/>
        </w:rPr>
      </w:pPr>
    </w:p>
    <w:p>
      <w:pPr>
        <w:ind w:left="40" w:right="300"/>
        <w:spacing w:after="0" w:line="252" w:lineRule="auto"/>
        <w:rPr>
          <w:sz w:val="20"/>
          <w:szCs w:val="20"/>
          <w:color w:val="auto"/>
        </w:rPr>
      </w:pPr>
      <w:r>
        <w:rPr>
          <w:rFonts w:ascii="Arial" w:cs="Arial" w:eastAsia="Arial" w:hAnsi="Arial"/>
          <w:sz w:val="20"/>
          <w:szCs w:val="20"/>
          <w:color w:val="auto"/>
        </w:rPr>
        <w:t>Information about the Company is non-public if it is generally not known to the public or if it has not been disseminated in a manner making it available to investors generally. To show that information is “public”, there must be evidence that it is widely disseminated and absorbed by the marketplace.</w:t>
      </w:r>
    </w:p>
    <w:p>
      <w:pPr>
        <w:spacing w:after="0" w:line="2" w:lineRule="exact"/>
        <w:rPr>
          <w:sz w:val="20"/>
          <w:szCs w:val="20"/>
          <w:color w:val="auto"/>
        </w:rPr>
      </w:pPr>
    </w:p>
    <w:p>
      <w:pPr>
        <w:ind w:left="40" w:right="320"/>
        <w:spacing w:after="0" w:line="248" w:lineRule="auto"/>
        <w:rPr>
          <w:sz w:val="20"/>
          <w:szCs w:val="20"/>
          <w:color w:val="auto"/>
        </w:rPr>
      </w:pPr>
      <w:r>
        <w:rPr>
          <w:rFonts w:ascii="Arial" w:cs="Arial" w:eastAsia="Arial" w:hAnsi="Arial"/>
          <w:sz w:val="20"/>
          <w:szCs w:val="20"/>
          <w:color w:val="auto"/>
        </w:rPr>
        <w:t xml:space="preserve">Generally, information should not be considered fully absorbed by the marketplace until after the second business day following public release of such information. Examples of public dissemination include, without limitation, a press release or filing of a reporting document, such as Form 8-K, 10-Q, or 10-K, with the </w:t>
      </w:r>
      <w:r>
        <w:rPr>
          <w:rFonts w:ascii="Arial" w:cs="Arial" w:eastAsia="Arial" w:hAnsi="Arial"/>
          <w:sz w:val="20"/>
          <w:szCs w:val="20"/>
          <w:u w:val="single" w:color="auto"/>
          <w:color w:val="0000FF"/>
        </w:rPr>
        <w:t>U.S. Securities and Exchange Commission</w:t>
      </w:r>
      <w:r>
        <w:rPr>
          <w:rFonts w:ascii="Arial" w:cs="Arial" w:eastAsia="Arial" w:hAnsi="Arial"/>
          <w:sz w:val="20"/>
          <w:szCs w:val="20"/>
          <w:color w:val="auto"/>
        </w:rPr>
        <w:t xml:space="preserve"> (the “SEC”). During the period that material information relating to the business or affairs of the Company is unavailable to the general public, it must be kept in strict confidence. Accordingly, such information should be discussed with persons who have a “need to know,” and should be confined to as small a group as possible.</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Material Information</w:t>
      </w:r>
    </w:p>
    <w:p>
      <w:pPr>
        <w:spacing w:after="0" w:line="216" w:lineRule="exact"/>
        <w:rPr>
          <w:sz w:val="20"/>
          <w:szCs w:val="20"/>
          <w:color w:val="auto"/>
        </w:rPr>
      </w:pPr>
    </w:p>
    <w:p>
      <w:pPr>
        <w:ind w:left="40"/>
        <w:spacing w:after="0" w:line="251" w:lineRule="auto"/>
        <w:rPr>
          <w:sz w:val="20"/>
          <w:szCs w:val="20"/>
          <w:color w:val="auto"/>
        </w:rPr>
      </w:pPr>
      <w:r>
        <w:rPr>
          <w:rFonts w:ascii="Arial" w:cs="Arial" w:eastAsia="Arial" w:hAnsi="Arial"/>
          <w:sz w:val="20"/>
          <w:szCs w:val="20"/>
          <w:color w:val="auto"/>
        </w:rPr>
        <w:t>Information is material if there is a substantial likelihood that a reasonable investor would consider it important in deciding whether to buy or sell securities. While information that would affect the market price of the Company’s stock or value of the Company is material in all cases, information that does not have any direct or quantifiable effect on stock price or value may also be material. As a practical matter, materiality often is determined after the fact, when it is known that someone has traded on the information and after the information itself has been made public and its effects upon the market are more certain. Examples of information that might be “material” include without limitation:</w:t>
      </w:r>
    </w:p>
    <w:p>
      <w:pPr>
        <w:spacing w:after="0" w:line="83" w:lineRule="exact"/>
        <w:rPr>
          <w:sz w:val="20"/>
          <w:szCs w:val="20"/>
          <w:color w:val="auto"/>
        </w:rPr>
      </w:pPr>
    </w:p>
    <w:p>
      <w:pPr>
        <w:ind w:left="680" w:right="560" w:hanging="322"/>
        <w:spacing w:after="0" w:line="266" w:lineRule="auto"/>
        <w:tabs>
          <w:tab w:leader="none" w:pos="705" w:val="left"/>
        </w:tabs>
        <w:numPr>
          <w:ilvl w:val="0"/>
          <w:numId w:val="49"/>
        </w:numPr>
        <w:rPr>
          <w:rFonts w:ascii="Arial" w:cs="Arial" w:eastAsia="Arial" w:hAnsi="Arial"/>
          <w:sz w:val="20"/>
          <w:szCs w:val="20"/>
          <w:color w:val="auto"/>
        </w:rPr>
      </w:pPr>
      <w:r>
        <w:rPr>
          <w:rFonts w:ascii="Arial" w:cs="Arial" w:eastAsia="Arial" w:hAnsi="Arial"/>
          <w:sz w:val="20"/>
          <w:szCs w:val="20"/>
          <w:color w:val="auto"/>
        </w:rPr>
        <w:t>financial results, reports or projections, including without limitation sales, earnings, unusual write-offs, write-downs, impairment charges, profit and losses;</w:t>
      </w:r>
    </w:p>
    <w:p>
      <w:pPr>
        <w:spacing w:after="0" w:line="52" w:lineRule="exact"/>
        <w:rPr>
          <w:rFonts w:ascii="Arial" w:cs="Arial" w:eastAsia="Arial" w:hAnsi="Arial"/>
          <w:sz w:val="20"/>
          <w:szCs w:val="20"/>
          <w:color w:val="auto"/>
        </w:rPr>
      </w:pPr>
    </w:p>
    <w:p>
      <w:pPr>
        <w:ind w:left="700" w:hanging="342"/>
        <w:spacing w:after="0"/>
        <w:tabs>
          <w:tab w:leader="none" w:pos="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information about current, proposed or contemplated transactions, business plans, financial restructuring;</w:t>
      </w:r>
    </w:p>
    <w:p>
      <w:pPr>
        <w:spacing w:after="0" w:line="118" w:lineRule="exact"/>
        <w:rPr>
          <w:rFonts w:ascii="Arial" w:cs="Arial" w:eastAsia="Arial" w:hAnsi="Arial"/>
          <w:sz w:val="20"/>
          <w:szCs w:val="20"/>
          <w:color w:val="auto"/>
        </w:rPr>
      </w:pPr>
    </w:p>
    <w:p>
      <w:pPr>
        <w:ind w:left="680" w:right="1280" w:hanging="322"/>
        <w:spacing w:after="0" w:line="266" w:lineRule="auto"/>
        <w:tabs>
          <w:tab w:leader="none" w:pos="694"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proposed or contemplated issuance, redemption or repurchase of Company stock as well as tender offers, recapitalizations, dividends, stock splits and reverse splits;</w:t>
      </w:r>
    </w:p>
    <w:p>
      <w:pPr>
        <w:spacing w:after="0" w:line="65" w:lineRule="exact"/>
        <w:rPr>
          <w:rFonts w:ascii="Arial" w:cs="Arial" w:eastAsia="Arial" w:hAnsi="Arial"/>
          <w:sz w:val="20"/>
          <w:szCs w:val="20"/>
          <w:color w:val="auto"/>
        </w:rPr>
      </w:pPr>
    </w:p>
    <w:p>
      <w:pPr>
        <w:ind w:left="700" w:hanging="342"/>
        <w:spacing w:after="0"/>
        <w:tabs>
          <w:tab w:leader="none" w:pos="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significant expansions or contractions of operations and facilities;</w:t>
      </w:r>
    </w:p>
    <w:p>
      <w:pPr>
        <w:spacing w:after="0" w:line="104" w:lineRule="exact"/>
        <w:rPr>
          <w:rFonts w:ascii="Arial" w:cs="Arial" w:eastAsia="Arial" w:hAnsi="Arial"/>
          <w:sz w:val="20"/>
          <w:szCs w:val="20"/>
          <w:color w:val="auto"/>
        </w:rPr>
      </w:pPr>
    </w:p>
    <w:p>
      <w:pPr>
        <w:ind w:left="700" w:hanging="342"/>
        <w:spacing w:after="0"/>
        <w:tabs>
          <w:tab w:leader="none" w:pos="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pending research, development and discoveries relating to new products or potential products;</w:t>
      </w:r>
    </w:p>
    <w:p>
      <w:pPr>
        <w:spacing w:after="0" w:line="118" w:lineRule="exact"/>
        <w:rPr>
          <w:rFonts w:ascii="Arial" w:cs="Arial" w:eastAsia="Arial" w:hAnsi="Arial"/>
          <w:sz w:val="20"/>
          <w:szCs w:val="20"/>
          <w:color w:val="auto"/>
        </w:rPr>
      </w:pPr>
    </w:p>
    <w:p>
      <w:pPr>
        <w:ind w:left="680" w:hanging="322"/>
        <w:spacing w:after="0"/>
        <w:tabs>
          <w:tab w:leader="none" w:pos="6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significant increases or decreases in business or information relating to major contracts;</w:t>
      </w:r>
    </w:p>
    <w:p>
      <w:pPr>
        <w:spacing w:after="0" w:line="118" w:lineRule="exact"/>
        <w:rPr>
          <w:rFonts w:ascii="Arial" w:cs="Arial" w:eastAsia="Arial" w:hAnsi="Arial"/>
          <w:sz w:val="20"/>
          <w:szCs w:val="20"/>
          <w:color w:val="auto"/>
        </w:rPr>
      </w:pPr>
    </w:p>
    <w:p>
      <w:pPr>
        <w:ind w:left="700" w:hanging="342"/>
        <w:spacing w:after="0"/>
        <w:tabs>
          <w:tab w:leader="none" w:pos="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institution of, or developments in, major litigation, investigations or other regulatory actions or proceedings;</w:t>
      </w:r>
    </w:p>
    <w:p>
      <w:pPr>
        <w:spacing w:after="0" w:line="104" w:lineRule="exact"/>
        <w:rPr>
          <w:rFonts w:ascii="Arial" w:cs="Arial" w:eastAsia="Arial" w:hAnsi="Arial"/>
          <w:sz w:val="20"/>
          <w:szCs w:val="20"/>
          <w:color w:val="auto"/>
        </w:rPr>
      </w:pPr>
    </w:p>
    <w:p>
      <w:pPr>
        <w:ind w:left="700" w:hanging="342"/>
        <w:spacing w:after="0"/>
        <w:tabs>
          <w:tab w:leader="none" w:pos="700"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developments regarding senior management or the Board;</w:t>
      </w:r>
    </w:p>
    <w:p>
      <w:pPr>
        <w:spacing w:after="0" w:line="118" w:lineRule="exact"/>
        <w:rPr>
          <w:rFonts w:ascii="Arial" w:cs="Arial" w:eastAsia="Arial" w:hAnsi="Arial"/>
          <w:sz w:val="20"/>
          <w:szCs w:val="20"/>
          <w:color w:val="auto"/>
        </w:rPr>
      </w:pPr>
    </w:p>
    <w:p>
      <w:pPr>
        <w:ind w:left="680" w:hanging="322"/>
        <w:spacing w:after="0"/>
        <w:tabs>
          <w:tab w:leader="none" w:pos="6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material defaults under agreements or actions by creditors, clients or suppliers;</w:t>
      </w:r>
    </w:p>
    <w:p>
      <w:pPr>
        <w:spacing w:after="0" w:line="104" w:lineRule="exact"/>
        <w:rPr>
          <w:rFonts w:ascii="Arial" w:cs="Arial" w:eastAsia="Arial" w:hAnsi="Arial"/>
          <w:sz w:val="20"/>
          <w:szCs w:val="20"/>
          <w:color w:val="auto"/>
        </w:rPr>
      </w:pPr>
    </w:p>
    <w:p>
      <w:pPr>
        <w:ind w:left="680" w:hanging="322"/>
        <w:spacing w:after="0"/>
        <w:tabs>
          <w:tab w:leader="none" w:pos="6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extraordinary borrowings or liquidity problems;</w:t>
      </w:r>
    </w:p>
    <w:p>
      <w:pPr>
        <w:spacing w:after="0" w:line="118" w:lineRule="exact"/>
        <w:rPr>
          <w:rFonts w:ascii="Arial" w:cs="Arial" w:eastAsia="Arial" w:hAnsi="Arial"/>
          <w:sz w:val="20"/>
          <w:szCs w:val="20"/>
          <w:color w:val="auto"/>
        </w:rPr>
      </w:pPr>
    </w:p>
    <w:p>
      <w:pPr>
        <w:ind w:left="680" w:right="520" w:hanging="322"/>
        <w:spacing w:after="0" w:line="266" w:lineRule="auto"/>
        <w:tabs>
          <w:tab w:leader="none" w:pos="694"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discussions, negotiations or agreements regarding potential mergers, acquisitions, divestitures, sale or purchase of substantial assets, major license and distribution agreements;</w:t>
      </w:r>
    </w:p>
    <w:p>
      <w:pPr>
        <w:sectPr>
          <w:pgSz w:w="11900" w:h="16838" w:orient="portrait"/>
          <w:cols w:equalWidth="0" w:num="1">
            <w:col w:w="11180"/>
          </w:cols>
          <w:pgMar w:left="380" w:top="183" w:right="339" w:bottom="1440" w:gutter="0" w:footer="0" w:header="0"/>
        </w:sectPr>
      </w:pPr>
    </w:p>
    <w:bookmarkStart w:id="88" w:name="page89"/>
    <w:bookmarkEnd w:id="88"/>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9">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3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80" w:right="340" w:hanging="322"/>
        <w:spacing w:after="0" w:line="266" w:lineRule="auto"/>
        <w:tabs>
          <w:tab w:leader="none" w:pos="6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execution, amendment or termination (other than in accordance with its terms) of a material definitive agreement not made in the ordinary course of the Company’s business;</w:t>
      </w:r>
    </w:p>
    <w:p>
      <w:pPr>
        <w:spacing w:after="0" w:line="65" w:lineRule="exact"/>
        <w:rPr>
          <w:rFonts w:ascii="Arial" w:cs="Arial" w:eastAsia="Arial" w:hAnsi="Arial"/>
          <w:sz w:val="20"/>
          <w:szCs w:val="20"/>
          <w:color w:val="auto"/>
        </w:rPr>
      </w:pPr>
    </w:p>
    <w:p>
      <w:pPr>
        <w:ind w:left="680" w:right="100" w:hanging="322"/>
        <w:spacing w:after="0" w:line="266" w:lineRule="auto"/>
        <w:tabs>
          <w:tab w:leader="none" w:pos="693" w:val="left"/>
        </w:tabs>
        <w:numPr>
          <w:ilvl w:val="0"/>
          <w:numId w:val="50"/>
        </w:numPr>
        <w:rPr>
          <w:rFonts w:ascii="Arial" w:cs="Arial" w:eastAsia="Arial" w:hAnsi="Arial"/>
          <w:sz w:val="20"/>
          <w:szCs w:val="20"/>
          <w:color w:val="auto"/>
        </w:rPr>
      </w:pPr>
      <w:r>
        <w:rPr>
          <w:rFonts w:ascii="Arial" w:cs="Arial" w:eastAsia="Arial" w:hAnsi="Arial"/>
          <w:sz w:val="20"/>
          <w:szCs w:val="20"/>
          <w:color w:val="auto"/>
        </w:rPr>
        <w:t>creation of, or triggering events that accelerate or increase, a material direct financial obligation or a material obligation under an off-balance sheet arrangement, whether or not the Company is party to the agreement;</w:t>
      </w:r>
    </w:p>
    <w:p>
      <w:pPr>
        <w:spacing w:after="0" w:line="65" w:lineRule="exact"/>
        <w:rPr>
          <w:rFonts w:ascii="Arial" w:cs="Arial" w:eastAsia="Arial" w:hAnsi="Arial"/>
          <w:sz w:val="20"/>
          <w:szCs w:val="20"/>
          <w:color w:val="auto"/>
        </w:rPr>
      </w:pPr>
    </w:p>
    <w:p>
      <w:pPr>
        <w:ind w:left="680" w:right="940" w:hanging="322"/>
        <w:spacing w:after="0" w:line="258" w:lineRule="auto"/>
        <w:tabs>
          <w:tab w:leader="none" w:pos="692"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Board (or officers where Board approval is not required) definitively committing the Company to an exit or disposal plan under which material charges will be incurred under Generally Accepted Accounting Principles (“GAAP”);</w:t>
      </w:r>
    </w:p>
    <w:p>
      <w:pPr>
        <w:spacing w:after="0" w:line="75" w:lineRule="exact"/>
        <w:rPr>
          <w:rFonts w:ascii="Arial" w:cs="Arial" w:eastAsia="Arial" w:hAnsi="Arial"/>
          <w:sz w:val="20"/>
          <w:szCs w:val="20"/>
          <w:color w:val="auto"/>
        </w:rPr>
      </w:pPr>
    </w:p>
    <w:p>
      <w:pPr>
        <w:ind w:left="680" w:right="140" w:hanging="322"/>
        <w:spacing w:after="0" w:line="266" w:lineRule="auto"/>
        <w:tabs>
          <w:tab w:leader="none" w:pos="692"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determination by the Board (or officers where Board approval is not required) that the Company is required to record a material impairment charge under GAAP;</w:t>
      </w:r>
    </w:p>
    <w:p>
      <w:pPr>
        <w:spacing w:after="0" w:line="52" w:lineRule="exact"/>
        <w:rPr>
          <w:rFonts w:ascii="Arial" w:cs="Arial" w:eastAsia="Arial" w:hAnsi="Arial"/>
          <w:sz w:val="20"/>
          <w:szCs w:val="20"/>
          <w:color w:val="auto"/>
        </w:rPr>
      </w:pPr>
    </w:p>
    <w:p>
      <w:pPr>
        <w:ind w:left="680" w:right="620" w:hanging="322"/>
        <w:spacing w:after="0" w:line="258" w:lineRule="auto"/>
        <w:tabs>
          <w:tab w:leader="none" w:pos="692" w:val="left"/>
        </w:tabs>
        <w:numPr>
          <w:ilvl w:val="0"/>
          <w:numId w:val="50"/>
        </w:numPr>
        <w:rPr>
          <w:rFonts w:ascii="Arial" w:cs="Arial" w:eastAsia="Arial" w:hAnsi="Arial"/>
          <w:sz w:val="20"/>
          <w:szCs w:val="20"/>
          <w:color w:val="auto"/>
        </w:rPr>
      </w:pPr>
      <w:r>
        <w:rPr>
          <w:rFonts w:ascii="Arial" w:cs="Arial" w:eastAsia="Arial" w:hAnsi="Arial"/>
          <w:sz w:val="20"/>
          <w:szCs w:val="20"/>
          <w:color w:val="auto"/>
        </w:rPr>
        <w:t>determination by the Board (or officers where Board approval is not required) that investors should no longer rely on previously issued financial statements or a related audit report or completed interim review by independent accounts or changes in auditors;</w:t>
      </w:r>
    </w:p>
    <w:p>
      <w:pPr>
        <w:spacing w:after="0" w:line="61" w:lineRule="exact"/>
        <w:rPr>
          <w:rFonts w:ascii="Arial" w:cs="Arial" w:eastAsia="Arial" w:hAnsi="Arial"/>
          <w:sz w:val="20"/>
          <w:szCs w:val="20"/>
          <w:color w:val="auto"/>
        </w:rPr>
      </w:pPr>
    </w:p>
    <w:p>
      <w:pPr>
        <w:ind w:left="680" w:right="780" w:hanging="322"/>
        <w:spacing w:after="0" w:line="280" w:lineRule="auto"/>
        <w:tabs>
          <w:tab w:leader="none" w:pos="692" w:val="left"/>
        </w:tabs>
        <w:numPr>
          <w:ilvl w:val="0"/>
          <w:numId w:val="50"/>
        </w:numPr>
        <w:rPr>
          <w:rFonts w:ascii="Arial" w:cs="Arial" w:eastAsia="Arial" w:hAnsi="Arial"/>
          <w:sz w:val="20"/>
          <w:szCs w:val="20"/>
          <w:color w:val="auto"/>
        </w:rPr>
      </w:pPr>
      <w:r>
        <w:rPr>
          <w:rFonts w:ascii="Arial" w:cs="Arial" w:eastAsia="Arial" w:hAnsi="Arial"/>
          <w:sz w:val="20"/>
          <w:szCs w:val="20"/>
          <w:color w:val="auto"/>
        </w:rPr>
        <w:t>notice from a national securities exchange or Nasdaq that the Company or its securities do not satisfy its listing standards or have been delisted;</w:t>
      </w:r>
    </w:p>
    <w:p>
      <w:pPr>
        <w:spacing w:after="0" w:line="52" w:lineRule="exact"/>
        <w:rPr>
          <w:rFonts w:ascii="Arial" w:cs="Arial" w:eastAsia="Arial" w:hAnsi="Arial"/>
          <w:sz w:val="20"/>
          <w:szCs w:val="20"/>
          <w:color w:val="auto"/>
        </w:rPr>
      </w:pPr>
    </w:p>
    <w:p>
      <w:pPr>
        <w:jc w:val="both"/>
        <w:ind w:left="680" w:right="180" w:hanging="322"/>
        <w:spacing w:after="0" w:line="278" w:lineRule="auto"/>
        <w:tabs>
          <w:tab w:leader="none" w:pos="689" w:val="left"/>
        </w:tabs>
        <w:numPr>
          <w:ilvl w:val="0"/>
          <w:numId w:val="50"/>
        </w:numPr>
        <w:rPr>
          <w:rFonts w:ascii="Arial" w:cs="Arial" w:eastAsia="Arial" w:hAnsi="Arial"/>
          <w:sz w:val="19"/>
          <w:szCs w:val="19"/>
          <w:color w:val="auto"/>
        </w:rPr>
      </w:pPr>
      <w:r>
        <w:rPr>
          <w:rFonts w:ascii="Arial" w:cs="Arial" w:eastAsia="Arial" w:hAnsi="Arial"/>
          <w:sz w:val="19"/>
          <w:szCs w:val="19"/>
          <w:color w:val="auto"/>
        </w:rPr>
        <w:t>actual or potential cybersecurity risks, incidents or events that affect the Company or third-party providers that support the Company’s business operations, including computer system or network compromises, viruses or other destructive software and data breach incidents that may disclose personal, business, or other confidential information; and</w:t>
      </w:r>
    </w:p>
    <w:p>
      <w:pPr>
        <w:spacing w:after="0" w:line="44" w:lineRule="exact"/>
        <w:rPr>
          <w:rFonts w:ascii="Arial" w:cs="Arial" w:eastAsia="Arial" w:hAnsi="Arial"/>
          <w:sz w:val="19"/>
          <w:szCs w:val="19"/>
          <w:color w:val="auto"/>
        </w:rPr>
      </w:pPr>
    </w:p>
    <w:p>
      <w:pPr>
        <w:ind w:left="680" w:right="940" w:hanging="322"/>
        <w:spacing w:after="0" w:line="280" w:lineRule="auto"/>
        <w:tabs>
          <w:tab w:leader="none" w:pos="708" w:val="left"/>
        </w:tabs>
        <w:numPr>
          <w:ilvl w:val="0"/>
          <w:numId w:val="50"/>
        </w:numPr>
        <w:rPr>
          <w:rFonts w:ascii="Arial" w:cs="Arial" w:eastAsia="Arial" w:hAnsi="Arial"/>
          <w:sz w:val="20"/>
          <w:szCs w:val="20"/>
          <w:color w:val="auto"/>
        </w:rPr>
      </w:pPr>
      <w:r>
        <w:rPr>
          <w:rFonts w:ascii="Arial" w:cs="Arial" w:eastAsia="Arial" w:hAnsi="Arial"/>
          <w:sz w:val="20"/>
          <w:szCs w:val="20"/>
          <w:color w:val="auto"/>
        </w:rPr>
        <w:t>commencement, termination, or results of any pending or future clinical trials and the status of any regulatory clearances.</w:t>
      </w:r>
    </w:p>
    <w:p>
      <w:pPr>
        <w:spacing w:after="0" w:line="53" w:lineRule="exact"/>
        <w:rPr>
          <w:sz w:val="20"/>
          <w:szCs w:val="20"/>
          <w:color w:val="auto"/>
        </w:rPr>
      </w:pPr>
    </w:p>
    <w:p>
      <w:pPr>
        <w:ind w:left="40" w:right="80"/>
        <w:spacing w:after="0" w:line="268" w:lineRule="auto"/>
        <w:rPr>
          <w:sz w:val="20"/>
          <w:szCs w:val="20"/>
          <w:color w:val="auto"/>
        </w:rPr>
      </w:pPr>
      <w:r>
        <w:rPr>
          <w:rFonts w:ascii="Arial" w:cs="Arial" w:eastAsia="Arial" w:hAnsi="Arial"/>
          <w:sz w:val="19"/>
          <w:szCs w:val="19"/>
          <w:color w:val="auto"/>
        </w:rPr>
        <w:t>By including the list above, the Company does not mean to imply that each of these items above is per se material. The information and events on this list still require determinations as to their materiality (although some determinations will be reached more easily than others). There is no clear definition of what information is deemed to be “material”. Assessment of materiality involves a fact specific inquiry. For this reason, if employees have any questions about whether a particular piece of information is “material” or whether it is “public”, they should ask the General Counsel before they buy or sell Company stock.</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auto"/>
        </w:rPr>
        <w:t>References</w:t>
      </w:r>
    </w:p>
    <w:p>
      <w:pPr>
        <w:spacing w:after="0" w:line="219" w:lineRule="exact"/>
        <w:rPr>
          <w:sz w:val="20"/>
          <w:szCs w:val="20"/>
          <w:color w:val="auto"/>
        </w:rPr>
      </w:pPr>
    </w:p>
    <w:p>
      <w:pPr>
        <w:ind w:left="40" w:right="100"/>
        <w:spacing w:after="0" w:line="256" w:lineRule="auto"/>
        <w:rPr>
          <w:sz w:val="20"/>
          <w:szCs w:val="20"/>
          <w:color w:val="auto"/>
        </w:rPr>
      </w:pPr>
      <w:r>
        <w:rPr>
          <w:rFonts w:ascii="Arial" w:cs="Arial" w:eastAsia="Arial" w:hAnsi="Arial"/>
          <w:sz w:val="20"/>
          <w:szCs w:val="20"/>
          <w:color w:val="auto"/>
        </w:rPr>
        <w:t>The Securities Exchange Act of 1934 (“1934 Act”) was enacted, in part, in response to the insider trading abuses believed to have contributed to the stock market crash of 1929. The 1934 Act addressed insider trading directly through Section 16(b) and indirectly through Section 10(b) and Rule 10b-5 thereunder. Criminal prosecutions for insider trading are commonplace and may result in fines and/or imprisonment.</w:t>
      </w:r>
    </w:p>
    <w:p>
      <w:pPr>
        <w:sectPr>
          <w:pgSz w:w="11900" w:h="16838" w:orient="portrait"/>
          <w:cols w:equalWidth="0" w:num="1">
            <w:col w:w="11080"/>
          </w:cols>
          <w:pgMar w:left="380" w:top="183" w:right="439" w:bottom="1440" w:gutter="0" w:footer="0" w:header="0"/>
        </w:sectPr>
      </w:pPr>
    </w:p>
    <w:bookmarkStart w:id="89" w:name="page90"/>
    <w:bookmarkEnd w:id="89"/>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0">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4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auto"/>
        </w:rPr>
        <w:t>Responsibilities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Executive Leadership Team and Vice Presidents (“Management”)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auto"/>
        </w:rPr>
        <w:t>On an ongoing basis, Management is responsible for:</w:t>
      </w:r>
    </w:p>
    <w:p>
      <w:pPr>
        <w:spacing w:after="0" w:line="105" w:lineRule="exact"/>
        <w:rPr>
          <w:sz w:val="20"/>
          <w:szCs w:val="20"/>
          <w:color w:val="auto"/>
        </w:rPr>
      </w:pPr>
    </w:p>
    <w:p>
      <w:pPr>
        <w:ind w:left="700" w:hanging="342"/>
        <w:spacing w:after="0"/>
        <w:tabs>
          <w:tab w:leader="none" w:pos="7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Identifying individuals within their areas of responsibility who will be entrusted with material non-public information.</w:t>
      </w:r>
    </w:p>
    <w:p>
      <w:pPr>
        <w:spacing w:after="0" w:line="104" w:lineRule="exact"/>
        <w:rPr>
          <w:rFonts w:ascii="Arial" w:cs="Arial" w:eastAsia="Arial" w:hAnsi="Arial"/>
          <w:sz w:val="20"/>
          <w:szCs w:val="20"/>
          <w:color w:val="auto"/>
        </w:rPr>
      </w:pPr>
    </w:p>
    <w:p>
      <w:pPr>
        <w:ind w:left="700" w:hanging="342"/>
        <w:spacing w:after="0"/>
        <w:tabs>
          <w:tab w:leader="none" w:pos="7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Notifying the General Counsel of the list of individuals and updating this list as needed.</w:t>
      </w:r>
    </w:p>
    <w:p>
      <w:pPr>
        <w:spacing w:after="0" w:line="118" w:lineRule="exact"/>
        <w:rPr>
          <w:rFonts w:ascii="Arial" w:cs="Arial" w:eastAsia="Arial" w:hAnsi="Arial"/>
          <w:sz w:val="20"/>
          <w:szCs w:val="20"/>
          <w:color w:val="auto"/>
        </w:rPr>
      </w:pPr>
    </w:p>
    <w:p>
      <w:pPr>
        <w:ind w:left="680" w:right="580" w:hanging="322"/>
        <w:spacing w:after="0" w:line="280" w:lineRule="auto"/>
        <w:tabs>
          <w:tab w:leader="none" w:pos="694"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Notifying all individuals to the extent they become a Covered Persons (i.e., insider) due to the material non-public information that they are entrusted with.</w:t>
      </w:r>
    </w:p>
    <w:p>
      <w:pPr>
        <w:spacing w:after="0" w:line="39" w:lineRule="exact"/>
        <w:rPr>
          <w:rFonts w:ascii="Arial" w:cs="Arial" w:eastAsia="Arial" w:hAnsi="Arial"/>
          <w:sz w:val="20"/>
          <w:szCs w:val="20"/>
          <w:color w:val="auto"/>
        </w:rPr>
      </w:pPr>
    </w:p>
    <w:p>
      <w:pPr>
        <w:ind w:left="680" w:right="240" w:hanging="322"/>
        <w:spacing w:after="0" w:line="256" w:lineRule="auto"/>
        <w:tabs>
          <w:tab w:leader="none" w:pos="692"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Instructing all Covered Persons that they cannot discuss this material non-public information with anyone, including immediate family or friends, under penalty of violation of Section 10(b) of the </w:t>
      </w:r>
      <w:r>
        <w:rPr>
          <w:rFonts w:ascii="Arial" w:cs="Arial" w:eastAsia="Arial" w:hAnsi="Arial"/>
          <w:sz w:val="20"/>
          <w:szCs w:val="20"/>
          <w:u w:val="single" w:color="auto"/>
          <w:color w:val="0000FF"/>
        </w:rPr>
        <w:t>1934 Act</w:t>
      </w:r>
      <w:r>
        <w:rPr>
          <w:rFonts w:ascii="Arial" w:cs="Arial" w:eastAsia="Arial" w:hAnsi="Arial"/>
          <w:sz w:val="20"/>
          <w:szCs w:val="20"/>
          <w:color w:val="auto"/>
        </w:rPr>
        <w:t xml:space="preserve"> and Rule 10b-5 thereunder. These individuals could face jail time as well as fines of up to three times the profit that they or the person they tipped made on the transaction.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Window Period Notices</w:t>
      </w:r>
    </w:p>
    <w:p>
      <w:pPr>
        <w:spacing w:after="0" w:line="216" w:lineRule="exact"/>
        <w:rPr>
          <w:sz w:val="20"/>
          <w:szCs w:val="20"/>
          <w:color w:val="auto"/>
        </w:rPr>
      </w:pPr>
    </w:p>
    <w:p>
      <w:pPr>
        <w:ind w:left="40" w:right="340"/>
        <w:spacing w:after="0" w:line="256" w:lineRule="auto"/>
        <w:rPr>
          <w:sz w:val="20"/>
          <w:szCs w:val="20"/>
          <w:color w:val="auto"/>
        </w:rPr>
      </w:pPr>
      <w:r>
        <w:rPr>
          <w:rFonts w:ascii="Arial" w:cs="Arial" w:eastAsia="Arial" w:hAnsi="Arial"/>
          <w:sz w:val="20"/>
          <w:szCs w:val="20"/>
          <w:color w:val="auto"/>
        </w:rPr>
        <w:t>On an ongoing basis, the General Counsel or his/her designee shall notify all Covered Persons as to when trading windows are open and closed and instruct all Covered Person to buy and sell Company stock only during such open windows. Notwithstanding any open window period, trading when in possession of material non-public information is prohibited and illegal (</w:t>
      </w:r>
      <w:r>
        <w:rPr>
          <w:rFonts w:ascii="Arial" w:cs="Arial" w:eastAsia="Arial" w:hAnsi="Arial"/>
          <w:sz w:val="20"/>
          <w:szCs w:val="20"/>
          <w:i w:val="1"/>
          <w:iCs w:val="1"/>
          <w:color w:val="auto"/>
        </w:rPr>
        <w:t>see</w:t>
      </w:r>
      <w:r>
        <w:rPr>
          <w:rFonts w:ascii="Arial" w:cs="Arial" w:eastAsia="Arial" w:hAnsi="Arial"/>
          <w:sz w:val="20"/>
          <w:szCs w:val="20"/>
          <w:color w:val="auto"/>
        </w:rPr>
        <w:t xml:space="preserve"> the </w:t>
      </w:r>
      <w:r>
        <w:rPr>
          <w:rFonts w:ascii="Arial" w:cs="Arial" w:eastAsia="Arial" w:hAnsi="Arial"/>
          <w:sz w:val="20"/>
          <w:szCs w:val="20"/>
          <w:u w:val="single" w:color="auto"/>
          <w:color w:val="0000FF"/>
        </w:rPr>
        <w:t>General Prohibition on “Insider Trading”</w:t>
      </w:r>
      <w:r>
        <w:rPr>
          <w:rFonts w:ascii="Arial" w:cs="Arial" w:eastAsia="Arial" w:hAnsi="Arial"/>
          <w:sz w:val="20"/>
          <w:szCs w:val="20"/>
          <w:color w:val="auto"/>
        </w:rPr>
        <w:t xml:space="preserve"> section).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Human Resources</w:t>
      </w:r>
    </w:p>
    <w:p>
      <w:pPr>
        <w:spacing w:after="0" w:line="216" w:lineRule="exact"/>
        <w:rPr>
          <w:sz w:val="20"/>
          <w:szCs w:val="20"/>
          <w:color w:val="auto"/>
        </w:rPr>
      </w:pPr>
    </w:p>
    <w:p>
      <w:pPr>
        <w:jc w:val="both"/>
        <w:ind w:left="40" w:right="300"/>
        <w:spacing w:after="0" w:line="265" w:lineRule="auto"/>
        <w:rPr>
          <w:sz w:val="20"/>
          <w:szCs w:val="20"/>
          <w:color w:val="auto"/>
        </w:rPr>
      </w:pPr>
      <w:r>
        <w:rPr>
          <w:rFonts w:ascii="Arial" w:cs="Arial" w:eastAsia="Arial" w:hAnsi="Arial"/>
          <w:sz w:val="20"/>
          <w:szCs w:val="20"/>
          <w:color w:val="auto"/>
        </w:rPr>
        <w:t>On an ongoing basis, Human Resources will ensure all newly hired employees are trained on this Policy as part of their new hire orientation, and that such employees acknowledge receipt of this Policy in accordance with the Company’s policies and procedures and that such acknowledgment is maintained in their employee files.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27"/>
          <w:szCs w:val="27"/>
          <w:b w:val="1"/>
          <w:bCs w:val="1"/>
          <w:color w:val="auto"/>
        </w:rPr>
        <w:t>Policy</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General Prohibition on “Insider Trading”</w:t>
      </w:r>
    </w:p>
    <w:p>
      <w:pPr>
        <w:spacing w:after="0" w:line="229" w:lineRule="exact"/>
        <w:rPr>
          <w:sz w:val="20"/>
          <w:szCs w:val="20"/>
          <w:color w:val="auto"/>
        </w:rPr>
      </w:pPr>
    </w:p>
    <w:p>
      <w:pPr>
        <w:ind w:left="40" w:right="120"/>
        <w:spacing w:after="0" w:line="251" w:lineRule="auto"/>
        <w:rPr>
          <w:sz w:val="20"/>
          <w:szCs w:val="20"/>
          <w:color w:val="auto"/>
        </w:rPr>
      </w:pPr>
      <w:r>
        <w:rPr>
          <w:rFonts w:ascii="Arial" w:cs="Arial" w:eastAsia="Arial" w:hAnsi="Arial"/>
          <w:sz w:val="20"/>
          <w:szCs w:val="20"/>
          <w:color w:val="auto"/>
        </w:rPr>
        <w:t>Federal securities laws prohibit the trading of securities while in possession of “material non-public” information. If a director or employee is in possession of material non-public information, such person may not buy or sell Company stock (including common stock, preferred stock, convertible debentures, warrants, exchange-traded options or other derivative securities), other than pursuant to a pre- approved trading plan that complies with SEC Rule 10b5-1, and may not recommend the Company’s stock to a third party. In addition, directors and employees of the Company who, while working for the</w:t>
      </w:r>
    </w:p>
    <w:p>
      <w:pPr>
        <w:sectPr>
          <w:pgSz w:w="11900" w:h="16838" w:orient="portrait"/>
          <w:cols w:equalWidth="0" w:num="1">
            <w:col w:w="11080"/>
          </w:cols>
          <w:pgMar w:left="380" w:top="183" w:right="439" w:bottom="1440" w:gutter="0" w:footer="0" w:header="0"/>
        </w:sectPr>
      </w:pPr>
    </w:p>
    <w:bookmarkStart w:id="90" w:name="page91"/>
    <w:bookmarkEnd w:id="90"/>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5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right="40"/>
        <w:spacing w:after="0" w:line="266" w:lineRule="auto"/>
        <w:rPr>
          <w:sz w:val="20"/>
          <w:szCs w:val="20"/>
          <w:color w:val="auto"/>
        </w:rPr>
      </w:pPr>
      <w:r>
        <w:rPr>
          <w:rFonts w:ascii="Arial" w:cs="Arial" w:eastAsia="Arial" w:hAnsi="Arial"/>
          <w:sz w:val="20"/>
          <w:szCs w:val="20"/>
          <w:color w:val="auto"/>
        </w:rPr>
        <w:t>Company, learn of material non-public information provided by a third party to the Company, including any customer or supplier of the Company, may not buy or sell such third-party security.</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Who is Covered?</w:t>
      </w:r>
    </w:p>
    <w:p>
      <w:pPr>
        <w:spacing w:after="0" w:line="229" w:lineRule="exact"/>
        <w:rPr>
          <w:sz w:val="20"/>
          <w:szCs w:val="20"/>
          <w:color w:val="auto"/>
        </w:rPr>
      </w:pPr>
    </w:p>
    <w:p>
      <w:pPr>
        <w:ind w:left="40" w:right="160"/>
        <w:spacing w:after="0" w:line="248" w:lineRule="auto"/>
        <w:rPr>
          <w:sz w:val="20"/>
          <w:szCs w:val="20"/>
          <w:color w:val="auto"/>
        </w:rPr>
      </w:pPr>
      <w:r>
        <w:rPr>
          <w:rFonts w:ascii="Arial" w:cs="Arial" w:eastAsia="Arial" w:hAnsi="Arial"/>
          <w:sz w:val="20"/>
          <w:szCs w:val="20"/>
          <w:color w:val="auto"/>
        </w:rPr>
        <w:t>The prohibition on insider trading applies to all directors and employees of the Company, both officers and non-officers, family members or other persons who reside in their households, family members who do not live in their households but whose securities transactions are directed by them or are subject to their influence or control, and all trusts, family partnerships, and other types of entities formed for their benefit or for the benefit of a member of their family and all investment funds, trusts, retirement plans, partnerships, corporations and other types of entities in each case over which they have the ability to influence or direct investment decisions concerning securities, as well as anyone who receives such information from an employee of the Company, including consultants and advisors. An employee is prohibited from disclosing or disseminating to anyone, even immediate family members or close friends, any material non-public information obtained while working for the Company, whether relating to the Company or another third party.</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Transactions under Company Plans</w:t>
      </w:r>
    </w:p>
    <w:p>
      <w:pPr>
        <w:spacing w:after="0" w:line="229" w:lineRule="exact"/>
        <w:rPr>
          <w:sz w:val="20"/>
          <w:szCs w:val="20"/>
          <w:color w:val="auto"/>
        </w:rPr>
      </w:pPr>
    </w:p>
    <w:p>
      <w:pPr>
        <w:ind w:left="40" w:right="120"/>
        <w:spacing w:after="0" w:line="256" w:lineRule="auto"/>
        <w:rPr>
          <w:sz w:val="20"/>
          <w:szCs w:val="20"/>
          <w:color w:val="auto"/>
        </w:rPr>
      </w:pPr>
      <w:r>
        <w:rPr>
          <w:rFonts w:ascii="Arial" w:cs="Arial" w:eastAsia="Arial" w:hAnsi="Arial"/>
          <w:sz w:val="20"/>
          <w:szCs w:val="20"/>
          <w:color w:val="auto"/>
        </w:rPr>
        <w:t>Generally, this Policy does not apply to the exercise of an employee stock option, or to the exercise of a tax withholding right pursuant to which you elect to have the Company withhold shares subject to an option to satisfy tax-withholding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63" w:lineRule="exact"/>
        <w:rPr>
          <w:sz w:val="20"/>
          <w:szCs w:val="20"/>
          <w:color w:val="auto"/>
        </w:rPr>
      </w:pPr>
    </w:p>
    <w:p>
      <w:pPr>
        <w:ind w:left="40" w:right="100"/>
        <w:spacing w:after="0" w:line="256" w:lineRule="auto"/>
        <w:rPr>
          <w:sz w:val="20"/>
          <w:szCs w:val="20"/>
          <w:color w:val="auto"/>
        </w:rPr>
      </w:pPr>
      <w:r>
        <w:rPr>
          <w:rFonts w:ascii="Arial" w:cs="Arial" w:eastAsia="Arial" w:hAnsi="Arial"/>
          <w:sz w:val="20"/>
          <w:szCs w:val="20"/>
          <w:color w:val="auto"/>
        </w:rPr>
        <w:t>This Policy does not apply to purchases of Company stock in the employee stock purchase plan resulting from your periodic contribution of money to the plan pursuant to the election you made at the time of your enrollment in the plan. This Policy does apply to your election to participate in the employee stock purchase plan for any enrollment period, and to your sales of Company stock purchased pursuant to such plan.</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Gifts</w:t>
      </w:r>
    </w:p>
    <w:p>
      <w:pPr>
        <w:spacing w:after="0" w:line="216" w:lineRule="exact"/>
        <w:rPr>
          <w:sz w:val="20"/>
          <w:szCs w:val="20"/>
          <w:color w:val="auto"/>
        </w:rPr>
      </w:pPr>
    </w:p>
    <w:p>
      <w:pPr>
        <w:ind w:left="40" w:right="100"/>
        <w:spacing w:after="0" w:line="251" w:lineRule="auto"/>
        <w:rPr>
          <w:sz w:val="20"/>
          <w:szCs w:val="20"/>
          <w:color w:val="auto"/>
        </w:rPr>
      </w:pPr>
      <w:r>
        <w:rPr>
          <w:rFonts w:ascii="Arial" w:cs="Arial" w:eastAsia="Arial" w:hAnsi="Arial"/>
          <w:sz w:val="20"/>
          <w:szCs w:val="20"/>
          <w:color w:val="auto"/>
        </w:rPr>
        <w:t>Generally, bona fide gifts of securities are not deemed to be transactions for the purposes of this Policy. Whether a gift is truly bona fide will depend on the circumstances surrounding a specific gift. The more unrelated the donee is to the donor, the more likely the gift would be considered “bona fide” and not a “transaction.” For example, gifts to charities, churches or non-profit organizations would not be deemed to be “transactions.” However, gifts to dependent children followed by a sale of the “gifted securities” near the time of the gift may imply some economic benefit to the donor and, therefore, may be deemed to be a “transaction” and not a “bona fide gift.”</w:t>
      </w:r>
    </w:p>
    <w:p>
      <w:pPr>
        <w:sectPr>
          <w:pgSz w:w="11900" w:h="16838" w:orient="portrait"/>
          <w:cols w:equalWidth="0" w:num="1">
            <w:col w:w="11080"/>
          </w:cols>
          <w:pgMar w:left="380" w:top="183" w:right="439" w:bottom="1440" w:gutter="0" w:footer="0" w:header="0"/>
        </w:sectPr>
      </w:pPr>
    </w:p>
    <w:bookmarkStart w:id="91" w:name="page92"/>
    <w:bookmarkEnd w:id="91"/>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6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Additional Prohibited Transactions by Definition</w:t>
      </w:r>
    </w:p>
    <w:p>
      <w:pPr>
        <w:spacing w:after="0" w:line="229" w:lineRule="exact"/>
        <w:rPr>
          <w:sz w:val="20"/>
          <w:szCs w:val="20"/>
          <w:color w:val="auto"/>
        </w:rPr>
      </w:pPr>
    </w:p>
    <w:p>
      <w:pPr>
        <w:ind w:left="40" w:right="100"/>
        <w:spacing w:after="0" w:line="258" w:lineRule="auto"/>
        <w:rPr>
          <w:sz w:val="20"/>
          <w:szCs w:val="20"/>
          <w:color w:val="auto"/>
        </w:rPr>
      </w:pPr>
      <w:r>
        <w:rPr>
          <w:rFonts w:ascii="Arial" w:cs="Arial" w:eastAsia="Arial" w:hAnsi="Arial"/>
          <w:sz w:val="20"/>
          <w:szCs w:val="20"/>
          <w:color w:val="auto"/>
        </w:rPr>
        <w:t>The Company considers it improper and inappropriate for any director, officer, or other employee of the Company to engage in short-term or speculative transactions in the Company’s securities. Under this Policy, directors, officers, and other employees may not engage in any of the following transactions.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Short Sales</w:t>
      </w:r>
    </w:p>
    <w:p>
      <w:pPr>
        <w:spacing w:after="0" w:line="113" w:lineRule="exact"/>
        <w:rPr>
          <w:sz w:val="20"/>
          <w:szCs w:val="20"/>
          <w:color w:val="auto"/>
        </w:rPr>
      </w:pPr>
    </w:p>
    <w:p>
      <w:pPr>
        <w:ind w:left="40" w:right="160"/>
        <w:spacing w:after="0" w:line="251" w:lineRule="auto"/>
        <w:rPr>
          <w:sz w:val="20"/>
          <w:szCs w:val="20"/>
          <w:color w:val="auto"/>
        </w:rPr>
      </w:pPr>
      <w:r>
        <w:rPr>
          <w:rFonts w:ascii="Arial" w:cs="Arial" w:eastAsia="Arial" w:hAnsi="Arial"/>
          <w:sz w:val="20"/>
          <w:szCs w:val="20"/>
          <w:color w:val="auto"/>
        </w:rPr>
        <w:t xml:space="preserve">Short sales of the Company’s securities evidence an expectation on the part of the seller that the securities will decline in value, and therefore signal to the market that the seller has no confidence in the Company or its short-term prospects. In addition, short sales may reduce the seller’s incentive to improve the Company’s performance. For these reasons, short sales of the Company’s securities are prohibited by this Policy. In addition, Section 16(c) of the </w:t>
      </w:r>
      <w:r>
        <w:rPr>
          <w:rFonts w:ascii="Arial" w:cs="Arial" w:eastAsia="Arial" w:hAnsi="Arial"/>
          <w:sz w:val="20"/>
          <w:szCs w:val="20"/>
          <w:u w:val="single" w:color="auto"/>
          <w:color w:val="0000FF"/>
        </w:rPr>
        <w:t>1934 Act</w:t>
      </w:r>
      <w:r>
        <w:rPr>
          <w:rFonts w:ascii="Arial" w:cs="Arial" w:eastAsia="Arial" w:hAnsi="Arial"/>
          <w:sz w:val="20"/>
          <w:szCs w:val="20"/>
          <w:color w:val="auto"/>
        </w:rPr>
        <w:t xml:space="preserve"> prohibits officers and directors from engaging in short sales.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Publicly Traded Options</w:t>
      </w:r>
    </w:p>
    <w:p>
      <w:pPr>
        <w:spacing w:after="0" w:line="113" w:lineRule="exact"/>
        <w:rPr>
          <w:sz w:val="20"/>
          <w:szCs w:val="20"/>
          <w:color w:val="auto"/>
        </w:rPr>
      </w:pPr>
    </w:p>
    <w:p>
      <w:pPr>
        <w:ind w:left="40" w:right="340"/>
        <w:spacing w:after="0" w:line="255" w:lineRule="auto"/>
        <w:rPr>
          <w:sz w:val="20"/>
          <w:szCs w:val="20"/>
          <w:color w:val="auto"/>
        </w:rPr>
      </w:pPr>
      <w:r>
        <w:rPr>
          <w:rFonts w:ascii="Arial" w:cs="Arial" w:eastAsia="Arial" w:hAnsi="Arial"/>
          <w:sz w:val="20"/>
          <w:szCs w:val="20"/>
          <w:color w:val="auto"/>
        </w:rPr>
        <w:t>A transaction in options is, in effect, a bet on the short-term movement of the Company’s stock and therefore creates the appearance that the director or employee is trading based on inside information. Transactions in options also may focus the director or employee’s attention on short-term performance at the expense of the Company’s long-term objectives. Accordingly, transactions in puts, calls, or other derivative securities, on an exchange or in any other organized market, are prohibited by this Policy.</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Hedging Transactions</w:t>
      </w:r>
    </w:p>
    <w:p>
      <w:pPr>
        <w:spacing w:after="0" w:line="113" w:lineRule="exact"/>
        <w:rPr>
          <w:sz w:val="20"/>
          <w:szCs w:val="20"/>
          <w:color w:val="auto"/>
        </w:rPr>
      </w:pPr>
    </w:p>
    <w:p>
      <w:pPr>
        <w:ind w:left="40" w:right="40"/>
        <w:spacing w:after="0" w:line="271" w:lineRule="auto"/>
        <w:rPr>
          <w:sz w:val="20"/>
          <w:szCs w:val="20"/>
          <w:color w:val="auto"/>
        </w:rPr>
      </w:pPr>
      <w:r>
        <w:rPr>
          <w:rFonts w:ascii="Arial" w:cs="Arial" w:eastAsia="Arial" w:hAnsi="Arial"/>
          <w:sz w:val="19"/>
          <w:szCs w:val="19"/>
          <w:color w:val="auto"/>
        </w:rPr>
        <w:t>Certain forms of hedging or monetization transactions, such as zero-cost dollars and forward sale contracts, allow an individual to lock in much of the value of their stock holdings, often in exchange for all or part of the potential for upside appreciation in the stock. These transactions allow the director or employee to continue to own the covered securities, but without the full risks and rewards of ownership. When that occurs, the director of employee may no longer have the same objectives as the Company’s other shareholders. Therefore, directors and employees are prohibited from engaging in any such transactions.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Margin Accounts and Pledges</w:t>
      </w:r>
    </w:p>
    <w:p>
      <w:pPr>
        <w:spacing w:after="0" w:line="127" w:lineRule="exact"/>
        <w:rPr>
          <w:sz w:val="20"/>
          <w:szCs w:val="20"/>
          <w:color w:val="auto"/>
        </w:rPr>
      </w:pPr>
    </w:p>
    <w:p>
      <w:pPr>
        <w:ind w:left="40" w:right="60"/>
        <w:spacing w:after="0" w:line="249" w:lineRule="auto"/>
        <w:rPr>
          <w:sz w:val="20"/>
          <w:szCs w:val="20"/>
          <w:color w:val="auto"/>
        </w:rPr>
      </w:pPr>
      <w:r>
        <w:rPr>
          <w:rFonts w:ascii="Arial" w:cs="Arial" w:eastAsia="Arial" w:hAnsi="Arial"/>
          <w:sz w:val="20"/>
          <w:szCs w:val="20"/>
          <w:color w:val="auto"/>
        </w:rPr>
        <w:t>Securities held in a margin account may be sold by the broker without the holder’s consent if the holder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or pledging Company securities as collateral for a loan. An exception to this prohibition may be granted where a person wishes to pledge Company securities as collateral for a loan (not including margin debt) and clearly demonstrates the financial capacity to repay the loan without resort to the pledged securities. Any person who wishes to pledge Company securities as collateral for a loan must submit a request for approval to the General Counsel at least two weeks prior to the proposed execution of documents evidencing the proposed pledge.</w:t>
      </w:r>
    </w:p>
    <w:p>
      <w:pPr>
        <w:sectPr>
          <w:pgSz w:w="11900" w:h="16838" w:orient="portrait"/>
          <w:cols w:equalWidth="0" w:num="1">
            <w:col w:w="11080"/>
          </w:cols>
          <w:pgMar w:left="380" w:top="183" w:right="439" w:bottom="1440" w:gutter="0" w:footer="0" w:header="0"/>
        </w:sectPr>
      </w:pPr>
    </w:p>
    <w:bookmarkStart w:id="92" w:name="page93"/>
    <w:bookmarkEnd w:id="92"/>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7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No Tipping</w:t>
      </w:r>
    </w:p>
    <w:p>
      <w:pPr>
        <w:spacing w:after="0" w:line="113" w:lineRule="exact"/>
        <w:rPr>
          <w:sz w:val="20"/>
          <w:szCs w:val="20"/>
          <w:color w:val="auto"/>
        </w:rPr>
      </w:pPr>
    </w:p>
    <w:p>
      <w:pPr>
        <w:ind w:left="40" w:right="120"/>
        <w:spacing w:after="0" w:line="274" w:lineRule="auto"/>
        <w:rPr>
          <w:sz w:val="20"/>
          <w:szCs w:val="20"/>
          <w:color w:val="auto"/>
        </w:rPr>
      </w:pPr>
      <w:r>
        <w:rPr>
          <w:rFonts w:ascii="Arial" w:cs="Arial" w:eastAsia="Arial" w:hAnsi="Arial"/>
          <w:sz w:val="19"/>
          <w:szCs w:val="19"/>
          <w:color w:val="auto"/>
        </w:rPr>
        <w:t>No director or employee shall disclose (“tip”) material non-public information to any other person where such information could potentially be used by such person to their benefit by trading in the securities of the Company to which such information relates, nor shall any director or employee make any recommendations or express any opinions as to trading in the Company’s securities, or the securities of any other third party, to any other person based on material non-public information.</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What are the Penalties for Violating this Policy?</w:t>
      </w:r>
    </w:p>
    <w:p>
      <w:pPr>
        <w:spacing w:after="0" w:line="216" w:lineRule="exact"/>
        <w:rPr>
          <w:sz w:val="20"/>
          <w:szCs w:val="20"/>
          <w:color w:val="auto"/>
        </w:rPr>
      </w:pPr>
    </w:p>
    <w:p>
      <w:pPr>
        <w:ind w:left="40" w:right="140"/>
        <w:spacing w:after="0" w:line="249" w:lineRule="auto"/>
        <w:rPr>
          <w:sz w:val="20"/>
          <w:szCs w:val="20"/>
          <w:color w:val="auto"/>
        </w:rPr>
      </w:pPr>
      <w:r>
        <w:rPr>
          <w:rFonts w:ascii="Arial" w:cs="Arial" w:eastAsia="Arial" w:hAnsi="Arial"/>
          <w:sz w:val="20"/>
          <w:szCs w:val="20"/>
          <w:color w:val="auto"/>
        </w:rPr>
        <w:t>The consequences of violating this Policy and the Federal securities laws are likely to be severe. Both the SEC and the national securities exchanges, through the Financial Industry Regulatory Authority, investigate and are very effective at detecting insider trading. The SEC, together with the U.S. Attorneys, pursue insider trading violations vigorously. For instance, cases have been successfully prosecuted against trading by employees in foreign accounts, trading by family members and friends, and trading involving only a small number of shares. In addition to possible termination of your employment, persons found to have violated the law and bought or sold securities while in possession of material</w:t>
      </w:r>
    </w:p>
    <w:p>
      <w:pPr>
        <w:spacing w:after="0" w:line="4" w:lineRule="exact"/>
        <w:rPr>
          <w:sz w:val="20"/>
          <w:szCs w:val="20"/>
          <w:color w:val="auto"/>
        </w:rPr>
      </w:pPr>
    </w:p>
    <w:p>
      <w:pPr>
        <w:ind w:left="40" w:right="220"/>
        <w:spacing w:after="0" w:line="250" w:lineRule="auto"/>
        <w:rPr>
          <w:sz w:val="20"/>
          <w:szCs w:val="20"/>
          <w:color w:val="auto"/>
        </w:rPr>
      </w:pPr>
      <w:r>
        <w:rPr>
          <w:rFonts w:ascii="Arial" w:cs="Arial" w:eastAsia="Arial" w:hAnsi="Arial"/>
          <w:sz w:val="20"/>
          <w:szCs w:val="20"/>
          <w:color w:val="auto"/>
        </w:rPr>
        <w:t>non-public information, or passed such information on to others, are subject to both civil action and criminal prosecution. Civil penalties may include cease and desist orders, disgorgement of profits and fines of up to three times the profit gained or loss avoided as a result of the unlawful sale or purchase. Criminal sanctions may include fines of up to $5 million for individuals and/or imprisonment of up to 20 years, or both.</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Pre-Clearance Procedures</w:t>
      </w:r>
    </w:p>
    <w:p>
      <w:pPr>
        <w:spacing w:after="0" w:line="229" w:lineRule="exact"/>
        <w:rPr>
          <w:sz w:val="20"/>
          <w:szCs w:val="20"/>
          <w:color w:val="auto"/>
        </w:rPr>
      </w:pPr>
    </w:p>
    <w:p>
      <w:pPr>
        <w:ind w:left="40" w:right="120"/>
        <w:spacing w:after="0" w:line="248" w:lineRule="auto"/>
        <w:rPr>
          <w:sz w:val="20"/>
          <w:szCs w:val="20"/>
          <w:color w:val="auto"/>
        </w:rPr>
      </w:pPr>
      <w:r>
        <w:rPr>
          <w:rFonts w:ascii="Arial" w:cs="Arial" w:eastAsia="Arial" w:hAnsi="Arial"/>
          <w:sz w:val="20"/>
          <w:szCs w:val="20"/>
          <w:color w:val="auto"/>
        </w:rPr>
        <w:t>To help prevent inadvertent violations of the Federal securities laws and to avoid even the appearance of trading on inside information, directors, Management, and certain designated employees and consultants of the Company and its subsidiaries (collectively “Covered Persons”) who have access to material non-public information about the Company, together with their family members and other members of their household, may not engage in any transaction involving the Company’s securities (including a stock plan transaction such as an option exercise, a gift, a contribution to a trust or any other transfer) without first obtaining pre-clearance of the transaction from the Company’s General Counsel. A request for pre-clearance should be submitted to the General Counsel on the day of the proposed transaction. The General Counsel is under no obligation to approve a trade submitted for pre- clearance and may determine not to permit the trade. The General Counsel may not trade in Company securities unless the Chief Executive Officer has approved the trade(s) in accordance with the procedures set forth in this Policy. Any Covered Person who wishes to implement a trading plan under SEC Rule 10b5-1 must first pre-clear the plan with the General Counsel. Any pre-clearance approval granted by the General Counsel is only good for the specific day it is given. If the trade does not take place on the specific day approval is given, then the request must be resubmitted for approval. Any transactions in the Company’s securities by a Covered Person must be reported to the General Counsel on the same day in which such a transaction occurs.</w:t>
      </w:r>
    </w:p>
    <w:p>
      <w:pPr>
        <w:sectPr>
          <w:pgSz w:w="11900" w:h="16838" w:orient="portrait"/>
          <w:cols w:equalWidth="0" w:num="1">
            <w:col w:w="11080"/>
          </w:cols>
          <w:pgMar w:left="380" w:top="183" w:right="439" w:bottom="1440" w:gutter="0" w:footer="0" w:header="0"/>
        </w:sectPr>
      </w:pPr>
    </w:p>
    <w:bookmarkStart w:id="93" w:name="page94"/>
    <w:bookmarkEnd w:id="93"/>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8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right="420"/>
        <w:spacing w:after="0" w:line="266" w:lineRule="auto"/>
        <w:rPr>
          <w:sz w:val="20"/>
          <w:szCs w:val="20"/>
          <w:color w:val="auto"/>
        </w:rPr>
      </w:pPr>
      <w:r>
        <w:rPr>
          <w:rFonts w:ascii="Arial" w:cs="Arial" w:eastAsia="Arial" w:hAnsi="Arial"/>
          <w:sz w:val="20"/>
          <w:szCs w:val="20"/>
          <w:color w:val="auto"/>
        </w:rPr>
        <w:t>Additionally, officers and directors of the Company must continue to comply with the other SEC reporting requirements and procedures associated with such transactions.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Blackout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20"/>
          <w:szCs w:val="20"/>
          <w:color w:val="auto"/>
        </w:rPr>
        <w:t>All directors, executive officers, and Covered Persons are subject to the following blackout procedures.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Quarterly Blackout Periods</w:t>
      </w:r>
    </w:p>
    <w:p>
      <w:pPr>
        <w:spacing w:after="0" w:line="113" w:lineRule="exact"/>
        <w:rPr>
          <w:sz w:val="20"/>
          <w:szCs w:val="20"/>
          <w:color w:val="auto"/>
        </w:rPr>
      </w:pPr>
    </w:p>
    <w:p>
      <w:pPr>
        <w:ind w:left="40" w:right="140"/>
        <w:spacing w:after="0" w:line="249" w:lineRule="auto"/>
        <w:rPr>
          <w:sz w:val="20"/>
          <w:szCs w:val="20"/>
          <w:color w:val="auto"/>
        </w:rPr>
      </w:pPr>
      <w:r>
        <w:rPr>
          <w:rFonts w:ascii="Arial" w:cs="Arial" w:eastAsia="Arial" w:hAnsi="Arial"/>
          <w:sz w:val="20"/>
          <w:szCs w:val="20"/>
          <w:color w:val="auto"/>
        </w:rPr>
        <w:t>The Company’s announcement of its quarterly or year-end financial results has the potential to have a material effect on the market for the Company’s securities. Therefore, to avoid even the appearance of trading based on material non-public information, you may only trade during open window periods upon notice and subject to pre-clearance (</w:t>
      </w:r>
      <w:r>
        <w:rPr>
          <w:rFonts w:ascii="Arial" w:cs="Arial" w:eastAsia="Arial" w:hAnsi="Arial"/>
          <w:sz w:val="20"/>
          <w:szCs w:val="20"/>
          <w:i w:val="1"/>
          <w:iCs w:val="1"/>
          <w:color w:val="auto"/>
        </w:rPr>
        <w:t>see</w:t>
      </w:r>
      <w:r>
        <w:rPr>
          <w:rFonts w:ascii="Arial" w:cs="Arial" w:eastAsia="Arial" w:hAnsi="Arial"/>
          <w:sz w:val="20"/>
          <w:szCs w:val="20"/>
          <w:color w:val="auto"/>
        </w:rPr>
        <w:t xml:space="preserve"> </w:t>
      </w:r>
      <w:r>
        <w:rPr>
          <w:rFonts w:ascii="Arial" w:cs="Arial" w:eastAsia="Arial" w:hAnsi="Arial"/>
          <w:sz w:val="20"/>
          <w:szCs w:val="20"/>
          <w:u w:val="single" w:color="auto"/>
          <w:color w:val="0000FF"/>
        </w:rPr>
        <w:t>Window Period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Notices</w:t>
      </w:r>
      <w:r>
        <w:rPr>
          <w:rFonts w:ascii="Arial" w:cs="Arial" w:eastAsia="Arial" w:hAnsi="Arial"/>
          <w:sz w:val="20"/>
          <w:szCs w:val="20"/>
          <w:color w:val="0000FF"/>
        </w:rPr>
        <w:t xml:space="preserve"> </w:t>
      </w:r>
      <w:r>
        <w:rPr>
          <w:rFonts w:ascii="Arial" w:cs="Arial" w:eastAsia="Arial" w:hAnsi="Arial"/>
          <w:sz w:val="20"/>
          <w:szCs w:val="20"/>
          <w:color w:val="000000"/>
        </w:rPr>
        <w:t>and</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Pre-Clearance Procedures</w:t>
      </w:r>
      <w:r>
        <w:rPr>
          <w:rFonts w:ascii="Arial" w:cs="Arial" w:eastAsia="Arial" w:hAnsi="Arial"/>
          <w:sz w:val="20"/>
          <w:szCs w:val="20"/>
          <w:color w:val="0000FF"/>
        </w:rPr>
        <w:t xml:space="preserve"> </w:t>
      </w:r>
      <w:r>
        <w:rPr>
          <w:rFonts w:ascii="Arial" w:cs="Arial" w:eastAsia="Arial" w:hAnsi="Arial"/>
          <w:sz w:val="20"/>
          <w:szCs w:val="20"/>
          <w:color w:val="000000"/>
        </w:rPr>
        <w:t>sections), which will generally begin on the second business day following the</w:t>
      </w:r>
      <w:r>
        <w:rPr>
          <w:rFonts w:ascii="Arial" w:cs="Arial" w:eastAsia="Arial" w:hAnsi="Arial"/>
          <w:sz w:val="20"/>
          <w:szCs w:val="20"/>
          <w:color w:val="0000FF"/>
        </w:rPr>
        <w:t xml:space="preserve"> </w:t>
      </w:r>
      <w:r>
        <w:rPr>
          <w:rFonts w:ascii="Arial" w:cs="Arial" w:eastAsia="Arial" w:hAnsi="Arial"/>
          <w:sz w:val="20"/>
          <w:szCs w:val="20"/>
          <w:color w:val="000000"/>
        </w:rPr>
        <w:t>Company’s announcement of quarterly or year-end financial results and end on the last day of the second month following the end of the then current quarter or fiscal year end. All other periods shall be blackout periods and you may not trade in the Company’s securities. Persons subject to these quarterly blackout periods include the Board, Management, and all other persons who are informed by the General Counsel that they are Covered Persons and subject to the quarterly blackout periods. The trading window may be opened or closed in the Company’s sole discretion.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Interim Earnings Guidance and Event-Specific Blackouts</w:t>
      </w:r>
    </w:p>
    <w:p>
      <w:pPr>
        <w:spacing w:after="0" w:line="113" w:lineRule="exact"/>
        <w:rPr>
          <w:sz w:val="20"/>
          <w:szCs w:val="20"/>
          <w:color w:val="auto"/>
        </w:rPr>
      </w:pPr>
    </w:p>
    <w:p>
      <w:pPr>
        <w:ind w:left="40" w:right="160"/>
        <w:spacing w:after="0" w:line="251" w:lineRule="auto"/>
        <w:rPr>
          <w:sz w:val="20"/>
          <w:szCs w:val="20"/>
          <w:color w:val="auto"/>
        </w:rPr>
      </w:pPr>
      <w:r>
        <w:rPr>
          <w:rFonts w:ascii="Arial" w:cs="Arial" w:eastAsia="Arial" w:hAnsi="Arial"/>
          <w:sz w:val="20"/>
          <w:szCs w:val="20"/>
          <w:color w:val="auto"/>
        </w:rPr>
        <w:t>The Company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the Company is in the process of assembling the information to be released and until the information has been released and fully absorbed by the market. Please contact the General Counsel to the extent there is any doubt as to whether a blackout is currently in effect.</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Other Material Events</w:t>
      </w:r>
    </w:p>
    <w:p>
      <w:pPr>
        <w:spacing w:after="0" w:line="113" w:lineRule="exact"/>
        <w:rPr>
          <w:sz w:val="20"/>
          <w:szCs w:val="20"/>
          <w:color w:val="auto"/>
        </w:rPr>
      </w:pPr>
    </w:p>
    <w:p>
      <w:pPr>
        <w:ind w:left="40" w:right="140"/>
        <w:spacing w:after="0" w:line="248" w:lineRule="auto"/>
        <w:rPr>
          <w:sz w:val="20"/>
          <w:szCs w:val="20"/>
          <w:color w:val="auto"/>
        </w:rPr>
      </w:pPr>
      <w:r>
        <w:rPr>
          <w:rFonts w:ascii="Arial" w:cs="Arial" w:eastAsia="Arial" w:hAnsi="Arial"/>
          <w:sz w:val="20"/>
          <w:szCs w:val="20"/>
          <w:color w:val="auto"/>
        </w:rPr>
        <w:t>From time to time, an event may occur that is material to the Company and is known by only a few directors or executives. So long as the event remains material and non-public, the persons who are aware of the event, as well as other persons covered by the quarterly earnings blackout procedures, may not trade in the Company’s securities. The existence of an event-specific blackout may not be announced, other than to those who are aware of the event giving rise to the blackout. If, however, a person whose trades are subject to pre-clearance requests permission to trade in the Company’s securities during an event-specific blackout, the General Counsel may inform the requesting person of the existence of a blackout period, without disclosing the reason for the blackout. Any person made aware of the existence of an event-specific blackout is prohibited from disclosing the existence of the blackout to any other person. The failure of the General Counsel to designate a person as being subject to an event-specific blackout will not relieve that person of the obligation not to trade while aware of material non-public information. Please contact the General Counsel to the extent there is any doubt as to whether an event-specific blackout is currently in effect.</w:t>
      </w:r>
    </w:p>
    <w:p>
      <w:pPr>
        <w:sectPr>
          <w:pgSz w:w="11900" w:h="16838" w:orient="portrait"/>
          <w:cols w:equalWidth="0" w:num="1">
            <w:col w:w="11080"/>
          </w:cols>
          <w:pgMar w:left="380" w:top="183" w:right="439" w:bottom="1440" w:gutter="0" w:footer="0" w:header="0"/>
        </w:sectPr>
      </w:pPr>
    </w:p>
    <w:bookmarkStart w:id="94" w:name="page95"/>
    <w:bookmarkEnd w:id="94"/>
    <w:p>
      <w:pPr>
        <w:ind w:left="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241935</wp:posOffset>
            </wp:positionH>
            <wp:positionV relativeFrom="page">
              <wp:posOffset>106045</wp:posOffset>
            </wp:positionV>
            <wp:extent cx="7039610" cy="8928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703961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9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70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6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700" w:type="dxa"/>
            <w:vAlign w:val="bottom"/>
            <w:tcBorders>
              <w:bottom w:val="single" w:sz="8" w:color="auto"/>
              <w:right w:val="single" w:sz="8" w:color="auto"/>
            </w:tcBorders>
          </w:tcPr>
          <w:p>
            <w:pPr>
              <w:spacing w:after="0"/>
              <w:rPr>
                <w:sz w:val="22"/>
                <w:szCs w:val="22"/>
                <w:color w:val="auto"/>
              </w:rPr>
            </w:pPr>
          </w:p>
        </w:tc>
        <w:tc>
          <w:tcPr>
            <w:tcW w:w="3700" w:type="dxa"/>
            <w:vAlign w:val="bottom"/>
            <w:tcBorders>
              <w:bottom w:val="single" w:sz="8" w:color="auto"/>
              <w:right w:val="single" w:sz="8" w:color="auto"/>
            </w:tcBorders>
          </w:tcPr>
          <w:p>
            <w:pPr>
              <w:spacing w:after="0"/>
              <w:rPr>
                <w:sz w:val="22"/>
                <w:szCs w:val="22"/>
                <w:color w:val="auto"/>
              </w:rPr>
            </w:pPr>
          </w:p>
        </w:tc>
        <w:tc>
          <w:tcPr>
            <w:tcW w:w="36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right="200"/>
        <w:spacing w:after="0" w:line="263" w:lineRule="auto"/>
        <w:rPr>
          <w:sz w:val="20"/>
          <w:szCs w:val="20"/>
          <w:color w:val="auto"/>
        </w:rPr>
      </w:pPr>
      <w:r>
        <w:rPr>
          <w:rFonts w:ascii="Arial" w:cs="Arial" w:eastAsia="Arial" w:hAnsi="Arial"/>
          <w:sz w:val="19"/>
          <w:szCs w:val="19"/>
          <w:color w:val="auto"/>
        </w:rPr>
        <w:t>Directors and executive officers may also be subject to event-specific blackouts pursuant to the SEC’s Regulation Blackout Trading Restriction, which prohibits certain sales and other transfers by insiders during certain pension plan blackout periods.</w:t>
      </w:r>
    </w:p>
    <w:p>
      <w:pPr>
        <w:spacing w:after="0" w:line="139"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Hardship Exceptions</w:t>
      </w:r>
    </w:p>
    <w:p>
      <w:pPr>
        <w:spacing w:after="0" w:line="229" w:lineRule="exact"/>
        <w:rPr>
          <w:sz w:val="20"/>
          <w:szCs w:val="20"/>
          <w:color w:val="auto"/>
        </w:rPr>
      </w:pPr>
    </w:p>
    <w:p>
      <w:pPr>
        <w:ind w:left="40" w:right="20"/>
        <w:spacing w:after="0" w:line="248" w:lineRule="auto"/>
        <w:rPr>
          <w:sz w:val="20"/>
          <w:szCs w:val="20"/>
          <w:color w:val="auto"/>
        </w:rPr>
      </w:pPr>
      <w:r>
        <w:rPr>
          <w:rFonts w:ascii="Arial" w:cs="Arial" w:eastAsia="Arial" w:hAnsi="Arial"/>
          <w:sz w:val="20"/>
          <w:szCs w:val="20"/>
          <w:color w:val="auto"/>
        </w:rPr>
        <w:t>A Covered Person who is subject to a quarterly earnings blackout period and who has an unexpected and urgent need to sell Company stock to generate cash may, in appropriate circumstances, be permitted to sell Company stock even during the quarterly blackout period. Hardship exceptions may be granted only by the General Counsel and must be requested at least two days in advance of the proposed trade. A hardship exception may be granted only if the General Counsel concludes that the Company’s earnings information for the applicable quarter does not constitute material non-public information. Under no circumstance will a hardship exception be granted during an event-specific blackout period or to a director or executive officer. Unless approved by the General Counsel, a hardship exception shall not justify your noncompliance with this Policy. As a general rule, transactions that may be necessary or justifiable for independent reasons (such as the need to raise money for an emergency expenditure) are not exceptions to this Policy. The federal securities laws do not recognize such mitigating circumstances, and, in any event, even the appearance of an improper transaction must be avoided to preserve the Company’s reputation for adhering to the highest standards of conduct. Even in the event the General Counsel grants a hardship exception, no person shall be permitted to buy or sell the Company’s securities to the extent such person is in possession of material non-public information.</w:t>
      </w:r>
    </w:p>
    <w:p>
      <w:pPr>
        <w:spacing w:after="0" w:line="193" w:lineRule="exact"/>
        <w:rPr>
          <w:sz w:val="20"/>
          <w:szCs w:val="20"/>
          <w:color w:val="auto"/>
        </w:rPr>
      </w:pPr>
    </w:p>
    <w:p>
      <w:pPr>
        <w:ind w:left="40"/>
        <w:spacing w:after="0"/>
        <w:rPr>
          <w:sz w:val="20"/>
          <w:szCs w:val="20"/>
          <w:color w:val="auto"/>
        </w:rPr>
      </w:pPr>
      <w:r>
        <w:rPr>
          <w:rFonts w:ascii="Arial" w:cs="Arial" w:eastAsia="Arial" w:hAnsi="Arial"/>
          <w:sz w:val="23"/>
          <w:szCs w:val="23"/>
          <w:b w:val="1"/>
          <w:bCs w:val="1"/>
          <w:color w:val="auto"/>
        </w:rPr>
        <w:t>Exception for Approved 10b5-1 Plans</w:t>
      </w:r>
    </w:p>
    <w:p>
      <w:pPr>
        <w:spacing w:after="0" w:line="229" w:lineRule="exact"/>
        <w:rPr>
          <w:sz w:val="20"/>
          <w:szCs w:val="20"/>
          <w:color w:val="auto"/>
        </w:rPr>
      </w:pPr>
    </w:p>
    <w:p>
      <w:pPr>
        <w:jc w:val="both"/>
        <w:ind w:left="40" w:right="560"/>
        <w:spacing w:after="0" w:line="258" w:lineRule="auto"/>
        <w:rPr>
          <w:sz w:val="20"/>
          <w:szCs w:val="20"/>
          <w:color w:val="auto"/>
        </w:rPr>
      </w:pPr>
      <w:r>
        <w:rPr>
          <w:rFonts w:ascii="Arial" w:cs="Arial" w:eastAsia="Arial" w:hAnsi="Arial"/>
          <w:sz w:val="20"/>
          <w:szCs w:val="20"/>
          <w:color w:val="auto"/>
        </w:rPr>
        <w:t xml:space="preserve">Trades by Covered Persons in the Company’s securities that are executed pursuant to an approved 10b5-1 plan are not subject to the prohibition on trading based on material non-public information contained in this Policy or to the restrictions set forth above relating to </w:t>
      </w:r>
      <w:r>
        <w:rPr>
          <w:rFonts w:ascii="Arial" w:cs="Arial" w:eastAsia="Arial" w:hAnsi="Arial"/>
          <w:sz w:val="20"/>
          <w:szCs w:val="20"/>
          <w:u w:val="single" w:color="auto"/>
          <w:color w:val="0000FF"/>
        </w:rPr>
        <w:t>Pre-Clearance Procedures</w:t>
      </w:r>
      <w:r>
        <w:rPr>
          <w:rFonts w:ascii="Arial" w:cs="Arial" w:eastAsia="Arial" w:hAnsi="Arial"/>
          <w:sz w:val="20"/>
          <w:szCs w:val="20"/>
          <w:color w:val="auto"/>
        </w:rPr>
        <w:t xml:space="preserve"> and blackout periods.</w:t>
      </w:r>
    </w:p>
    <w:p>
      <w:pPr>
        <w:spacing w:after="0" w:line="62" w:lineRule="exact"/>
        <w:rPr>
          <w:sz w:val="20"/>
          <w:szCs w:val="20"/>
          <w:color w:val="auto"/>
        </w:rPr>
      </w:pPr>
    </w:p>
    <w:p>
      <w:pPr>
        <w:ind w:left="40" w:right="100"/>
        <w:spacing w:after="0" w:line="251" w:lineRule="auto"/>
        <w:rPr>
          <w:sz w:val="20"/>
          <w:szCs w:val="20"/>
          <w:color w:val="auto"/>
        </w:rPr>
      </w:pPr>
      <w:r>
        <w:rPr>
          <w:rFonts w:ascii="Arial" w:cs="Arial" w:eastAsia="Arial" w:hAnsi="Arial"/>
          <w:sz w:val="20"/>
          <w:szCs w:val="20"/>
          <w:color w:val="auto"/>
        </w:rPr>
        <w:t>Rule 10b5-1 provides an affirmative defense from insider trading liability under the federal securities laws for trading plans that meet certain requirements. In general, a 10b5-1 plan must be entered into during an open window and when you are not aware of material non-public information. Once the plan is adopted, you must not exercise any influence over the amount of securities to be traded, the price at which they are to be traded or the date of the trade. The plan must either specify (including by formula) the amount, pricing, and timing of transactions in advance or delegate discretion on those matters to an independent third party.</w:t>
      </w:r>
    </w:p>
    <w:p>
      <w:pPr>
        <w:spacing w:after="0" w:line="83" w:lineRule="exact"/>
        <w:rPr>
          <w:sz w:val="20"/>
          <w:szCs w:val="20"/>
          <w:color w:val="auto"/>
        </w:rPr>
      </w:pPr>
    </w:p>
    <w:p>
      <w:pPr>
        <w:ind w:left="40" w:right="160"/>
        <w:spacing w:after="0" w:line="251" w:lineRule="auto"/>
        <w:rPr>
          <w:sz w:val="20"/>
          <w:szCs w:val="20"/>
          <w:color w:val="auto"/>
        </w:rPr>
      </w:pPr>
      <w:r>
        <w:rPr>
          <w:rFonts w:ascii="Arial" w:cs="Arial" w:eastAsia="Arial" w:hAnsi="Arial"/>
          <w:sz w:val="20"/>
          <w:szCs w:val="20"/>
          <w:color w:val="auto"/>
        </w:rPr>
        <w:t>The Company requires that all 10b5-1 plans be approved in writing in advance by the General Counsel. The General Counsel may refuse to approve a 10b5-1 plan and may require amendments to any pre- approved 10b5-1 plan in his or her sole discretion, including in response to any changes in Federal securities laws. Any modification to a previously approved 10b5-1 plan must be approved in writing in advance by the General Counsel and must occur during a trading window and while a person is not aware of any material non-public information.</w:t>
      </w:r>
    </w:p>
    <w:p>
      <w:pPr>
        <w:sectPr>
          <w:pgSz w:w="11900" w:h="16838" w:orient="portrait"/>
          <w:cols w:equalWidth="0" w:num="1">
            <w:col w:w="11080"/>
          </w:cols>
          <w:pgMar w:left="380" w:top="183" w:right="439" w:bottom="1440" w:gutter="0" w:footer="0" w:header="0"/>
        </w:sectPr>
      </w:pPr>
    </w:p>
    <w:bookmarkStart w:id="95" w:name="page96"/>
    <w:bookmarkEnd w:id="95"/>
    <w:p>
      <w:pPr>
        <w:ind w:left="22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335280</wp:posOffset>
            </wp:positionH>
            <wp:positionV relativeFrom="page">
              <wp:posOffset>505460</wp:posOffset>
            </wp:positionV>
            <wp:extent cx="6818630" cy="892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6818630" cy="892810"/>
                    </a:xfrm>
                    <a:prstGeom prst="rect">
                      <a:avLst/>
                    </a:prstGeom>
                    <a:noFill/>
                  </pic:spPr>
                </pic:pic>
              </a:graphicData>
            </a:graphic>
          </wp:anchor>
        </w:drawing>
        <w:t xml:space="preserve">Title: </w:t>
      </w:r>
      <w:r>
        <w:rPr>
          <w:rFonts w:ascii="Arial" w:cs="Arial" w:eastAsia="Arial" w:hAnsi="Arial"/>
          <w:sz w:val="20"/>
          <w:szCs w:val="20"/>
          <w:color w:val="auto"/>
        </w:rPr>
        <w:t>Insider Trading Policy</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Function: </w:t>
      </w:r>
      <w:r>
        <w:rPr>
          <w:rFonts w:ascii="Arial" w:cs="Arial" w:eastAsia="Arial" w:hAnsi="Arial"/>
          <w:sz w:val="20"/>
          <w:szCs w:val="20"/>
          <w:color w:val="auto"/>
        </w:rPr>
        <w:t>Law</w:t>
      </w:r>
    </w:p>
    <w:p>
      <w:pPr>
        <w:spacing w:after="0" w:line="51"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Page: </w:t>
      </w:r>
      <w:r>
        <w:rPr>
          <w:rFonts w:ascii="Arial" w:cs="Arial" w:eastAsia="Arial" w:hAnsi="Arial"/>
          <w:sz w:val="20"/>
          <w:szCs w:val="20"/>
          <w:color w:val="auto"/>
        </w:rPr>
        <w:t>10 of 10</w:t>
      </w:r>
    </w:p>
    <w:p>
      <w:pPr>
        <w:spacing w:after="0" w:line="40" w:lineRule="exact"/>
        <w:rPr>
          <w:sz w:val="20"/>
          <w:szCs w:val="20"/>
          <w:color w:val="auto"/>
        </w:rPr>
      </w:pPr>
    </w:p>
    <w:tbl>
      <w:tblPr>
        <w:tblLayout w:type="fixed"/>
        <w:tblInd w:w="100" w:type="dxa"/>
        <w:tblCellMar>
          <w:top w:w="0" w:type="dxa"/>
          <w:left w:w="0" w:type="dxa"/>
          <w:bottom w:w="0" w:type="dxa"/>
          <w:right w:w="0" w:type="dxa"/>
        </w:tblCellMar>
      </w:tblPr>
      <w:tr>
        <w:trPr>
          <w:trHeight w:val="248"/>
        </w:trPr>
        <w:tc>
          <w:tcPr>
            <w:tcW w:w="35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 xml:space="preserve">Reviewed: </w:t>
            </w:r>
            <w:r>
              <w:rPr>
                <w:rFonts w:ascii="Arial" w:cs="Arial" w:eastAsia="Arial" w:hAnsi="Arial"/>
                <w:sz w:val="20"/>
                <w:szCs w:val="20"/>
                <w:color w:val="auto"/>
              </w:rPr>
              <w:t>2/22</w:t>
            </w:r>
          </w:p>
        </w:tc>
        <w:tc>
          <w:tcPr>
            <w:tcW w:w="35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Effective: </w:t>
            </w:r>
            <w:r>
              <w:rPr>
                <w:rFonts w:ascii="Arial" w:cs="Arial" w:eastAsia="Arial" w:hAnsi="Arial"/>
                <w:sz w:val="20"/>
                <w:szCs w:val="20"/>
                <w:color w:val="auto"/>
              </w:rPr>
              <w:t>3/1/22</w:t>
            </w:r>
          </w:p>
        </w:tc>
        <w:tc>
          <w:tcPr>
            <w:tcW w:w="35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 xml:space="preserve">Supersedes: </w:t>
            </w:r>
            <w:r>
              <w:rPr>
                <w:rFonts w:ascii="Arial" w:cs="Arial" w:eastAsia="Arial" w:hAnsi="Arial"/>
                <w:sz w:val="20"/>
                <w:szCs w:val="20"/>
                <w:color w:val="auto"/>
              </w:rPr>
              <w:t>GN 078,</w:t>
            </w:r>
          </w:p>
        </w:tc>
      </w:tr>
      <w:tr>
        <w:trPr>
          <w:trHeight w:val="260"/>
        </w:trPr>
        <w:tc>
          <w:tcPr>
            <w:tcW w:w="3580" w:type="dxa"/>
            <w:vAlign w:val="bottom"/>
            <w:tcBorders>
              <w:bottom w:val="single" w:sz="8" w:color="auto"/>
              <w:right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spacing w:after="0"/>
              <w:rPr>
                <w:sz w:val="22"/>
                <w:szCs w:val="22"/>
                <w:color w:val="auto"/>
              </w:rPr>
            </w:pPr>
          </w:p>
        </w:tc>
        <w:tc>
          <w:tcPr>
            <w:tcW w:w="35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Rev 02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Post-Termination Transactions</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20"/>
          <w:szCs w:val="20"/>
          <w:color w:val="auto"/>
        </w:rPr>
        <w:t>If you are aware of material non-public information when you terminate employment or services, you may not trade in the Company’s securities until that information has become public or is no longer material. In all other respects, the procedures set forth in this Policy will cease to apply to your transactions in Company securities upon the expiration of any “blackout period” that is applicable to your transactions at the time of your termination of employment or services.</w:t>
      </w:r>
    </w:p>
    <w:p>
      <w:pPr>
        <w:spacing w:after="0" w:line="189"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Acknowledgement; Amendment</w:t>
      </w:r>
    </w:p>
    <w:p>
      <w:pPr>
        <w:spacing w:after="0" w:line="206"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This Policy will be delivered to all directors and employees who must acknowledge receipt and agree to comply with the terms of this Policy. You acknowledge that you may be required upon the Company’s request to re-acknowledge and agree to comply with this Policy (including any amendments or modifications). For such purpose, an individual will be deemed to have acknowledged and agreed to comply with this Policy, as amended from time to time, when copies of such items have been delivered by regular or electronic mail (or other delivery option used by the Company) or otherwise provided to you by the General Counsel or his or her designee.</w:t>
      </w:r>
    </w:p>
    <w:p>
      <w:pPr>
        <w:spacing w:after="0" w:line="83" w:lineRule="exact"/>
        <w:rPr>
          <w:sz w:val="20"/>
          <w:szCs w:val="20"/>
          <w:color w:val="auto"/>
        </w:rPr>
      </w:pPr>
    </w:p>
    <w:p>
      <w:pPr>
        <w:ind w:right="80"/>
        <w:spacing w:after="0" w:line="280" w:lineRule="auto"/>
        <w:rPr>
          <w:sz w:val="20"/>
          <w:szCs w:val="20"/>
          <w:color w:val="auto"/>
        </w:rPr>
      </w:pPr>
      <w:r>
        <w:rPr>
          <w:rFonts w:ascii="Arial" w:cs="Arial" w:eastAsia="Arial" w:hAnsi="Arial"/>
          <w:sz w:val="20"/>
          <w:szCs w:val="20"/>
          <w:color w:val="auto"/>
        </w:rPr>
        <w:t>The Company may at any time change this Policy or adopt such other policies or procedures which it considers appropriate to carry out the purposes of its policies regarding insider trading and the disclosure of material, non-public information.</w:t>
      </w:r>
    </w:p>
    <w:p>
      <w:pPr>
        <w:spacing w:after="0" w:line="152"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Questions/Reporting Concerns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If you have questions or concerns about our Insider Trading Policy, we offer the following resources:</w:t>
      </w:r>
    </w:p>
    <w:p>
      <w:pPr>
        <w:spacing w:after="0" w:line="118" w:lineRule="exact"/>
        <w:rPr>
          <w:sz w:val="20"/>
          <w:szCs w:val="20"/>
          <w:color w:val="auto"/>
        </w:rPr>
      </w:pPr>
    </w:p>
    <w:p>
      <w:pPr>
        <w:ind w:left="640" w:right="3560" w:hanging="322"/>
        <w:spacing w:after="0" w:line="265" w:lineRule="auto"/>
        <w:tabs>
          <w:tab w:leader="none" w:pos="62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The Compliance Team (</w:t>
      </w:r>
      <w:r>
        <w:rPr>
          <w:rFonts w:ascii="Arial" w:cs="Arial" w:eastAsia="Arial" w:hAnsi="Arial"/>
          <w:sz w:val="20"/>
          <w:szCs w:val="20"/>
          <w:u w:val="single" w:color="auto"/>
          <w:color w:val="0000FF"/>
        </w:rPr>
        <w:t>compliance@angiodynamics.com</w:t>
      </w:r>
      <w:r>
        <w:rPr>
          <w:rFonts w:ascii="Arial" w:cs="Arial" w:eastAsia="Arial" w:hAnsi="Arial"/>
          <w:sz w:val="20"/>
          <w:szCs w:val="20"/>
          <w:color w:val="auto"/>
        </w:rPr>
        <w:t>) or Law Department (legal@angiodynamics.com)</w:t>
      </w:r>
    </w:p>
    <w:p>
      <w:pPr>
        <w:spacing w:after="0" w:line="66" w:lineRule="exact"/>
        <w:rPr>
          <w:rFonts w:ascii="Times New Roman" w:cs="Times New Roman" w:eastAsia="Times New Roman" w:hAnsi="Times New Roman"/>
          <w:sz w:val="20"/>
          <w:szCs w:val="20"/>
          <w:color w:val="auto"/>
        </w:rPr>
      </w:pPr>
    </w:p>
    <w:p>
      <w:pPr>
        <w:ind w:left="620" w:hanging="302"/>
        <w:spacing w:after="0"/>
        <w:tabs>
          <w:tab w:leader="none" w:pos="620"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People you can talk to: Managers, Supervisors, or the Human Resources Team</w:t>
      </w:r>
    </w:p>
    <w:p>
      <w:pPr>
        <w:spacing w:after="0" w:line="117" w:lineRule="exact"/>
        <w:rPr>
          <w:rFonts w:ascii="Times New Roman" w:cs="Times New Roman" w:eastAsia="Times New Roman" w:hAnsi="Times New Roman"/>
          <w:sz w:val="20"/>
          <w:szCs w:val="20"/>
          <w:color w:val="auto"/>
        </w:rPr>
      </w:pPr>
    </w:p>
    <w:p>
      <w:pPr>
        <w:ind w:left="640" w:right="3200" w:hanging="322"/>
        <w:spacing w:after="0" w:line="265" w:lineRule="auto"/>
        <w:tabs>
          <w:tab w:leader="none" w:pos="628" w:val="left"/>
        </w:tabs>
        <w:numPr>
          <w:ilvl w:val="0"/>
          <w:numId w:val="52"/>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Compliance Hotline, 24 hours a day, 7 days a week at 1-877-325-3781 or online at </w:t>
      </w:r>
      <w:r>
        <w:rPr>
          <w:rFonts w:ascii="Arial" w:cs="Arial" w:eastAsia="Arial" w:hAnsi="Arial"/>
          <w:sz w:val="20"/>
          <w:szCs w:val="20"/>
          <w:u w:val="single" w:color="auto"/>
          <w:color w:val="0000FF"/>
        </w:rPr>
        <w:t>angiodynamics.ethicspoint.com</w:t>
      </w:r>
    </w:p>
    <w:p>
      <w:pPr>
        <w:spacing w:after="0" w:line="67" w:lineRule="exact"/>
        <w:rPr>
          <w:sz w:val="20"/>
          <w:szCs w:val="20"/>
          <w:color w:val="auto"/>
        </w:rPr>
      </w:pPr>
    </w:p>
    <w:p>
      <w:pPr>
        <w:spacing w:after="0"/>
        <w:rPr>
          <w:sz w:val="20"/>
          <w:szCs w:val="20"/>
          <w:color w:val="auto"/>
        </w:rPr>
      </w:pPr>
      <w:r>
        <w:rPr>
          <w:rFonts w:ascii="Arial" w:cs="Arial" w:eastAsia="Arial" w:hAnsi="Arial"/>
          <w:sz w:val="19"/>
          <w:szCs w:val="19"/>
          <w:color w:val="auto"/>
        </w:rPr>
        <w:t>AngioDynamics will not tolerate any kind of retaliation against anyone who asks questions or reports a concern in good faith.</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Anyone who engages in retaliation against someone who asks questions or voices a concern will face discipline.</w:t>
      </w:r>
    </w:p>
    <w:p>
      <w:pPr>
        <w:sectPr>
          <w:pgSz w:w="11900" w:h="16838" w:orient="portrait"/>
          <w:cols w:equalWidth="0" w:num="1">
            <w:col w:w="10980"/>
          </w:cols>
          <w:pgMar w:left="420" w:top="812" w:right="499" w:bottom="1440" w:gutter="0" w:footer="0" w:header="0"/>
        </w:sectPr>
      </w:pPr>
    </w:p>
    <w:bookmarkStart w:id="96" w:name="page97"/>
    <w:bookmarkEnd w:id="96"/>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AngioDynamics,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Subsidiary</w:t>
            </w:r>
          </w:p>
        </w:tc>
        <w:tc>
          <w:tcPr>
            <w:tcW w:w="5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State of Incorporation or Organization</w:t>
            </w:r>
          </w:p>
        </w:tc>
      </w:tr>
      <w:tr>
        <w:trPr>
          <w:trHeight w:val="107"/>
        </w:trPr>
        <w:tc>
          <w:tcPr>
            <w:tcW w:w="57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5280" w:type="dxa"/>
            <w:vAlign w:val="bottom"/>
            <w:tcBorders>
              <w:bottom w:val="single" w:sz="8" w:color="auto"/>
            </w:tcBorders>
          </w:tcPr>
          <w:p>
            <w:pPr>
              <w:spacing w:after="0"/>
              <w:rPr>
                <w:sz w:val="9"/>
                <w:szCs w:val="9"/>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AngioDynamics UK Limited</w:t>
            </w:r>
          </w:p>
        </w:tc>
        <w:tc>
          <w:tcPr>
            <w:tcW w:w="24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Netherlands B. V.</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RITA Medical Systems, LLC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France, SARL</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Canada Inc.</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Medical Brasil Servicos de Marketing Ltda.</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28"/>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Eximo Medical, Ltd.</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Israel</w:t>
            </w:r>
          </w:p>
        </w:tc>
      </w:tr>
      <w:tr>
        <w:trPr>
          <w:trHeight w:val="233"/>
        </w:trPr>
        <w:tc>
          <w:tcPr>
            <w:tcW w:w="5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AngioDynamics Italy S.r.l</w:t>
            </w: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bl>
    <w:p>
      <w:pPr>
        <w:sectPr>
          <w:pgSz w:w="11900" w:h="16838" w:orient="portrait"/>
          <w:cols w:equalWidth="0" w:num="1">
            <w:col w:w="11240"/>
          </w:cols>
          <w:pgMar w:left="320" w:top="1440" w:right="339" w:bottom="1440" w:gutter="0" w:footer="0" w:header="0"/>
        </w:sectPr>
      </w:pPr>
    </w:p>
    <w:bookmarkStart w:id="97" w:name="page98"/>
    <w:bookmarkEnd w:id="97"/>
    <w:p>
      <w:pPr>
        <w:spacing w:after="0" w:line="1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26" w:lineRule="exact"/>
        <w:rPr>
          <w:sz w:val="20"/>
          <w:szCs w:val="20"/>
          <w:color w:val="auto"/>
        </w:rPr>
      </w:pPr>
    </w:p>
    <w:p>
      <w:pPr>
        <w:ind w:right="80"/>
        <w:spacing w:after="0" w:line="234"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333-120053, 333-120057, 333-138456, 333-140627, 333-161355, 333-162844, 333-170619, 333-190640, 333-203441, 333-229814, 333-252209 and 333-26915</w:t>
      </w:r>
      <w:r>
        <w:rPr>
          <w:rFonts w:ascii="Arial" w:cs="Arial" w:eastAsia="Arial" w:hAnsi="Arial"/>
          <w:sz w:val="19"/>
          <w:szCs w:val="19"/>
          <w:color w:val="auto"/>
        </w:rPr>
        <w:t>1</w:t>
      </w:r>
      <w:r>
        <w:rPr>
          <w:rFonts w:ascii="Times New Roman" w:cs="Times New Roman" w:eastAsia="Times New Roman" w:hAnsi="Times New Roman"/>
          <w:sz w:val="18"/>
          <w:szCs w:val="18"/>
          <w:color w:val="auto"/>
        </w:rPr>
        <w:t xml:space="preserve"> on Form S-8 of our reports dated July 18, 2025, relating to the financial statements of AngioDynamics Inc. and the effectiveness of AngioDynamics Inc.'s internal control over financial reporting appearing in this Annual Report on Form 10-K for the year ended May 31, 2025.</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2025</w:t>
      </w:r>
    </w:p>
    <w:p>
      <w:pPr>
        <w:sectPr>
          <w:pgSz w:w="11900" w:h="16838" w:orient="portrait"/>
          <w:cols w:equalWidth="0" w:num="1">
            <w:col w:w="11240"/>
          </w:cols>
          <w:pgMar w:left="320" w:top="1440"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Clemmer, certify that:</w:t>
      </w:r>
    </w:p>
    <w:p>
      <w:pPr>
        <w:spacing w:after="0" w:line="74" w:lineRule="exact"/>
        <w:rPr>
          <w:sz w:val="20"/>
          <w:szCs w:val="20"/>
          <w:color w:val="auto"/>
        </w:rPr>
      </w:pPr>
    </w:p>
    <w:p>
      <w:pPr>
        <w:ind w:left="640" w:hanging="575"/>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2025</w:t>
      </w:r>
    </w:p>
    <w:p>
      <w:pPr>
        <w:spacing w:after="0" w:line="200" w:lineRule="exact"/>
        <w:rPr>
          <w:sz w:val="20"/>
          <w:szCs w:val="20"/>
          <w:color w:val="auto"/>
        </w:rPr>
      </w:pP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164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A. Trowbridge, certify that:</w:t>
      </w:r>
    </w:p>
    <w:p>
      <w:pPr>
        <w:spacing w:after="0" w:line="74" w:lineRule="exact"/>
        <w:rPr>
          <w:sz w:val="20"/>
          <w:szCs w:val="20"/>
          <w:color w:val="auto"/>
        </w:rPr>
      </w:pPr>
    </w:p>
    <w:p>
      <w:pPr>
        <w:ind w:left="640" w:hanging="575"/>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AngioDynamics, Inc.;</w:t>
      </w:r>
    </w:p>
    <w:p>
      <w:pPr>
        <w:spacing w:after="0" w:line="368" w:lineRule="exact"/>
        <w:rPr>
          <w:rFonts w:ascii="Times New Roman" w:cs="Times New Roman" w:eastAsia="Times New Roman" w:hAnsi="Times New Roman"/>
          <w:sz w:val="18"/>
          <w:szCs w:val="18"/>
          <w:color w:val="auto"/>
        </w:rPr>
      </w:pPr>
    </w:p>
    <w:p>
      <w:pPr>
        <w:jc w:val="both"/>
        <w:ind w:left="640" w:right="220" w:hanging="575"/>
        <w:spacing w:after="0" w:line="229"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8" w:lineRule="exact"/>
        <w:rPr>
          <w:rFonts w:ascii="Times New Roman" w:cs="Times New Roman" w:eastAsia="Times New Roman" w:hAnsi="Times New Roman"/>
          <w:sz w:val="18"/>
          <w:szCs w:val="18"/>
          <w:color w:val="auto"/>
        </w:rPr>
      </w:pPr>
    </w:p>
    <w:p>
      <w:pPr>
        <w:ind w:left="640" w:right="180" w:hanging="575"/>
        <w:spacing w:after="0" w:line="236"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9" w:lineRule="exact"/>
        <w:rPr>
          <w:rFonts w:ascii="Times New Roman" w:cs="Times New Roman" w:eastAsia="Times New Roman" w:hAnsi="Times New Roman"/>
          <w:sz w:val="18"/>
          <w:szCs w:val="18"/>
          <w:color w:val="auto"/>
        </w:rPr>
      </w:pPr>
    </w:p>
    <w:p>
      <w:pPr>
        <w:ind w:left="640" w:right="220" w:hanging="575"/>
        <w:spacing w:after="0" w:line="224" w:lineRule="auto"/>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ind w:left="820" w:right="300" w:hanging="813"/>
        <w:spacing w:after="0" w:line="300" w:lineRule="auto"/>
        <w:tabs>
          <w:tab w:leader="none" w:pos="8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820" w:right="620" w:hanging="813"/>
        <w:spacing w:after="0" w:line="294" w:lineRule="auto"/>
        <w:tabs>
          <w:tab w:leader="none" w:pos="8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Times New Roman" w:cs="Times New Roman" w:eastAsia="Times New Roman" w:hAnsi="Times New Roman"/>
          <w:sz w:val="18"/>
          <w:szCs w:val="18"/>
          <w:color w:val="auto"/>
        </w:rPr>
      </w:pPr>
    </w:p>
    <w:p>
      <w:pPr>
        <w:jc w:val="both"/>
        <w:ind w:left="820" w:right="780" w:hanging="813"/>
        <w:spacing w:after="0" w:line="320" w:lineRule="auto"/>
        <w:tabs>
          <w:tab w:leader="none" w:pos="81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20" w:right="20" w:hanging="813"/>
        <w:spacing w:after="0" w:line="310" w:lineRule="auto"/>
        <w:tabs>
          <w:tab w:leader="none" w:pos="8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ind w:left="640" w:right="360" w:hanging="575"/>
        <w:spacing w:after="0" w:line="247" w:lineRule="auto"/>
        <w:tabs>
          <w:tab w:leader="none" w:pos="6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sz w:val="20"/>
          <w:szCs w:val="20"/>
          <w:color w:val="auto"/>
        </w:rPr>
      </w:pPr>
    </w:p>
    <w:p>
      <w:pPr>
        <w:ind w:left="820" w:right="200" w:hanging="813"/>
        <w:spacing w:after="0" w:line="294" w:lineRule="auto"/>
        <w:tabs>
          <w:tab w:leader="none" w:pos="81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820" w:right="180" w:hanging="813"/>
        <w:spacing w:after="0" w:line="325" w:lineRule="auto"/>
        <w:tabs>
          <w:tab w:leader="none" w:pos="81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2025</w:t>
      </w: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S /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739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7073900"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07"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 PURSUANT TO TITLE 18,</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CODE, SECTION 1350, AS ADOPTED PURSUANT 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C. Clemmer, President, Chief Executive Officer and Director of ANGIODYNAMICS, Inc. (the “Company”), certify, pursuant to Section 906 of the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 to the best of my knowledge:</w:t>
      </w:r>
    </w:p>
    <w:p>
      <w:pPr>
        <w:spacing w:after="0" w:line="221" w:lineRule="exact"/>
        <w:rPr>
          <w:sz w:val="20"/>
          <w:szCs w:val="20"/>
          <w:color w:val="auto"/>
        </w:rPr>
      </w:pPr>
    </w:p>
    <w:p>
      <w:pPr>
        <w:ind w:left="400" w:right="620" w:hanging="335"/>
        <w:spacing w:after="0" w:line="236" w:lineRule="auto"/>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2025 (the “Report”) fully complies with the requirements of Section 13(a) or 15(d) of the Securities Exchange Act of 1934 (15 U.S.C. 78m or 78o(d)); and</w:t>
      </w:r>
    </w:p>
    <w:p>
      <w:pPr>
        <w:spacing w:after="0" w:line="128" w:lineRule="exact"/>
        <w:rPr>
          <w:rFonts w:ascii="Times New Roman" w:cs="Times New Roman" w:eastAsia="Times New Roman" w:hAnsi="Times New Roman"/>
          <w:sz w:val="18"/>
          <w:szCs w:val="18"/>
          <w:color w:val="auto"/>
        </w:rPr>
      </w:pPr>
    </w:p>
    <w:p>
      <w:pPr>
        <w:ind w:left="400" w:hanging="335"/>
        <w:spacing w:after="0"/>
        <w:tabs>
          <w:tab w:leader="none" w:pos="4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18, 2025</w:t>
      </w: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JAMES C. CLEMMER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James C. Clemmer,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0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PURSUANT TO TITLE 18,</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UNITED STATES CODE, SECTION 1350, AS ADOPTED PURSUANT TO</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8" w:lineRule="exact"/>
        <w:rPr>
          <w:sz w:val="20"/>
          <w:szCs w:val="20"/>
          <w:color w:val="auto"/>
        </w:rPr>
      </w:pPr>
    </w:p>
    <w:p>
      <w:pPr>
        <w:ind w:right="300"/>
        <w:spacing w:after="0" w:line="302" w:lineRule="auto"/>
        <w:rPr>
          <w:sz w:val="20"/>
          <w:szCs w:val="20"/>
          <w:color w:val="auto"/>
        </w:rPr>
      </w:pPr>
      <w:r>
        <w:rPr>
          <w:rFonts w:ascii="Times New Roman" w:cs="Times New Roman" w:eastAsia="Times New Roman" w:hAnsi="Times New Roman"/>
          <w:sz w:val="18"/>
          <w:szCs w:val="18"/>
          <w:color w:val="auto"/>
        </w:rPr>
        <w:t>I, Stephen A. Trowbridge, Chief Financial Officer of ANGIODYNAMICS, Inc. (the “Company”), certify, pursuant to Section 906 of the Sarbanes-Oxley Act of 2002, 18 U.S.C. Section 1350, that, to the best of my knowledge:</w:t>
      </w:r>
    </w:p>
    <w:p>
      <w:pPr>
        <w:spacing w:after="0" w:line="1" w:lineRule="exact"/>
        <w:rPr>
          <w:sz w:val="20"/>
          <w:szCs w:val="20"/>
          <w:color w:val="auto"/>
        </w:rPr>
      </w:pPr>
    </w:p>
    <w:p>
      <w:pPr>
        <w:ind w:left="400" w:right="620" w:hanging="335"/>
        <w:spacing w:after="0" w:line="236" w:lineRule="auto"/>
        <w:tabs>
          <w:tab w:leader="none" w:pos="4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fiscal year ended May 31, 2025 (the “Report”) fully complies with the requirements of Section 13(a) or 15(d) of the Securities Exchange Act of 1934 (15 U.S.C. 78m or 78o(d)); and</w:t>
      </w:r>
    </w:p>
    <w:p>
      <w:pPr>
        <w:spacing w:after="0" w:line="369" w:lineRule="exact"/>
        <w:rPr>
          <w:rFonts w:ascii="Times New Roman" w:cs="Times New Roman" w:eastAsia="Times New Roman" w:hAnsi="Times New Roman"/>
          <w:sz w:val="18"/>
          <w:szCs w:val="18"/>
          <w:color w:val="auto"/>
        </w:rPr>
      </w:pPr>
    </w:p>
    <w:p>
      <w:pPr>
        <w:ind w:right="540" w:firstLine="65"/>
        <w:spacing w:after="0" w:line="721" w:lineRule="auto"/>
        <w:tabs>
          <w:tab w:leader="none" w:pos="39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July 18, 2025</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STEPHEN A. TROWBRIDGE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164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7116445" cy="825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Stephen A. Trowbridge, Executive Vice President,</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0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Privileged and Confidential</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AngioDynamics, Inc.</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Compensation Recoupment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October 2, 2023)</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This policy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sets forth the conditions under which AngioDynamics,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will seek reimbursement of certain compensation paid or payable to current or former executive officers of the Company who are subject to recoupment pursuant to this Policy (“</w:t>
      </w:r>
      <w:r>
        <w:rPr>
          <w:rFonts w:ascii="Times New Roman" w:cs="Times New Roman" w:eastAsia="Times New Roman" w:hAnsi="Times New Roman"/>
          <w:sz w:val="20"/>
          <w:szCs w:val="20"/>
          <w:u w:val="single" w:color="auto"/>
          <w:color w:val="auto"/>
        </w:rPr>
        <w:t>Grantees</w:t>
      </w:r>
      <w:r>
        <w:rPr>
          <w:rFonts w:ascii="Times New Roman" w:cs="Times New Roman" w:eastAsia="Times New Roman" w:hAnsi="Times New Roman"/>
          <w:sz w:val="20"/>
          <w:szCs w:val="20"/>
          <w:color w:val="auto"/>
        </w:rPr>
        <w:t>”). Except to the extent otherwise expressly provided below, the Policy as set forth herein shall become effective October 2, 2023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This Policy applies in addition to any other compensation recoupment policy that the Company may maintain from time to time and shall control in the event of any inconsistency with any other such policy.</w:t>
      </w:r>
    </w:p>
    <w:p>
      <w:pPr>
        <w:spacing w:after="0" w:line="19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i w:val="1"/>
          <w:iCs w:val="1"/>
          <w:color w:val="auto"/>
        </w:rPr>
        <w:t>A.</w:t>
      </w:r>
      <w:r>
        <w:rPr>
          <w:sz w:val="20"/>
          <w:szCs w:val="20"/>
          <w:color w:val="auto"/>
        </w:rPr>
        <w:tab/>
      </w:r>
      <w:r>
        <w:rPr>
          <w:rFonts w:ascii="Times New Roman" w:cs="Times New Roman" w:eastAsia="Times New Roman" w:hAnsi="Times New Roman"/>
          <w:sz w:val="19"/>
          <w:szCs w:val="19"/>
          <w:i w:val="1"/>
          <w:iCs w:val="1"/>
          <w:color w:val="auto"/>
        </w:rPr>
        <w:t>In General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Clause (vii) below defines certain capitalized terms that are used but not otherwise defined in this Policy.</w:t>
      </w:r>
    </w:p>
    <w:p>
      <w:pPr>
        <w:spacing w:after="0" w:line="252" w:lineRule="exact"/>
        <w:rPr>
          <w:sz w:val="20"/>
          <w:szCs w:val="20"/>
          <w:color w:val="auto"/>
        </w:rPr>
      </w:pPr>
    </w:p>
    <w:p>
      <w:pPr>
        <w:jc w:val="both"/>
        <w:ind w:firstLine="214"/>
        <w:spacing w:after="0" w:line="251" w:lineRule="auto"/>
        <w:tabs>
          <w:tab w:leader="none" w:pos="598"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below in this Policy, the Company will recover reasonably promptly the amount of erroneously awarded Incentive-Based Compensation (“</w:t>
      </w:r>
      <w:r>
        <w:rPr>
          <w:rFonts w:ascii="Times New Roman" w:cs="Times New Roman" w:eastAsia="Times New Roman" w:hAnsi="Times New Roman"/>
          <w:sz w:val="20"/>
          <w:szCs w:val="20"/>
          <w:u w:val="single" w:color="auto"/>
          <w:color w:val="auto"/>
        </w:rPr>
        <w:t>Erroneously Awarded Compensation</w:t>
      </w:r>
      <w:r>
        <w:rPr>
          <w:rFonts w:ascii="Times New Roman" w:cs="Times New Roman" w:eastAsia="Times New Roman" w:hAnsi="Times New Roman"/>
          <w:sz w:val="20"/>
          <w:szCs w:val="20"/>
          <w:color w:val="auto"/>
        </w:rPr>
        <w:t>”) in the event that the Company is required to prepare an accounting restatement due to the material noncompliance of the Company with any financial reporting requirement under the United States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203" w:lineRule="exact"/>
        <w:rPr>
          <w:rFonts w:ascii="Times New Roman" w:cs="Times New Roman" w:eastAsia="Times New Roman" w:hAnsi="Times New Roman"/>
          <w:sz w:val="20"/>
          <w:szCs w:val="20"/>
          <w:color w:val="auto"/>
        </w:rPr>
      </w:pPr>
    </w:p>
    <w:p>
      <w:pPr>
        <w:jc w:val="both"/>
        <w:ind w:firstLine="319"/>
        <w:spacing w:after="0" w:line="251" w:lineRule="auto"/>
        <w:tabs>
          <w:tab w:leader="none" w:pos="85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applies only to Incentive-Based Compensation that is Received by an individual: (a) after beginning service as an Executive Officer; (b) who served as an Executive Officer at any time during the performance period for the applicable Incentive-Based Compensation; and (c) during the three completed fiscal years immediately preceding the date that the Company is required to prepare an accounting restatement described in clause (i) above (together with any transition period resulting from a change in the Company’s fiscal year within or immediately following those three completed fiscal years, provided that any transition period between the last day of the Company’s previous fiscal year end and the first day of its new fiscal year that comprises a period of nine to 12 months shall be deemed a completed fiscal year), regardless whether or when the restated financial statements are filed.</w:t>
      </w:r>
    </w:p>
    <w:p>
      <w:pPr>
        <w:spacing w:after="0" w:line="204" w:lineRule="exact"/>
        <w:rPr>
          <w:rFonts w:ascii="Times New Roman" w:cs="Times New Roman" w:eastAsia="Times New Roman" w:hAnsi="Times New Roman"/>
          <w:sz w:val="20"/>
          <w:szCs w:val="20"/>
          <w:color w:val="auto"/>
        </w:rPr>
      </w:pPr>
    </w:p>
    <w:p>
      <w:pPr>
        <w:jc w:val="both"/>
        <w:ind w:firstLine="257"/>
        <w:spacing w:after="0" w:line="251" w:lineRule="auto"/>
        <w:tabs>
          <w:tab w:leader="none" w:pos="79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Erroneously Awarded Compensation is the amount of Incentive-Based Compensation that is Received that exceeds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the amount shall be based on a reasonable estimate of the effect of the accounting restatement on the stock price or total shareholder return upon which the Incentive-Based Compensation was Received, and the Company shall maintain documentation of that reasonable estimate and provide such documentation to The Nasdaq Stock Market LLC (the “</w:t>
      </w:r>
      <w:r>
        <w:rPr>
          <w:rFonts w:ascii="Times New Roman" w:cs="Times New Roman" w:eastAsia="Times New Roman" w:hAnsi="Times New Roman"/>
          <w:sz w:val="20"/>
          <w:szCs w:val="20"/>
          <w:u w:val="single" w:color="auto"/>
          <w:color w:val="auto"/>
        </w:rPr>
        <w:t>Exchange</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398" w:right="339" w:bottom="1440" w:gutter="0" w:footer="0" w:header="0"/>
        </w:sectPr>
      </w:pPr>
    </w:p>
    <w:bookmarkStart w:id="103" w:name="page104"/>
    <w:bookmarkEnd w:id="103"/>
    <w:p>
      <w:pPr>
        <w:spacing w:after="0" w:line="204" w:lineRule="exact"/>
        <w:rPr>
          <w:sz w:val="20"/>
          <w:szCs w:val="20"/>
          <w:color w:val="auto"/>
        </w:rPr>
      </w:pPr>
    </w:p>
    <w:p>
      <w:pPr>
        <w:jc w:val="both"/>
        <w:ind w:left="-203" w:firstLine="270"/>
        <w:spacing w:after="0" w:line="251" w:lineRule="auto"/>
        <w:tabs>
          <w:tab w:leader="none" w:pos="605"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the date that the Company is required to prepare an accounting restatement as described in clause (i) above is the earlier to occur of: (a) the date the Board of Directors of the Company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a committee of the Board, or the officer or officers of the Company authorized to take such action if Board action is not required, concludes, or reasonably should have concluded, that the Company is required to prepare an accounting restatement as described in clause (i) above; or (b) the date a court, regulator, or other legally authorized body directs the Company to prepare an accounting restatement as described in clause (i) above.</w:t>
      </w:r>
    </w:p>
    <w:p>
      <w:pPr>
        <w:spacing w:after="0" w:line="216" w:lineRule="exact"/>
        <w:rPr>
          <w:rFonts w:ascii="Times New Roman" w:cs="Times New Roman" w:eastAsia="Times New Roman" w:hAnsi="Times New Roman"/>
          <w:sz w:val="20"/>
          <w:szCs w:val="20"/>
          <w:color w:val="auto"/>
        </w:rPr>
      </w:pPr>
    </w:p>
    <w:p>
      <w:pPr>
        <w:jc w:val="both"/>
        <w:ind w:left="-203" w:firstLine="205"/>
        <w:spacing w:after="0" w:line="249" w:lineRule="auto"/>
        <w:tabs>
          <w:tab w:leader="none" w:pos="41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of clause (i) above shall not apply if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or a majority of the independent directors serving on the Board determine that recovery would be impracticable in any of the following circumstances: (a) the direct expense paid to a third party to assist in enforcing this Policy would exceed the amount to be recovered, provided the Company has made a reasonable attempt to recover such Erroneously Awarded Compensation, has documented such reasonable attempt(s) to recover, and has provided that documentation to the Exchange; (b) recovery would violate home country law where that law was adopted prior to November 28, 2022, provided that the Company has obtained an opinion of home country counsel, acceptable to the Exchange, that recovery would result in such a violation and has provided such opinion to the Exchange; or (c) recovery would likely cause an otherwise tax-qualified retirement plan, under which benefits are broadly available to employees of the Company or its subsidiaries, to fail to meet the requirements of 26 U.S.C. Section 401(a)(13) or 26 U.S.C. Section 411(a) and regulations thereunder.</w:t>
      </w:r>
    </w:p>
    <w:p>
      <w:pPr>
        <w:spacing w:after="0" w:line="209" w:lineRule="exact"/>
        <w:rPr>
          <w:rFonts w:ascii="Times New Roman" w:cs="Times New Roman" w:eastAsia="Times New Roman" w:hAnsi="Times New Roman"/>
          <w:sz w:val="20"/>
          <w:szCs w:val="20"/>
          <w:color w:val="auto"/>
        </w:rPr>
      </w:pPr>
    </w:p>
    <w:p>
      <w:pPr>
        <w:jc w:val="both"/>
        <w:ind w:left="-203" w:firstLine="209"/>
        <w:spacing w:after="0" w:line="265" w:lineRule="auto"/>
        <w:tabs>
          <w:tab w:leader="none" w:pos="4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apply to all Incentive-Based Compensation that is Received by Executive Officers on or after the Effective Date that results from attainment of a Financial Reporting Measure based on or derived from financial information for any fiscal period ending on or after the Effective Date.</w:t>
      </w:r>
    </w:p>
    <w:p>
      <w:pPr>
        <w:spacing w:after="0" w:line="188" w:lineRule="exact"/>
        <w:rPr>
          <w:rFonts w:ascii="Times New Roman" w:cs="Times New Roman" w:eastAsia="Times New Roman" w:hAnsi="Times New Roman"/>
          <w:sz w:val="20"/>
          <w:szCs w:val="20"/>
          <w:color w:val="auto"/>
        </w:rPr>
      </w:pPr>
    </w:p>
    <w:p>
      <w:pPr>
        <w:ind w:left="537" w:hanging="537"/>
        <w:spacing w:after="0"/>
        <w:tabs>
          <w:tab w:leader="none" w:pos="537"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Policy, the following italicized terms shall have the meaning indicated:</w:t>
      </w:r>
    </w:p>
    <w:p>
      <w:pPr>
        <w:spacing w:after="0" w:line="252" w:lineRule="exact"/>
        <w:rPr>
          <w:sz w:val="20"/>
          <w:szCs w:val="20"/>
          <w:color w:val="auto"/>
        </w:rPr>
      </w:pPr>
    </w:p>
    <w:p>
      <w:pPr>
        <w:jc w:val="both"/>
        <w:ind w:left="437" w:firstLine="25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Executive Officer</w:t>
      </w:r>
      <w:r>
        <w:rPr>
          <w:rFonts w:ascii="Times New Roman" w:cs="Times New Roman" w:eastAsia="Times New Roman" w:hAnsi="Times New Roman"/>
          <w:sz w:val="20"/>
          <w:szCs w:val="20"/>
          <w:color w:val="auto"/>
        </w:rPr>
        <w:t>” means (a) the Company’s president, principal financial officer, principal accounting officer (or if there is no such accounting officer, the controller), any vice-president in charge of a principal business unit, division, or function (such as sales, administration, or finance), any other officer of the Company or its subsidiaries who performs a significant policy-making function for the Company, or any other person who performs significant policy-making functions for the Company and in any event (b) any individual identified as an executive officer of the Company pursuant to 17 C.F.R. Section 229.401(b).</w:t>
      </w:r>
    </w:p>
    <w:p>
      <w:pPr>
        <w:spacing w:after="0" w:line="217" w:lineRule="exact"/>
        <w:rPr>
          <w:sz w:val="20"/>
          <w:szCs w:val="20"/>
          <w:color w:val="auto"/>
        </w:rPr>
      </w:pPr>
    </w:p>
    <w:p>
      <w:pPr>
        <w:jc w:val="both"/>
        <w:ind w:left="437" w:firstLine="250"/>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Reporting Measures</w:t>
      </w:r>
      <w:r>
        <w:rPr>
          <w:rFonts w:ascii="Times New Roman" w:cs="Times New Roman" w:eastAsia="Times New Roman" w:hAnsi="Times New Roman"/>
          <w:sz w:val="20"/>
          <w:szCs w:val="20"/>
          <w:color w:val="auto"/>
        </w:rPr>
        <w:t>” means measures that are determined and presented in accordance with the accounting principles used in preparing the Company’s financial statements, any measures that are derived wholly or in part from such measures, and stock price and total shareholder return, regardless whether such measures are presented within the Company’s financial statements or included in a filing with the Securities and Exchange Commission.</w:t>
      </w:r>
    </w:p>
    <w:p>
      <w:pPr>
        <w:spacing w:after="0" w:line="216" w:lineRule="exact"/>
        <w:rPr>
          <w:sz w:val="20"/>
          <w:szCs w:val="20"/>
          <w:color w:val="auto"/>
        </w:rPr>
      </w:pPr>
    </w:p>
    <w:p>
      <w:pPr>
        <w:jc w:val="both"/>
        <w:ind w:left="437" w:firstLine="290"/>
        <w:spacing w:after="0" w:line="27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Incentive-Based Compensation</w:t>
      </w:r>
      <w:r>
        <w:rPr>
          <w:rFonts w:ascii="Times New Roman" w:cs="Times New Roman" w:eastAsia="Times New Roman" w:hAnsi="Times New Roman"/>
          <w:sz w:val="20"/>
          <w:szCs w:val="20"/>
          <w:color w:val="auto"/>
        </w:rPr>
        <w:t>” means any compensation that is granted, earned, or vested based wholly or in part upon the attainment of a Financial Reporting Measure.</w:t>
      </w:r>
    </w:p>
    <w:p>
      <w:pPr>
        <w:sectPr>
          <w:pgSz w:w="11900" w:h="16838" w:orient="portrait"/>
          <w:cols w:equalWidth="0" w:num="1">
            <w:col w:w="11037"/>
          </w:cols>
          <w:pgMar w:left="523" w:top="1440" w:right="339" w:bottom="1440" w:gutter="0" w:footer="0" w:header="0"/>
        </w:sectPr>
      </w:pPr>
    </w:p>
    <w:bookmarkStart w:id="104" w:name="page105"/>
    <w:bookmarkEnd w:id="104"/>
    <w:p>
      <w:pPr>
        <w:jc w:val="both"/>
        <w:ind w:left="633" w:firstLine="350"/>
        <w:spacing w:after="0" w:line="258" w:lineRule="auto"/>
        <w:rPr>
          <w:sz w:val="20"/>
          <w:szCs w:val="20"/>
          <w:color w:val="auto"/>
        </w:rPr>
      </w:pPr>
      <w:r>
        <w:rPr>
          <w:rFonts w:ascii="Times New Roman" w:cs="Times New Roman" w:eastAsia="Times New Roman" w:hAnsi="Times New Roman"/>
          <w:sz w:val="20"/>
          <w:szCs w:val="20"/>
          <w:color w:val="auto"/>
        </w:rPr>
        <w:t>Incentive-Based Compensation is deemed “</w:t>
      </w:r>
      <w:r>
        <w:rPr>
          <w:rFonts w:ascii="Times New Roman" w:cs="Times New Roman" w:eastAsia="Times New Roman" w:hAnsi="Times New Roman"/>
          <w:sz w:val="20"/>
          <w:szCs w:val="20"/>
          <w:u w:val="single" w:color="auto"/>
          <w:color w:val="auto"/>
        </w:rPr>
        <w:t>Received</w:t>
      </w:r>
      <w:r>
        <w:rPr>
          <w:rFonts w:ascii="Times New Roman" w:cs="Times New Roman" w:eastAsia="Times New Roman" w:hAnsi="Times New Roman"/>
          <w:sz w:val="20"/>
          <w:szCs w:val="20"/>
          <w:color w:val="auto"/>
        </w:rPr>
        <w:t>” in the Company’s fiscal period during which the Financial Reporting Measure specified in the Incentive-Based Compensation award is attained, even if the payment or grant of Incentive-Based Compensation occurs after the end of that period.</w:t>
      </w:r>
    </w:p>
    <w:p>
      <w:pPr>
        <w:spacing w:after="0" w:line="209" w:lineRule="exact"/>
        <w:rPr>
          <w:sz w:val="20"/>
          <w:szCs w:val="20"/>
          <w:color w:val="auto"/>
        </w:rPr>
      </w:pPr>
    </w:p>
    <w:p>
      <w:pPr>
        <w:ind w:left="-7" w:firstLine="213"/>
        <w:spacing w:after="0" w:line="265" w:lineRule="auto"/>
        <w:tabs>
          <w:tab w:leader="none" w:pos="79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shall be applied in a manner that is consistent with and does not cause a violation of, and shall be deemed to incorporate any provisions required to make it compliant with, applicable Exchange listing standards.</w:t>
      </w:r>
    </w:p>
    <w:p>
      <w:pPr>
        <w:spacing w:after="0" w:line="199" w:lineRule="exact"/>
        <w:rPr>
          <w:rFonts w:ascii="Times New Roman" w:cs="Times New Roman" w:eastAsia="Times New Roman" w:hAnsi="Times New Roman"/>
          <w:sz w:val="20"/>
          <w:szCs w:val="20"/>
          <w:color w:val="auto"/>
        </w:rPr>
      </w:pPr>
    </w:p>
    <w:p>
      <w:pPr>
        <w:ind w:left="373" w:hanging="373"/>
        <w:spacing w:after="0"/>
        <w:tabs>
          <w:tab w:leader="none" w:pos="373" w:val="left"/>
        </w:tabs>
        <w:numPr>
          <w:ilvl w:val="0"/>
          <w:numId w:val="67"/>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Miscellaneous</w:t>
      </w:r>
    </w:p>
    <w:p>
      <w:pPr>
        <w:spacing w:after="0" w:line="254" w:lineRule="exact"/>
        <w:rPr>
          <w:sz w:val="20"/>
          <w:szCs w:val="20"/>
          <w:color w:val="auto"/>
        </w:rPr>
      </w:pPr>
    </w:p>
    <w:p>
      <w:pPr>
        <w:ind w:left="-7" w:firstLine="257"/>
        <w:spacing w:after="0" w:line="265" w:lineRule="auto"/>
        <w:tabs>
          <w:tab w:leader="none" w:pos="67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to the extent permitted by law, enforce all or part of a Grantee’s repayment obligation under this Policy by any available means.</w:t>
      </w:r>
    </w:p>
    <w:p>
      <w:pPr>
        <w:spacing w:after="0" w:line="201" w:lineRule="exact"/>
        <w:rPr>
          <w:rFonts w:ascii="Times New Roman" w:cs="Times New Roman" w:eastAsia="Times New Roman" w:hAnsi="Times New Roman"/>
          <w:sz w:val="20"/>
          <w:szCs w:val="20"/>
          <w:color w:val="auto"/>
        </w:rPr>
      </w:pPr>
    </w:p>
    <w:p>
      <w:pPr>
        <w:jc w:val="both"/>
        <w:ind w:left="-7" w:firstLine="211"/>
        <w:spacing w:after="0" w:line="267" w:lineRule="auto"/>
        <w:tabs>
          <w:tab w:leader="none" w:pos="64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provided in Part A(v) of this Policy, this Policy shall be administered and enforced by the Compensation Committee, except to the extent the Board shall designate another committee comprising exclusively independent directors or itself shall act (the Compensation Committee, such other committee or the Board, as applicable, the “</w:t>
      </w:r>
      <w:r>
        <w:rPr>
          <w:rFonts w:ascii="Times New Roman" w:cs="Times New Roman" w:eastAsia="Times New Roman" w:hAnsi="Times New Roman"/>
          <w:sz w:val="19"/>
          <w:szCs w:val="19"/>
          <w:u w:val="single" w:color="auto"/>
          <w:color w:val="auto"/>
        </w:rPr>
        <w:t>Administrator</w:t>
      </w:r>
      <w:r>
        <w:rPr>
          <w:rFonts w:ascii="Times New Roman" w:cs="Times New Roman" w:eastAsia="Times New Roman" w:hAnsi="Times New Roman"/>
          <w:sz w:val="19"/>
          <w:szCs w:val="19"/>
          <w:color w:val="auto"/>
        </w:rPr>
        <w:t>”). The Administrator shall have full and final authority to make all determinations required under this Policy, and its decision as to all questions of interpretation and application of the Policy shall be final, binding and conclusive on all persons, provided that the Administrator shall make no determination as to whether an accounting restatement is required in the first instance, and any such determination shall be reviewed with the Audit Committee of the Board.</w:t>
      </w:r>
    </w:p>
    <w:p>
      <w:pPr>
        <w:spacing w:after="0" w:line="188" w:lineRule="exact"/>
        <w:rPr>
          <w:rFonts w:ascii="Times New Roman" w:cs="Times New Roman" w:eastAsia="Times New Roman" w:hAnsi="Times New Roman"/>
          <w:sz w:val="19"/>
          <w:szCs w:val="19"/>
          <w:color w:val="auto"/>
        </w:rPr>
      </w:pPr>
    </w:p>
    <w:p>
      <w:pPr>
        <w:jc w:val="both"/>
        <w:ind w:left="-7" w:firstLine="291"/>
        <w:spacing w:after="0" w:line="255" w:lineRule="auto"/>
        <w:tabs>
          <w:tab w:leader="none" w:pos="85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recoupment of Incentive-Based Compensation under this Policy is in addition to any other right or remedy available to the Company. Without limiting the preceding sentence, this Policy is separate from and in addition to the requirements of Section 304 of the Sarbanes-Oxley Act of 2002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that are applicable to the Company’s Chief Executive Officer and Chief Financial Officer, and the Administrator shall consider any amounts paid to the Company by the Chief Executive Officer and Chief Financial Officer pursuant to Section 304 in determining any amount of Incentive-Based Compensation to recoup under this Policy.</w:t>
      </w:r>
    </w:p>
    <w:p>
      <w:pPr>
        <w:spacing w:after="0" w:line="197" w:lineRule="exact"/>
        <w:rPr>
          <w:rFonts w:ascii="Times New Roman" w:cs="Times New Roman" w:eastAsia="Times New Roman" w:hAnsi="Times New Roman"/>
          <w:sz w:val="20"/>
          <w:szCs w:val="20"/>
          <w:color w:val="auto"/>
        </w:rPr>
      </w:pPr>
    </w:p>
    <w:p>
      <w:pPr>
        <w:ind w:left="673" w:hanging="477"/>
        <w:spacing w:after="0"/>
        <w:tabs>
          <w:tab w:leader="none" w:pos="67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indemnify any Grantee against the loss of Incentive-Based Compensation recouped pursuant to this Policy.</w:t>
      </w:r>
    </w:p>
    <w:p>
      <w:pPr>
        <w:spacing w:after="0" w:line="252" w:lineRule="exact"/>
        <w:rPr>
          <w:rFonts w:ascii="Times New Roman" w:cs="Times New Roman" w:eastAsia="Times New Roman" w:hAnsi="Times New Roman"/>
          <w:sz w:val="20"/>
          <w:szCs w:val="20"/>
          <w:color w:val="auto"/>
        </w:rPr>
      </w:pPr>
    </w:p>
    <w:p>
      <w:pPr>
        <w:ind w:left="613" w:hanging="417"/>
        <w:spacing w:after="0"/>
        <w:tabs>
          <w:tab w:leader="none" w:pos="613" w:val="left"/>
        </w:tabs>
        <w:numPr>
          <w:ilvl w:val="1"/>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Policy may be amended at any time by the Administrator.</w:t>
      </w:r>
    </w:p>
    <w:sectPr>
      <w:pgSz w:w="11900" w:h="16838" w:orient="portrait"/>
      <w:cols w:equalWidth="0" w:num="1">
        <w:col w:w="11233"/>
      </w:cols>
      <w:pgMar w:left="327" w:top="14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abstractNum>
  <w:abstractNum w:abstractNumId="5">
    <w:nsid w:val="77465F01"/>
    <w:multiLevelType w:val="hybridMultilevel"/>
    <w:lvl w:ilvl="0">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
      <w:numFmt w:val="bullet"/>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lvl w:ilvl="1">
      <w:lvlJc w:val="left"/>
      <w:lvlText w:val="◦"/>
      <w:numFmt w:val="bullet"/>
      <w:start w:val="1"/>
    </w:lvl>
  </w:abstractNum>
  <w:abstractNum w:abstractNumId="16">
    <w:nsid w:val="6A2342EC"/>
    <w:multiLevelType w:val="hybridMultilevel"/>
    <w:lvl w:ilvl="0">
      <w:lvlJc w:val="left"/>
      <w:lvlText w:val="•"/>
      <w:numFmt w:val="bullet"/>
      <w:start w:val="1"/>
    </w:lvl>
    <w:lvl w:ilvl="1">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9"/>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9"/>
    </w:lvl>
  </w:abstractNum>
  <w:abstractNum w:abstractNumId="45">
    <w:nsid w:val="1CF10FD8"/>
    <w:multiLevelType w:val="hybridMultilevel"/>
    <w:lvl w:ilvl="0">
      <w:lvlJc w:val="left"/>
      <w:lvlText w:val="%1"/>
      <w:numFmt w:val="decimal"/>
      <w:start w:val="21"/>
    </w:lvl>
  </w:abstractNum>
  <w:abstractNum w:abstractNumId="46">
    <w:nsid w:val="180115BE"/>
    <w:multiLevelType w:val="hybridMultilevel"/>
    <w:lvl w:ilvl="0">
      <w:lvlJc w:val="left"/>
      <w:lvlText w:val="%1"/>
      <w:numFmt w:val="decimal"/>
      <w:start w:val="23"/>
    </w:lvl>
  </w:abstractNum>
  <w:abstractNum w:abstractNumId="47">
    <w:nsid w:val="235BA861"/>
    <w:multiLevelType w:val="hybridMultilevel"/>
    <w:lvl w:ilvl="0">
      <w:lvlJc w:val="left"/>
      <w:lvlText w:val="%1"/>
      <w:numFmt w:val="decimal"/>
      <w:start w:val="97"/>
    </w:lvl>
  </w:abstractNum>
  <w:abstractNum w:abstractNumId="48">
    <w:nsid w:val="47398C89"/>
    <w:multiLevelType w:val="hybridMultilevel"/>
    <w:lvl w:ilvl="0">
      <w:lvlJc w:val="left"/>
      <w:lvlText w:val="(%1)"/>
      <w:numFmt w:val="lowerLetter"/>
      <w:start w:val="1"/>
    </w:lvl>
  </w:abstractNum>
  <w:abstractNum w:abstractNumId="49">
    <w:nsid w:val="354FE9F9"/>
    <w:multiLevelType w:val="hybridMultilevel"/>
    <w:lvl w:ilvl="0">
      <w:lvlJc w:val="left"/>
      <w:lvlText w:val="(%1)"/>
      <w:numFmt w:val="lowerLetter"/>
      <w:start w:val="1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lowerLetter"/>
      <w:start w:val="1"/>
    </w:lvl>
  </w:abstractNum>
  <w:abstractNum w:abstractNumId="54">
    <w:nsid w:val="3F6AB60F"/>
    <w:multiLevelType w:val="hybridMultilevel"/>
    <w:lvl w:ilvl="0">
      <w:lvlJc w:val="left"/>
      <w:lvlText w:val="%1."/>
      <w:numFmt w:val="decimal"/>
      <w:start w:val="5"/>
    </w:lvl>
  </w:abstractNum>
  <w:abstractNum w:abstractNumId="55">
    <w:nsid w:val="61574095"/>
    <w:multiLevelType w:val="hybridMultilevel"/>
    <w:lvl w:ilvl="0">
      <w:lvlJc w:val="left"/>
      <w:lvlText w:val="(%1)"/>
      <w:numFmt w:val="lowerLetter"/>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decimal"/>
      <w:start w:val="5"/>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decimal"/>
      <w:start w:val="1"/>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lowerRoman"/>
      <w:start w:val="1"/>
    </w:lvl>
    <w:lvl w:ilvl="1">
      <w:lvlJc w:val="left"/>
      <w:lvlText w:val="(%2)"/>
      <w:numFmt w:val="lowerRoman"/>
      <w:start w:val="2"/>
    </w:lvl>
  </w:abstractNum>
  <w:abstractNum w:abstractNumId="63">
    <w:nsid w:val="1DBABF00"/>
    <w:multiLevelType w:val="hybridMultilevel"/>
    <w:lvl w:ilvl="0">
      <w:lvlJc w:val="left"/>
      <w:lvlText w:val="%1"/>
      <w:numFmt w:val="lowerRoman"/>
      <w:start w:val="1"/>
    </w:lvl>
    <w:lvl w:ilvl="1">
      <w:lvlJc w:val="left"/>
      <w:lvlText w:val="(%2)"/>
      <w:numFmt w:val="lowerRoman"/>
      <w:start w:val="4"/>
    </w:lvl>
  </w:abstractNum>
  <w:abstractNum w:abstractNumId="64">
    <w:nsid w:val="4AD084E9"/>
    <w:multiLevelType w:val="hybridMultilevel"/>
    <w:lvl w:ilvl="0">
      <w:lvlJc w:val="left"/>
      <w:lvlText w:val="(%1)"/>
      <w:numFmt w:val="lowerRoman"/>
      <w:start w:val="5"/>
    </w:lvl>
    <w:lvl w:ilvl="1">
      <w:lvlJc w:val="left"/>
      <w:lvlText w:val="%2"/>
      <w:numFmt w:val="lowerRoman"/>
      <w:start w:val="1"/>
    </w:lvl>
  </w:abstractNum>
  <w:abstractNum w:abstractNumId="65">
    <w:nsid w:val="1F48EAA1"/>
    <w:multiLevelType w:val="hybridMultilevel"/>
    <w:lvl w:ilvl="0">
      <w:lvlJc w:val="left"/>
      <w:lvlText w:val="%1"/>
      <w:numFmt w:val="upperLetter"/>
      <w:start w:val="1"/>
    </w:lvl>
    <w:lvl w:ilvl="1">
      <w:lvlJc w:val="left"/>
      <w:lvlText w:val="(%2)"/>
      <w:numFmt w:val="lowerRoman"/>
      <w:start w:val="8"/>
    </w:lvl>
  </w:abstractNum>
  <w:abstractNum w:abstractNumId="66">
    <w:nsid w:val="1381823A"/>
    <w:multiLevelType w:val="hybridMultilevel"/>
    <w:lvl w:ilvl="0">
      <w:lvlJc w:val="left"/>
      <w:lvlText w:val="%1."/>
      <w:numFmt w:val="upperLetter"/>
      <w:start w:val="2"/>
    </w:lvl>
    <w:lvl w:ilvl="1">
      <w:lvlJc w:val="left"/>
      <w:lvlText w:val="%2"/>
      <w:numFmt w:val="lowerRoman"/>
      <w:start w:val="1"/>
    </w:lvl>
  </w:abstractNum>
  <w:abstractNum w:abstractNumId="67">
    <w:nsid w:val="5DB70AE5"/>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27"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png"/><Relationship Id="rId156" Type="http://schemas.openxmlformats.org/officeDocument/2006/relationships/image" Target="media/image113.png"/><Relationship Id="rId157" Type="http://schemas.openxmlformats.org/officeDocument/2006/relationships/image" Target="media/image114.png"/><Relationship Id="rId158" Type="http://schemas.openxmlformats.org/officeDocument/2006/relationships/image" Target="media/image115.png"/><Relationship Id="rId159" Type="http://schemas.openxmlformats.org/officeDocument/2006/relationships/image" Target="media/image116.png"/><Relationship Id="rId160"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05" Type="http://schemas.openxmlformats.org/officeDocument/2006/relationships/hyperlink" Target="https://www.sec.gov/Archives/edgar/data/1275187/000114036123029854/brhc20054314_ex2-1.htm" TargetMode="External"/><Relationship Id="rId106" Type="http://schemas.openxmlformats.org/officeDocument/2006/relationships/hyperlink" Target="https://www.sec.gov/Archives/edgar/data/1275187/000119312505198180/dex31.htm" TargetMode="External"/><Relationship Id="rId107" Type="http://schemas.openxmlformats.org/officeDocument/2006/relationships/hyperlink" Target="https://www.sec.gov/Archives/edgar/data/1275187/000127518715000018/ex31253115.htm" TargetMode="External"/><Relationship Id="rId108" Type="http://schemas.openxmlformats.org/officeDocument/2006/relationships/hyperlink" Target="https://www.sec.gov/Archives/edgar/data/1275187/000091412115000548/an33460072-ex3_1.htm" TargetMode="External"/><Relationship Id="rId109" Type="http://schemas.openxmlformats.org/officeDocument/2006/relationships/hyperlink" Target="https://www.sec.gov/Archives/edgar/data/1275187/000114036125020621/ef20049727_8k.htm" TargetMode="External"/><Relationship Id="rId110" Type="http://schemas.openxmlformats.org/officeDocument/2006/relationships/hyperlink" Target="https://www.sec.gov/Archives/edgar/data/1275187/000127518718000016/angoproxy-53118.htm" TargetMode="External"/><Relationship Id="rId111" Type="http://schemas.openxmlformats.org/officeDocument/2006/relationships/hyperlink" Target="https://www.sec.gov/Archives/edgar/data/1275187/000127518717000034/a83117-exx101.htm" TargetMode="External"/><Relationship Id="rId112" Type="http://schemas.openxmlformats.org/officeDocument/2006/relationships/hyperlink" Target="https://www.sec.gov/Archives/edgar/data/1275187/000127518718000011/ex1017totalshareholderretu.htm" TargetMode="External"/><Relationship Id="rId113" Type="http://schemas.openxmlformats.org/officeDocument/2006/relationships/hyperlink" Target="https://www.sec.gov/Archives/edgar/data/1275187/000127518720000005/psuawardagreement.htm" TargetMode="External"/><Relationship Id="rId114" Type="http://schemas.openxmlformats.org/officeDocument/2006/relationships/hyperlink" Target="https://www.sec.gov/Archives/edgar/data/1275187/000127518720000028/angoproxy-53120.htm" TargetMode="External"/><Relationship Id="rId115" Type="http://schemas.openxmlformats.org/officeDocument/2006/relationships/hyperlink" Target="https://www.sec.gov/Archives/edgar/data/1275187/000119312504169832/dex101.htm" TargetMode="External"/><Relationship Id="rId116" Type="http://schemas.openxmlformats.org/officeDocument/2006/relationships/hyperlink" Target="https://www.sec.gov/Archives/edgar/data/1275187/000127518718000011/ex1031stockoptionagreement.htm" TargetMode="External"/><Relationship Id="rId117" Type="http://schemas.openxmlformats.org/officeDocument/2006/relationships/hyperlink" Target="https://www.sec.gov/Archives/edgar/data/1275187/000127518716000037/ex102-2016psuagreement.htm" TargetMode="External"/><Relationship Id="rId118" Type="http://schemas.openxmlformats.org/officeDocument/2006/relationships/hyperlink" Target="https://www.sec.gov/Archives/edgar/data/1275187/000127518717000034/a83117-exx102.htm" TargetMode="External"/><Relationship Id="rId119" Type="http://schemas.openxmlformats.org/officeDocument/2006/relationships/hyperlink" Target="https://www.sec.gov/Archives/edgar/data/1275187/000127518718000011/ex1045performanceunitaward.htm" TargetMode="External"/><Relationship Id="rId120" Type="http://schemas.openxmlformats.org/officeDocument/2006/relationships/hyperlink" Target="https://www.sec.gov/ix?doc=/Archives/edgar/data/1275187/000127518721000005/ango-20201130.htm" TargetMode="External"/><Relationship Id="rId121" Type="http://schemas.openxmlformats.org/officeDocument/2006/relationships/hyperlink" Target="https://www.sec.gov/ix?doc=/Archives/edgar/data/0001275187/000127518721000023/ango-20210831.htm#ic69966880990446bb6eee699ec835b1f_118" TargetMode="External"/><Relationship Id="rId122" Type="http://schemas.openxmlformats.org/officeDocument/2006/relationships/hyperlink" Target="https://www.sec.gov/Archives/edgar/data/1275187/000116923205002637/d63831_ex10-3.htm" TargetMode="External"/><Relationship Id="rId123" Type="http://schemas.openxmlformats.org/officeDocument/2006/relationships/hyperlink" Target="https://www.sec.gov/Archives/edgar/data/1056421/0001012870-00-002503-index.html" TargetMode="External"/><Relationship Id="rId124" Type="http://schemas.openxmlformats.org/officeDocument/2006/relationships/hyperlink" Target="https://www.sec.gov/Archives/edgar/data/1052958/0000950144-98-001576-index.html" TargetMode="External"/><Relationship Id="rId125" Type="http://schemas.openxmlformats.org/officeDocument/2006/relationships/hyperlink" Target="https://www.sec.gov/Archives/edgar/data/1056421/000101287000003359/0001012870-00-003359-index.htm" TargetMode="External"/><Relationship Id="rId126" Type="http://schemas.openxmlformats.org/officeDocument/2006/relationships/hyperlink" Target="https://www.sec.gov/Archives/edgar/data/1056421/000114420405021015/v021182_ex99-2.htm" TargetMode="External"/><Relationship Id="rId128" Type="http://schemas.openxmlformats.org/officeDocument/2006/relationships/hyperlink" Target="https://www.sec.gov/Archives/edgar/data/1056421/000114420405021015/v021182_ex99-1.htm" TargetMode="External"/><Relationship Id="rId129" Type="http://schemas.openxmlformats.org/officeDocument/2006/relationships/hyperlink" Target="https://www.sec.gov/Archives/edgar/data/1275187/000116923206002370/d68040_ex10-1.htm" TargetMode="External"/><Relationship Id="rId130" Type="http://schemas.openxmlformats.org/officeDocument/2006/relationships/hyperlink" Target="https://www.sec.gov/Archives/edgar/data/1275187/000091412116001069/an35192888-ex10_1.htm" TargetMode="External"/><Relationship Id="rId131" Type="http://schemas.openxmlformats.org/officeDocument/2006/relationships/hyperlink" Target="https://www.sec.gov/Archives/edgar/data/1275187/000091412116001069/an35192888-ex10_2.htm" TargetMode="External"/><Relationship Id="rId132" Type="http://schemas.openxmlformats.org/officeDocument/2006/relationships/hyperlink" Target="https://www.sec.gov/Archives/edgar/data/1275187/000127518720000024/formofseveranceagreeme.htm" TargetMode="External"/><Relationship Id="rId133" Type="http://schemas.openxmlformats.org/officeDocument/2006/relationships/hyperlink" Target="https://www.sec.gov/Archives/edgar/data/1275187/000127518715000011/ex101353114a.htm" TargetMode="External"/><Relationship Id="rId134" Type="http://schemas.openxmlformats.org/officeDocument/2006/relationships/hyperlink" Target="https://www.sec.gov/Archives/edgar/data/1275187/000091412116001069/an35192888-ex10_3.htm" TargetMode="External"/><Relationship Id="rId135" Type="http://schemas.openxmlformats.org/officeDocument/2006/relationships/hyperlink" Target="https://www.sec.gov/Archives/edgar/data/1275187/000091412116001069/an35192888-ex10_4.htm" TargetMode="External"/><Relationship Id="rId136" Type="http://schemas.openxmlformats.org/officeDocument/2006/relationships/hyperlink" Target="https://www.sec.gov/Archives/edgar/data/1275187/000091412116001069/an35192888-ex10_5.htm" TargetMode="External"/><Relationship Id="rId137" Type="http://schemas.openxmlformats.org/officeDocument/2006/relationships/hyperlink" Target="https://www.sec.gov/Archives/edgar/data/1275187/000091412116001069/an35192888-ex10_6.htm" TargetMode="External"/><Relationship Id="rId138" Type="http://schemas.openxmlformats.org/officeDocument/2006/relationships/hyperlink" Target="https://www.sec.gov/Archives/edgar/data/1275187/000091412116001150/an35296029-ex10_1.htm" TargetMode="External"/><Relationship Id="rId139" Type="http://schemas.openxmlformats.org/officeDocument/2006/relationships/hyperlink" Target="https://www.sec.gov/ix?doc=/Archives/edgar/data/1275187/000091412121000581/an55676910-8ki.htm" TargetMode="External"/><Relationship Id="rId140" Type="http://schemas.openxmlformats.org/officeDocument/2006/relationships/hyperlink" Target="https://www.sec.gov/Archives/edgar/data/1275187/000162828024032989/ango-20240531.htm" TargetMode="External"/><Relationship Id="rId141" Type="http://schemas.openxmlformats.org/officeDocument/2006/relationships/hyperlink" Target="https://www.sec.gov/Archives/edgar/data/1275187/000116923206002370/d68040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2025-07-18T09:43:09Z</dcterms:created>
  <dcterms:modified xsi:type="dcterms:W3CDTF">2025-07-18T09:43:09Z</dcterms:modified>
</cp:coreProperties>
</file>