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295910</wp:posOffset>
            </wp:positionV>
            <wp:extent cx="2058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4"/>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685" w:right="2280" w:hanging="685"/>
        <w:spacing w:after="0" w:line="180" w:lineRule="auto"/>
        <w:tabs>
          <w:tab w:leader="none" w:pos="685" w:val="left"/>
        </w:tabs>
        <w:numPr>
          <w:ilvl w:val="0"/>
          <w:numId w:val="1"/>
        </w:numPr>
        <w:rPr>
          <w:rFonts w:ascii="Arial" w:cs="Arial" w:eastAsia="Arial" w:hAnsi="Arial"/>
          <w:sz w:val="43"/>
          <w:szCs w:val="43"/>
          <w:color w:val="auto"/>
          <w:vertAlign w:val="subscript"/>
        </w:rPr>
      </w:pPr>
      <w:r>
        <w:rPr>
          <w:rFonts w:ascii="Arial" w:cs="Arial" w:eastAsia="Arial" w:hAnsi="Arial"/>
          <w:sz w:val="17"/>
          <w:szCs w:val="17"/>
          <w:b w:val="1"/>
          <w:bCs w:val="1"/>
          <w:color w:val="auto"/>
        </w:rPr>
        <w:t>ANNUAL REPORT PURSUANT TO SECTION 13 OR 15(d) OF THE SECURITIES EXCHANGE ACT OF 1934 For the fiscal year ended May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-424180</wp:posOffset>
            </wp:positionV>
            <wp:extent cx="2058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 w:lineRule="exact"/>
        <w:rPr>
          <w:sz w:val="24"/>
          <w:szCs w:val="24"/>
          <w:color w:val="auto"/>
        </w:rPr>
      </w:pPr>
    </w:p>
    <w:p>
      <w:pPr>
        <w:jc w:val="center"/>
        <w:ind w:right="-24"/>
        <w:spacing w:after="0"/>
        <w:rPr>
          <w:sz w:val="20"/>
          <w:szCs w:val="20"/>
          <w:color w:val="auto"/>
        </w:rPr>
      </w:pPr>
      <w:r>
        <w:rPr>
          <w:rFonts w:ascii="Arial" w:cs="Arial" w:eastAsia="Arial" w:hAnsi="Arial"/>
          <w:sz w:val="18"/>
          <w:szCs w:val="18"/>
          <w:b w:val="1"/>
          <w:bCs w:val="1"/>
          <w:color w:val="auto"/>
        </w:rPr>
        <w:t>OR</w:t>
      </w:r>
    </w:p>
    <w:p>
      <w:pPr>
        <w:ind w:left="685" w:hanging="685"/>
        <w:spacing w:after="0" w:line="215" w:lineRule="auto"/>
        <w:tabs>
          <w:tab w:leader="none" w:pos="685"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325"/>
          </w:cols>
          <w:pgMar w:left="275" w:top="679" w:right="299" w:bottom="1440" w:gutter="0" w:footer="0" w:header="0"/>
        </w:sectPr>
      </w:pPr>
    </w:p>
    <w:p>
      <w:pPr>
        <w:spacing w:after="0" w:line="101" w:lineRule="exact"/>
        <w:rPr>
          <w:sz w:val="24"/>
          <w:szCs w:val="24"/>
          <w:color w:val="auto"/>
        </w:rPr>
      </w:pPr>
    </w:p>
    <w:p>
      <w:pPr>
        <w:ind w:left="685"/>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78" w:lineRule="exact"/>
        <w:rPr>
          <w:sz w:val="24"/>
          <w:szCs w:val="24"/>
          <w:color w:val="auto"/>
        </w:rPr>
      </w:pPr>
    </w:p>
    <w:p>
      <w:pPr>
        <w:sectPr>
          <w:pgSz w:w="11900" w:h="16838" w:orient="portrait"/>
          <w:cols w:equalWidth="0" w:num="2">
            <w:col w:w="2785" w:space="560"/>
            <w:col w:w="7980"/>
          </w:cols>
          <w:pgMar w:left="275" w:top="679" w:right="299" w:bottom="1440" w:gutter="0" w:footer="0" w:header="0"/>
          <w:type w:val="continuous"/>
        </w:sectPr>
      </w:pPr>
    </w:p>
    <w:p>
      <w:pPr>
        <w:jc w:val="center"/>
        <w:ind w:right="-24"/>
        <w:spacing w:after="0"/>
        <w:rPr>
          <w:sz w:val="20"/>
          <w:szCs w:val="20"/>
          <w:color w:val="auto"/>
        </w:rPr>
      </w:pPr>
      <w:r>
        <w:rPr>
          <w:rFonts w:ascii="Arial" w:cs="Arial" w:eastAsia="Arial" w:hAnsi="Arial"/>
          <w:sz w:val="16"/>
          <w:szCs w:val="16"/>
          <w:b w:val="1"/>
          <w:bCs w:val="1"/>
          <w:color w:val="auto"/>
        </w:rPr>
        <w:t>Commission file number 0-50761</w:t>
      </w:r>
    </w:p>
    <w:p>
      <w:pPr>
        <w:sectPr>
          <w:pgSz w:w="11900" w:h="16838" w:orient="portrait"/>
          <w:cols w:equalWidth="0" w:num="1">
            <w:col w:w="11325"/>
          </w:cols>
          <w:pgMar w:left="275" w:top="679" w:right="299" w:bottom="1440" w:gutter="0" w:footer="0" w:header="0"/>
          <w:type w:val="continuous"/>
        </w:sectPr>
      </w:pPr>
    </w:p>
    <w:p>
      <w:pPr>
        <w:spacing w:after="0" w:line="291" w:lineRule="exact"/>
        <w:rPr>
          <w:sz w:val="24"/>
          <w:szCs w:val="24"/>
          <w:color w:val="auto"/>
        </w:rPr>
      </w:pPr>
    </w:p>
    <w:p>
      <w:pPr>
        <w:jc w:val="center"/>
        <w:ind w:right="-44"/>
        <w:spacing w:after="0"/>
        <w:rPr>
          <w:sz w:val="20"/>
          <w:szCs w:val="20"/>
          <w:color w:val="auto"/>
        </w:rPr>
      </w:pPr>
      <w:r>
        <w:rPr>
          <w:rFonts w:ascii="Arial" w:cs="Arial" w:eastAsia="Arial" w:hAnsi="Arial"/>
          <w:sz w:val="43"/>
          <w:szCs w:val="43"/>
          <w:b w:val="1"/>
          <w:bCs w:val="1"/>
          <w:color w:val="auto"/>
        </w:rPr>
        <w:t>AngioDynamics,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-302895</wp:posOffset>
            </wp:positionV>
            <wp:extent cx="2058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2" w:lineRule="exact"/>
        <w:rPr>
          <w:sz w:val="24"/>
          <w:szCs w:val="24"/>
          <w:color w:val="auto"/>
        </w:rPr>
      </w:pPr>
    </w:p>
    <w:p>
      <w:pPr>
        <w:jc w:val="center"/>
        <w:ind w:right="-44"/>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2" w:lineRule="exact"/>
        <w:rPr>
          <w:sz w:val="24"/>
          <w:szCs w:val="24"/>
          <w:color w:val="auto"/>
        </w:rPr>
      </w:pPr>
    </w:p>
    <w:tbl>
      <w:tblPr>
        <w:tblLayout w:type="fixed"/>
        <w:tblInd w:w="305"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4880" w:type="dxa"/>
            <w:vAlign w:val="bottom"/>
            <w:gridSpan w:val="4"/>
          </w:tcPr>
          <w:p>
            <w:pPr>
              <w:jc w:val="center"/>
              <w:ind w:right="37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2"/>
          </w:tcPr>
          <w:p>
            <w:pPr>
              <w:jc w:val="right"/>
              <w:ind w:right="848"/>
              <w:spacing w:after="0"/>
              <w:rPr>
                <w:sz w:val="20"/>
                <w:szCs w:val="20"/>
                <w:color w:val="auto"/>
              </w:rPr>
            </w:pPr>
            <w:r>
              <w:rPr>
                <w:rFonts w:ascii="Arial" w:cs="Arial" w:eastAsia="Arial" w:hAnsi="Arial"/>
                <w:sz w:val="18"/>
                <w:szCs w:val="18"/>
                <w:b w:val="1"/>
                <w:bCs w:val="1"/>
                <w:color w:val="auto"/>
              </w:rPr>
              <w:t>11-3146460</w:t>
            </w:r>
          </w:p>
        </w:tc>
        <w:tc>
          <w:tcPr>
            <w:tcW w:w="0" w:type="dxa"/>
            <w:vAlign w:val="bottom"/>
          </w:tcPr>
          <w:p>
            <w:pPr>
              <w:spacing w:after="0"/>
              <w:rPr>
                <w:sz w:val="1"/>
                <w:szCs w:val="1"/>
                <w:color w:val="auto"/>
              </w:rPr>
            </w:pPr>
          </w:p>
        </w:tc>
      </w:tr>
      <w:tr>
        <w:trPr>
          <w:trHeight w:val="180"/>
        </w:trPr>
        <w:tc>
          <w:tcPr>
            <w:tcW w:w="6800" w:type="dxa"/>
            <w:vAlign w:val="bottom"/>
            <w:gridSpan w:val="5"/>
          </w:tcPr>
          <w:p>
            <w:pPr>
              <w:jc w:val="center"/>
              <w:ind w:right="1799"/>
              <w:spacing w:after="0"/>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800" w:type="dxa"/>
            <w:vAlign w:val="bottom"/>
            <w:gridSpan w:val="5"/>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7"/>
        </w:trPr>
        <w:tc>
          <w:tcPr>
            <w:tcW w:w="6800" w:type="dxa"/>
            <w:vAlign w:val="bottom"/>
            <w:gridSpan w:val="5"/>
          </w:tcPr>
          <w:p>
            <w:pPr>
              <w:jc w:val="center"/>
              <w:ind w:right="1799"/>
              <w:spacing w:after="0"/>
              <w:rPr>
                <w:sz w:val="20"/>
                <w:szCs w:val="20"/>
                <w:color w:val="auto"/>
              </w:rPr>
            </w:pPr>
            <w:r>
              <w:rPr>
                <w:rFonts w:ascii="Arial" w:cs="Arial" w:eastAsia="Arial" w:hAnsi="Arial"/>
                <w:sz w:val="18"/>
                <w:szCs w:val="18"/>
                <w:b w:val="1"/>
                <w:bCs w:val="1"/>
                <w:color w:val="auto"/>
                <w:w w:val="93"/>
              </w:rPr>
              <w:t>14 Plaza Drive Latham, New York</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2"/>
          </w:tcPr>
          <w:p>
            <w:pPr>
              <w:jc w:val="right"/>
              <w:ind w:right="1048"/>
              <w:spacing w:after="0"/>
              <w:rPr>
                <w:sz w:val="20"/>
                <w:szCs w:val="20"/>
                <w:color w:val="auto"/>
              </w:rPr>
            </w:pPr>
            <w:r>
              <w:rPr>
                <w:rFonts w:ascii="Arial" w:cs="Arial" w:eastAsia="Arial" w:hAnsi="Arial"/>
                <w:sz w:val="18"/>
                <w:szCs w:val="18"/>
                <w:b w:val="1"/>
                <w:bCs w:val="1"/>
                <w:color w:val="auto"/>
              </w:rPr>
              <w:t>12110</w:t>
            </w:r>
          </w:p>
        </w:tc>
        <w:tc>
          <w:tcPr>
            <w:tcW w:w="0" w:type="dxa"/>
            <w:vAlign w:val="bottom"/>
          </w:tcPr>
          <w:p>
            <w:pPr>
              <w:spacing w:after="0"/>
              <w:rPr>
                <w:sz w:val="1"/>
                <w:szCs w:val="1"/>
                <w:color w:val="auto"/>
              </w:rPr>
            </w:pPr>
          </w:p>
        </w:tc>
      </w:tr>
      <w:tr>
        <w:trPr>
          <w:trHeight w:val="211"/>
        </w:trPr>
        <w:tc>
          <w:tcPr>
            <w:tcW w:w="6800" w:type="dxa"/>
            <w:vAlign w:val="bottom"/>
            <w:gridSpan w:val="5"/>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ind w:right="7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7800" w:type="dxa"/>
            <w:vAlign w:val="bottom"/>
            <w:gridSpan w:val="9"/>
          </w:tcPr>
          <w:p>
            <w:pPr>
              <w:jc w:val="center"/>
              <w:ind w:right="808"/>
              <w:spacing w:after="0"/>
              <w:rPr>
                <w:sz w:val="20"/>
                <w:szCs w:val="20"/>
                <w:color w:val="auto"/>
              </w:rPr>
            </w:pPr>
            <w:r>
              <w:rPr>
                <w:rFonts w:ascii="Arial" w:cs="Arial" w:eastAsia="Arial" w:hAnsi="Arial"/>
                <w:sz w:val="18"/>
                <w:szCs w:val="18"/>
                <w:b w:val="1"/>
                <w:bCs w:val="1"/>
                <w:color w:val="auto"/>
                <w:w w:val="89"/>
              </w:rPr>
              <w:t>Registrant’s telephone number, including area code (518) 795-1400</w:t>
            </w:r>
          </w:p>
        </w:tc>
        <w:tc>
          <w:tcPr>
            <w:tcW w:w="0" w:type="dxa"/>
            <w:vAlign w:val="bottom"/>
          </w:tcPr>
          <w:p>
            <w:pPr>
              <w:spacing w:after="0"/>
              <w:rPr>
                <w:sz w:val="1"/>
                <w:szCs w:val="1"/>
                <w:color w:val="auto"/>
              </w:rPr>
            </w:pPr>
          </w:p>
        </w:tc>
      </w:tr>
      <w:tr>
        <w:trPr>
          <w:trHeight w:val="351"/>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7"/>
          </w:tcPr>
          <w:p>
            <w:pPr>
              <w:jc w:val="center"/>
              <w:ind w:right="188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297"/>
        </w:trPr>
        <w:tc>
          <w:tcPr>
            <w:tcW w:w="1920" w:type="dxa"/>
            <w:vAlign w:val="bottom"/>
          </w:tcPr>
          <w:p>
            <w:pPr>
              <w:spacing w:after="0"/>
              <w:rPr>
                <w:sz w:val="24"/>
                <w:szCs w:val="24"/>
                <w:color w:val="auto"/>
              </w:rPr>
            </w:pPr>
          </w:p>
        </w:tc>
        <w:tc>
          <w:tcPr>
            <w:tcW w:w="4880" w:type="dxa"/>
            <w:vAlign w:val="bottom"/>
            <w:gridSpan w:val="4"/>
          </w:tcPr>
          <w:p>
            <w:pPr>
              <w:jc w:val="center"/>
              <w:ind w:right="3719"/>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gridSpan w:val="5"/>
          </w:tcPr>
          <w:p>
            <w:pPr>
              <w:jc w:val="center"/>
              <w:ind w:right="1779"/>
              <w:spacing w:after="0"/>
              <w:rPr>
                <w:sz w:val="20"/>
                <w:szCs w:val="20"/>
                <w:color w:val="auto"/>
              </w:rPr>
            </w:pPr>
            <w:r>
              <w:rPr>
                <w:rFonts w:ascii="Arial" w:cs="Arial" w:eastAsia="Arial" w:hAnsi="Arial"/>
                <w:sz w:val="14"/>
                <w:szCs w:val="14"/>
                <w:b w:val="1"/>
                <w:bCs w:val="1"/>
                <w:color w:val="auto"/>
                <w:w w:val="92"/>
              </w:rPr>
              <w:t>Common Stock, par value $.01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6"/>
              </w:rPr>
              <w:t>NASDAQ Global Select Market</w:t>
            </w:r>
          </w:p>
        </w:tc>
        <w:tc>
          <w:tcPr>
            <w:tcW w:w="0" w:type="dxa"/>
            <w:vAlign w:val="bottom"/>
          </w:tcPr>
          <w:p>
            <w:pPr>
              <w:spacing w:after="0"/>
              <w:rPr>
                <w:sz w:val="1"/>
                <w:szCs w:val="1"/>
                <w:color w:val="auto"/>
              </w:rPr>
            </w:pPr>
          </w:p>
        </w:tc>
      </w:tr>
      <w:tr>
        <w:trPr>
          <w:trHeight w:val="534"/>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7"/>
          </w:tcPr>
          <w:p>
            <w:pPr>
              <w:jc w:val="center"/>
              <w:ind w:right="1888"/>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212"/>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jc w:val="center"/>
              <w:ind w:left="119"/>
              <w:spacing w:after="0"/>
              <w:rPr>
                <w:sz w:val="20"/>
                <w:szCs w:val="20"/>
                <w:color w:val="auto"/>
              </w:rPr>
            </w:pPr>
            <w:r>
              <w:rPr>
                <w:rFonts w:ascii="Arial" w:cs="Arial" w:eastAsia="Arial" w:hAnsi="Arial"/>
                <w:sz w:val="18"/>
                <w:szCs w:val="18"/>
                <w:b w:val="1"/>
                <w:bCs w:val="1"/>
                <w:color w:val="auto"/>
                <w:w w:val="88"/>
              </w:rPr>
              <w:t>None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40" w:type="dxa"/>
            <w:vAlign w:val="bottom"/>
          </w:tcPr>
          <w:p>
            <w:pPr>
              <w:jc w:val="center"/>
              <w:ind w:left="99"/>
              <w:spacing w:after="0"/>
              <w:rPr>
                <w:sz w:val="20"/>
                <w:szCs w:val="20"/>
                <w:color w:val="auto"/>
              </w:rPr>
            </w:pPr>
            <w:r>
              <w:rPr>
                <w:rFonts w:ascii="Arial" w:cs="Arial" w:eastAsia="Arial" w:hAnsi="Arial"/>
                <w:sz w:val="14"/>
                <w:szCs w:val="14"/>
                <w:b w:val="1"/>
                <w:bCs w:val="1"/>
                <w:color w:val="auto"/>
                <w:w w:val="93"/>
              </w:rPr>
              <w:t>(Title of Class)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92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2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80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w w:val="74"/>
              </w:rPr>
              <w:t>Yes</w:t>
            </w:r>
          </w:p>
        </w:tc>
        <w:tc>
          <w:tcPr>
            <w:tcW w:w="220" w:type="dxa"/>
            <w:vAlign w:val="bottom"/>
            <w:vMerge w:val="continue"/>
          </w:tcPr>
          <w:p>
            <w:pPr>
              <w:spacing w:after="0"/>
              <w:rPr>
                <w:sz w:val="24"/>
                <w:szCs w:val="24"/>
                <w:color w:val="auto"/>
              </w:rPr>
            </w:pPr>
          </w:p>
        </w:tc>
        <w:tc>
          <w:tcPr>
            <w:tcW w:w="2400" w:type="dxa"/>
            <w:vAlign w:val="bottom"/>
            <w:gridSpan w:val="2"/>
          </w:tcPr>
          <w:p>
            <w:pPr>
              <w:ind w:left="12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r>
        <w:trPr>
          <w:trHeight w:val="226"/>
        </w:trPr>
        <w:tc>
          <w:tcPr>
            <w:tcW w:w="68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No</w:t>
            </w: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305"/>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9" w:lineRule="exact"/>
        <w:rPr>
          <w:sz w:val="24"/>
          <w:szCs w:val="24"/>
          <w:color w:val="auto"/>
        </w:rPr>
      </w:pPr>
    </w:p>
    <w:p>
      <w:pPr>
        <w:ind w:left="305" w:right="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spacing w:after="0" w:line="18" w:lineRule="exact"/>
        <w:rPr>
          <w:sz w:val="24"/>
          <w:szCs w:val="24"/>
          <w:color w:val="auto"/>
        </w:rPr>
      </w:pPr>
    </w:p>
    <w:p>
      <w:pPr>
        <w:ind w:left="305" w:right="26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 w:lineRule="exact"/>
        <w:rPr>
          <w:sz w:val="24"/>
          <w:szCs w:val="24"/>
          <w:color w:val="auto"/>
        </w:rPr>
      </w:pPr>
    </w:p>
    <w:p>
      <w:pPr>
        <w:ind w:left="305"/>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47" w:lineRule="exact"/>
        <w:rPr>
          <w:sz w:val="24"/>
          <w:szCs w:val="24"/>
          <w:color w:val="auto"/>
        </w:rPr>
      </w:pPr>
    </w:p>
    <w:tbl>
      <w:tblPr>
        <w:tblLayout w:type="fixed"/>
        <w:tblInd w:w="305" w:type="dxa"/>
        <w:tblCellMar>
          <w:top w:w="0" w:type="dxa"/>
          <w:left w:w="0" w:type="dxa"/>
          <w:bottom w:w="0" w:type="dxa"/>
          <w:right w:w="0" w:type="dxa"/>
        </w:tblCellMar>
      </w:tblPr>
      <w:tr>
        <w:trPr>
          <w:trHeight w:val="226"/>
        </w:trPr>
        <w:tc>
          <w:tcPr>
            <w:tcW w:w="1420" w:type="dxa"/>
            <w:vAlign w:val="bottom"/>
          </w:tcPr>
          <w:p>
            <w:pPr>
              <w:ind w:left="120"/>
              <w:spacing w:after="0"/>
              <w:rPr>
                <w:sz w:val="20"/>
                <w:szCs w:val="20"/>
                <w:color w:val="auto"/>
              </w:rPr>
            </w:pPr>
            <w:r>
              <w:rPr>
                <w:rFonts w:ascii="Arial" w:cs="Arial" w:eastAsia="Arial" w:hAnsi="Arial"/>
                <w:sz w:val="14"/>
                <w:szCs w:val="14"/>
                <w:color w:val="auto"/>
                <w:w w:val="92"/>
              </w:rPr>
              <w:t>Large accelerated filer</w:t>
            </w:r>
          </w:p>
        </w:tc>
        <w:tc>
          <w:tcPr>
            <w:tcW w:w="230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jc w:val="right"/>
              <w:ind w:right="428"/>
              <w:spacing w:after="0"/>
              <w:rPr>
                <w:sz w:val="20"/>
                <w:szCs w:val="20"/>
                <w:color w:val="auto"/>
              </w:rPr>
            </w:pPr>
            <w:r>
              <w:rPr>
                <w:rFonts w:ascii="Arial" w:cs="Arial" w:eastAsia="Arial" w:hAnsi="Arial"/>
                <w:sz w:val="14"/>
                <w:szCs w:val="14"/>
                <w:color w:val="auto"/>
              </w:rPr>
              <w:t>Accelerated filer x</w:t>
            </w:r>
          </w:p>
        </w:tc>
        <w:tc>
          <w:tcPr>
            <w:tcW w:w="160" w:type="dxa"/>
            <w:vAlign w:val="bottom"/>
          </w:tcPr>
          <w:p>
            <w:pPr>
              <w:spacing w:after="0"/>
              <w:rPr>
                <w:sz w:val="19"/>
                <w:szCs w:val="19"/>
                <w:color w:val="auto"/>
              </w:rPr>
            </w:pPr>
          </w:p>
        </w:tc>
      </w:tr>
      <w:tr>
        <w:trPr>
          <w:trHeight w:val="270"/>
        </w:trPr>
        <w:tc>
          <w:tcPr>
            <w:tcW w:w="1420" w:type="dxa"/>
            <w:vAlign w:val="bottom"/>
          </w:tcPr>
          <w:p>
            <w:pPr>
              <w:ind w:left="120"/>
              <w:spacing w:after="0"/>
              <w:rPr>
                <w:sz w:val="20"/>
                <w:szCs w:val="20"/>
                <w:color w:val="auto"/>
              </w:rPr>
            </w:pPr>
            <w:r>
              <w:rPr>
                <w:rFonts w:ascii="Arial" w:cs="Arial" w:eastAsia="Arial" w:hAnsi="Arial"/>
                <w:sz w:val="14"/>
                <w:szCs w:val="14"/>
                <w:color w:val="auto"/>
                <w:w w:val="99"/>
              </w:rPr>
              <w:t>Non-accelerated filer</w:t>
            </w:r>
          </w:p>
        </w:tc>
        <w:tc>
          <w:tcPr>
            <w:tcW w:w="23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jc w:val="right"/>
              <w:spacing w:after="0"/>
              <w:rPr>
                <w:sz w:val="20"/>
                <w:szCs w:val="20"/>
                <w:color w:val="auto"/>
              </w:rPr>
            </w:pPr>
            <w:r>
              <w:rPr>
                <w:rFonts w:ascii="Arial" w:cs="Arial" w:eastAsia="Arial" w:hAnsi="Arial"/>
                <w:sz w:val="14"/>
                <w:szCs w:val="14"/>
                <w:color w:val="auto"/>
              </w:rPr>
              <w:t>Smaller reporting company</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7440" w:type="dxa"/>
            <w:vAlign w:val="bottom"/>
            <w:gridSpan w:val="3"/>
          </w:tcPr>
          <w:p>
            <w:pPr>
              <w:jc w:val="right"/>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w:t>
            </w:r>
          </w:p>
        </w:tc>
        <w:tc>
          <w:tcPr>
            <w:tcW w:w="160" w:type="dxa"/>
            <w:vAlign w:val="bottom"/>
          </w:tcPr>
          <w:p>
            <w:pPr>
              <w:ind w:left="40"/>
              <w:spacing w:after="0"/>
              <w:rPr>
                <w:sz w:val="20"/>
                <w:szCs w:val="20"/>
                <w:color w:val="auto"/>
              </w:rPr>
            </w:pPr>
            <w:r>
              <w:rPr>
                <w:rFonts w:ascii="Arial" w:cs="Arial" w:eastAsia="Arial" w:hAnsi="Arial"/>
                <w:sz w:val="14"/>
                <w:szCs w:val="14"/>
                <w:color w:val="auto"/>
              </w:rPr>
              <w:t>x</w:t>
            </w:r>
          </w:p>
        </w:tc>
      </w:tr>
    </w:tbl>
    <w:p>
      <w:pPr>
        <w:spacing w:after="0" w:line="18" w:lineRule="exact"/>
        <w:rPr>
          <w:sz w:val="24"/>
          <w:szCs w:val="24"/>
          <w:color w:val="auto"/>
        </w:rPr>
      </w:pPr>
    </w:p>
    <w:p>
      <w:pPr>
        <w:ind w:left="305" w:right="260"/>
        <w:spacing w:after="0" w:line="303" w:lineRule="auto"/>
        <w:rPr>
          <w:sz w:val="20"/>
          <w:szCs w:val="20"/>
          <w:color w:val="auto"/>
        </w:rPr>
      </w:pPr>
      <w:r>
        <w:rPr>
          <w:rFonts w:ascii="Arial" w:cs="Arial" w:eastAsia="Arial" w:hAnsi="Arial"/>
          <w:sz w:val="13"/>
          <w:szCs w:val="13"/>
          <w:color w:val="auto"/>
        </w:rPr>
        <w:t>As of November 30, 2015, the last business day of the registrant’s most recently completed second fiscal quarter, the aggregate market value of the registrant’s common stock held by non-affiliates was approximately $431,798,128 computed by reference to the last sale price of the common stock on that date as reported by The NASDAQ Global Select Market.</w:t>
      </w:r>
    </w:p>
    <w:p>
      <w:pPr>
        <w:spacing w:after="0" w:line="1" w:lineRule="exact"/>
        <w:rPr>
          <w:sz w:val="24"/>
          <w:szCs w:val="24"/>
          <w:color w:val="auto"/>
        </w:rPr>
      </w:pPr>
    </w:p>
    <w:p>
      <w:pPr>
        <w:ind w:left="305"/>
        <w:spacing w:after="0"/>
        <w:rPr>
          <w:sz w:val="20"/>
          <w:szCs w:val="20"/>
          <w:color w:val="auto"/>
        </w:rPr>
      </w:pPr>
      <w:r>
        <w:rPr>
          <w:rFonts w:ascii="Arial" w:cs="Arial" w:eastAsia="Arial" w:hAnsi="Arial"/>
          <w:sz w:val="14"/>
          <w:szCs w:val="14"/>
          <w:color w:val="auto"/>
        </w:rPr>
        <w:t>As of July 22, 2016, there were 36,422,398 shares of the registrant’s common stock outstanding.</w:t>
      </w:r>
    </w:p>
    <w:p>
      <w:pPr>
        <w:sectPr>
          <w:pgSz w:w="11900" w:h="16838" w:orient="portrait"/>
          <w:cols w:equalWidth="0" w:num="1">
            <w:col w:w="11325"/>
          </w:cols>
          <w:pgMar w:left="275" w:top="679" w:right="299" w:bottom="1440" w:gutter="0" w:footer="0" w:header="0"/>
          <w:type w:val="continuous"/>
        </w:sectPr>
      </w:pPr>
    </w:p>
    <w:bookmarkStart w:id="1" w:name="page2"/>
    <w:bookmarkEnd w:id="1"/>
    <w:p>
      <w:pPr>
        <w:jc w:val="center"/>
        <w:ind w:right="3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information required for Part III of this annual report on Form 10-K is incorporated by reference to the registrant’s Proxy Statement for its 2016 Annual Meeting of Stockholders to be filed within 120 days of the registrant's fiscal year ended May 31, 2016.</w:t>
      </w:r>
    </w:p>
    <w:p>
      <w:pPr>
        <w:sectPr>
          <w:pgSz w:w="11900" w:h="16838" w:orient="portrait"/>
          <w:cols w:equalWidth="0" w:num="1">
            <w:col w:w="11060"/>
          </w:cols>
          <w:pgMar w:left="580" w:top="63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0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w w:val="89"/>
              </w:rPr>
              <w:t>AngioDynamics, Inc. and Subsidiaries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20" w:type="dxa"/>
            <w:vAlign w:val="bottom"/>
            <w:gridSpan w:val="7"/>
          </w:tcPr>
          <w:p>
            <w:pPr>
              <w:jc w:val="center"/>
              <w:ind w:right="428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8"/>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480" w:type="dxa"/>
            <w:vAlign w:val="bottom"/>
          </w:tcPr>
          <w:p>
            <w:pPr>
              <w:ind w:left="460"/>
              <w:spacing w:after="0"/>
              <w:rPr>
                <w:sz w:val="20"/>
                <w:szCs w:val="20"/>
                <w:color w:val="auto"/>
              </w:rPr>
            </w:pPr>
            <w:r>
              <w:rPr>
                <w:rFonts w:ascii="Arial" w:cs="Arial" w:eastAsia="Arial" w:hAnsi="Arial"/>
                <w:sz w:val="18"/>
                <w:szCs w:val="18"/>
                <w:color w:val="auto"/>
              </w:rPr>
              <w:t>Item 1.</w:t>
            </w:r>
          </w:p>
        </w:tc>
        <w:tc>
          <w:tcPr>
            <w:tcW w:w="93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1A.</w:t>
            </w:r>
          </w:p>
        </w:tc>
        <w:tc>
          <w:tcPr>
            <w:tcW w:w="9340" w:type="dxa"/>
            <w:vAlign w:val="bottom"/>
            <w:gridSpan w:val="18"/>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1B.</w:t>
            </w:r>
          </w:p>
        </w:tc>
        <w:tc>
          <w:tcPr>
            <w:tcW w:w="934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30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Legal Proceedings</w:t>
              </w:r>
            </w:hyperlink>
          </w:p>
        </w:tc>
        <w:tc>
          <w:tcPr>
            <w:tcW w:w="800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4.</w:t>
            </w:r>
          </w:p>
        </w:tc>
        <w:tc>
          <w:tcPr>
            <w:tcW w:w="934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Arial" w:cs="Arial" w:eastAsia="Arial" w:hAnsi="Arial"/>
                <w:sz w:val="18"/>
                <w:szCs w:val="18"/>
                <w:color w:val="auto"/>
              </w:rPr>
              <w:t>Item 5.</w:t>
            </w:r>
          </w:p>
        </w:tc>
        <w:tc>
          <w:tcPr>
            <w:tcW w:w="93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6.</w:t>
            </w:r>
          </w:p>
        </w:tc>
        <w:tc>
          <w:tcPr>
            <w:tcW w:w="1720" w:type="dxa"/>
            <w:vAlign w:val="bottom"/>
            <w:gridSpan w:val="5"/>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Selected Financial Data</w:t>
              </w:r>
            </w:hyperlink>
          </w:p>
        </w:tc>
        <w:tc>
          <w:tcPr>
            <w:tcW w:w="5580" w:type="dxa"/>
            <w:vAlign w:val="bottom"/>
            <w:gridSpan w:val="12"/>
          </w:tcPr>
          <w:p>
            <w:pPr>
              <w:spacing w:after="0"/>
              <w:rPr>
                <w:sz w:val="21"/>
                <w:szCs w:val="21"/>
                <w:color w:val="auto"/>
              </w:rPr>
            </w:pPr>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8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Financial Statements and Supplementary Data</w:t>
              </w:r>
            </w:hyperlink>
          </w:p>
        </w:tc>
        <w:tc>
          <w:tcPr>
            <w:tcW w:w="498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9.</w:t>
            </w:r>
          </w:p>
        </w:tc>
        <w:tc>
          <w:tcPr>
            <w:tcW w:w="6480" w:type="dxa"/>
            <w:vAlign w:val="bottom"/>
            <w:gridSpan w:val="16"/>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Changes in and Disagreements with Accountants on Accounting and Financial Disclosure</w:t>
              </w:r>
            </w:hyperlink>
          </w:p>
        </w:tc>
        <w:tc>
          <w:tcPr>
            <w:tcW w:w="286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Controls and Procedures</w:t>
              </w:r>
            </w:hyperlink>
          </w:p>
        </w:tc>
        <w:tc>
          <w:tcPr>
            <w:tcW w:w="4700" w:type="dxa"/>
            <w:vAlign w:val="bottom"/>
            <w:gridSpan w:val="10"/>
          </w:tcPr>
          <w:p>
            <w:pPr>
              <w:spacing w:after="0"/>
              <w:rPr>
                <w:sz w:val="21"/>
                <w:szCs w:val="21"/>
                <w:color w:val="auto"/>
              </w:rPr>
            </w:pPr>
          </w:p>
        </w:tc>
        <w:tc>
          <w:tcPr>
            <w:tcW w:w="286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756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Directors, Executive Officers and Corporate Governance</w:t>
              </w:r>
            </w:hyperlink>
          </w:p>
        </w:tc>
        <w:tc>
          <w:tcPr>
            <w:tcW w:w="5240" w:type="dxa"/>
            <w:vAlign w:val="bottom"/>
            <w:gridSpan w:val="6"/>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14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Executive Compensation</w:t>
              </w:r>
            </w:hyperlink>
          </w:p>
        </w:tc>
        <w:tc>
          <w:tcPr>
            <w:tcW w:w="524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14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Security Ownership of Certain Beneficial Owners and Management and Related Stockholder Matters</w:t>
              </w:r>
            </w:hyperlink>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14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14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Principal Accounting Fees and Services</w:t>
              </w:r>
            </w:hyperlink>
          </w:p>
        </w:tc>
        <w:tc>
          <w:tcPr>
            <w:tcW w:w="38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Arial" w:cs="Arial" w:eastAsia="Arial" w:hAnsi="Arial"/>
                <w:sz w:val="18"/>
                <w:szCs w:val="18"/>
                <w:color w:val="auto"/>
              </w:rPr>
              <w:t>Item 15.</w:t>
            </w:r>
          </w:p>
        </w:tc>
        <w:tc>
          <w:tcPr>
            <w:tcW w:w="9340" w:type="dxa"/>
            <w:vAlign w:val="bottom"/>
            <w:gridSpan w:val="1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 Financial Statement Schedules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723"/>
        </w:trPr>
        <w:tc>
          <w:tcPr>
            <w:tcW w:w="148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sz w:val="24"/>
                <w:szCs w:val="24"/>
                <w:color w:val="auto"/>
              </w:rPr>
            </w:pPr>
          </w:p>
        </w:tc>
        <w:tc>
          <w:tcPr>
            <w:tcW w:w="1460" w:type="dxa"/>
            <w:vAlign w:val="bottom"/>
            <w:gridSpan w:val="3"/>
          </w:tcPr>
          <w:p>
            <w:pPr>
              <w:jc w:val="center"/>
              <w:ind w:left="1030"/>
              <w:spacing w:after="0"/>
              <w:rPr>
                <w:sz w:val="20"/>
                <w:szCs w:val="20"/>
                <w:color w:val="auto"/>
              </w:rPr>
            </w:pPr>
            <w:r>
              <w:rPr>
                <w:rFonts w:ascii="Arial" w:cs="Arial" w:eastAsia="Arial" w:hAnsi="Arial"/>
                <w:sz w:val="18"/>
                <w:szCs w:val="18"/>
                <w:color w:val="auto"/>
                <w:w w:val="99"/>
              </w:rPr>
              <w:t>1</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AngioDynamics, Inc. (together with its subsidiaries, "AngioDynamics," the "Company," "we," "our" or "us") designs, manufactures and sells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AngioDynamics was founded in 1988 and we completed our initial public offering in 2004, raising net proceeds of approximately $21.7 million at an offering price of $11.00 per share. In 2006 we completed a follow-on offering, raising net proceeds of approximately $61.9 million at a public offering price of $24.07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Our product offerings fall within three product groupings: Peripheral Vascular, Vascular Access and Oncology/Surgery. All products discussed below have been cleared for sale in the United States by the FDA. International regulatory clearances vary by product and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Peripheral Vascular Products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Peripheral Vascular products include Fluid Management, Venous, Thrombus Management, as well as other core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Fluid Management Products</w:t>
      </w:r>
    </w:p>
    <w:p>
      <w:pPr>
        <w:spacing w:after="0" w:line="225" w:lineRule="exact"/>
        <w:rPr>
          <w:sz w:val="20"/>
          <w:szCs w:val="20"/>
          <w:color w:val="auto"/>
        </w:rPr>
      </w:pPr>
    </w:p>
    <w:p>
      <w:pPr>
        <w:ind w:right="60" w:firstLine="405"/>
        <w:spacing w:after="0" w:line="235" w:lineRule="auto"/>
        <w:rPr>
          <w:sz w:val="20"/>
          <w:szCs w:val="20"/>
          <w:color w:val="auto"/>
        </w:rPr>
      </w:pPr>
      <w:r>
        <w:rPr>
          <w:rFonts w:ascii="Arial" w:cs="Arial" w:eastAsia="Arial" w:hAnsi="Arial"/>
          <w:sz w:val="18"/>
          <w:szCs w:val="18"/>
          <w:color w:val="auto"/>
        </w:rPr>
        <w:t>Our Fluid Management product offering includes the NAMIC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Fluid Management portfolio. Since 1969, the NAMIC product line has been a leader in providing clinicians high quality, dependable devices that help in the diagnosis and treatment of cardiovascular and peripheral vascular disease. The NAMIC product line includes an extensive offering of manifolds, contrast management systems, closed fluid systems, guidewires, disposable transducers and interventional accessories. These devices are utilized together and allow clinicians to aspirate or inject contrast, saline, remove waste and monitor invasive blood pressures throughout the procedure.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Venous Products</w:t>
      </w:r>
    </w:p>
    <w:p>
      <w:pPr>
        <w:spacing w:after="0" w:line="225" w:lineRule="exact"/>
        <w:rPr>
          <w:sz w:val="20"/>
          <w:szCs w:val="20"/>
          <w:color w:val="auto"/>
        </w:rPr>
      </w:pPr>
    </w:p>
    <w:p>
      <w:pPr>
        <w:ind w:right="140" w:firstLine="432"/>
        <w:spacing w:after="0" w:line="216" w:lineRule="auto"/>
        <w:rPr>
          <w:sz w:val="20"/>
          <w:szCs w:val="20"/>
          <w:color w:val="auto"/>
        </w:rPr>
      </w:pPr>
      <w:r>
        <w:rPr>
          <w:rFonts w:ascii="Arial" w:cs="Arial" w:eastAsia="Arial" w:hAnsi="Arial"/>
          <w:sz w:val="18"/>
          <w:szCs w:val="18"/>
          <w:color w:val="auto"/>
        </w:rPr>
        <w:t>Our venous products focus on the treatment of varicose veins and consist of our VenaCure EVLT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laser system, Asclera® (polidocanol) injection and Sotradecol®.</w:t>
      </w:r>
    </w:p>
    <w:p>
      <w:pPr>
        <w:spacing w:after="0" w:line="203"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Our VenaCure EVLT laser system products are used in endovascular laser procedures to treat superficial venous disease (varicose veins). Superficial venous disease is a malfunction of one or more valves in the leg veins whereby blood refluxes or does not return to the heart. Venous laser treatment is an outpatient procedure that generally allows the patient to quickly return to normal activities with minimal post-operative pain.</w:t>
      </w:r>
    </w:p>
    <w:p>
      <w:pPr>
        <w:spacing w:after="0" w:line="166" w:lineRule="exact"/>
        <w:rPr>
          <w:sz w:val="20"/>
          <w:szCs w:val="20"/>
          <w:color w:val="auto"/>
        </w:rPr>
      </w:pPr>
    </w:p>
    <w:p>
      <w:pPr>
        <w:ind w:firstLine="432"/>
        <w:spacing w:after="0" w:line="237" w:lineRule="auto"/>
        <w:rPr>
          <w:sz w:val="20"/>
          <w:szCs w:val="20"/>
          <w:color w:val="auto"/>
        </w:rPr>
      </w:pPr>
      <w:r>
        <w:rPr>
          <w:rFonts w:ascii="Arial" w:cs="Arial" w:eastAsia="Arial" w:hAnsi="Arial"/>
          <w:sz w:val="18"/>
          <w:szCs w:val="18"/>
          <w:color w:val="auto"/>
        </w:rPr>
        <w:t>With our VenaCure EVLT laser system, laser energy is used to stop the reflux by ablating, or collapsing and destroying, the affected vein. The body subsequently re-routes the blood to other healthy veins. Our products are sold as a system that includes diode laser hardware with our family of disposable laser fiber components, training and marketing materials. The disposable components in the system include a laser fiber system featuring our NeverTouch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gold-tip technology, an access sheath, access wires and needles. The procedure kits come in a variety of lengths and configurations to accommodate varied patient anatomies. Our VenaCure EVLT 1470 nanometer wavelength laser allows physicians to more efficiently heat the vein wall using lower power settings thereby reducing the risk of collateral damage.</w:t>
      </w:r>
    </w:p>
    <w:p>
      <w:pPr>
        <w:spacing w:after="0" w:line="207"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Asclera® (polidocanol) injection is an FDA approved sclerosing drug that we distribute through a global agreement with the manufacturer and their distributor. Asclera is used for sclerotherapy to treat uncomplicated spider veins and uncomplicated reticular veins in the lower extremity. In a clinical study, it was proven to be 95% successful and patients were more satisfied with Asclera than alternative sclerosants.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0" w:right="299" w:bottom="1440" w:gutter="0" w:footer="0" w:header="0"/>
        </w:sectPr>
      </w:pPr>
    </w:p>
    <w:bookmarkStart w:id="4" w:name="page5"/>
    <w:bookmarkEnd w:id="4"/>
    <w:p>
      <w:pPr>
        <w:ind w:right="320" w:firstLine="432"/>
        <w:spacing w:after="0" w:line="264" w:lineRule="auto"/>
        <w:rPr>
          <w:sz w:val="20"/>
          <w:szCs w:val="20"/>
          <w:color w:val="auto"/>
        </w:rPr>
      </w:pPr>
      <w:r>
        <w:rPr>
          <w:rFonts w:ascii="Arial" w:cs="Arial" w:eastAsia="Arial" w:hAnsi="Arial"/>
          <w:sz w:val="18"/>
          <w:szCs w:val="18"/>
          <w:color w:val="auto"/>
        </w:rPr>
        <w:t>Sotradecol® (sodium tetradecyl sulfate injection) is an FDA approved sclerosing drug that we distribute through a global agreement with the manufacturer. Sotradecol® has been shown to be an effective non-surgical treatment of small, uncomplicated varicose veins of the lower extremities that show simple dilation with competent valves.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Thrombus Management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Thrombus Management product offerings include our AngioVac and thrombolytic products</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AngioVac</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fiscal 2013, we released our AngioVac venous drainage system which includes a Venous Drainage Cannula and Cardiopulmonary Bypass Circuit. The AngioVac devices are for use with other manufacturer’s off-the-shelf pump, filter, and reinfusion cannula, to facilitate venous drainage as part of an extracorporeal bypass procedure. The cannula is indicated for use as a venous drainage cannula and for removal of fresh, soft thrombi or emboli during extracorporeal bypass. The cardiopulmonary bypass circuit is indicated for use in procedures requiring extracorporeal circulatory support for periods of up to six hours.</w:t>
      </w:r>
    </w:p>
    <w:p>
      <w:pPr>
        <w:spacing w:after="0" w:line="188"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The AngioVac venous drainage cannula is a 22F coil-reinforced cannula designed with a balloon actuated, expandable funnel shaped distal tip. The proprietary funnel shaped tip enhances venous drainage flow when the balloon is inflated, prevents clogging of the cannula with commonly encountered undesirable intravascular material, and facilitates en bloc removal of such extraneous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Thrombolytic Products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Thrombolytic catheters are used to deliver thrombolytic agents, which are drugs that dissolve blood clots in hemodialysis access grafts, arteries, veins and surgical bypass grafts.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Core Products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other core peripheral vascular products include Angiographic products and accessories, drainage, micro access and other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Angiographic Products and Accessories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Angiographic products and accessories are used during peripheral vascular interventional procedures. These products permit interventional physicians to reach targeted locations within the vascular system to deliver contrast media for visualization purposes and therapeutic agents and devices, such as percutaneous transluminal angioplasty (PTA) balloons. Angiographic products consist primarily of angiographic catheters, but also include entry needles and guidewires specifically designed for peripheral interventions and fluid management products. We manufacture angiographic catheters and guidewires that are available in more than 500 tip configurations and lengths.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Drainage Products</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Drainage products percutaneously drain abscesses and other fluid pockets. An abscess is a tender inflamed mass that typically must be drained by a physician.</w:t>
      </w:r>
    </w:p>
    <w:p>
      <w:pPr>
        <w:spacing w:after="0" w:line="170" w:lineRule="exact"/>
        <w:rPr>
          <w:sz w:val="20"/>
          <w:szCs w:val="20"/>
          <w:color w:val="auto"/>
        </w:rPr>
      </w:pPr>
    </w:p>
    <w:p>
      <w:pPr>
        <w:ind w:right="20" w:firstLine="432"/>
        <w:spacing w:after="0" w:line="232" w:lineRule="auto"/>
        <w:rPr>
          <w:sz w:val="20"/>
          <w:szCs w:val="20"/>
          <w:color w:val="auto"/>
        </w:rPr>
      </w:pPr>
      <w:r>
        <w:rPr>
          <w:rFonts w:ascii="Arial" w:cs="Arial" w:eastAsia="Arial" w:hAnsi="Arial"/>
          <w:sz w:val="18"/>
          <w:szCs w:val="18"/>
          <w:color w:val="auto"/>
        </w:rPr>
        <w:t>Our line of drainage products, The Total Abscession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Family of Drainage Catheters, consists of our Total Abscession General, Biliary, and Nephrostomy drainage catheters. These products feature our proprietary soft shaft with Blue Silk</w:t>
      </w:r>
      <w:r>
        <w:rPr>
          <w:rFonts w:ascii="Arial" w:cs="Arial" w:eastAsia="Arial" w:hAnsi="Arial"/>
          <w:sz w:val="18"/>
          <w:szCs w:val="18"/>
          <w:i w:val="1"/>
          <w:iCs w:val="1"/>
          <w:color w:val="auto"/>
        </w:rPr>
        <w:t>™</w:t>
      </w:r>
      <w:r>
        <w:rPr>
          <w:rFonts w:ascii="Arial" w:cs="Arial" w:eastAsia="Arial" w:hAnsi="Arial"/>
          <w:sz w:val="18"/>
          <w:szCs w:val="18"/>
          <w:color w:val="auto"/>
        </w:rPr>
        <w:t xml:space="preserve"> finish for a more comfortable patient fit. The kink-resistant shaft recovers rapidly, even if severely bent, knotted, or twisted. This is particularly beneficial when patients roll over and risk a potential kinking of the catheter during sleep. The thermal molded tip allows for less buckling and kinking upon insertion. Also important is that the shaft diameter equals the inner diameter of the catheter hub to maximize flow. Our Total Abscession drainage catheters feature a tamper-resistant locking mechanism called the Vault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which securely fixes the pigtail and prevents tampering or accidental removal. This locking mechanism helps to prevent the drain from becoming unlocked during routine use, thus reducing a physician’s time by avoiding a possible “redo” case, and increasing patient satisfaction by not having to repeat the procedure. The Total Abscession catheter permits aspiration in the locked or unlocked position thus allowing more accurate placement and greater versatility for draining complex situations.</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800"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t>Micro Access Kits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Micro Access sets provide interventional physicians a smaller introducer system for minimally-invasive procedures. Our Micro Access product line provides physicians with the means to build a custom set from the wide selection of configurations available, including four wires in two different lengths, seven needle options and three sheath dilator options.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Vascular Access</w:t>
      </w:r>
    </w:p>
    <w:p>
      <w:pPr>
        <w:spacing w:after="0" w:line="22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Image-guided vascular access, or IGVA, involves the use of advanced imaging equipment to guide the placement of catheters that deliver primarily short-term drug therapies, such as chemotherapeutic agents and antibiotics, into the central venous system. Delivery to the circulatory system allows drugs to mix with a large volume of blood as compared to intravenous drug delivery into a superficial vessel. IGVA procedures include the placement of PICC lines, implantable ports and central venous catheters, or CVCs.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BioFlo</w:t>
      </w:r>
      <w:r>
        <w:rPr>
          <w:rFonts w:ascii="Arial" w:cs="Arial" w:eastAsia="Arial" w:hAnsi="Arial"/>
          <w:sz w:val="25"/>
          <w:szCs w:val="25"/>
          <w:u w:val="single" w:color="auto"/>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-61595</wp:posOffset>
            </wp:positionV>
            <wp:extent cx="114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BioFlo products incorporate Endexo Technology into the manufacturing and design of our Vascular Access products. Endexo is a fluorine based additive that creates a non-eluting (permanent), non-heparin based catheter material that is designed to reduce thrombus accumulation and platelet adhesion to all surfaces of the catheter. BioFlo’s long-term durability and efficacy is intended to provide clinicians a high degree of safety and confidence in providing better patient care and improved patient outcomes.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PICC Products</w:t>
      </w:r>
    </w:p>
    <w:p>
      <w:pPr>
        <w:spacing w:after="0" w:line="225"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A peripherally inserted central catheter, or PICC, is a long thin catheter that is inserted into a peripheral vein, typically in the upper arm, and advanced until the catheter tip terminates in a large vein in the chest near the heart to obtain intravenous access. PICCs can typically be used for prolonged periods of time and provide an alternative to central venous catheters. Our PICC product offerings include:</w:t>
      </w:r>
    </w:p>
    <w:p>
      <w:pPr>
        <w:spacing w:after="0" w:line="181" w:lineRule="exact"/>
        <w:rPr>
          <w:sz w:val="20"/>
          <w:szCs w:val="20"/>
          <w:color w:val="auto"/>
        </w:rPr>
      </w:pPr>
    </w:p>
    <w:p>
      <w:pPr>
        <w:ind w:left="980" w:right="240" w:hanging="324"/>
        <w:spacing w:after="0" w:line="212"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BioFlo</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PICC</w:t>
      </w:r>
      <w:r>
        <w:rPr>
          <w:rFonts w:ascii="Arial" w:cs="Arial" w:eastAsia="Arial" w:hAnsi="Arial"/>
          <w:sz w:val="17"/>
          <w:szCs w:val="17"/>
          <w:color w:val="auto"/>
        </w:rPr>
        <w:t>: Our BioFlo line is the only power injectable PICC available that incorporates Endexo Technology into the manufacturing and</w:t>
      </w:r>
      <w:r>
        <w:rPr>
          <w:rFonts w:ascii="Arial" w:cs="Arial" w:eastAsia="Arial" w:hAnsi="Arial"/>
          <w:sz w:val="17"/>
          <w:szCs w:val="17"/>
          <w:i w:val="1"/>
          <w:iCs w:val="1"/>
          <w:color w:val="auto"/>
        </w:rPr>
        <w:t xml:space="preserve"> </w:t>
      </w:r>
      <w:r>
        <w:rPr>
          <w:rFonts w:ascii="Arial" w:cs="Arial" w:eastAsia="Arial" w:hAnsi="Arial"/>
          <w:sz w:val="17"/>
          <w:szCs w:val="17"/>
          <w:color w:val="auto"/>
        </w:rPr>
        <w:t>design of the catheter. Advanced features such as large lumen diameters allow the BioFlo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PICC to deliver the power injection flow rates required for contrast-enhanced computed tomography (CT) scans compatible with up to 325 psi CT injections.</w:t>
      </w:r>
    </w:p>
    <w:p>
      <w:pPr>
        <w:spacing w:after="0" w:line="2" w:lineRule="exact"/>
        <w:rPr>
          <w:rFonts w:ascii="Arial" w:cs="Arial" w:eastAsia="Arial" w:hAnsi="Arial"/>
          <w:sz w:val="17"/>
          <w:szCs w:val="17"/>
          <w:color w:val="auto"/>
        </w:rPr>
      </w:pPr>
    </w:p>
    <w:p>
      <w:pPr>
        <w:jc w:val="both"/>
        <w:ind w:left="980" w:right="140" w:hanging="324"/>
        <w:spacing w:after="0" w:line="19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Xcela PICC</w:t>
      </w:r>
      <w:r>
        <w:rPr>
          <w:rFonts w:ascii="Arial" w:cs="Arial" w:eastAsia="Arial" w:hAnsi="Arial"/>
          <w:sz w:val="18"/>
          <w:szCs w:val="18"/>
          <w:color w:val="auto"/>
        </w:rPr>
        <w:t>: The Xcela</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PICC line is designed to provide a high degree of safety, ease and confidence in patient care. Advanced features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large lumen diameters allow the Xcela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PICC to deliver the power injection flow rates required for contrast-enhanced CTs compatible with up to 325 psi CT injections.</w:t>
      </w:r>
    </w:p>
    <w:p>
      <w:pPr>
        <w:spacing w:after="0" w:line="3" w:lineRule="exact"/>
        <w:rPr>
          <w:rFonts w:ascii="Arial" w:cs="Arial" w:eastAsia="Arial" w:hAnsi="Arial"/>
          <w:sz w:val="18"/>
          <w:szCs w:val="18"/>
          <w:color w:val="auto"/>
        </w:rPr>
      </w:pPr>
    </w:p>
    <w:p>
      <w:pPr>
        <w:ind w:left="980" w:right="400" w:hanging="324"/>
        <w:spacing w:after="0" w:line="20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PASV</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Valve Technology: </w:t>
      </w:r>
      <w:r>
        <w:rPr>
          <w:rFonts w:ascii="Arial" w:cs="Arial" w:eastAsia="Arial" w:hAnsi="Arial"/>
          <w:sz w:val="18"/>
          <w:szCs w:val="18"/>
          <w:color w:val="auto"/>
        </w:rPr>
        <w:t>The PASV</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Valve Technology is available in both BioFlo and Xcela lines and is designed to automatically resist</w:t>
      </w:r>
      <w:r>
        <w:rPr>
          <w:rFonts w:ascii="Arial" w:cs="Arial" w:eastAsia="Arial" w:hAnsi="Arial"/>
          <w:sz w:val="18"/>
          <w:szCs w:val="18"/>
          <w:i w:val="1"/>
          <w:iCs w:val="1"/>
          <w:color w:val="auto"/>
        </w:rPr>
        <w:t xml:space="preserve"> </w:t>
      </w:r>
      <w:r>
        <w:rPr>
          <w:rFonts w:ascii="Arial" w:cs="Arial" w:eastAsia="Arial" w:hAnsi="Arial"/>
          <w:sz w:val="18"/>
          <w:szCs w:val="18"/>
          <w:color w:val="auto"/>
        </w:rPr>
        <w:t>backflow and reduce blood reflux that could lead to catheter-related complications.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Port Products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port products and accessories include:</w:t>
      </w:r>
    </w:p>
    <w:p>
      <w:pPr>
        <w:spacing w:after="0" w:line="225" w:lineRule="exact"/>
        <w:rPr>
          <w:sz w:val="20"/>
          <w:szCs w:val="20"/>
          <w:color w:val="auto"/>
        </w:rPr>
      </w:pPr>
    </w:p>
    <w:p>
      <w:pPr>
        <w:ind w:left="980" w:right="40" w:hanging="324"/>
        <w:spacing w:after="0" w:line="22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BioFlo</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Port</w:t>
      </w:r>
      <w:r>
        <w:rPr>
          <w:rFonts w:ascii="Arial" w:cs="Arial" w:eastAsia="Arial" w:hAnsi="Arial"/>
          <w:sz w:val="18"/>
          <w:szCs w:val="18"/>
          <w:color w:val="auto"/>
        </w:rPr>
        <w:t>: Our BioFlo line is the only port available that incorporates Endexo Technology into the manufacturing and design of the catheter.</w:t>
      </w:r>
      <w:r>
        <w:rPr>
          <w:rFonts w:ascii="Arial" w:cs="Arial" w:eastAsia="Arial" w:hAnsi="Arial"/>
          <w:sz w:val="18"/>
          <w:szCs w:val="18"/>
          <w:i w:val="1"/>
          <w:iCs w:val="1"/>
          <w:color w:val="auto"/>
        </w:rPr>
        <w:t xml:space="preserve"> </w:t>
      </w:r>
      <w:r>
        <w:rPr>
          <w:rFonts w:ascii="Arial" w:cs="Arial" w:eastAsia="Arial" w:hAnsi="Arial"/>
          <w:sz w:val="18"/>
          <w:szCs w:val="18"/>
          <w:color w:val="auto"/>
        </w:rPr>
        <w:t>Advanced features include multiple profile and catheter options, a large septum area for ease of access and the ability to administer contrast through a CT (Computed Tomography) injection for purposes of imaging.</w:t>
      </w:r>
    </w:p>
    <w:p>
      <w:pPr>
        <w:spacing w:after="0" w:line="2" w:lineRule="exact"/>
        <w:rPr>
          <w:rFonts w:ascii="Arial" w:cs="Arial" w:eastAsia="Arial" w:hAnsi="Arial"/>
          <w:sz w:val="18"/>
          <w:szCs w:val="18"/>
          <w:color w:val="auto"/>
        </w:rPr>
      </w:pPr>
    </w:p>
    <w:p>
      <w:pPr>
        <w:ind w:left="980" w:right="100" w:hanging="324"/>
        <w:spacing w:after="0" w:line="22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SmartPort</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The Smart Port power-injectable port with Vortex technology offers the ability for a clinician to access a vein for both the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medications or fluids and for administering power-injected contrast to perform a Computed Tomography (CT) scan. The ability to access a port for power-injected contrast studies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6" w:name="page7"/>
    <w:bookmarkEnd w:id="6"/>
    <w:p>
      <w:pPr>
        <w:ind w:left="980" w:right="160"/>
        <w:spacing w:after="0" w:line="287" w:lineRule="auto"/>
        <w:rPr>
          <w:sz w:val="20"/>
          <w:szCs w:val="20"/>
          <w:color w:val="auto"/>
        </w:rPr>
      </w:pPr>
      <w:r>
        <w:rPr>
          <w:rFonts w:ascii="Arial" w:cs="Arial" w:eastAsia="Arial" w:hAnsi="Arial"/>
          <w:sz w:val="18"/>
          <w:szCs w:val="18"/>
          <w:color w:val="auto"/>
        </w:rPr>
        <w:t>eliminates the need for additional needle sticks in the patient’s arm and wrist veins. Once implanted, repeated access to the bloodstream can be accomplished with greater ease and less discomfort. Our Smart Port is available in mini and low-profiles to accommodate more patient anatomies.</w:t>
      </w:r>
    </w:p>
    <w:p>
      <w:pPr>
        <w:spacing w:after="0" w:line="1" w:lineRule="exact"/>
        <w:rPr>
          <w:sz w:val="20"/>
          <w:szCs w:val="20"/>
          <w:color w:val="auto"/>
        </w:rPr>
      </w:pPr>
    </w:p>
    <w:p>
      <w:pPr>
        <w:ind w:left="980" w:right="20" w:hanging="324"/>
        <w:spacing w:after="0" w:line="22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Vortex</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Vortex port technology line of ports is a clear-flow port technology that, we believe, revolutionized port design. With its rounded</w:t>
      </w:r>
      <w:r>
        <w:rPr>
          <w:rFonts w:ascii="Arial" w:cs="Arial" w:eastAsia="Arial" w:hAnsi="Arial"/>
          <w:sz w:val="18"/>
          <w:szCs w:val="18"/>
          <w:i w:val="1"/>
          <w:iCs w:val="1"/>
          <w:color w:val="auto"/>
        </w:rPr>
        <w:t xml:space="preserve"> </w:t>
      </w:r>
      <w:r>
        <w:rPr>
          <w:rFonts w:ascii="Arial" w:cs="Arial" w:eastAsia="Arial" w:hAnsi="Arial"/>
          <w:sz w:val="18"/>
          <w:szCs w:val="18"/>
          <w:color w:val="auto"/>
        </w:rPr>
        <w:t>chamber, the Vortex port is designed to have no sludge-harboring corners or dead spaces. This product line consists of titanium, plastic and dual-lumen offerings.</w:t>
      </w:r>
    </w:p>
    <w:p>
      <w:pPr>
        <w:spacing w:after="0" w:line="1" w:lineRule="exact"/>
        <w:rPr>
          <w:rFonts w:ascii="Arial" w:cs="Arial" w:eastAsia="Arial" w:hAnsi="Arial"/>
          <w:sz w:val="18"/>
          <w:szCs w:val="18"/>
          <w:color w:val="auto"/>
        </w:rPr>
      </w:pPr>
    </w:p>
    <w:p>
      <w:pPr>
        <w:ind w:left="980" w:right="80" w:hanging="324"/>
        <w:spacing w:after="0" w:line="20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PASV</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Valve Technology: </w:t>
      </w:r>
      <w:r>
        <w:rPr>
          <w:rFonts w:ascii="Arial" w:cs="Arial" w:eastAsia="Arial" w:hAnsi="Arial"/>
          <w:sz w:val="18"/>
          <w:szCs w:val="18"/>
          <w:color w:val="auto"/>
        </w:rPr>
        <w:t>The PASV</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Valve Technology is designed to automatically resist backflow and reduce blood reflux that could lead to</w:t>
      </w:r>
      <w:r>
        <w:rPr>
          <w:rFonts w:ascii="Arial" w:cs="Arial" w:eastAsia="Arial" w:hAnsi="Arial"/>
          <w:sz w:val="18"/>
          <w:szCs w:val="18"/>
          <w:i w:val="1"/>
          <w:iCs w:val="1"/>
          <w:color w:val="auto"/>
        </w:rPr>
        <w:t xml:space="preserve"> </w:t>
      </w:r>
      <w:r>
        <w:rPr>
          <w:rFonts w:ascii="Arial" w:cs="Arial" w:eastAsia="Arial" w:hAnsi="Arial"/>
          <w:sz w:val="18"/>
          <w:szCs w:val="18"/>
          <w:color w:val="auto"/>
        </w:rPr>
        <w:t>catheter-related complications.</w:t>
      </w:r>
    </w:p>
    <w:p>
      <w:pPr>
        <w:spacing w:after="0" w:line="1" w:lineRule="exact"/>
        <w:rPr>
          <w:rFonts w:ascii="Arial" w:cs="Arial" w:eastAsia="Arial" w:hAnsi="Arial"/>
          <w:sz w:val="18"/>
          <w:szCs w:val="18"/>
          <w:color w:val="auto"/>
        </w:rPr>
      </w:pPr>
    </w:p>
    <w:p>
      <w:pPr>
        <w:ind w:left="980" w:right="240" w:hanging="324"/>
        <w:spacing w:after="0" w:line="20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LifeGuard</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LifeGuard Safety Infusion Set and The LifeGuard Vision are used to infuse our ports and complement our port and vascular</w:t>
      </w:r>
      <w:r>
        <w:rPr>
          <w:rFonts w:ascii="Arial" w:cs="Arial" w:eastAsia="Arial" w:hAnsi="Arial"/>
          <w:sz w:val="18"/>
          <w:szCs w:val="18"/>
          <w:i w:val="1"/>
          <w:iCs w:val="1"/>
          <w:color w:val="auto"/>
        </w:rPr>
        <w:t xml:space="preserve"> </w:t>
      </w:r>
      <w:r>
        <w:rPr>
          <w:rFonts w:ascii="Arial" w:cs="Arial" w:eastAsia="Arial" w:hAnsi="Arial"/>
          <w:sz w:val="18"/>
          <w:szCs w:val="18"/>
          <w:color w:val="auto"/>
        </w:rPr>
        <w:t>access catheters. The needles’ low profile design is intended to allow clinicians to easily dress the site.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Dialysis Products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market a complete line of dialysis products that provide short and long-term vascular access for dialysis patients. Dialysis, or cleaning of the blood, is necessary in conditions such as acute renal failure, chronic renal failure and end-stage renal disease (ESRD).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currently offer a wide variety of dialysis catheters, including:</w:t>
      </w:r>
    </w:p>
    <w:p>
      <w:pPr>
        <w:spacing w:after="0" w:line="225" w:lineRule="exact"/>
        <w:rPr>
          <w:sz w:val="20"/>
          <w:szCs w:val="20"/>
          <w:color w:val="auto"/>
        </w:rPr>
      </w:pPr>
    </w:p>
    <w:p>
      <w:pPr>
        <w:ind w:left="980" w:right="200" w:hanging="324"/>
        <w:spacing w:after="0" w:line="23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BioFlo</w:t>
      </w:r>
      <w:r>
        <w:rPr>
          <w:rFonts w:ascii="Arial" w:cs="Arial" w:eastAsia="Arial" w:hAnsi="Arial"/>
          <w:sz w:val="24"/>
          <w:szCs w:val="24"/>
          <w:color w:val="auto"/>
          <w:vertAlign w:val="superscript"/>
        </w:rPr>
        <w:t>®</w:t>
      </w:r>
      <w:r>
        <w:rPr>
          <w:rFonts w:ascii="Arial" w:cs="Arial" w:eastAsia="Arial" w:hAnsi="Arial"/>
          <w:sz w:val="17"/>
          <w:szCs w:val="17"/>
          <w:color w:val="auto"/>
        </w:rPr>
        <w:t>: Our BioFlo line is the only dialysis catheter available that incorporates Endexo Technology into the manufacturing and design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catheter. Advanced features include large inner diameter lumens designed for long term patency, a proprietary guidewire lumen to facilitate catheter exchanges and Curved Tip Technology that allows the catheter to self-center in the SVC (Superior Vena Cava).</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DuraMax</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The DuraMax catheter is a stepped-tip catheter designed to improve ease of use, dialysis efficiency and overall patient outcomes.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 Surgery Products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Oncology/Surgery product offerings include our Microwave Ablation products, our Radiofrequency Ablation (RFA) and our NanoKnife product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lines.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Microwave Ablation Products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Acculis Microwave Tissue Ablation (MTA) System complements the full range of ablative technologies we offer. When configured for use with the Accu2i pMTA Applicators, it includes the Sulis VpMTA Generator, optional MTA Temperature Probes, Acculis Local Control Station (LCS) and Accu2i pMTA Applicators. Designed for physicians trained in image-guided ablation procedures, intraoperative ultrasound and/or CT guided needle placement, the system is used for thermal coagulation of soft tissue. By utilizing 2.45 GHz of microwave energy, the Acculis MTA System can complete ablations up to 5 cm in six minutes with a single applicator. Applicators are available in 14 cm, 19 cm and 29 cm lengths, offering flexibility in selecting the appropriate length for the procedure. Additionally, an antenna transmits energy directly to the targeted tissue, eliminating the need for electrosurgical grounding pads, while the single, simple to place insertion applicator eliminates the need to deploy an active array.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Radiofrequency Ablation Products</w:t>
      </w:r>
    </w:p>
    <w:p>
      <w:pPr>
        <w:spacing w:after="0" w:line="225"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Radiofrequency Ablation (RFA) products use radiofrequency energy to provide a minimally invasive approach to ablating solid cancerous or benign tumors. Our system delivers radiofrequency energy to raise the temperature of cells above 45-50°C, causing cellular death.</w:t>
      </w:r>
    </w:p>
    <w:p>
      <w:pPr>
        <w:spacing w:after="0" w:line="14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physician inserts the disposable needle electrode device into the targeted body tissue, typically under ultrasound, computed tomography or magnetic resonance imaging guidance. Once the device is inserted, pushing on the handle of the device causes a group of curved wires to be deployed from the tip of the electrode. When the power is turned on, these wires deliver radiofrequency energy throughout the tumor. In addition, temperature sensors on the tips of the wires measure tissue temperature throughout the procedure.</w:t>
      </w:r>
    </w:p>
    <w:p>
      <w:pPr>
        <w:spacing w:after="0" w:line="187" w:lineRule="exact"/>
        <w:rPr>
          <w:sz w:val="20"/>
          <w:szCs w:val="20"/>
          <w:color w:val="auto"/>
        </w:rPr>
      </w:pPr>
    </w:p>
    <w:p>
      <w:pPr>
        <w:ind w:right="400" w:firstLine="432"/>
        <w:spacing w:after="0" w:line="282" w:lineRule="auto"/>
        <w:rPr>
          <w:sz w:val="20"/>
          <w:szCs w:val="20"/>
          <w:color w:val="auto"/>
        </w:rPr>
      </w:pPr>
      <w:r>
        <w:rPr>
          <w:rFonts w:ascii="Arial" w:cs="Arial" w:eastAsia="Arial" w:hAnsi="Arial"/>
          <w:sz w:val="18"/>
          <w:szCs w:val="18"/>
          <w:color w:val="auto"/>
        </w:rPr>
        <w:t xml:space="preserve">During the procedure, our system automatically adjusts the amount of energy delivered in order to maintain the temperature necessary to ablate the targeted tissue. For a typical 5cm ablation using our StarBurst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Xli-enhanced disposable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t>device, the ablation process takes approximately ten minutes. When the ablation is complete, pulling back on the handle of the device causes the curved wire array to be retracted into the device so it can be removed from the body.</w:t>
      </w:r>
    </w:p>
    <w:p>
      <w:pPr>
        <w:spacing w:after="0" w:line="170" w:lineRule="exact"/>
        <w:rPr>
          <w:sz w:val="20"/>
          <w:szCs w:val="20"/>
          <w:color w:val="auto"/>
        </w:rPr>
      </w:pPr>
    </w:p>
    <w:p>
      <w:pPr>
        <w:ind w:right="120" w:firstLine="432"/>
        <w:spacing w:after="0" w:line="250" w:lineRule="auto"/>
        <w:rPr>
          <w:sz w:val="20"/>
          <w:szCs w:val="20"/>
          <w:color w:val="auto"/>
        </w:rPr>
      </w:pPr>
      <w:r>
        <w:rPr>
          <w:rFonts w:ascii="Arial" w:cs="Arial" w:eastAsia="Arial" w:hAnsi="Arial"/>
          <w:sz w:val="17"/>
          <w:szCs w:val="17"/>
          <w:color w:val="auto"/>
        </w:rPr>
        <w:t xml:space="preserve">The RFA system consists of a radiofrequency generator and a family of disposable devices. We also market the Habib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4X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resection device under a distribution agreement with EMcision Limited. In addition to the intra-operative (open surgery) device Habib 4X, AngioDynamics markets a minimally-invasive version of the Habib 4X device, a Laparoscopic 4X unit, which is used in minimally invasive laparoscopic surgery (MILS) procedures in surgical specialties such as: Hepato-Biliary, GI, Surgical Oncology, Transplant Surgery and Urology (Partial Nephrectomy Resections). It is clinically indicated to assist in coagulation of tissue during intraoperative and laparoscopic procedures.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NanoKnife</w:t>
      </w:r>
      <w:r>
        <w:rPr>
          <w:rFonts w:ascii="Arial" w:cs="Arial" w:eastAsia="Arial" w:hAnsi="Arial"/>
          <w:sz w:val="25"/>
          <w:szCs w:val="25"/>
          <w:i w:val="1"/>
          <w:iCs w:val="1"/>
          <w:u w:val="single" w:color="auto"/>
          <w:color w:val="auto"/>
          <w:vertAlign w:val="superscript"/>
        </w:rPr>
        <w:t>®</w:t>
      </w:r>
      <w:r>
        <w:rPr>
          <w:rFonts w:ascii="Arial" w:cs="Arial" w:eastAsia="Arial" w:hAnsi="Arial"/>
          <w:sz w:val="18"/>
          <w:szCs w:val="18"/>
          <w:i w:val="1"/>
          <w:iCs w:val="1"/>
          <w:u w:val="single" w:color="auto"/>
          <w:color w:val="auto"/>
        </w:rPr>
        <w:t xml:space="preserve"> Ablation System Products</w:t>
      </w:r>
    </w:p>
    <w:p>
      <w:pPr>
        <w:spacing w:after="0" w:line="145" w:lineRule="exact"/>
        <w:rPr>
          <w:sz w:val="20"/>
          <w:szCs w:val="20"/>
          <w:color w:val="auto"/>
        </w:rPr>
      </w:pPr>
    </w:p>
    <w:p>
      <w:pPr>
        <w:ind w:firstLine="432"/>
        <w:spacing w:after="0" w:line="232" w:lineRule="auto"/>
        <w:rPr>
          <w:sz w:val="20"/>
          <w:szCs w:val="20"/>
          <w:color w:val="auto"/>
        </w:rPr>
      </w:pPr>
      <w:r>
        <w:rPr>
          <w:rFonts w:ascii="Arial" w:cs="Arial" w:eastAsia="Arial" w:hAnsi="Arial"/>
          <w:sz w:val="18"/>
          <w:szCs w:val="18"/>
          <w:color w:val="auto"/>
        </w:rPr>
        <w:t>The NanoKnife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Ablation System is for the surgical ablation of soft tissue. The NanoKnife Ablation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NanoKnife Ablation System does not achieve tissue ablation using thermal energy.</w:t>
      </w:r>
    </w:p>
    <w:p>
      <w:pPr>
        <w:spacing w:after="0" w:line="202"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NanoKnife Ablation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The energy delivery is hyperechoic and can be monitored under real-time ultrasound.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growth depends in large part on the continuous introduction of new and innovative products, together with ongoing enhancements to our existing products, through internal product development, technology licensing and strategic alliances. We recognize the importance of, and intend to continue to make investments in, research and development.</w:t>
      </w:r>
    </w:p>
    <w:p>
      <w:pPr>
        <w:spacing w:after="0" w:line="181"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Our R&amp;D development teams work closely with our sales force to incorporate customer feedback into our development and design process. We believe that we have a reputation among interventional physicians as a strong partner for product development because of our tradition of close physician collaboration, dedicated market focus, responsiveness and execution capabilities for product development and commercialization.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encounter significant competition across our product lines and in each market in which our products are sold. These markets are characterized by rapid change resulting from technological advances and scientific discoveries. We face competitors ranging from large manufacturers with multiple business lines to small manufacturers that offer a limited selection of products.</w:t>
      </w:r>
    </w:p>
    <w:p>
      <w:pPr>
        <w:spacing w:after="0" w:line="18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Our primary device competitors include: Boston Scientific Corporation; Cook Medical; C.R. Bard; Medical Components, Inc. (Medcomp); TeleFlex Medical; Smiths Medical, a subsidiary of Smiths Group plc; Vascular Solutions; Medtronic; Merit Medical; Terumo Medical Corporation; Johnson and Johnson and Total Vein Systems.</w:t>
      </w:r>
    </w:p>
    <w:p>
      <w:pPr>
        <w:spacing w:after="0" w:line="18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Many of our competitors have substantially greater financial, technological, research and development, regulatory, marketing, sales and personnel resources than we do. Competitors may also have greater experience in developing products, obtaining regulatory approvals, and manufacturing and marketing such products. Additionally, competitors may obtain patent protection or regulatory approval or clearance, or achieve product commercialization before us, any of which could materially adversely affect us.</w:t>
      </w:r>
    </w:p>
    <w:p>
      <w:pPr>
        <w:spacing w:after="0" w:line="18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believe that our products compete primarily on the basis of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develop or acquire proprietary products, attract and retain skilled development personnel, obtain patent or other protection for our products, obtain required regulatory and reimbursement</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84" w:right="279" w:bottom="1440" w:gutter="0" w:footer="0" w:header="0"/>
        </w:sectPr>
      </w:pPr>
    </w:p>
    <w:bookmarkStart w:id="8" w:name="page9"/>
    <w:bookmarkEnd w:id="8"/>
    <w:p>
      <w:pPr>
        <w:ind w:right="300"/>
        <w:spacing w:after="0" w:line="277" w:lineRule="auto"/>
        <w:rPr>
          <w:sz w:val="20"/>
          <w:szCs w:val="20"/>
          <w:color w:val="auto"/>
        </w:rPr>
      </w:pPr>
      <w:r>
        <w:rPr>
          <w:rFonts w:ascii="Arial" w:cs="Arial" w:eastAsia="Arial" w:hAnsi="Arial"/>
          <w:sz w:val="18"/>
          <w:szCs w:val="18"/>
          <w:color w:val="auto"/>
        </w:rPr>
        <w:t>approvals, manufacture and successfully market our products either directly or through outside parties and maintain sufficient inventory to meet customer demand.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w:t>
      </w:r>
    </w:p>
    <w:p>
      <w:pPr>
        <w:spacing w:after="0" w:line="18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focus our sales and marketing efforts on interventional radiologists, interventional cardiologists, vascular surgeons, urologists and interventional and surgical oncologists.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Historically, we ship the majority of products within 24-48 hours of receipt of the orders, and accordingly our backlog is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manufacture certain proprietary components and products and assemble, inspect, test and package our finished products. By designing and manufacturing many of our products from raw materials, and assembling and testing our subassemblies and products, we believe that we are able to maintain better quality control, ensure compliance with applicable regulatory standards and our internal specifications, and limit outside access to our proprietary technology. We have custom-designed proprietary manufacturing and processing equipment and have developed proprietary enhancements for existing production machinery.</w:t>
      </w:r>
    </w:p>
    <w:p>
      <w:pPr>
        <w:spacing w:after="0" w:line="18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own or lease four primary manufacturing properties providing capabilities which include manufacturing, service, engineering and research, distribution warehouses and offices. These facilities are registered with the FDA and have been certified to ISO 13485 standards, as well as the CMD/CAS Canadian Medical Device Regulations. ISO 13485 is a quality system standard that satisfies European Union regulatory requirements, thus allowing us to market and sell our products in European Union countries. Our manufacturing facilities are subject to periodic inspections by regulatory authorities to ensure compliance with domestic and non-U.S. regulatory requirements. See “Government Regulation” section of this report for additional information. See Item 2 "Properties" for details on each manufacturing location.</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Patents, trademarks and other proprietary rights are very important to our business. We also rely upon trade secrets, manufacturing know-how, technological innovations and licensing opportunities to maintain and improve our competitive position. We regularly monitor and review third-party proprietary rights, including patents and patent applications, as available, to aid in the development of our intellectual property strategy, avoid infringement of third-party proprietary rights, and identify licensing opportunities.</w:t>
      </w:r>
    </w:p>
    <w:p>
      <w:pPr>
        <w:spacing w:after="0" w:line="18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owns an extensive portfolio of patents and patent applications in the United States and in certain foreign countries. The portfolio also includes exclusive licenses to third party patents and applications.</w:t>
      </w:r>
    </w:p>
    <w:p>
      <w:pPr>
        <w:spacing w:after="0" w:line="17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Most of our products are sold under the AngioDynamics trade name or trademark. Additionally, many are also sold under product trademarks and/or registered product trademarks owned by AngioDynamics, Inc., or an affiliate or subsidiary. Some products contain trademarks of companies other than AngioDynamics.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 Item 3 of this report for additional details on litigation regarding proprietary technology.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the products. While it is not possible to predict the outcome of patent litigation incidents to our business, we believe the costs associated with this type of litigation could have a material adverse impact on our consolidated results of operations, financial position, or cash flows. The medical device industry is also susceptible to significant product liability claims. These claims may be brought by individuals seeking relief on their own behalf or</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4" w:right="279" w:bottom="1440" w:gutter="0" w:footer="0" w:header="0"/>
        </w:sectPr>
      </w:pPr>
    </w:p>
    <w:bookmarkStart w:id="9" w:name="page10"/>
    <w:bookmarkEnd w:id="9"/>
    <w:p>
      <w:pPr>
        <w:jc w:val="both"/>
        <w:ind w:right="60"/>
        <w:spacing w:after="0" w:line="264" w:lineRule="auto"/>
        <w:rPr>
          <w:sz w:val="20"/>
          <w:szCs w:val="20"/>
          <w:color w:val="auto"/>
        </w:rPr>
      </w:pPr>
      <w:r>
        <w:rPr>
          <w:rFonts w:ascii="Arial" w:cs="Arial" w:eastAsia="Arial" w:hAnsi="Arial"/>
          <w:sz w:val="18"/>
          <w:szCs w:val="18"/>
          <w:color w:val="auto"/>
        </w:rPr>
        <w:t>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of this report and Note O to the consolidated financial statements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The products we manufacture and market are subject to regulation by the FDA under the Federal Food, Drug, and Cosmetic Act, or FDCA, and international regulations to our specific target markets.</w:t>
      </w:r>
    </w:p>
    <w:p>
      <w:pPr>
        <w:spacing w:after="0" w:line="170" w:lineRule="exact"/>
        <w:rPr>
          <w:sz w:val="20"/>
          <w:szCs w:val="20"/>
          <w:color w:val="auto"/>
        </w:rPr>
      </w:pPr>
    </w:p>
    <w:p>
      <w:pPr>
        <w:ind w:right="560" w:firstLine="392"/>
        <w:spacing w:after="0" w:line="342" w:lineRule="auto"/>
        <w:rPr>
          <w:sz w:val="20"/>
          <w:szCs w:val="20"/>
          <w:color w:val="auto"/>
        </w:rPr>
      </w:pPr>
      <w:r>
        <w:rPr>
          <w:rFonts w:ascii="Arial" w:cs="Arial" w:eastAsia="Arial" w:hAnsi="Arial"/>
          <w:sz w:val="16"/>
          <w:szCs w:val="16"/>
          <w:i w:val="1"/>
          <w:iCs w:val="1"/>
          <w:color w:val="auto"/>
        </w:rPr>
        <w:t xml:space="preserve">United States FDA Regulation - </w:t>
      </w:r>
      <w:r>
        <w:rPr>
          <w:rFonts w:ascii="Arial" w:cs="Arial" w:eastAsia="Arial" w:hAnsi="Arial"/>
          <w:sz w:val="16"/>
          <w:szCs w:val="16"/>
          <w:color w:val="auto"/>
        </w:rPr>
        <w:t>Before a new medical device can be introduced into the market, a manufacturer generally must obtain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clearance or approval from the FDA through either a 510(k) submission (a premarket notification) or a premarket approval application (PMA).</w:t>
      </w:r>
    </w:p>
    <w:p>
      <w:pPr>
        <w:spacing w:after="0" w:line="12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510(k) procedure is available only in particular circumstances. The 510(k) clearance procedure is available only if a manufacturer can establish that its device is “substantially equivalent” in intended use and in safety and effectiveness to a “predicate device,” which is a legally marketed device with 510(k) clearance in class I or II or preamendment status based upon products commercially distributed on or before May 28, 1976. After a device receives 510(k) clearance, any modification that could significantly affect its safety or effectiveness, or that would constitute a major change in its intended use, requires a new 510(k) clearance. The 510(k) clearance procedure including questions and responses, may take up to 12 months. In some cases, supporting clinical data may be required.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new or modified device products. If a device cannot demonstrate substantial equivalence it may be subject to either a de novo submission or a PMA.</w:t>
      </w:r>
    </w:p>
    <w:p>
      <w:pPr>
        <w:spacing w:after="0" w:line="166"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PMA application procedure is more comprehensive than the 510(k) procedure and typically takes several years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a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significant changes are made to a device, its manufacturing or labeling, a PMA supplement containing additional information must be filed for prior FDA approval.</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Historically, our products have been introduced into the market using the 510(k) procedure and we have never had to use the PMA procedure.</w:t>
      </w:r>
    </w:p>
    <w:p>
      <w:pPr>
        <w:spacing w:after="0" w:line="23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process of FDA submissions requires extensive and expensive validations and testing. The financial outlay for this is large and requires a significant time period. Recent changes in both regulations and FDA perspectives have increased both time and testing requirements, this has caused significant delays and increased costs for approvals. The parameters for increased testing have and will continue to cause severe delays. The increased focus by the FDA on such issues as chemical identification of all colorants, non-acceptance of certain colorants (certain forms of carbon black) continue to cause problems and delays. In addition changes to existing products call into question previously approved devices and result in additional costs for testing and material analysis.</w:t>
      </w:r>
    </w:p>
    <w:p>
      <w:pPr>
        <w:spacing w:after="0" w:line="193"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After a product is placed on the market, the product and its manufacturer are subject to pervasive and continuing regulation by the FDA. The FDA enforces these requirements by inspection and market surveillance. Our suppliers also may be subject to FDA inspection, this has resulted in several suppliers altering price structures for medical device companies. The additional costs due to testing and potential for lawsuits due to material contamination or unforeseen chemical/allergenic reactions has led to some manufacturers actively refusing to supply to medical device companies. The financial expenditure needed to maintain compliance to the requirements of the FDA are extensive and ever increasing. Specific systems are needed to maintain compliance to baseline requirements. In addition complex systems are needed to ensure that specific violations such as ‘off label promotion’ are avoided. The FDA has specific requirements for labeling and marketing materials. These need extensive policing and evaluation in order to avoid falling foul of the vague FDA constraints. Penalties for breach of off label promotion can result in fines of several million dollars.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0" w:name="page11"/>
    <w:bookmarkEnd w:id="10"/>
    <w:p>
      <w:pPr>
        <w:ind w:right="80" w:firstLine="432"/>
        <w:spacing w:after="0" w:line="269" w:lineRule="auto"/>
        <w:rPr>
          <w:sz w:val="20"/>
          <w:szCs w:val="20"/>
          <w:color w:val="auto"/>
        </w:rPr>
      </w:pPr>
      <w:r>
        <w:rPr>
          <w:rFonts w:ascii="Arial" w:cs="Arial" w:eastAsia="Arial" w:hAnsi="Arial"/>
          <w:sz w:val="17"/>
          <w:szCs w:val="17"/>
          <w:color w:val="auto"/>
        </w:rPr>
        <w:t>The devices manufactured by us also are subject to the QSR, which imposes elaborate testing, control, documentation and other quality assurance procedures. Every phase of production, including raw materials, components and subassembly, manufacturing, testing, quality control, labeling, tracing of consignees after distribution and follow-up and reporting of complaint information is governed by the FDA’s QSR.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Penalties for failure to maintain compliance to the QSR include warning letters and potentially consent decrees. AngioDynamics has recently removed three warning letters, and the failure to maintain the QSR appropriately could result in the development of further warning letters. In addition non-compliance with applicable FDA requirements can result in, among other things, fines, injunctions, civil penalties, recall or seizure of products, total or partial suspension of production, failure of the FDA to grant marketing approvals, withdrawal of marketing approvals, a recommendation by the FDA to disallow us to enter into government contracts, and criminal prosecutions. The FDA also has the authority to request repair, replacement or refund of the cost of any device manufactured or distributed by us.</w:t>
      </w:r>
    </w:p>
    <w:p>
      <w:pPr>
        <w:spacing w:after="0" w:line="183"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i w:val="1"/>
          <w:iCs w:val="1"/>
          <w:color w:val="auto"/>
        </w:rPr>
        <w:t xml:space="preserve">Other - </w:t>
      </w:r>
      <w:r>
        <w:rPr>
          <w:rFonts w:ascii="Arial" w:cs="Arial" w:eastAsia="Arial" w:hAnsi="Arial"/>
          <w:sz w:val="17"/>
          <w:szCs w:val="17"/>
          <w:color w:val="auto"/>
        </w:rPr>
        <w:t>We and our products are also subject to a variety of state and local laws in those jurisdictions where our products are or will be marketed, and</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178"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i w:val="1"/>
          <w:iCs w:val="1"/>
          <w:color w:val="auto"/>
        </w:rPr>
        <w:t xml:space="preserve">International Regulation - </w:t>
      </w:r>
      <w:r>
        <w:rPr>
          <w:rFonts w:ascii="Arial" w:cs="Arial" w:eastAsia="Arial" w:hAnsi="Arial"/>
          <w:sz w:val="18"/>
          <w:szCs w:val="18"/>
          <w:color w:val="auto"/>
        </w:rPr>
        <w:t>Internationally, all of our current products are considered medical devices under applicable regulatory regimes, and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this will be true for all of our future products. Sales of medical devices are subject to regulatory requirements in many countries. The regulatory review process may vary greatly from country to country. For example, the European Union has a dedicated set of regulations regarding medical devices, specifically regulating their design, manufacturing, clinical trials, labeling and adverse event reporting. Devices that comply with those requirements are entitled to bear a Conformité Européenne, or CE Mark, indicating that the device conforms to the essential requirements of the applicable directives and can be commercially distributed in countries that are members of the European Union. Similar regulations are in place for Canada, Japan, China and most other countries.</w:t>
      </w:r>
    </w:p>
    <w:p>
      <w:pPr>
        <w:spacing w:after="0" w:line="18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In some cases, we rely on our international distributors to obtain regulatory approvals, complete product registrations, comply with clinical trial requirements and complete those steps that are customarily taken in the applicable jurisdictions.</w:t>
      </w:r>
    </w:p>
    <w:p>
      <w:pPr>
        <w:spacing w:after="0" w:line="170"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8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process of obtaining approval to distribute medical products is costly and time-consuming in virtually all of the major markets where we sell medical devices. We cannot assure that any new medical devices we develop will be approved in a timely or cost-effective manner or approved at all. There can be no assurance that new laws or regulations regarding the release or sale of medical devices will not delay or prevent sale of our current or future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 and Anti-Fraud and Corrupt Practices Regulation</w:t>
      </w:r>
    </w:p>
    <w:p>
      <w:pPr>
        <w:spacing w:after="0" w:line="229"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i w:val="1"/>
          <w:iCs w:val="1"/>
          <w:color w:val="auto"/>
        </w:rPr>
        <w:t xml:space="preserve">United States - </w:t>
      </w:r>
      <w:r>
        <w:rPr>
          <w:rFonts w:ascii="Arial" w:cs="Arial" w:eastAsia="Arial" w:hAnsi="Arial"/>
          <w:sz w:val="16"/>
          <w:szCs w:val="16"/>
          <w:color w:val="auto"/>
        </w:rPr>
        <w:t>The delivery of our devices is subject to regulation by the Department of Health and Human Services (HHS) and comparable state and</w:t>
      </w:r>
      <w:r>
        <w:rPr>
          <w:rFonts w:ascii="Arial" w:cs="Arial" w:eastAsia="Arial" w:hAnsi="Arial"/>
          <w:sz w:val="16"/>
          <w:szCs w:val="16"/>
          <w:i w:val="1"/>
          <w:iCs w:val="1"/>
          <w:color w:val="auto"/>
        </w:rPr>
        <w:t xml:space="preserve"> </w:t>
      </w:r>
      <w:r>
        <w:rPr>
          <w:rFonts w:ascii="Arial" w:cs="Arial" w:eastAsia="Arial" w:hAnsi="Arial"/>
          <w:sz w:val="16"/>
          <w:szCs w:val="16"/>
          <w:color w:val="auto"/>
        </w:rPr>
        <w:t>non-U.S. agencies responsible for reimbursement and regulation of health care items and services. U.S. laws and regulations are imposed primarily in connection with the Medicare and Medicaid programs, as well as the government’s interest in regulating the quality and cost of health care. Foreign governments also impose regulations in connection with their health care reimbursement programs and the delivery of health care items and services.</w:t>
      </w:r>
    </w:p>
    <w:p>
      <w:pPr>
        <w:spacing w:after="0" w:line="15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including or rewarding referrals of items or services reimbursable by a federal health care program; (2) the False Claims Act which prohibits the submission of false or otherwise improper claims for payment to a federally-funded health care program, including claims resulting from a violation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93" w:lineRule="auto"/>
        <w:rPr>
          <w:sz w:val="20"/>
          <w:szCs w:val="20"/>
          <w:color w:val="auto"/>
        </w:rPr>
      </w:pPr>
      <w:r>
        <w:rPr>
          <w:rFonts w:ascii="Arial" w:cs="Arial" w:eastAsia="Arial" w:hAnsi="Arial"/>
          <w:sz w:val="16"/>
          <w:szCs w:val="16"/>
          <w:color w:val="auto"/>
        </w:rPr>
        <w:t>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 anti-kickback, and anti-self-referral and insurance laws that apply to state-funded Medicaid and other health care programs and private third-party payers. In addition, the U.S. Foreign Corrupt Practices Act (FCPA) can be used to prosecute companies in the U.S. for arrangements with physicians or other parties outside the U.S. if the physician or party is a government official of another country and the arrangement violates the law of that country.</w:t>
      </w:r>
    </w:p>
    <w:p>
      <w:pPr>
        <w:spacing w:after="0" w:line="165" w:lineRule="exact"/>
        <w:rPr>
          <w:sz w:val="20"/>
          <w:szCs w:val="20"/>
          <w:color w:val="auto"/>
        </w:rPr>
      </w:pPr>
    </w:p>
    <w:p>
      <w:pPr>
        <w:ind w:right="400" w:firstLine="405"/>
        <w:spacing w:after="0" w:line="297" w:lineRule="auto"/>
        <w:rPr>
          <w:sz w:val="20"/>
          <w:szCs w:val="20"/>
          <w:color w:val="auto"/>
        </w:rPr>
      </w:pPr>
      <w:r>
        <w:rPr>
          <w:rFonts w:ascii="Arial" w:cs="Arial" w:eastAsia="Arial" w:hAnsi="Arial"/>
          <w:sz w:val="16"/>
          <w:szCs w:val="16"/>
          <w:i w:val="1"/>
          <w:iCs w:val="1"/>
          <w:color w:val="auto"/>
        </w:rPr>
        <w:t xml:space="preserve">International - </w:t>
      </w:r>
      <w:r>
        <w:rPr>
          <w:rFonts w:ascii="Arial" w:cs="Arial" w:eastAsia="Arial" w:hAnsi="Arial"/>
          <w:sz w:val="16"/>
          <w:szCs w:val="16"/>
          <w:color w:val="auto"/>
        </w:rPr>
        <w:t>Our success in international markets will depend largely upon the availability of reimbursement from the third-party payors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United States, we generally rely on our distributors to obtain reimbursement approval in the countries in which they will sell our products. There can be no assurance that reimbursement approvals will be received.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Our product liability insurance coverage is limited to a maximum of $10,000,000 per product liability claim and an annual aggregate policy limit of $10,000,000, subject to a self-insured retention of $500,000 per occurrence and $2,000,000 in the aggregate. The policy covers, subject to policy conditions and exclusions, claims of bodily injury and property damage from any product sold or manufactured by us.</w:t>
      </w:r>
    </w:p>
    <w:p>
      <w:pPr>
        <w:spacing w:after="0" w:line="16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29"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that we have complied with these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of May 31, 2016, we had approximately 1,300 full time employees. None of our employees are represented by a labor union and we have never experienced a work stoppage.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certain information with respect to our executive officers.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Age</w:t>
            </w:r>
          </w:p>
        </w:tc>
        <w:tc>
          <w:tcPr>
            <w:tcW w:w="4320" w:type="dxa"/>
            <w:vAlign w:val="bottom"/>
            <w:gridSpan w:val="3"/>
          </w:tcPr>
          <w:p>
            <w:pPr>
              <w:ind w:left="6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64"/>
        </w:trPr>
        <w:tc>
          <w:tcPr>
            <w:tcW w:w="2880" w:type="dxa"/>
            <w:vAlign w:val="bottom"/>
            <w:gridSpan w:val="2"/>
          </w:tcPr>
          <w:p>
            <w:pPr>
              <w:spacing w:after="0"/>
              <w:rPr>
                <w:sz w:val="20"/>
                <w:szCs w:val="20"/>
                <w:color w:val="auto"/>
              </w:rPr>
            </w:pPr>
            <w:r>
              <w:rPr>
                <w:rFonts w:ascii="Arial" w:cs="Arial" w:eastAsia="Arial" w:hAnsi="Arial"/>
                <w:sz w:val="18"/>
                <w:szCs w:val="18"/>
                <w:color w:val="auto"/>
              </w:rPr>
              <w:t>James C. Clemmer</w:t>
            </w:r>
          </w:p>
        </w:tc>
        <w:tc>
          <w:tcPr>
            <w:tcW w:w="142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51</w:t>
            </w:r>
          </w:p>
        </w:tc>
        <w:tc>
          <w:tcPr>
            <w:tcW w:w="600" w:type="dxa"/>
            <w:vAlign w:val="bottom"/>
          </w:tcPr>
          <w:p>
            <w:pPr>
              <w:spacing w:after="0"/>
              <w:rPr>
                <w:sz w:val="22"/>
                <w:szCs w:val="22"/>
                <w:color w:val="auto"/>
              </w:rPr>
            </w:pPr>
          </w:p>
        </w:tc>
        <w:tc>
          <w:tcPr>
            <w:tcW w:w="4320" w:type="dxa"/>
            <w:vAlign w:val="bottom"/>
            <w:gridSpan w:val="3"/>
          </w:tcPr>
          <w:p>
            <w:pPr>
              <w:ind w:left="6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880" w:type="dxa"/>
            <w:vAlign w:val="bottom"/>
            <w:gridSpan w:val="2"/>
          </w:tcPr>
          <w:p>
            <w:pPr>
              <w:spacing w:after="0"/>
              <w:rPr>
                <w:sz w:val="20"/>
                <w:szCs w:val="20"/>
                <w:color w:val="auto"/>
              </w:rPr>
            </w:pPr>
            <w:r>
              <w:rPr>
                <w:rFonts w:ascii="Arial" w:cs="Arial" w:eastAsia="Arial" w:hAnsi="Arial"/>
                <w:sz w:val="18"/>
                <w:szCs w:val="18"/>
                <w:color w:val="auto"/>
              </w:rPr>
              <w:t>Peter J. Kish</w:t>
            </w:r>
          </w:p>
        </w:tc>
        <w:tc>
          <w:tcPr>
            <w:tcW w:w="142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61</w:t>
            </w:r>
          </w:p>
        </w:tc>
        <w:tc>
          <w:tcPr>
            <w:tcW w:w="600" w:type="dxa"/>
            <w:vAlign w:val="bottom"/>
          </w:tcPr>
          <w:p>
            <w:pPr>
              <w:spacing w:after="0"/>
              <w:rPr>
                <w:sz w:val="23"/>
                <w:szCs w:val="23"/>
                <w:color w:val="auto"/>
              </w:rPr>
            </w:pPr>
          </w:p>
        </w:tc>
        <w:tc>
          <w:tcPr>
            <w:tcW w:w="4320" w:type="dxa"/>
            <w:vAlign w:val="bottom"/>
            <w:gridSpan w:val="3"/>
          </w:tcPr>
          <w:p>
            <w:pPr>
              <w:ind w:left="600"/>
              <w:spacing w:after="0"/>
              <w:rPr>
                <w:sz w:val="20"/>
                <w:szCs w:val="20"/>
                <w:color w:val="auto"/>
              </w:rPr>
            </w:pPr>
            <w:r>
              <w:rPr>
                <w:rFonts w:ascii="Arial" w:cs="Arial" w:eastAsia="Arial" w:hAnsi="Arial"/>
                <w:sz w:val="18"/>
                <w:szCs w:val="18"/>
                <w:color w:val="auto"/>
              </w:rPr>
              <w:t>Interim Chief Financial Officer</w:t>
            </w:r>
          </w:p>
        </w:tc>
      </w:tr>
      <w:tr>
        <w:trPr>
          <w:trHeight w:val="270"/>
        </w:trPr>
        <w:tc>
          <w:tcPr>
            <w:tcW w:w="2880" w:type="dxa"/>
            <w:vAlign w:val="bottom"/>
            <w:gridSpan w:val="2"/>
          </w:tcPr>
          <w:p>
            <w:pPr>
              <w:spacing w:after="0"/>
              <w:rPr>
                <w:sz w:val="20"/>
                <w:szCs w:val="20"/>
                <w:color w:val="auto"/>
              </w:rPr>
            </w:pPr>
            <w:r>
              <w:rPr>
                <w:rFonts w:ascii="Arial" w:cs="Arial" w:eastAsia="Arial" w:hAnsi="Arial"/>
                <w:sz w:val="18"/>
                <w:szCs w:val="18"/>
                <w:color w:val="auto"/>
              </w:rPr>
              <w:t>Mark Stephens</w:t>
            </w:r>
          </w:p>
        </w:tc>
        <w:tc>
          <w:tcPr>
            <w:tcW w:w="142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47</w:t>
            </w:r>
          </w:p>
        </w:tc>
        <w:tc>
          <w:tcPr>
            <w:tcW w:w="600" w:type="dxa"/>
            <w:vAlign w:val="bottom"/>
          </w:tcPr>
          <w:p>
            <w:pPr>
              <w:spacing w:after="0"/>
              <w:rPr>
                <w:sz w:val="23"/>
                <w:szCs w:val="23"/>
                <w:color w:val="auto"/>
              </w:rPr>
            </w:pPr>
          </w:p>
        </w:tc>
        <w:tc>
          <w:tcPr>
            <w:tcW w:w="4320" w:type="dxa"/>
            <w:vAlign w:val="bottom"/>
            <w:gridSpan w:val="3"/>
          </w:tcPr>
          <w:p>
            <w:pPr>
              <w:ind w:left="600"/>
              <w:spacing w:after="0"/>
              <w:rPr>
                <w:sz w:val="20"/>
                <w:szCs w:val="20"/>
                <w:color w:val="auto"/>
              </w:rPr>
            </w:pPr>
            <w:r>
              <w:rPr>
                <w:rFonts w:ascii="Arial" w:cs="Arial" w:eastAsia="Arial" w:hAnsi="Arial"/>
                <w:sz w:val="18"/>
                <w:szCs w:val="18"/>
                <w:color w:val="auto"/>
              </w:rPr>
              <w:t>Senior Vice President Administration</w:t>
            </w:r>
          </w:p>
        </w:tc>
      </w:tr>
      <w:tr>
        <w:trPr>
          <w:trHeight w:val="270"/>
        </w:trPr>
        <w:tc>
          <w:tcPr>
            <w:tcW w:w="2880" w:type="dxa"/>
            <w:vAlign w:val="bottom"/>
            <w:gridSpan w:val="2"/>
          </w:tcPr>
          <w:p>
            <w:pPr>
              <w:spacing w:after="0"/>
              <w:rPr>
                <w:sz w:val="20"/>
                <w:szCs w:val="20"/>
                <w:color w:val="auto"/>
              </w:rPr>
            </w:pPr>
            <w:r>
              <w:rPr>
                <w:rFonts w:ascii="Arial" w:cs="Arial" w:eastAsia="Arial" w:hAnsi="Arial"/>
                <w:sz w:val="18"/>
                <w:szCs w:val="18"/>
                <w:color w:val="auto"/>
              </w:rPr>
              <w:t>Stephen A. Trowbridge</w:t>
            </w:r>
          </w:p>
        </w:tc>
        <w:tc>
          <w:tcPr>
            <w:tcW w:w="142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42</w:t>
            </w:r>
          </w:p>
        </w:tc>
        <w:tc>
          <w:tcPr>
            <w:tcW w:w="600" w:type="dxa"/>
            <w:vAlign w:val="bottom"/>
          </w:tcPr>
          <w:p>
            <w:pPr>
              <w:spacing w:after="0"/>
              <w:rPr>
                <w:sz w:val="23"/>
                <w:szCs w:val="23"/>
                <w:color w:val="auto"/>
              </w:rPr>
            </w:pPr>
          </w:p>
        </w:tc>
        <w:tc>
          <w:tcPr>
            <w:tcW w:w="4320" w:type="dxa"/>
            <w:vAlign w:val="bottom"/>
            <w:gridSpan w:val="3"/>
          </w:tcPr>
          <w:p>
            <w:pPr>
              <w:ind w:left="600"/>
              <w:spacing w:after="0"/>
              <w:rPr>
                <w:sz w:val="20"/>
                <w:szCs w:val="20"/>
                <w:color w:val="auto"/>
              </w:rPr>
            </w:pPr>
            <w:r>
              <w:rPr>
                <w:rFonts w:ascii="Arial" w:cs="Arial" w:eastAsia="Arial" w:hAnsi="Arial"/>
                <w:sz w:val="18"/>
                <w:szCs w:val="18"/>
                <w:color w:val="auto"/>
              </w:rPr>
              <w:t>Senior Vice President and General Counsel</w:t>
            </w:r>
          </w:p>
        </w:tc>
      </w:tr>
      <w:tr>
        <w:trPr>
          <w:trHeight w:val="270"/>
        </w:trPr>
        <w:tc>
          <w:tcPr>
            <w:tcW w:w="2880" w:type="dxa"/>
            <w:vAlign w:val="bottom"/>
            <w:gridSpan w:val="2"/>
          </w:tcPr>
          <w:p>
            <w:pPr>
              <w:spacing w:after="0"/>
              <w:rPr>
                <w:sz w:val="20"/>
                <w:szCs w:val="20"/>
                <w:color w:val="auto"/>
              </w:rPr>
            </w:pPr>
            <w:r>
              <w:rPr>
                <w:rFonts w:ascii="Arial" w:cs="Arial" w:eastAsia="Arial" w:hAnsi="Arial"/>
                <w:sz w:val="18"/>
                <w:szCs w:val="18"/>
                <w:color w:val="auto"/>
              </w:rPr>
              <w:t>Barbara Kucharczyk</w:t>
            </w:r>
          </w:p>
        </w:tc>
        <w:tc>
          <w:tcPr>
            <w:tcW w:w="142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42</w:t>
            </w:r>
          </w:p>
        </w:tc>
        <w:tc>
          <w:tcPr>
            <w:tcW w:w="600" w:type="dxa"/>
            <w:vAlign w:val="bottom"/>
          </w:tcPr>
          <w:p>
            <w:pPr>
              <w:spacing w:after="0"/>
              <w:rPr>
                <w:sz w:val="23"/>
                <w:szCs w:val="23"/>
                <w:color w:val="auto"/>
              </w:rPr>
            </w:pPr>
          </w:p>
        </w:tc>
        <w:tc>
          <w:tcPr>
            <w:tcW w:w="4320" w:type="dxa"/>
            <w:vAlign w:val="bottom"/>
            <w:gridSpan w:val="3"/>
          </w:tcPr>
          <w:p>
            <w:pPr>
              <w:ind w:left="600"/>
              <w:spacing w:after="0"/>
              <w:rPr>
                <w:sz w:val="20"/>
                <w:szCs w:val="20"/>
                <w:color w:val="auto"/>
              </w:rPr>
            </w:pPr>
            <w:r>
              <w:rPr>
                <w:rFonts w:ascii="Arial" w:cs="Arial" w:eastAsia="Arial" w:hAnsi="Arial"/>
                <w:sz w:val="18"/>
                <w:szCs w:val="18"/>
                <w:color w:val="auto"/>
              </w:rPr>
              <w:t>Senior Vice President Global Operations</w:t>
            </w:r>
          </w:p>
        </w:tc>
      </w:tr>
      <w:tr>
        <w:trPr>
          <w:trHeight w:val="270"/>
        </w:trPr>
        <w:tc>
          <w:tcPr>
            <w:tcW w:w="2880" w:type="dxa"/>
            <w:vAlign w:val="bottom"/>
            <w:gridSpan w:val="2"/>
          </w:tcPr>
          <w:p>
            <w:pPr>
              <w:spacing w:after="0"/>
              <w:rPr>
                <w:sz w:val="20"/>
                <w:szCs w:val="20"/>
                <w:color w:val="auto"/>
              </w:rPr>
            </w:pPr>
            <w:r>
              <w:rPr>
                <w:rFonts w:ascii="Arial" w:cs="Arial" w:eastAsia="Arial" w:hAnsi="Arial"/>
                <w:sz w:val="18"/>
                <w:szCs w:val="18"/>
                <w:color w:val="auto"/>
              </w:rPr>
              <w:t>Gary Barrett</w:t>
            </w:r>
          </w:p>
        </w:tc>
        <w:tc>
          <w:tcPr>
            <w:tcW w:w="142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47</w:t>
            </w:r>
          </w:p>
        </w:tc>
        <w:tc>
          <w:tcPr>
            <w:tcW w:w="600" w:type="dxa"/>
            <w:vAlign w:val="bottom"/>
          </w:tcPr>
          <w:p>
            <w:pPr>
              <w:spacing w:after="0"/>
              <w:rPr>
                <w:sz w:val="23"/>
                <w:szCs w:val="23"/>
                <w:color w:val="auto"/>
              </w:rPr>
            </w:pPr>
          </w:p>
        </w:tc>
        <w:tc>
          <w:tcPr>
            <w:tcW w:w="4320" w:type="dxa"/>
            <w:vAlign w:val="bottom"/>
            <w:gridSpan w:val="3"/>
          </w:tcPr>
          <w:p>
            <w:pPr>
              <w:ind w:left="600"/>
              <w:spacing w:after="0"/>
              <w:rPr>
                <w:sz w:val="20"/>
                <w:szCs w:val="20"/>
                <w:color w:val="auto"/>
              </w:rPr>
            </w:pPr>
            <w:r>
              <w:rPr>
                <w:rFonts w:ascii="Arial" w:cs="Arial" w:eastAsia="Arial" w:hAnsi="Arial"/>
                <w:sz w:val="18"/>
                <w:szCs w:val="18"/>
                <w:color w:val="auto"/>
                <w:w w:val="92"/>
              </w:rPr>
              <w:t>Senior Vice President Quality &amp; Regulatory Affairs</w:t>
            </w:r>
          </w:p>
        </w:tc>
      </w:tr>
      <w:tr>
        <w:trPr>
          <w:trHeight w:val="270"/>
        </w:trPr>
        <w:tc>
          <w:tcPr>
            <w:tcW w:w="2880" w:type="dxa"/>
            <w:vAlign w:val="bottom"/>
            <w:gridSpan w:val="2"/>
          </w:tcPr>
          <w:p>
            <w:pPr>
              <w:spacing w:after="0"/>
              <w:rPr>
                <w:sz w:val="20"/>
                <w:szCs w:val="20"/>
                <w:color w:val="auto"/>
              </w:rPr>
            </w:pPr>
            <w:r>
              <w:rPr>
                <w:rFonts w:ascii="Arial" w:cs="Arial" w:eastAsia="Arial" w:hAnsi="Arial"/>
                <w:sz w:val="18"/>
                <w:szCs w:val="18"/>
                <w:color w:val="auto"/>
              </w:rPr>
              <w:t>Ben Davis</w:t>
            </w:r>
          </w:p>
        </w:tc>
        <w:tc>
          <w:tcPr>
            <w:tcW w:w="1420" w:type="dxa"/>
            <w:vAlign w:val="bottom"/>
            <w:gridSpan w:val="2"/>
          </w:tcPr>
          <w:p>
            <w:pPr>
              <w:jc w:val="center"/>
              <w:ind w:left="1110"/>
              <w:spacing w:after="0"/>
              <w:rPr>
                <w:sz w:val="20"/>
                <w:szCs w:val="20"/>
                <w:color w:val="auto"/>
              </w:rPr>
            </w:pPr>
            <w:r>
              <w:rPr>
                <w:rFonts w:ascii="Arial" w:cs="Arial" w:eastAsia="Arial" w:hAnsi="Arial"/>
                <w:sz w:val="18"/>
                <w:szCs w:val="18"/>
                <w:color w:val="auto"/>
                <w:w w:val="89"/>
              </w:rPr>
              <w:t>51</w:t>
            </w:r>
          </w:p>
        </w:tc>
        <w:tc>
          <w:tcPr>
            <w:tcW w:w="600" w:type="dxa"/>
            <w:vAlign w:val="bottom"/>
          </w:tcPr>
          <w:p>
            <w:pPr>
              <w:spacing w:after="0"/>
              <w:rPr>
                <w:sz w:val="23"/>
                <w:szCs w:val="23"/>
                <w:color w:val="auto"/>
              </w:rPr>
            </w:pPr>
          </w:p>
        </w:tc>
        <w:tc>
          <w:tcPr>
            <w:tcW w:w="4320" w:type="dxa"/>
            <w:vAlign w:val="bottom"/>
            <w:gridSpan w:val="3"/>
          </w:tcPr>
          <w:p>
            <w:pPr>
              <w:ind w:left="600"/>
              <w:spacing w:after="0"/>
              <w:rPr>
                <w:sz w:val="20"/>
                <w:szCs w:val="20"/>
                <w:color w:val="auto"/>
              </w:rPr>
            </w:pPr>
            <w:r>
              <w:rPr>
                <w:rFonts w:ascii="Arial" w:cs="Arial" w:eastAsia="Arial" w:hAnsi="Arial"/>
                <w:sz w:val="18"/>
                <w:szCs w:val="18"/>
                <w:color w:val="auto"/>
              </w:rPr>
              <w:t>Senior Vice President Business Development</w:t>
            </w:r>
          </w:p>
        </w:tc>
      </w:tr>
      <w:tr>
        <w:trPr>
          <w:trHeight w:val="486"/>
        </w:trPr>
        <w:tc>
          <w:tcPr>
            <w:tcW w:w="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10</w:t>
            </w:r>
          </w:p>
        </w:tc>
        <w:tc>
          <w:tcPr>
            <w:tcW w:w="32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ind w:firstLine="432"/>
        <w:spacing w:after="0" w:line="291" w:lineRule="auto"/>
        <w:rPr>
          <w:sz w:val="20"/>
          <w:szCs w:val="20"/>
          <w:color w:val="auto"/>
        </w:rPr>
      </w:pPr>
      <w:r>
        <w:rPr>
          <w:rFonts w:ascii="Arial" w:cs="Arial" w:eastAsia="Arial" w:hAnsi="Arial"/>
          <w:sz w:val="16"/>
          <w:szCs w:val="16"/>
          <w:i w:val="1"/>
          <w:iCs w:val="1"/>
          <w:color w:val="auto"/>
        </w:rPr>
        <w:t xml:space="preserve">James C. Clemmer </w:t>
      </w:r>
      <w:r>
        <w:rPr>
          <w:rFonts w:ascii="Arial" w:cs="Arial" w:eastAsia="Arial" w:hAnsi="Arial"/>
          <w:sz w:val="16"/>
          <w:szCs w:val="16"/>
          <w:color w:val="auto"/>
        </w:rPr>
        <w:t>became our President and Chief Executive Officer in April 2016. Prior to joining AngioDynamics, Mr. Clemmer served as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Medical Supplies segment at Covidien plc from September 2006 to January 2015. In this role, Mr. Clemmer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from July 2004 to September 2006, where he managed the US business across five divisions and built the strategic plan for the Medical Supplies segment before it was spun off from Tyco. Mr. Clemmer served as interim president at the Massachusetts College of Liberal Arts from August 2015 until March 1, 2016. Mr. Clemmer is a graduate of the Massachusetts College of Liberal Arts.</w:t>
      </w:r>
    </w:p>
    <w:p>
      <w:pPr>
        <w:spacing w:after="0" w:line="11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 xml:space="preserve">Peter J. Kish </w:t>
      </w:r>
      <w:r>
        <w:rPr>
          <w:rFonts w:ascii="Arial" w:cs="Arial" w:eastAsia="Arial" w:hAnsi="Arial"/>
          <w:sz w:val="18"/>
          <w:szCs w:val="18"/>
          <w:color w:val="auto"/>
        </w:rPr>
        <w:t>has served as a consultant to the Company since May 16, 2016 and was designated as the principal financial officer and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officer by the Board of Directors of the company on July 27, 2016. Currently, Mr. Kish is a CFO Engagement Partner with Tatum, a Randstad Company. Prior to that he held Executive Finance positions with various Private Equity Portfolio Companies. Mr. Kish also spent 15 years at Kulicke &amp; Soffa Industries, Inc. a global semiconductor manufacturing company listed on the Nasdaq and served as Vice President and Corporate Controller. He also worked in a management capacity for Bristol Myers Squibb and MacMillan Publishing. Mr. Kish earned both his Bachelor of Science in Accounting and Masters in Business Administration from Rutgers, the State University of New Jersey.</w:t>
      </w:r>
    </w:p>
    <w:p>
      <w:pPr>
        <w:spacing w:after="0" w:line="13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i w:val="1"/>
          <w:iCs w:val="1"/>
          <w:color w:val="auto"/>
        </w:rPr>
        <w:t xml:space="preserve">Mark Stephens </w:t>
      </w:r>
      <w:r>
        <w:rPr>
          <w:rFonts w:ascii="Arial" w:cs="Arial" w:eastAsia="Arial" w:hAnsi="Arial"/>
          <w:sz w:val="18"/>
          <w:szCs w:val="18"/>
          <w:color w:val="auto"/>
        </w:rPr>
        <w:t>joined AngioDynamics in January 2013 as Senior Vice President, Administration. Prior to joining AngioDynamics, Mr. Stephens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led the global human resources organization for Smith and Nephew Orthopedics. Before joining Smith and Nephew, Mr. Stephens held the position of Vice-President, Human Resources, at Ingersoll Rand Corporation and served as Director of talent management with the Robert Bosch Corporation. He holds a MBA in Human Resources from Murray State University and a BS in Business Administration with a concentration in Economics and Finance from the University of Tennessee.</w:t>
      </w:r>
    </w:p>
    <w:p>
      <w:pPr>
        <w:spacing w:after="0" w:line="13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i w:val="1"/>
          <w:iCs w:val="1"/>
          <w:color w:val="auto"/>
        </w:rPr>
        <w:t xml:space="preserve">Stephen A. Trowbridge </w:t>
      </w:r>
      <w:r>
        <w:rPr>
          <w:rFonts w:ascii="Arial" w:cs="Arial" w:eastAsia="Arial" w:hAnsi="Arial"/>
          <w:sz w:val="18"/>
          <w:szCs w:val="18"/>
          <w:color w:val="auto"/>
        </w:rPr>
        <w:t>joined AngioDynamics as corporate counsel in June 2008, becoming our Vice President and General Counsel in June 2010 and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and General Counsel in August 2013. Prior to joining AngioDynamics, Mr. Trowbridge was corporate counsel for Philips Healthcare from November 2006 through June 2008, and corporate counsel for Intermagnetics General Corporation from April 2006 until its acquisition by Philips Healthcare in November 2006. Mr. Trowbridge began his career at Cadwalader, Wickersham &amp; Taft LLP in New York City in September 2000. Mr. Trowbridge holds a BS in Science and Technology Studies from Rensselaer Polytechnic Institute, a Juris Doctor from the University of Pennsylvania Law School and an MBA from Duke University’s Fuqua School of Business.</w:t>
      </w:r>
    </w:p>
    <w:p>
      <w:pPr>
        <w:spacing w:after="0" w:line="13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Barbara Kucharczyk </w:t>
      </w:r>
      <w:r>
        <w:rPr>
          <w:rFonts w:ascii="Arial" w:cs="Arial" w:eastAsia="Arial" w:hAnsi="Arial"/>
          <w:sz w:val="18"/>
          <w:szCs w:val="18"/>
          <w:color w:val="auto"/>
        </w:rPr>
        <w:t>joined AngioDynamics in June 2012 and was promoted to Senior Vice President Global Operations in June 2015.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AngioDynamics, Mrs. Kucharczyk most recently was the Focus Factory Manager for Vascular Therapy at Covidien. Before joining Covidien, Mrs. Kucharczyk was the Plant Manager for the Forest Products Group at Hexion Specialty Chemicals, Inc. She holds an MBA from Rensselaer Polytechnic Institute, a BS in Chemical Engineering from the State University of New York Center at Buffalo and a BS in Chemistry from the State University of New York College at Fredonia.</w:t>
      </w:r>
    </w:p>
    <w:p>
      <w:pPr>
        <w:spacing w:after="0" w:line="13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i w:val="1"/>
          <w:iCs w:val="1"/>
          <w:color w:val="auto"/>
        </w:rPr>
        <w:t xml:space="preserve">Gary Barrett </w:t>
      </w:r>
      <w:r>
        <w:rPr>
          <w:rFonts w:ascii="Arial" w:cs="Arial" w:eastAsia="Arial" w:hAnsi="Arial"/>
          <w:sz w:val="17"/>
          <w:szCs w:val="17"/>
          <w:color w:val="auto"/>
        </w:rPr>
        <w:t>joined AngioDynamics in May 2014 and was promoted to Senior Vice President, Quality and Regulatory Affairs in June 2015.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AngioDynamics, Mr. Barrett most recently was the Head of RA Development/Business Development at DEKRA. Before joining DEKRA, Mr. Barrett was the Vice President Regulatory Affairs for Merit Medical Systems Inc. He holds a PhD in Biotechnology from the Cranfield Biotechnology Center, a MBA from the Cranfield School of Management, a Masters in Environmental Diagnostics and Bachelors in Zoology.</w:t>
      </w:r>
    </w:p>
    <w:p>
      <w:pPr>
        <w:spacing w:after="0" w:line="171" w:lineRule="exact"/>
        <w:rPr>
          <w:sz w:val="20"/>
          <w:szCs w:val="20"/>
          <w:color w:val="auto"/>
        </w:rPr>
      </w:pPr>
    </w:p>
    <w:p>
      <w:pPr>
        <w:jc w:val="both"/>
        <w:ind w:right="240" w:firstLine="432"/>
        <w:spacing w:after="0" w:line="279" w:lineRule="auto"/>
        <w:rPr>
          <w:sz w:val="20"/>
          <w:szCs w:val="20"/>
          <w:color w:val="auto"/>
        </w:rPr>
      </w:pPr>
      <w:r>
        <w:rPr>
          <w:rFonts w:ascii="Arial" w:cs="Arial" w:eastAsia="Arial" w:hAnsi="Arial"/>
          <w:sz w:val="17"/>
          <w:szCs w:val="17"/>
          <w:i w:val="1"/>
          <w:iCs w:val="1"/>
          <w:color w:val="auto"/>
        </w:rPr>
        <w:t xml:space="preserve">Ben Davis </w:t>
      </w:r>
      <w:r>
        <w:rPr>
          <w:rFonts w:ascii="Arial" w:cs="Arial" w:eastAsia="Arial" w:hAnsi="Arial"/>
          <w:sz w:val="17"/>
          <w:szCs w:val="17"/>
          <w:color w:val="auto"/>
        </w:rPr>
        <w:t>joined AngioDynamics as Senior Vice President, Business Development in March 2015. Prior to joining AngioDynamics, Mr. Davis most</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was the Vice President Business Integration at C.R. Bard, Inc. where he was previously the Divisional Head of Business Development from 2004 -2013. Before joining C.R. Bard, Inc. Mr. Davis held the position of Chief Financial Officer, Treasurer at Axya Medical Inc. He holds an MBA in Business Administration - Finance from Bentley College Graduate School and BS in Business Administration from Bryant College.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120" w:firstLine="432"/>
        <w:spacing w:after="0" w:line="277" w:lineRule="auto"/>
        <w:rPr>
          <w:sz w:val="20"/>
          <w:szCs w:val="20"/>
          <w:color w:val="auto"/>
        </w:rPr>
      </w:pPr>
      <w:r>
        <w:rPr>
          <w:rFonts w:ascii="Arial" w:cs="Arial" w:eastAsia="Arial" w:hAnsi="Arial"/>
          <w:sz w:val="18"/>
          <w:szCs w:val="18"/>
          <w:color w:val="auto"/>
        </w:rPr>
        <w:t xml:space="preserve">Our corporate headquarters is located at 14 Plaza Drive, Latham, New York 12110. Our phone number is (518) 795-1400. Our website is </w:t>
      </w:r>
      <w:r>
        <w:rPr>
          <w:rFonts w:ascii="Arial" w:cs="Arial" w:eastAsia="Arial" w:hAnsi="Arial"/>
          <w:sz w:val="18"/>
          <w:szCs w:val="18"/>
          <w:i w:val="1"/>
          <w:iCs w:val="1"/>
          <w:color w:val="auto"/>
        </w:rPr>
        <w:t>www.angiodynamics.com</w:t>
      </w:r>
      <w:r>
        <w:rPr>
          <w:rFonts w:ascii="Arial" w:cs="Arial" w:eastAsia="Arial" w:hAnsi="Arial"/>
          <w:sz w:val="18"/>
          <w:szCs w:val="18"/>
          <w:color w:val="auto"/>
        </w:rPr>
        <w:t>.</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3" w:name="page14"/>
    <w:bookmarkEnd w:id="13"/>
    <w:p>
      <w:pPr>
        <w:ind w:right="160"/>
        <w:spacing w:after="0" w:line="302" w:lineRule="auto"/>
        <w:rPr>
          <w:sz w:val="20"/>
          <w:szCs w:val="20"/>
          <w:color w:val="auto"/>
        </w:rPr>
      </w:pPr>
      <w:r>
        <w:rPr>
          <w:rFonts w:ascii="Arial" w:cs="Arial" w:eastAsia="Arial" w:hAnsi="Arial"/>
          <w:sz w:val="16"/>
          <w:szCs w:val="16"/>
          <w:color w:val="auto"/>
        </w:rPr>
        <w:t>the Securities and Exchange Commission, or SEC. In addition, our website includes, among other things, charters of the various committees of our Board of Directors and our code of business conduct and ethics applicable to all employees, officers and directors. Any stockholder also may obtain copies of these documents, free of charge, by sending a request in writing to our investor relations firm: FTI Consulting, 88 Pine Street, 32nd Floor New York, NY 10005, Attention: Evan Smith. Information on our website or connected to our website is not incorporated by reference into this annual report on Form 10-K.</w:t>
      </w:r>
    </w:p>
    <w:p>
      <w:pPr>
        <w:spacing w:after="0" w:line="96"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the Company's business. Our financial and operating results are subject to a number of factors, many of which are not within our control. These factors include those set forth below. Our business, financial condition or results of operations could be materially and adversely affected by any of these risks. Additional risks not presently known to us or that we currently deem immaterial may also adversely affect our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growth profitably, our business, financial results and stock price could suffer.</w:t>
      </w:r>
    </w:p>
    <w:p>
      <w:pPr>
        <w:spacing w:after="0" w:line="22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Our future financial results will depend in part on our ability to profitably manage our growth. Management will need to maintain existing customers and attract new customers, recruit, retain and effectively manage employees, as well as expand operations and integrate customer support and financial control systems. If integration</w:t>
      </w:r>
      <w:r>
        <w:rPr>
          <w:rFonts w:ascii="Arial" w:cs="Arial" w:eastAsia="Arial" w:hAnsi="Arial"/>
          <w:sz w:val="18"/>
          <w:szCs w:val="18"/>
          <w:i w:val="1"/>
          <w:iCs w:val="1"/>
          <w:color w:val="auto"/>
        </w:rPr>
        <w:t>-</w:t>
      </w:r>
      <w:r>
        <w:rPr>
          <w:rFonts w:ascii="Arial" w:cs="Arial" w:eastAsia="Arial" w:hAnsi="Arial"/>
          <w:sz w:val="18"/>
          <w:szCs w:val="18"/>
          <w:color w:val="auto"/>
        </w:rPr>
        <w:t>related expenses and capital expenditure requirements are greater than anticipated or if we are unable to manage our growth profitably, our financial results and the market price of our common stock may decline.</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recent years we have begun to implement our operational excellence initiatives which include a number of restructuring, realignment and cost reduction initiatives.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undertake additional realignment and cost reduction efforts, which could result in significant additional charges. Moreover, if our restructuring and realignment efforts prove ineffective, our ability to achieve our other strategic goals and business plans may be adversely affected</w:t>
      </w:r>
    </w:p>
    <w:p>
      <w:pPr>
        <w:spacing w:after="0" w:line="174" w:lineRule="exact"/>
        <w:rPr>
          <w:sz w:val="20"/>
          <w:szCs w:val="20"/>
          <w:color w:val="auto"/>
        </w:rPr>
      </w:pPr>
    </w:p>
    <w:p>
      <w:pPr>
        <w:ind w:right="820"/>
        <w:spacing w:after="0" w:line="282" w:lineRule="auto"/>
        <w:rPr>
          <w:sz w:val="20"/>
          <w:szCs w:val="20"/>
          <w:color w:val="auto"/>
        </w:rPr>
      </w:pPr>
      <w:r>
        <w:rPr>
          <w:rFonts w:ascii="Arial" w:cs="Arial" w:eastAsia="Arial" w:hAnsi="Arial"/>
          <w:sz w:val="18"/>
          <w:szCs w:val="18"/>
          <w:b w:val="1"/>
          <w:bCs w:val="1"/>
          <w:color w:val="auto"/>
        </w:rPr>
        <w:t>We are dependent on single and limited source suppliers which subjects our business and results of operations to risks of supplier business interruptions.</w:t>
      </w:r>
    </w:p>
    <w:p>
      <w:pPr>
        <w:spacing w:after="0" w:line="166"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currently purchase significant amounts of several key products and product components from single and limited source suppliers and anticipate that we will do so for future products as well. Any delays in delivery of or shortages in those or other products and components could interrupt and delay manufacturing of our products and result in the cancellation of orders for our products. Any or all of these suppliers could discontinue the manufacture or supply of these products and components at any time. 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increased design and manufacturing costs and increased prices for our products.</w:t>
      </w:r>
    </w:p>
    <w:p>
      <w:pPr>
        <w:spacing w:after="0" w:line="167" w:lineRule="exact"/>
        <w:rPr>
          <w:sz w:val="20"/>
          <w:szCs w:val="20"/>
          <w:color w:val="auto"/>
        </w:rPr>
      </w:pPr>
    </w:p>
    <w:p>
      <w:pPr>
        <w:jc w:val="both"/>
        <w:ind w:right="340" w:firstLine="432"/>
        <w:spacing w:after="0" w:line="259" w:lineRule="auto"/>
        <w:rPr>
          <w:sz w:val="20"/>
          <w:szCs w:val="20"/>
          <w:color w:val="auto"/>
        </w:rPr>
      </w:pPr>
      <w:r>
        <w:rPr>
          <w:rFonts w:ascii="Arial" w:cs="Arial" w:eastAsia="Arial" w:hAnsi="Arial"/>
          <w:sz w:val="18"/>
          <w:szCs w:val="18"/>
          <w:color w:val="auto"/>
        </w:rPr>
        <w:t>In addition, we purchase certain products as a distributor for the manufacturer of those products, including Asclera, Sotradecol and our Celerity tip location system. Operational, quality or regulatory issues of the manufacturers of the products we distribute could constrain or interrupt the availability of those products or services. Any constraint or interruption in the supply of finished products that we distribute could have a material adverse effect on our ability to sell products, our financial condition and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reimbursement levels by governmental or other third-party payors for procedures using our products may cause our revenues to decline.</w:t>
      </w:r>
    </w:p>
    <w:p>
      <w:pPr>
        <w:spacing w:after="0" w:line="25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products are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The ability of our customers to obtain appropriate reimbursement for products and services from third-party payors is critical to the success of medical device companies because it affects which products customers purchase and the prices they are willing to pay. 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ind w:right="40"/>
        <w:spacing w:after="0" w:line="277" w:lineRule="auto"/>
        <w:rPr>
          <w:sz w:val="20"/>
          <w:szCs w:val="20"/>
          <w:color w:val="auto"/>
        </w:rPr>
      </w:pPr>
      <w:r>
        <w:rPr>
          <w:rFonts w:ascii="Arial" w:cs="Arial" w:eastAsia="Arial" w:hAnsi="Arial"/>
          <w:sz w:val="18"/>
          <w:szCs w:val="18"/>
          <w:color w:val="auto"/>
        </w:rPr>
        <w:t>our products. Even when we develop a promising new product, we may find limited demand for the product unless reimbursement approval is obtained from private and governmental third party payors.</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Third-party payors have adopted, and are continuing to adopt, a number of healthcare policies intended to curb rising healthcare costs. These policies include:</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controls on government-funded reimbursement for healthcare services and price controls on medical products and services providers;</w:t>
      </w:r>
    </w:p>
    <w:p>
      <w:pPr>
        <w:spacing w:after="0" w:line="34" w:lineRule="exact"/>
        <w:rPr>
          <w:rFonts w:ascii="Arial" w:cs="Arial" w:eastAsia="Arial" w:hAnsi="Arial"/>
          <w:sz w:val="17"/>
          <w:szCs w:val="17"/>
          <w:color w:val="auto"/>
        </w:rPr>
      </w:pPr>
    </w:p>
    <w:p>
      <w:pPr>
        <w:ind w:left="980" w:right="40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to the pricing of medical procedures or limits or prohibitions on reimbursement for specific devices and therapies through other means; and</w:t>
      </w:r>
    </w:p>
    <w:p>
      <w:pPr>
        <w:ind w:left="980" w:right="48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of managed care systems in which healthcare providers contract to provide comprehensive healthcare for a fixed cost per person.</w:t>
      </w:r>
    </w:p>
    <w:p>
      <w:pPr>
        <w:spacing w:after="0" w:line="18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are unable to predict whether federal, state or local healthcare reform legislation or regulation affecting our business may be proposed or enacted in the future, or what effect any such legislation or regulation would have on our business. Changes in healthcare systems in the United States or elsewhere in a manner that significantly reduces 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Failure to secure adequate reimbursement for our products could materially impair our ability to grow revenue and drive profitability.</w:t>
      </w: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products are used in medical procedures generally covered by government or private health plans.</w:t>
      </w:r>
    </w:p>
    <w:p>
      <w:pPr>
        <w:spacing w:after="0" w:line="225" w:lineRule="exact"/>
        <w:rPr>
          <w:sz w:val="20"/>
          <w:szCs w:val="20"/>
          <w:color w:val="auto"/>
        </w:rPr>
      </w:pPr>
    </w:p>
    <w:p>
      <w:pPr>
        <w:jc w:val="both"/>
        <w:ind w:right="500" w:firstLine="432"/>
        <w:spacing w:after="0" w:line="312" w:lineRule="auto"/>
        <w:rPr>
          <w:sz w:val="20"/>
          <w:szCs w:val="20"/>
          <w:color w:val="auto"/>
        </w:rPr>
      </w:pPr>
      <w:r>
        <w:rPr>
          <w:rFonts w:ascii="Arial" w:cs="Arial" w:eastAsia="Arial" w:hAnsi="Arial"/>
          <w:sz w:val="16"/>
          <w:szCs w:val="16"/>
          <w:color w:val="auto"/>
        </w:rPr>
        <w:t>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will cover the cost of the device and related procedures.</w:t>
      </w:r>
    </w:p>
    <w:p>
      <w:pPr>
        <w:spacing w:after="0" w:line="14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many instances, third-party payors use price schedules that do not vary to reflect the cost of the products and equipment used in performing those procedures. In other instances, payment or reimbursement is separately available for the products and equipment used, in addition to payment or reimbursement for the procedure itself. Even if coverage is available, third-party payors may place restrictions on the circumstances where they provide coverage or may offer reimbursement that is not sufficient to cover the cost of our products.</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Third-party payors who cover the cost of medical products or equipment, in addition to allowing a general charge for the procedure, often maintain lists of exclusive suppliers or approved lists of products deemed to be cost-effective. Authorization from those third-party payors is required prior to using products that are not on these lists as a condition of reimbursement. If our products are not on the approved lists, healthcare providers must determine if the additional cost and effort required in obtaining prior authorization, and the uncertainty of actually obtaining coverage, is justified by any perceived clinical benefits from using our products.</w:t>
      </w:r>
    </w:p>
    <w:p>
      <w:pPr>
        <w:spacing w:after="0" w:line="18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not be separately reimbursed. As a result, we cannot be certain that hospital administrators and physicians will purchase our products, despite the clinical benefits and opportunity for cost savings that we believe can be derived from their use. If hospitals and physicians cannot obtain adequate reimbursement for our products or the procedures in which they are used, our business, financial condition, results of operations, and cash flows could suffer a material adverse impact.</w:t>
      </w:r>
    </w:p>
    <w:p>
      <w:pPr>
        <w:spacing w:after="0" w:line="182" w:lineRule="exact"/>
        <w:rPr>
          <w:sz w:val="20"/>
          <w:szCs w:val="20"/>
          <w:color w:val="auto"/>
        </w:rPr>
      </w:pPr>
    </w:p>
    <w:p>
      <w:pPr>
        <w:jc w:val="both"/>
        <w:ind w:right="200" w:firstLine="392"/>
        <w:spacing w:after="0" w:line="259" w:lineRule="auto"/>
        <w:rPr>
          <w:sz w:val="20"/>
          <w:szCs w:val="20"/>
          <w:color w:val="auto"/>
        </w:rPr>
      </w:pPr>
      <w:r>
        <w:rPr>
          <w:rFonts w:ascii="Arial" w:cs="Arial" w:eastAsia="Arial" w:hAnsi="Arial"/>
          <w:sz w:val="18"/>
          <w:szCs w:val="18"/>
          <w:color w:val="auto"/>
        </w:rPr>
        <w:t>Our success in international markets will depend largely upon the availability of reimbursement from the third-party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584" w:right="299" w:bottom="1440" w:gutter="0" w:footer="0" w:header="0"/>
        </w:sectPr>
      </w:pPr>
    </w:p>
    <w:bookmarkStart w:id="15" w:name="page16"/>
    <w:bookmarkEnd w:id="15"/>
    <w:p>
      <w:pPr>
        <w:jc w:val="both"/>
        <w:ind w:right="160"/>
        <w:spacing w:after="0" w:line="264" w:lineRule="auto"/>
        <w:rPr>
          <w:sz w:val="20"/>
          <w:szCs w:val="20"/>
          <w:color w:val="auto"/>
        </w:rPr>
      </w:pPr>
      <w:r>
        <w:rPr>
          <w:rFonts w:ascii="Arial" w:cs="Arial" w:eastAsia="Arial" w:hAnsi="Arial"/>
          <w:sz w:val="18"/>
          <w:szCs w:val="18"/>
          <w:color w:val="auto"/>
        </w:rPr>
        <w:t>the United States, we generally rely on our distributors to obtain reimbursement approval in the countries in which they will sell our products. There can be no assurance that reimbursement approvals will be received. The failure to secure reimbursement approvals in international markets could materially impact our financial position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Cost-containment efforts of group purchasing organizations could adversely affect our selling prices, financial position and results of operations.</w:t>
      </w:r>
    </w:p>
    <w:p>
      <w:pPr>
        <w:spacing w:after="0" w:line="252"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Many of our existing and potential customers have become members of group purchasing organizations, or GPOs, and integrated delivery network, or IDNs, in an effort to reduce costs.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Bids are generally solicited from multiple manufacturers with the intention of driving down pricing.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if we are unable to retain contracts with our customers, or acquire additional contracts, our financial results may be negatively impacted.</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are unable to convince customers that our products can improve the cost structure of their business, our revenue growth and profitability may be materially adversely impacted.</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Worldwide initiatives to contain healthcare costs have led government and the private sector to enact cost containment efforts as a means of managing 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Simultaneously, hospitals are redefining their role in health care delivery as many assume much more risk and control of the total cost of patient care. To successfully make this transformation health systems are consolidating, purchasing or partnering with physicians, post-acute care providers, while also narrowing networks thus allowing greater control over outcomes. Today, many systems are becoming ‘mini’ payer/provider organizations. These newly redesigned health systems are creating mechanisms such as value analysis and centralized purchasing functions that set pricing and in some cases limit the number of vendors that can participate in the purchasing program. Hospitals are also aligning interests with physicians through employment and other arrangements, such as gainsharing, where a hospital agrees with physicians to share any realized cost savings resulting from the physicians’ collective change in practice patterns such as standardization of devices where medically appropriate. This has created an increasing level of price sensitivity among customers for our products. Some third-party payers must also approve coverage and set reimbursement levels for new or innovative devices or therapies before they will reimburse health care providers who use the medical devices or therapies. Even though a new medical device may have been cleared for commercial distribution, we may find limited demand for the device until coverage and sufficient reimbursement levels have been obtained from governmental and private third-party payers. In addition, some private third-party payers require that certain procedures or that the use of certain products be authorized in advance as a condition of reimbursement. International examples of cost containment initiatives and health care reforms advancing clinical outcomes as the key to market access are emerging in France, Germany, the Netherlands and the UK. This new criteria can severely restrict coverage, reduce reimbursement and delay access to key markets with requirements for incremental clinical benefit and coverage with evidence development.</w:t>
      </w:r>
    </w:p>
    <w:p>
      <w:pPr>
        <w:spacing w:after="0" w:line="16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If we fail to develop or market new products and enhance existing products, we could lose market share to our competitors and our results of operations could suffer.</w:t>
      </w:r>
    </w:p>
    <w:p>
      <w:pPr>
        <w:spacing w:after="0" w:line="16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market for interventional devices is characterized by rapid technological change, new product introductions, technological improvements, changes in physician requirements and evolving industry standards. To be successful, we must continue to develop and commercialize new products and to enhance versions of our existing products. Our products are technologically complex and require significant research, planning, design, development and testing before they may be marketed. This process generally takes at least 12 to 18 months from initial concept and may take up to several years. In addition, product life cycles are relatively short because medical device manufacturers continually develop smaller, more effective and less expensive versions of existing devices in response to physician demand.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success in developing and commercializing new and enhanced versions of our products is affected by our ability to:</w:t>
      </w:r>
    </w:p>
    <w:p>
      <w:pPr>
        <w:spacing w:after="0" w:line="2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recruit engineers;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and accurately identify new market trends;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accurately assess customer needs;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minimize the time and costs required to obtain regulatory clearance or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 competitive pricing;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manufacture and deliver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accurately predict and control costs associated with the development, manufacturing and support of our products;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anticipate and compete effectively with our competitors’ efforts.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Market acceptance of our products depends in part on our ability to demonstrate that our products are cost-effective and easier to use, as well as offer technological advantages. Additionally, we may experience design, manufacturing, marketing or other difficulties that could delay or prevent our development, introduction or marketing of new products or new versions of our existing products. As a result of such difficulties and delays, our development expenses may increase and, as a consequence, our results of operations could suffer.</w:t>
      </w:r>
    </w:p>
    <w:p>
      <w:pPr>
        <w:spacing w:after="0" w:line="183"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Development and sales of our products are dependent on a number of factors beyond our control, and our inability to successfully complete our research and development, design, marketing strategy and regulatory clearance with respect to the respective products may adversely affect our business, financial condition and results of operations.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significant aspect of our growth strategy is the continued market development of products including NanoKnife, AngioVac and BioFlo products.</w:t>
      </w:r>
    </w:p>
    <w:p>
      <w:pPr>
        <w:spacing w:after="0" w:line="237" w:lineRule="exact"/>
        <w:rPr>
          <w:sz w:val="20"/>
          <w:szCs w:val="20"/>
          <w:color w:val="auto"/>
        </w:rPr>
      </w:pPr>
    </w:p>
    <w:p>
      <w:pPr>
        <w:ind w:left="60" w:right="120" w:firstLine="432"/>
        <w:spacing w:after="0" w:line="259" w:lineRule="auto"/>
        <w:rPr>
          <w:sz w:val="20"/>
          <w:szCs w:val="20"/>
          <w:color w:val="auto"/>
        </w:rPr>
      </w:pPr>
      <w:r>
        <w:rPr>
          <w:rFonts w:ascii="Arial" w:cs="Arial" w:eastAsia="Arial" w:hAnsi="Arial"/>
          <w:sz w:val="18"/>
          <w:szCs w:val="18"/>
          <w:color w:val="auto"/>
        </w:rPr>
        <w:t>There can be no guarantee that we will be able to develop and manufacture additional next generation or updated products on commercially favorable terms, or at all. NanoKnife and AngioVac are developing technologies and the inability of either of them to achieve clinical acceptance, as well as our inability to generate meaningful clinical data to convince providers of the clinical and economic benefits of our BioFlo platform, could severely limit our ability to drive revenue growth.</w:t>
      </w:r>
    </w:p>
    <w:p>
      <w:pPr>
        <w:spacing w:after="0" w:line="187" w:lineRule="exact"/>
        <w:rPr>
          <w:sz w:val="20"/>
          <w:szCs w:val="20"/>
          <w:color w:val="auto"/>
        </w:rPr>
      </w:pPr>
    </w:p>
    <w:p>
      <w:pPr>
        <w:ind w:left="60" w:right="60" w:firstLine="432"/>
        <w:spacing w:after="0" w:line="259" w:lineRule="auto"/>
        <w:rPr>
          <w:sz w:val="20"/>
          <w:szCs w:val="20"/>
          <w:color w:val="auto"/>
        </w:rPr>
      </w:pPr>
      <w:r>
        <w:rPr>
          <w:rFonts w:ascii="Arial" w:cs="Arial" w:eastAsia="Arial" w:hAnsi="Arial"/>
          <w:sz w:val="18"/>
          <w:szCs w:val="18"/>
          <w:color w:val="auto"/>
        </w:rPr>
        <w:t>We currently have FDA 510(k) clearance to market NanoKnife products for soft tissue ablation. If we are not able to secure FDA approval to conduct investigational device exemption (IDE) trials or marketing approval for additional or more specific indications, through 510(k) clearance, pre-market approval or otherwise, our ability to market our NanoKnife products will be restricted which may have an adverse effect on our business, financial condition and results of operations.</w:t>
      </w:r>
    </w:p>
    <w:p>
      <w:pPr>
        <w:spacing w:after="0" w:line="183"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We face intense competition in the medical device industry. We may be unable to compete effectively with respect to technological innovation and price which may have an adverse effect on our revenues, financial condition or results of operations.</w:t>
      </w:r>
    </w:p>
    <w:p>
      <w:pPr>
        <w:spacing w:after="0" w:line="14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markets for our products are highly competitive, and we expect competition to continue to intensify. We may not be able to compete effectively, and we may lose market share to our competitors. Our primary device competitors include: Boston Scientific Corporation; Cook Medical; C.R. Bard; Medical Components, Inc. (Medcomp); TeleFlex Medical; Smiths Medical, a subsidiary of Smiths Group plc; Vascular Solutions; Medtronic; Merit Medical; Terumo Medical Corporation; Vascular Solutions; Johnson and Johnson and Total Vein Systems. Many of our competitors have substantially greater:</w:t>
      </w:r>
    </w:p>
    <w:p>
      <w:pPr>
        <w:spacing w:after="0" w:line="154"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and other resources to devote to product acquisitions, research and development, marketing and manufacturing;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variety of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technical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history of developing and introducing new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patent portfolios that may present an obstacle to our conduct of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recognition;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networks and in-house sales forces.</w:t>
      </w:r>
    </w:p>
    <w:p>
      <w:pPr>
        <w:spacing w:after="0" w:line="211"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Our competitors may succeed in developing technologies and products earlier, in obtaining patent protection or regulatory clearance earlier, or in commercializing new products or technologies more rapidly than us. Our competitors may also develop products and technologies that are superior to those we are developing or that otherwise could render our products obsolete or noncompetitive. In addition, we may face competition from providers of other medical therapies, such as pharmaceutical companies, that may offer non-surgical therapies for conditions that are currently, or in the future, may be treated using our products. Our products are generally sold at higher prices than those of our competitors. However, in the current environment of managed care, which is characterized by economically motivated buyers, consolidation among healthcare providers,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17" w:name="page18"/>
    <w:bookmarkEnd w:id="17"/>
    <w:p>
      <w:pPr>
        <w:ind w:right="160"/>
        <w:spacing w:after="0" w:line="277" w:lineRule="auto"/>
        <w:rPr>
          <w:sz w:val="20"/>
          <w:szCs w:val="20"/>
          <w:color w:val="auto"/>
        </w:rPr>
      </w:pPr>
      <w:r>
        <w:rPr>
          <w:rFonts w:ascii="Arial" w:cs="Arial" w:eastAsia="Arial" w:hAnsi="Arial"/>
          <w:sz w:val="18"/>
          <w:szCs w:val="18"/>
          <w:color w:val="auto"/>
        </w:rPr>
        <w:t>increased competition and declining reimbursement rates, we are increasingly being required to compete on the basis of price. If we are not able to compete effectively, our market share and revenues may decline.</w:t>
      </w:r>
    </w:p>
    <w:p>
      <w:pPr>
        <w:spacing w:after="0" w:line="16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we fail to adequately protect our intellectual property rights, we may not be able to generate revenues from new or existing products and our business may suffer.</w:t>
      </w:r>
    </w:p>
    <w:p>
      <w:pPr>
        <w:spacing w:after="0" w:line="166"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Our success depends in part on obtaining, maintaining and enforcing our patents, trademarks and other proprietary rights, and our ability to avoid infringing the proprietary rights of others. We take precautionary steps to protect our technological advantages and intellectual property.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 patents, that any current or future patents issued to, or licensed by, us will not be challenged or circumvented by our competitors, or that our patents will not be found invalid.</w:t>
      </w:r>
    </w:p>
    <w:p>
      <w:pPr>
        <w:spacing w:after="0" w:line="15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 Generally, patent applications can be maintained in secrecy for at least 18 months after their earliest priority date. In addition, publication of discoveries in the scientific or patent literature often lags behind actual discoveries. Therefore, we cannot be certain that we were the first to invent the subject matter covered by each of our pending U.S. patent applications or that we were the first to file non-U.S. patent applications for such subject matter.</w:t>
      </w:r>
    </w:p>
    <w:p>
      <w:pPr>
        <w:spacing w:after="0" w:line="17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we are not able to adequately protect our intellectual property, our market share, financial condition and results of operations may suffer.</w:t>
      </w:r>
    </w:p>
    <w:p>
      <w:pPr>
        <w:spacing w:after="0" w:line="233"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spacing w:after="0" w:line="142"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 effort. Such claims could also cause our customers or potential customers to purchase competitors’ products or defer or limit their purchase or use of our affected products until resolution of the claim.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cannot obtain and maintain marketing clearance or approval from governmental agencies, we will not be able to sell our products.</w:t>
      </w:r>
    </w:p>
    <w:p>
      <w:pPr>
        <w:spacing w:after="0" w:line="24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584" w:right="279" w:bottom="1440" w:gutter="0" w:footer="0" w:header="0"/>
        </w:sectPr>
      </w:pPr>
    </w:p>
    <w:bookmarkStart w:id="18" w:name="page19"/>
    <w:bookmarkEnd w:id="18"/>
    <w:p>
      <w:pPr>
        <w:ind w:right="100"/>
        <w:spacing w:after="0" w:line="254" w:lineRule="auto"/>
        <w:rPr>
          <w:sz w:val="20"/>
          <w:szCs w:val="20"/>
          <w:color w:val="auto"/>
        </w:rPr>
      </w:pPr>
      <w:r>
        <w:rPr>
          <w:rFonts w:ascii="Arial" w:cs="Arial" w:eastAsia="Arial" w:hAnsi="Arial"/>
          <w:sz w:val="18"/>
          <w:szCs w:val="18"/>
          <w:color w:val="auto"/>
        </w:rPr>
        <w:t>have used for our current products. This process usually takes from four to 12 months from the date the premarket notification is submitted to the FDA, but may take significantly longer. Although we have obtained 510(k) clearances for our current products, our clearances may be revoked by the FDA if safety or effectiveness problems develop with the devices. The PMA process is much more costly, lengthy and uncertain. It generally takes from one to three years from the date the application is submitted to, and filed with, the FDA, and may take even longer. 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spacing w:after="0" w:line="18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spacing w:after="0" w:line="18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After a device is placed on the market, numerous regulatory requirements apply. We are subject to inspection and marketing surveillance by the FDA to determine our compliance with all regulatory requirements. Our failure to comply with applicable regulatory requirements could result in the FDA or a court instituting a wide variety of enforcement actions against us, including a public "Warning Letter"; an order to shut down some or all manufacturing operations; a recall of products; fines or civil penalties; seizure or detention of our products; refusing our requests for 510(k) clearance or a PMA of new or modified products; withdrawing 510(k) clearance or PMA approvals already granted to us; and criminal prosecution.</w:t>
      </w:r>
    </w:p>
    <w:p>
      <w:pPr>
        <w:spacing w:after="0" w:line="173"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The FDA enforces the QSR through unannounced inspections.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w:t>
      </w:r>
    </w:p>
    <w:p>
      <w:pPr>
        <w:spacing w:after="0" w:line="167" w:lineRule="exact"/>
        <w:rPr>
          <w:sz w:val="20"/>
          <w:szCs w:val="20"/>
          <w:color w:val="auto"/>
        </w:rPr>
      </w:pPr>
    </w:p>
    <w:p>
      <w:pPr>
        <w:ind w:right="180" w:firstLine="432"/>
        <w:spacing w:after="0" w:line="308" w:lineRule="auto"/>
        <w:rPr>
          <w:sz w:val="20"/>
          <w:szCs w:val="20"/>
          <w:color w:val="auto"/>
        </w:rPr>
      </w:pPr>
      <w:r>
        <w:rPr>
          <w:rFonts w:ascii="Arial" w:cs="Arial" w:eastAsia="Arial" w:hAnsi="Arial"/>
          <w:sz w:val="17"/>
          <w:szCs w:val="17"/>
          <w:color w:val="auto"/>
        </w:rPr>
        <w:t>If we, or one of our suppliers, violate the FDA’s requirements or fail to take adequate corrective action in response to any significant compliance issue raised by the FDA, the FDA can take various enforcement actions which could cause our product sales and profitability to suffer.</w:t>
      </w:r>
    </w:p>
    <w:p>
      <w:pPr>
        <w:spacing w:after="0" w:line="14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spacing w:after="0" w:line="17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Even after receiving regulatory clearance or approval, our products may be subject to product recalls, which may harm our reputation and divert managerial and financial resources.</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device, or if the governmental entity finds that our products would cause serious adverse health consequences. A government mandated voluntary recall or field action by us could occur as a result of component failures, manufacturing errors or design defects, including labeling defects. Any recall of our products may harm our reputation with customers and divert managerial and financial resources.</w:t>
      </w:r>
    </w:p>
    <w:p>
      <w:pPr>
        <w:spacing w:after="0" w:line="184"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We may be subject to fines, penalties, injunctions or costly investigations if we are determined to be promoting the use of our products for unapproved or “off-label” uses.</w:t>
      </w:r>
    </w:p>
    <w:p>
      <w:pPr>
        <w:spacing w:after="0" w:line="166"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If we are incorrect in our belief that our promotional materials and training methods regarding physicians are conducted in compliance with regulations of the FDA and other applicable regulations, and the FDA determines that our promotional materials or training constitutes promotion of an unapproved use, the FDA could request that we modify our training or promotional materials or subject us to regulatory enforcement actions, including the issuance of a warning letter, injunction, seizure, civil fine and criminal penalties. It is also possible that other federal, state or foreign enforcement authorities might take action if they consider promotional or training materials to constitute promotion of an unapproved use, which could result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color w:val="auto"/>
        </w:rPr>
        <w:t>in significant fines or penalties under other statutory authorities, such as laws prohibiting false claims for reimbursement. Any of these results could have a material adverse effect on our financial position or results of operations.</w:t>
      </w:r>
    </w:p>
    <w:p>
      <w:pPr>
        <w:spacing w:after="0" w:line="17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our acquisition of RITA, was the exclusive distributor of LC Beads in the United States from 2006 through December 31, 2011. We are cooperating fully with this investigation and at this time are unable to predict its scope, duration or outcome. In April 2015 we received a subpoena from the DOJ requesting documents in relation to a criminal and civil investigation the DOJ is conducting regarding purported promotion of certain of our VenaCure EVLT products for un-cleared indications. We are cooperating fully with this investigation and at this time are unable to predict its scope, duration or outcome.</w:t>
      </w:r>
    </w:p>
    <w:p>
      <w:pPr>
        <w:spacing w:after="0" w:line="16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may be exposed to risks associated with acquisitions, including integration risks and risks associated with methods of financing and the impact of accounting treatment. Accordingly, completed acquisitions may not enhance our financial position or results of operations as they are based projections and assumptions which are uncertain and subject to change.</w:t>
      </w:r>
    </w:p>
    <w:p>
      <w:pPr>
        <w:spacing w:after="0" w:line="180" w:lineRule="exact"/>
        <w:rPr>
          <w:sz w:val="20"/>
          <w:szCs w:val="20"/>
          <w:color w:val="auto"/>
        </w:rPr>
      </w:pPr>
    </w:p>
    <w:p>
      <w:pPr>
        <w:ind w:right="240" w:firstLine="432"/>
        <w:spacing w:after="0" w:line="256" w:lineRule="auto"/>
        <w:rPr>
          <w:sz w:val="20"/>
          <w:szCs w:val="20"/>
          <w:color w:val="auto"/>
        </w:rPr>
      </w:pPr>
      <w:r>
        <w:rPr>
          <w:rFonts w:ascii="Arial" w:cs="Arial" w:eastAsia="Arial" w:hAnsi="Arial"/>
          <w:sz w:val="18"/>
          <w:szCs w:val="18"/>
          <w:color w:val="auto"/>
        </w:rPr>
        <w:t>Part of our growth strategy is to acquire businesses and technologies that are complementary to ours. There is no assurance that acquisition opportunities will be available on acceptable terms, or at all, or that we will be able to obtain necessary financing or regulatory approvals. Any acquisitions that we do undertake would be accompanied by the risks commonly encountered in acquisitions, including the:</w:t>
      </w:r>
    </w:p>
    <w:p>
      <w:pPr>
        <w:ind w:left="980" w:right="14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disruption of our business while we evaluate opportunities, complete acquisitions and develop and implement new business strategies to take advantage of these opportunities;</w:t>
      </w:r>
    </w:p>
    <w:p>
      <w:pPr>
        <w:ind w:left="980" w:right="4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of our management to maximize our financial and strategic position by incorporating an acquired technology or business into our existing offerings;</w:t>
      </w:r>
    </w:p>
    <w:p>
      <w:pPr>
        <w:ind w:left="980" w:right="50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achieve the cost savings and operating synergies anticipated in the acquisition, which would prevent us from achieving the positive earnings gains expected as a result of the acquisition;</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of maintaining uniform standards, controls, procedures and policies;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in demonstrating to our customers that the acquisition will not result in adverse changes in customer service standards or business focus;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of assimilating the operations and personnel of acquired businesses;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 the impairment of relationships with employees and customers as a result of changes in management; and</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as to the long-term success of any acquisitions we may make including the impact on contingent liabilities.</w:t>
      </w:r>
    </w:p>
    <w:p>
      <w:pPr>
        <w:spacing w:after="0" w:line="21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There is no assurance that any completed acquisition will be accretive to our margins or profits in the short term or in the long term. 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 Further, acquisitions could also result in significant goodwill and/or amortization charges for acquired businesses or technologies.</w:t>
      </w:r>
    </w:p>
    <w:p>
      <w:pPr>
        <w:spacing w:after="0" w:line="169" w:lineRule="exact"/>
        <w:rPr>
          <w:sz w:val="20"/>
          <w:szCs w:val="20"/>
          <w:color w:val="auto"/>
        </w:rPr>
      </w:pPr>
    </w:p>
    <w:p>
      <w:pPr>
        <w:ind w:right="800"/>
        <w:spacing w:after="0" w:line="347" w:lineRule="auto"/>
        <w:rPr>
          <w:sz w:val="20"/>
          <w:szCs w:val="20"/>
          <w:color w:val="auto"/>
        </w:rPr>
      </w:pPr>
      <w:r>
        <w:rPr>
          <w:rFonts w:ascii="Arial" w:cs="Arial" w:eastAsia="Arial" w:hAnsi="Arial"/>
          <w:sz w:val="16"/>
          <w:szCs w:val="16"/>
          <w:b w:val="1"/>
          <w:bCs w:val="1"/>
          <w:color w:val="auto"/>
        </w:rPr>
        <w:t>We have incurred significant indebtedness which imposes operating and financial restrictions on us which, together with our debt service obligations, could significantly limit our ability to execute our business strategy and increase the risk of default under our debt obligations.</w:t>
      </w:r>
    </w:p>
    <w:p>
      <w:pPr>
        <w:spacing w:after="0" w:line="21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borrowed an aggregate of approximately $121 million as of May 31, 2016. The terms of our credit facilities require us to comply with certain financial maintenance covenants. In addition, the terms of our indebtedness also include certain covenants restricting or limiting our ability to take certain actions.</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These covenants may adversely affect our ability to finance future operations or limit our ability to pursue certain business opportunities or take certain corporate actions. The covenants may also restrict our flexibility in planning for changes in our business and the industry and make us more vulnerable to economic downturns and adverse developments.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ind w:right="60" w:firstLine="432"/>
        <w:spacing w:after="0" w:line="283" w:lineRule="auto"/>
        <w:rPr>
          <w:sz w:val="20"/>
          <w:szCs w:val="20"/>
          <w:color w:val="auto"/>
        </w:rPr>
      </w:pPr>
      <w:r>
        <w:rPr>
          <w:rFonts w:ascii="Arial" w:cs="Arial" w:eastAsia="Arial" w:hAnsi="Arial"/>
          <w:sz w:val="16"/>
          <w:szCs w:val="16"/>
          <w:color w:val="auto"/>
        </w:rPr>
        <w:t>Our ability to meet our cash requirements, including our debt service obligations, will be dependent upon our operating performance, which will be subject to general economic and competitive conditions and to financial, business and other factors affecting our operations, many of which are or may be beyond our control. We cannot provide assurance that our business operations will generate sufficient cash flows from operations to fund these cash requirements and debt service obligations. If our operating results, cash flow or capital resources prove inadequate, we could face substantial liquidity problems and might be required to dispose of material assets or operations to meet our debt and other obligations. If we are unable to service our debt, we could be forced to reduce or delay planned expansions and capital expenditures, sell assets, restructure or refinance our debt or seek additional equity capital, and we may be unable to take any of these actions on satisfactory terms or in a timely manner. Further, any of these actions may not be sufficient to allow us to service our debt obligations or may have an adverse impact on our business. Our debt agreements limit our ability to take certain of these actions. Our failure to generate sufficient operating cash flow to pay our debts or to successfully undertake any of these actions could have a material adverse effect on us.</w:t>
      </w:r>
    </w:p>
    <w:p>
      <w:pPr>
        <w:spacing w:after="0" w:line="7"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In addition, the degree to which we are leveraged as a result of the indebtedness incurred in connection with an acquisition or otherwise could materially and adversely affect our ability to obtain additional financing for working capital, capital expenditures, acquisitions, debt service requirements or other purposes, could make us more vulnerable to general adverse economic, regulatory and industry conditions, could limit our flexibility in planning for, or reacting to, changes and opportunities in the markets in which we compete, could place us at a competitive disadvantage compared to our competitors that have less debt or could require us to dedicate a substantial portion of our cash flow to service our debt.</w:t>
      </w:r>
    </w:p>
    <w:p>
      <w:pPr>
        <w:spacing w:after="0" w:line="17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The presence of a significant stockholder who may sell our common stock, could cause our stock price to decline or affect the ability of a third party to acquire control of us.</w:t>
      </w:r>
    </w:p>
    <w:p>
      <w:pPr>
        <w:spacing w:after="0" w:line="16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former Navilyst stockholders, including investment funds affiliated with Avista Capital Partners, beneficially own approximately 26% of our outstanding common stock. The sale of a substantial number of our shares by such parties or our other stockholders within a short period of time could cause our stock price to decline, make it more difficult for us to raise funds through future offerings of our common stock or acquire other businesses using our common stock as consideration.</w:t>
      </w:r>
    </w:p>
    <w:p>
      <w:pPr>
        <w:spacing w:after="0" w:line="18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Certain of the former Navilyst stockholders entered into a stockholders agreement at the closing of the acquisition that permits investment funds affiliated with Avista Capital Partners to appoint two directors to our Board of Directors until such time as, with respect to the first director, certain of the former Navilyst stockholders’ beneficial ownership in us has been reduced below 20% of the then outstanding voting shares and, with respect to the second director, certain of the former Navilyst stockholders’ beneficial ownership in us has been reduced below 10% of the then outstanding voting shares. Although these directors will not constitute a majority of the Board of Directors, they may exercise influence over the decisions of the board. David Burgstahler and Sriram Venkataraman were appointed to our Board of Directors on May 22, 2012.</w:t>
      </w:r>
    </w:p>
    <w:p>
      <w:pPr>
        <w:spacing w:after="0" w:line="178"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Having certain of the former Navilyst stockholders as significant stockholders of us may have the effect of making it more difficult for a third party to acquire, or of discouraging a third party from seeking to acquire, a majority of our outstanding common stock or control of our Board of Directors through a proxy solicitation. In that regard, these stockholders and their controlled affiliates are obligated pursuant to the stockholders agreement, in certain circumstances, not to transfer their shares of our common stock, in whole or in part, pursuant to any recapitalization, reclassification, consolidation, merger, share exchange or other business combination transaction involving us or pursuant to any tender, exchange or other similar offer for our common stock unless, in each case, the Board of Directors recommends such transaction or offer or fails to recommend that our stockholders reject such transaction or offer.</w:t>
      </w:r>
    </w:p>
    <w:p>
      <w:pPr>
        <w:spacing w:after="0" w:line="16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For the period from the date that is one year from the date of the stockholders agreement until the first date that certain of the former Navilyst stockholders no longer beneficially own at least ten percent (10%) of the voting securities outstanding at such time, the applicable former Navilyst stockholders agree to vote all voting securities then owned by them either, in the sole discretion of each stockholder, (1) in accordance with the recommendation of our Board or (2) in proportion to the votes cast with respect to the voting securities not owned by the applicable former Navilyst stockholders with respect to any business or proposal on which our stockholders are entitled to vote. If at any time following one (1) year from the date of the stockholders agreement, certain of the former Navilyst stockholders beneficially own less than fifteen percent (15%) of the voting securities then outstanding and there is no stockholder designee then serving on our Board pursuant to the stockholders agreement, the applicable former Navilyst stockholders may vote all voting securities then owned by them in their own discretion.</w:t>
      </w:r>
    </w:p>
    <w:p>
      <w:pPr>
        <w:spacing w:after="0" w:line="18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International and national economic and industry conditions constantly change, and could materially and adversely affect our business, financial condition and results of operations.</w:t>
      </w:r>
    </w:p>
    <w:p>
      <w:pPr>
        <w:spacing w:after="0" w:line="16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business, financial condition and results of operation are affected by many changing economic, industry and other conditions beyond our control. Actual or potential changes in international, national, regional and local economic, business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21" w:name="page22"/>
    <w:bookmarkEnd w:id="21"/>
    <w:p>
      <w:pPr>
        <w:jc w:val="both"/>
        <w:spacing w:after="0" w:line="293" w:lineRule="auto"/>
        <w:rPr>
          <w:sz w:val="20"/>
          <w:szCs w:val="20"/>
          <w:color w:val="auto"/>
        </w:rPr>
      </w:pPr>
      <w:r>
        <w:rPr>
          <w:rFonts w:ascii="Arial" w:cs="Arial" w:eastAsia="Arial" w:hAnsi="Arial"/>
          <w:sz w:val="16"/>
          <w:szCs w:val="16"/>
          <w:color w:val="auto"/>
        </w:rPr>
        <w:t>financial conditions, including recession, inflation and trade protection measures, may negatively affect consumer preferences, perceptions, spending patterns or demographic trends, any of which could adversely affect our business, financial condition or results of operations. Our customers may experience financial difficulties or be unable to borrow money to fund their operations, which may adversely impact their ability or decision to purchase or pay for our products. Disruptions in the credit markets have previously resulted, and could again result, in volatility, decreased liquidity, widening of credit spreads, and reduced availability of financing. There can be no assurance that future financing will be available to us on acceptable terms, if at all. An inability to obtain necessary additional financing on acceptable terms may have an adverse impact on us and on our ability to execute on our business plan.</w:t>
      </w:r>
    </w:p>
    <w:p>
      <w:pPr>
        <w:spacing w:after="0" w:line="161"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Our industry is experiencing greater scrutiny and regulation by governmental authorities, which has led to certain costs and business distractions as we respond to inquiries and comply with new regulations, and may lead to greater governmental regulation in the future.</w:t>
      </w:r>
    </w:p>
    <w:p>
      <w:pPr>
        <w:spacing w:after="0" w:line="142"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medical devices and our business activities are subject to rigorous regulation by the FDA and numerous other federal, state and foreign governmental authorities. These authorities and members of Congress have been increasing their scrutiny of our industry. In addition,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Recent Supreme Court case law has clarified that the FDA’s authority over medical devices preempts state tort laws, but legislation has been introduced at the federal level to allow state intervention, which could lead to increased and inconsistent regulation at the state level. We anticipate that the government will continue to scrutinize our industry closely, and that additional regulation by governmental authorities may increase compliance costs, exposure to litigation and other adverse effects to our operations.</w:t>
      </w:r>
    </w:p>
    <w:p>
      <w:pPr>
        <w:spacing w:after="0" w:line="18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international sales and operations are subject to risks and uncertainties that vary by country and which could have a material adverse effect on our business and/or results of operations.</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Sales outside the United States accounted for approximately 19% of our net sales during our fiscal year ended May 31, 2016. We anticipate that sales from international operations will continue to represent a significant portion of our total sales, and we intend to continue our expansion into emerging and/or faster-growing markets outside the United States. Our sales and profitability from our international operations are subject to risks and uncertainties that can vary by country, and include those related to political and economic conditions, foreign currency exchange rate fluctuations, changes in tax laws, regulatory and reimbursement programs and policies, and the protection of intellectual property rights. These risks and uncertainties could have a material adverse effect on our business and/or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may adversely affect our business, financial condition and results of operations.</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exposed to a variety of market risks, including the effects of changes in foreign currency exchange rates. Products manufactured in, and sold into, foreign markets represent a significant portion of our operations. When the United States dollar strengthens or weakens in relation to the foreign currencies of the countries in which we sell or manufacture our products, such as the euro, our United States dollar-reported revenue and income will fluctuate. As a result of the June 23, 2016 referendum by British voters to exit the European Union, global markets and foreign currencies have been adversely impacted and the value of the Pound Sterling has sharply declined as compared to the U.S. Dollar and other currencies. This volatility in foreign currencies is expected to continue as the U.K. negotiates and executes its exit from the European Union but it is uncertain over what time period this will occur. The effects of currency rate fluctuations and changes in the relative values of currencies may, in some instances, have a significant effect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in the healthcare industry could have an adverse effect on our revenues and results of operations.</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or reductions for medical devices that incorporate components produced by us. If we are forced to reduce our prices because of consolidation in the healthcare industry, our revenues would decrease and our consolidated earnings, financial condition, or cash flow would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We may be limited in our ability to utilize, or may not be able to utilize, net operating loss carryforwards to reduce our future tax liability.</w:t>
      </w:r>
    </w:p>
    <w:p>
      <w:pPr>
        <w:spacing w:after="0" w:line="241"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2016 after considering IRC Section 382 limitations are $151.7 million. The expiration of the Federal net operating loss carryforwards is as follows: $29.8 million between 2017 and 2023 and $121.9 million between 2027 and 2036. Our state net operating loss carryforwards as of May 31, 2016 after considering remaining IRC Section 382 limitations are $30.8 million which expire in various years from 2016 to 2036. Future ownership changes within the meaning of IRC Section 382 may also subject our tax loss carryforwards to annual limitations which would restrict our ability to use them to offset our taxable income in periods following the ownership changes.</w:t>
      </w:r>
    </w:p>
    <w:p>
      <w:pPr>
        <w:spacing w:after="0" w:line="5"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See Note I to our consolidated financial statements included in our Annual Report on Form 10-K for the fiscal year ended May 31, 2016 for a further discussion of our tax loss carryovers.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effective tax rate and changes to tax laws may adversely affect us.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an international company, we are subject to taxation in numerous countries, states and other jurisdictions. Our effective tax rate is derived from a combination of applicable tax rates in the various countries, states and other jurisdictions in which we operate. In preparing our financial statements, we estimate the amount of tax that will become payable in each of these jurisdictions. Our effective tax rate may, however, differ from the estimated amount due to numerous factors, including a change in the mix of our profitability from country to country and changes in tax laws. Any of these factors could cause us to experience an effective tax rate significantly different from previous periods or our current expectations, which could have an adverse effect on our business, financial condition and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maintain our reputation with interventional physicians, our growth will be limited and our business could be harmed.</w:t>
      </w:r>
    </w:p>
    <w:p>
      <w:pPr>
        <w:spacing w:after="0" w:line="229"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Physicians typically influence the medical device purchasing decisions of the hospitals and other healthcare institutions in which they practice. Consequently, our reputation with interventional physicians is critical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and cause our growth to be limited and our business to be harmed.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harmed if we lose the services of our key personnel.</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CEO. Our ability to maintain and expand our business may be impaired if we are unable to retain our current key personnel or hire or retain other qualified personnel in the future. In addition, our sales force is highly talented and there is high competition in the sales industry which could have an adverse effect on our business if there is significant turnover.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Undetected defects may increase our costs and impair the market acceptance of our products.</w:t>
      </w:r>
    </w:p>
    <w:p>
      <w:pPr>
        <w:spacing w:after="0" w:line="22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Our products have occasionally contained, and may in the future contain, undetected defects. When these problems occur, we must divert the attention of our engineering personnel to address them.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In addition, the occurrence of defects may result in significant customer relations problems and injury to our reputation, and may impair market acceptance of our products.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 product liability claim is brought against us or our product liability insurance coverage is inadequate, our business could be harmed.</w:t>
      </w:r>
    </w:p>
    <w:p>
      <w:pPr>
        <w:spacing w:after="0" w:line="241"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The design, manufacture and marketing of the types of medical devices we sell entail an inherent risk of product liability. Our products are used by physicians to treat seriously ill patients. We are periodically subject to product liability claims, and patients or customers may in the future bring claims against us in a number of circumstances and for a number of reasons,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ind w:right="80"/>
        <w:spacing w:after="0" w:line="297" w:lineRule="auto"/>
        <w:rPr>
          <w:sz w:val="20"/>
          <w:szCs w:val="20"/>
          <w:color w:val="auto"/>
        </w:rPr>
      </w:pPr>
      <w:r>
        <w:rPr>
          <w:rFonts w:ascii="Arial" w:cs="Arial" w:eastAsia="Arial" w:hAnsi="Arial"/>
          <w:sz w:val="16"/>
          <w:szCs w:val="16"/>
          <w:color w:val="auto"/>
        </w:rPr>
        <w:t>including if our products were misused, if a component of our product fails, if their manufacture or design was flawed, if they produced unsatisfactory results or if the instructions for use and operating manuals and disclosure of product related risks for our products were found to be inadequate. In addition, individuals or groups seeking to represent a class may file suit against us. The outcome of litigation, particularly class action lawsuits, is difficult to assess or quantify. Plaintiffs in these types of lawsuits often seek recovery of very large or indeterminate amounts, including not only actual damages, but also punitive damages. The magnitude of the potential losses relating to these lawsuits may remain unknown for substantial periods of time.</w:t>
      </w:r>
    </w:p>
    <w:p>
      <w:pPr>
        <w:spacing w:after="0" w:line="158"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carry a product liability policy with a limit of $10,000,000 per product liability claim and an aggregate policy limit of $10,000,000, subject to a self-insured retention of $500,000 per occurrence and $2,000,000 in the aggregate. We believe, based on claims made against us in the past, our existing product liability insurance coverage is reasonably adequate to protect us 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and results of operations could be negatively impacted. Further, such claims may require us to recall some of our products, which could result in significant costs to us and could divert management’s attention from our business.</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Modifications to our current products may require new marketing clearances or approvals or require us to cease marketing or recall the modified products until such clearances or approvals are obtained.</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Any modification to an FDA-cleared medical device that could significantly affect its safety or effectiveness, or that would constitute a major change or modification in its intended use, requires a new FDA 510(k) clearance or, possibly, a premarket approval. The FDA requires every manufacturer to make its own determination as to whether a modification requires a new 510(k) clearance or premarket approval, but the FDA may review and disagree with any decision reached by the manufacturer. We have modified aspects of some of our devices since receiving regulatory clearance. We believed that some of these modifications did not require new 510(k) clearance or premarket approval and, therefore, we did not seek new 510(k) clearances or premarket approvals. In the future, we may make additional modifications to our products after they have received FDA clearance or approval and, in appropriate circumstances, determine that new clearance or approval is unnecessary. Regulations in other countries in which we market or sell, or propose to market or sell, our products may also require that we make judgments about changes to our products and whether or not those changes are such that regulatory approval or clearance should be obtained. In the United States and elsewhere, regulatory authorities may disagree with our past or future decisions not to seek new clearance or approval and may require us to obtain clearance or approval for modifications to our products. If that were to occur for a previously cleared or approved product, we may be required to cease marketing or recall the modified device until we obtain the necessary clearance or approval. Under these circumstances, we may also be subject to significant regulatory fines or other penalties. If any of the foregoing were to occur, our financial condition and results of operations could be negatively impacted.</w:t>
      </w:r>
    </w:p>
    <w:p>
      <w:pPr>
        <w:spacing w:after="0" w:line="18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We are subject to healthcare fraud and abuse regulations that could result in significant liability, require us to change our business practices and restrict our operations in the future.</w:t>
      </w:r>
    </w:p>
    <w:p>
      <w:pPr>
        <w:spacing w:after="0" w:line="166"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are subject to various federal, state and local laws targeting fraud and abuse in the healthcare industry, including anti-kickback and false claims laws. Violations of these laws are punishable by criminal or civil sanctions, including substantial fines, imprisonment and exclusion from participation in healthcare programs such as Medicare and Medicaid and health programs outside the United States. These laws and regulations are wide ranging and subject to changing interpretation and application, which could restrict our sales or marketing practices. Furthermore, since many of our customers rely on reimbursement from Medicare, Medicaid and other governmental programs to cover a substantial portion of their expenditures, our exclusion from such programs as a result of a violation of these laws could have a material adverse effect on our business, results of operations, financial condition and cash flow.</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our employees or agents violate the U.S. Foreign Corrupt Practices Act or anti-bribery laws in other jurisdictions, we may incur fines or penalties, or experience other adverse consequences.</w:t>
      </w:r>
    </w:p>
    <w:p>
      <w:pPr>
        <w:spacing w:after="0" w:line="166"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are subject to the U.S. Foreign Corrupt Practices Act, or FCPA, and similar anti-bribery laws in international jurisdictions, including the UK Anti-Bribery Act, which generally prohibit companies and their intermediaries from making improper payments to non-U.S. officials for the purpose of obtaining or retaining business. Because of the predominance of government-sponsored healthcare systems around the world, many of our customer relationships outside of the United States are with governmental entities and are therefore subject to such anti-bribery laws. Our sales to customers and distributors outside of the United States have been increasing and we expect them to continue to increase in the future. If our employees 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jc w:val="both"/>
        <w:ind w:right="420"/>
        <w:spacing w:after="0" w:line="342" w:lineRule="auto"/>
        <w:rPr>
          <w:sz w:val="20"/>
          <w:szCs w:val="20"/>
          <w:color w:val="auto"/>
        </w:rPr>
      </w:pPr>
      <w:r>
        <w:rPr>
          <w:rFonts w:ascii="Arial" w:cs="Arial" w:eastAsia="Arial" w:hAnsi="Arial"/>
          <w:sz w:val="16"/>
          <w:szCs w:val="16"/>
          <w:color w:val="auto"/>
        </w:rPr>
        <w:t>agents violate the provisions of the FCPA or other anti-bribery laws, we may incur fines or penalties, we may be unable to market our products in other countries or we may experience other adverse consequences which could have a material adverse effect on our operating results or financial condition.</w:t>
      </w:r>
    </w:p>
    <w:p>
      <w:pPr>
        <w:spacing w:after="0" w:line="12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Any disaster at our manufacturing facilities could disrupt our ability to manufacture our products for a substantial amount of time, which could cause our revenues to decrease.</w:t>
      </w:r>
    </w:p>
    <w:p>
      <w:pPr>
        <w:spacing w:after="0" w:line="16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We conduct our manufacturing and assembly at facilities in Queensbury, New York, Glens Falls, New York, Manchester, Georgia, and Denmead, England. It would be difficult, expensive and time-consuming to transfer resources from one facility to the other, replace, or repair these facilities and our manufacturing equipment if they were significantly affected by a disaster. Additionally, we might be forced to rely on third-party manufacturers or to delay production of our products. Insurance for damage to our properties and the disruption of our business from disasters may not be sufficient to cover all of our potential losses and may not continue to be available to us on acceptable terms, or at all. In addition, if one of our principal suppliers were to experience a similar disaster, uninsured loss or under-insured loss, we might not be able to obtain adequate alternative sources of supplies or products or could face significant delays and incur substantial expense in doing so. Any significant uninsured loss, prolonged or repeated disruption, or inability to operate experienced by us or any of our principal suppliers could cause significant harm to our business, financial condition and results of operations.</w:t>
      </w:r>
    </w:p>
    <w:p>
      <w:pPr>
        <w:spacing w:after="0" w:line="16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future operating results are difficult to predict and may vary significantly from quarter to quarter, which may adversely affect the price of our common stock.</w:t>
      </w:r>
    </w:p>
    <w:p>
      <w:pPr>
        <w:spacing w:after="0" w:line="16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spacing w:after="0" w:line="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sales of our products and services in our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introduce new products or services and enhancements in a timely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and acceptance of our products and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our competition and the introduction of alternative products or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command favorable pricing for our products and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growth of the market for our devices and services;</w:t>
      </w:r>
    </w:p>
    <w:p>
      <w:pPr>
        <w:spacing w:after="0" w:line="9" w:lineRule="exact"/>
        <w:rPr>
          <w:rFonts w:ascii="Arial" w:cs="Arial" w:eastAsia="Arial" w:hAnsi="Arial"/>
          <w:sz w:val="18"/>
          <w:szCs w:val="18"/>
          <w:color w:val="auto"/>
        </w:rPr>
      </w:pPr>
    </w:p>
    <w:p>
      <w:pPr>
        <w:ind w:left="980" w:right="96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expansion and rate of success of our direct sales force in the United States and internationally and our independent distributors internationally;</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relating to ongoing FDA compliance;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intellectual property disputes;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and timing of orders from independent distributors or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attraction and retention of key personnel, particularly in sales and marketing, regulatory, manufacturing and research and development;</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delays or an inability to control costs;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as well as those specific to our customers and markets;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fluctuations in revenue due to the elective nature of some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may be volatile, which may cause the value of our stock to decline or subject us to a securities class action litigation.</w:t>
      </w:r>
    </w:p>
    <w:p>
      <w:pPr>
        <w:spacing w:after="0" w:line="241" w:lineRule="exact"/>
        <w:rPr>
          <w:sz w:val="20"/>
          <w:szCs w:val="20"/>
          <w:color w:val="auto"/>
        </w:rPr>
      </w:pPr>
    </w:p>
    <w:p>
      <w:pPr>
        <w:ind w:right="80" w:firstLine="432"/>
        <w:spacing w:after="0" w:line="258" w:lineRule="auto"/>
        <w:rPr>
          <w:sz w:val="20"/>
          <w:szCs w:val="20"/>
          <w:color w:val="auto"/>
        </w:rPr>
      </w:pPr>
      <w:r>
        <w:rPr>
          <w:rFonts w:ascii="Arial" w:cs="Arial" w:eastAsia="Arial" w:hAnsi="Arial"/>
          <w:sz w:val="18"/>
          <w:szCs w:val="18"/>
          <w:color w:val="auto"/>
        </w:rPr>
        <w:t>The trading price of our common stock price may be volatile and could be subject to wide fluctuations in price in response to various factors, many of which are beyond our control, including:</w:t>
      </w:r>
    </w:p>
    <w:p>
      <w:pPr>
        <w:spacing w:after="0" w:line="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actions by institutional or other large stockholders;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volume and timing of orders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generally affecting medical device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investor perceptions of us and our business, including changes in market valuations of medical device companies;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results of operations and financial performance.</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584" w:right="339" w:bottom="1440" w:gutter="0" w:footer="0" w:header="0"/>
        </w:sectPr>
      </w:pPr>
    </w:p>
    <w:bookmarkStart w:id="25" w:name="page26"/>
    <w:bookmarkEnd w:id="25"/>
    <w:p>
      <w:pPr>
        <w:ind w:firstLine="432"/>
        <w:spacing w:after="0" w:line="276" w:lineRule="auto"/>
        <w:rPr>
          <w:sz w:val="20"/>
          <w:szCs w:val="20"/>
          <w:color w:val="auto"/>
        </w:rPr>
      </w:pPr>
      <w:r>
        <w:rPr>
          <w:rFonts w:ascii="Arial" w:cs="Arial" w:eastAsia="Arial" w:hAnsi="Arial"/>
          <w:sz w:val="17"/>
          <w:szCs w:val="17"/>
          <w:color w:val="auto"/>
        </w:rPr>
        <w:t>In addition, the stock market in general, and the NASDAQ Stock Market and the market for medical devices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market price of its common stock. We may become involved in this type of litigation in the future. Any securities litigation claims brought against us could result in substantial expense and the diversion of management’s attention from our business.</w:t>
      </w:r>
    </w:p>
    <w:p>
      <w:pPr>
        <w:spacing w:after="0" w:line="16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spacing w:after="0" w:line="180" w:lineRule="exact"/>
        <w:rPr>
          <w:sz w:val="20"/>
          <w:szCs w:val="20"/>
          <w:color w:val="auto"/>
        </w:rPr>
      </w:pPr>
    </w:p>
    <w:p>
      <w:pPr>
        <w:ind w:right="180" w:firstLine="432"/>
        <w:spacing w:after="0" w:line="288" w:lineRule="auto"/>
        <w:rPr>
          <w:sz w:val="20"/>
          <w:szCs w:val="20"/>
          <w:color w:val="auto"/>
        </w:rPr>
      </w:pPr>
      <w:r>
        <w:rPr>
          <w:rFonts w:ascii="Arial" w:cs="Arial" w:eastAsia="Arial" w:hAnsi="Arial"/>
          <w:sz w:val="16"/>
          <w:szCs w:val="16"/>
          <w:color w:val="auto"/>
        </w:rPr>
        <w:t>Our amended and restated certificate of incorporation and our amended and restated bylaws contain provisions that may enable our management to resist a change in control. These provisions may discourage, delay or prevent a change in the ownership of our company or a change in our management. In addition, these provisions could limit the price that investors would be willing to pay in the future for shares of our common stock. Such provisions include:</w:t>
      </w:r>
    </w:p>
    <w:p>
      <w:pPr>
        <w:ind w:left="980" w:right="16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is authorized, without prior stockholder approval, to create and issue “blank check” preferred stock, with rights senior to those of our common stock;</w:t>
      </w:r>
    </w:p>
    <w:p>
      <w:pPr>
        <w:ind w:left="980" w:right="4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is classified so that not all members of our board of directors are elected at one time, which may make it more difficult for a person who acquires control of a majority of our outstanding voting stock to replace our directors;</w:t>
      </w:r>
    </w:p>
    <w:p>
      <w:pPr>
        <w:ind w:left="980" w:right="12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requirements for stockholders to nominate individuals to serve on our board of directors or for stockholders to submit proposals that can be acted upon at stockholder meetings;</w:t>
      </w: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stockholder action by written consent is prohibited;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stockholders are not permitted to cumulatively vote for the election of directors.</w:t>
      </w:r>
    </w:p>
    <w:p>
      <w:pPr>
        <w:spacing w:after="0" w:line="21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are also subject to the provisions of Section 203 of the Delaware General Corporation Law, which may prohibit certain business combinations with stockholders owning 15% or more of our outstanding voting stock.</w:t>
      </w:r>
    </w:p>
    <w:p>
      <w:pPr>
        <w:spacing w:after="0" w:line="17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delaying or impeding a merger, tender offer or proxy contest involving our company. Any delay or prevention of a change of control transaction or changes in our board of directors could cause the market price of our common stock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goodwill, intangible assets and fixed assets are subject to potential impairment.</w:t>
      </w:r>
    </w:p>
    <w:p>
      <w:pPr>
        <w:spacing w:after="0" w:line="22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 significant portion of our assets consists of goodwill, intangible assets and fixed assets, the carrying value of which may be reduced if we determine that those assets are impaired.</w:t>
      </w:r>
    </w:p>
    <w:p>
      <w:pPr>
        <w:spacing w:after="0" w:line="170"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annually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is not recoverable we test intangible assets for impairment based on estimates of future cash flows. If an intangible asset is considered to be impaired, the amount of the impairment will equal the excess of the carrying value over the fair value of the asset.</w:t>
      </w:r>
    </w:p>
    <w:p>
      <w:pPr>
        <w:spacing w:after="0" w:line="16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review our single reporting unit for potential goodwill impairment in the third fiscal quarter of each year as part of our annual goodwill impairment testing, and more often if an event or circumstance occurs making it likely that impairment exists. We conduct impairment testing based on our current business strategy in light of present industry and economic conditions, as well as future expectations. The annual goodwill impairment review performed in December 2015 indicated no goodwill impairments.</w:t>
      </w:r>
    </w:p>
    <w:p>
      <w:pPr>
        <w:spacing w:after="0" w:line="18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If actual results differ from the assumptions and estimates used in the goodwill and intangible asset calculations, we could incur future impairment or amortization charges, which could negatively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Failure to attract additional capital which we may require to expand our business could curtail our growth.</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may require additional capital to expand our business. If cash generated internally is insufficient to fund capital requirements, we will require additional debt or equity financing. In addition, we may require financing to fund any significant acquisitions we may seek to make. Needed financing may not be available or, if available, may not be available on terms satisfactory to us and may result in significant stockholder dilution. Covenants in our existing financing agreements may also restrict our ability to obtain additional debt financing. If we fail to obtain sufficient additional capital in the future, we could be forced to curtail our growth strategy by reducing or delaying capital expenditures and acquisitions, selling assets, restructuring our operations or refinancing our indebtedness.</w:t>
      </w:r>
    </w:p>
    <w:p>
      <w:pPr>
        <w:spacing w:after="0" w:line="189" w:lineRule="exact"/>
        <w:rPr>
          <w:sz w:val="20"/>
          <w:szCs w:val="20"/>
          <w:color w:val="auto"/>
        </w:rPr>
      </w:pPr>
    </w:p>
    <w:p>
      <w:pPr>
        <w:ind w:right="460"/>
        <w:spacing w:after="0" w:line="313" w:lineRule="auto"/>
        <w:rPr>
          <w:sz w:val="20"/>
          <w:szCs w:val="20"/>
          <w:color w:val="auto"/>
        </w:rPr>
      </w:pPr>
      <w:r>
        <w:rPr>
          <w:rFonts w:ascii="Arial" w:cs="Arial" w:eastAsia="Arial" w:hAnsi="Arial"/>
          <w:sz w:val="17"/>
          <w:szCs w:val="17"/>
          <w:b w:val="1"/>
          <w:bCs w:val="1"/>
          <w:color w:val="auto"/>
        </w:rPr>
        <w:t>We rely on the proper function, availability and security of information technology systems to operate our business and a cyber-attack or other breach of these systems could have a material adverse effect on our business, financial condition or results of operations.</w:t>
      </w:r>
    </w:p>
    <w:p>
      <w:pPr>
        <w:spacing w:after="0" w:line="14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a cyber-attack, malicious intrusion, breakdown, destruction, loss of data privacy, or other significant disruption.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 with our products or our proprietary information. Any failure by us to maintain or protect our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184"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We, our competitors or other third parties, may engage in clinical trials with respect to our products. The results of these trials may be unfavorable, or perceived as unfavorable by the market, and could have a material adverse effect on our business, financial condition or results of operations.</w:t>
      </w:r>
    </w:p>
    <w:p>
      <w:pPr>
        <w:spacing w:after="0" w:line="120"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products may be the subject of clinical trials conducted by us, our competitors or third parties for the purposes of obtaining regulatory clearances or to gather market data. Unfavorable or inconsistent clinical data from existing or future clinical trials conducted by us, by our competitors or by third parties, or the FDA's or the market's perception of this clinical data, may adversely impact our ability to obtain product approvals, our position in, and share of, the markets in which we participate and our business, financial condition, results of operations or future prospects</w:t>
      </w:r>
    </w:p>
    <w:p>
      <w:pPr>
        <w:spacing w:after="0" w:line="33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year ended May 31, 2016, we operated in the following locations: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1140" w:type="dxa"/>
            <w:vAlign w:val="bottom"/>
            <w:vMerge w:val="restart"/>
          </w:tcPr>
          <w:p>
            <w:pPr>
              <w:spacing w:after="0"/>
              <w:rPr>
                <w:sz w:val="14"/>
                <w:szCs w:val="14"/>
                <w:color w:val="auto"/>
              </w:rPr>
            </w:pPr>
          </w:p>
        </w:tc>
        <w:tc>
          <w:tcPr>
            <w:tcW w:w="400" w:type="dxa"/>
            <w:vAlign w:val="bottom"/>
            <w:vMerge w:val="restart"/>
          </w:tcPr>
          <w:p>
            <w:pPr>
              <w:spacing w:after="0"/>
              <w:rPr>
                <w:sz w:val="14"/>
                <w:szCs w:val="14"/>
                <w:color w:val="auto"/>
              </w:rPr>
            </w:pPr>
          </w:p>
        </w:tc>
        <w:tc>
          <w:tcPr>
            <w:tcW w:w="3400" w:type="dxa"/>
            <w:vAlign w:val="bottom"/>
            <w:vMerge w:val="restart"/>
          </w:tcPr>
          <w:p>
            <w:pPr>
              <w:jc w:val="right"/>
              <w:ind w:right="1692"/>
              <w:spacing w:after="0"/>
              <w:rPr>
                <w:sz w:val="20"/>
                <w:szCs w:val="20"/>
                <w:color w:val="auto"/>
              </w:rPr>
            </w:pPr>
            <w:r>
              <w:rPr>
                <w:rFonts w:ascii="Arial" w:cs="Arial" w:eastAsia="Arial" w:hAnsi="Arial"/>
                <w:sz w:val="14"/>
                <w:szCs w:val="14"/>
                <w:b w:val="1"/>
                <w:bCs w:val="1"/>
                <w:color w:val="auto"/>
              </w:rPr>
              <w:t>Purpose</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Approx.</w:t>
            </w: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34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Sq. Ft.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Latham, NY</w:t>
            </w:r>
          </w:p>
        </w:tc>
        <w:tc>
          <w:tcPr>
            <w:tcW w:w="3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Corporate headquarters</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Glens Falls, NY</w:t>
            </w:r>
          </w:p>
        </w:tc>
        <w:tc>
          <w:tcPr>
            <w:tcW w:w="3400" w:type="dxa"/>
            <w:vAlign w:val="bottom"/>
          </w:tcPr>
          <w:p>
            <w:pPr>
              <w:jc w:val="right"/>
              <w:ind w:right="192"/>
              <w:spacing w:after="0"/>
              <w:rPr>
                <w:sz w:val="20"/>
                <w:szCs w:val="20"/>
                <w:color w:val="auto"/>
              </w:rPr>
            </w:pPr>
            <w:r>
              <w:rPr>
                <w:rFonts w:ascii="Arial" w:cs="Arial" w:eastAsia="Arial" w:hAnsi="Arial"/>
                <w:sz w:val="18"/>
                <w:szCs w:val="18"/>
                <w:color w:val="auto"/>
              </w:rPr>
              <w:t>Manufacturing and distribution</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189,000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Queensbury, NY</w:t>
            </w:r>
          </w:p>
        </w:tc>
        <w:tc>
          <w:tcPr>
            <w:tcW w:w="3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Manufacturing and distribution</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Manchester, GA</w:t>
            </w:r>
          </w:p>
        </w:tc>
        <w:tc>
          <w:tcPr>
            <w:tcW w:w="3400" w:type="dxa"/>
            <w:vAlign w:val="bottom"/>
          </w:tcPr>
          <w:p>
            <w:pPr>
              <w:jc w:val="right"/>
              <w:ind w:right="192"/>
              <w:spacing w:after="0"/>
              <w:rPr>
                <w:sz w:val="20"/>
                <w:szCs w:val="20"/>
                <w:color w:val="auto"/>
              </w:rPr>
            </w:pPr>
            <w:r>
              <w:rPr>
                <w:rFonts w:ascii="Arial" w:cs="Arial" w:eastAsia="Arial" w:hAnsi="Arial"/>
                <w:sz w:val="18"/>
                <w:szCs w:val="18"/>
                <w:color w:val="auto"/>
              </w:rPr>
              <w:t>Manufacturing and distribution</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Marlborough, MA</w:t>
            </w:r>
          </w:p>
        </w:tc>
        <w:tc>
          <w:tcPr>
            <w:tcW w:w="3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Research &amp; Development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Denmead, U.K.</w:t>
            </w:r>
          </w:p>
        </w:tc>
        <w:tc>
          <w:tcPr>
            <w:tcW w:w="3400" w:type="dxa"/>
            <w:vAlign w:val="bottom"/>
          </w:tcPr>
          <w:p>
            <w:pPr>
              <w:jc w:val="right"/>
              <w:ind w:right="192"/>
              <w:spacing w:after="0"/>
              <w:rPr>
                <w:sz w:val="20"/>
                <w:szCs w:val="20"/>
                <w:color w:val="auto"/>
              </w:rPr>
            </w:pPr>
            <w:r>
              <w:rPr>
                <w:rFonts w:ascii="Arial" w:cs="Arial" w:eastAsia="Arial" w:hAnsi="Arial"/>
                <w:sz w:val="18"/>
                <w:szCs w:val="18"/>
                <w:color w:val="auto"/>
              </w:rPr>
              <w:t>Manufacturing</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Amsterdam, NL</w:t>
            </w:r>
          </w:p>
        </w:tc>
        <w:tc>
          <w:tcPr>
            <w:tcW w:w="3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Selling, Marketing &amp; Administrative</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84"/>
        </w:trPr>
        <w:tc>
          <w:tcPr>
            <w:tcW w:w="5320" w:type="dxa"/>
            <w:vAlign w:val="bottom"/>
            <w:gridSpan w:val="3"/>
          </w:tcPr>
          <w:p>
            <w:pPr>
              <w:ind w:left="440"/>
              <w:spacing w:after="0"/>
              <w:rPr>
                <w:sz w:val="20"/>
                <w:szCs w:val="20"/>
                <w:color w:val="auto"/>
              </w:rPr>
            </w:pPr>
            <w:r>
              <w:rPr>
                <w:rFonts w:ascii="Arial" w:cs="Arial" w:eastAsia="Arial" w:hAnsi="Arial"/>
                <w:sz w:val="18"/>
                <w:szCs w:val="18"/>
                <w:color w:val="auto"/>
                <w:w w:val="97"/>
              </w:rPr>
              <w:t>In addition, we lease sales offices in various other jurisdictions.</w:t>
            </w:r>
          </w:p>
        </w:tc>
        <w:tc>
          <w:tcPr>
            <w:tcW w:w="3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0" w:type="dxa"/>
            <w:vAlign w:val="bottom"/>
          </w:tcPr>
          <w:p>
            <w:pPr>
              <w:jc w:val="right"/>
              <w:ind w:right="2832"/>
              <w:spacing w:after="0"/>
              <w:rPr>
                <w:sz w:val="20"/>
                <w:szCs w:val="20"/>
                <w:color w:val="auto"/>
              </w:rPr>
            </w:pPr>
            <w:r>
              <w:rPr>
                <w:rFonts w:ascii="Arial" w:cs="Arial" w:eastAsia="Arial" w:hAnsi="Arial"/>
                <w:sz w:val="18"/>
                <w:szCs w:val="18"/>
                <w:color w:val="auto"/>
              </w:rPr>
              <w:t>25</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7" w:name="page28"/>
    <w:bookmarkEnd w:id="27"/>
    <w:p>
      <w:pPr>
        <w:ind w:left="4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225"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178" w:lineRule="exact"/>
        <w:rPr>
          <w:sz w:val="20"/>
          <w:szCs w:val="20"/>
          <w:color w:val="auto"/>
        </w:rPr>
      </w:pPr>
    </w:p>
    <w:p>
      <w:pPr>
        <w:ind w:firstLine="864"/>
        <w:spacing w:after="0" w:line="286" w:lineRule="auto"/>
        <w:rPr>
          <w:sz w:val="20"/>
          <w:szCs w:val="20"/>
          <w:color w:val="auto"/>
        </w:rPr>
      </w:pPr>
      <w:r>
        <w:rPr>
          <w:rFonts w:ascii="Arial" w:cs="Arial" w:eastAsia="Arial" w:hAnsi="Arial"/>
          <w:sz w:val="16"/>
          <w:szCs w:val="16"/>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have also filed an appeal with the U.S. Court of Appeals for the First Circuit regarding civil contempt sanctions imposed by the Massachusetts District Court as a result of defendants’ completion of the downstream merger in violation of the Court’s injunction. On May 6, 2016, the First Circuit issued an opinion rejecting this latest appeal. On February 18, 2016, the Massachusetts District Court issued an order compelling the Massachusetts defendants to provide post-judgment discovery intended to aid us in potentially collecting our judgment. On March 21, 2016, the Massachusetts defendants noticed an appeal from this order. On June 27, 2016, we filed a motion asking the Massachusetts District Court to impose sanctions on the Massachusetts defendants for their failure to comply with the post-judgment discovery order.</w:t>
      </w:r>
    </w:p>
    <w:p>
      <w:pPr>
        <w:spacing w:after="0" w:line="61" w:lineRule="exact"/>
        <w:rPr>
          <w:sz w:val="20"/>
          <w:szCs w:val="20"/>
          <w:color w:val="auto"/>
        </w:rPr>
      </w:pPr>
    </w:p>
    <w:p>
      <w:pPr>
        <w:ind w:firstLine="878"/>
        <w:spacing w:after="0" w:line="293"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 On January 21, 2016, the four Chapter 7 cases were transferred at our request to the U.S. Bankruptcy Court for the District of New Jersey.</w:t>
      </w:r>
    </w:p>
    <w:p>
      <w:pPr>
        <w:spacing w:after="0" w:line="57" w:lineRule="exact"/>
        <w:rPr>
          <w:sz w:val="20"/>
          <w:szCs w:val="20"/>
          <w:color w:val="auto"/>
        </w:rPr>
      </w:pPr>
    </w:p>
    <w:p>
      <w:pPr>
        <w:ind w:right="4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right="40" w:firstLine="864"/>
        <w:spacing w:after="0" w:line="273" w:lineRule="auto"/>
        <w:rPr>
          <w:sz w:val="20"/>
          <w:szCs w:val="20"/>
          <w:color w:val="auto"/>
        </w:rPr>
      </w:pPr>
      <w:r>
        <w:rPr>
          <w:rFonts w:ascii="Arial" w:cs="Arial" w:eastAsia="Arial" w:hAnsi="Arial"/>
          <w:sz w:val="17"/>
          <w:szCs w:val="17"/>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742" w:right="279" w:bottom="1440" w:gutter="0" w:footer="0" w:header="0"/>
        </w:sectPr>
      </w:pPr>
    </w:p>
    <w:bookmarkStart w:id="28" w:name="page29"/>
    <w:bookmarkEnd w:id="28"/>
    <w:p>
      <w:pPr>
        <w:ind w:right="40"/>
        <w:spacing w:after="0" w:line="288" w:lineRule="auto"/>
        <w:rPr>
          <w:sz w:val="20"/>
          <w:szCs w:val="20"/>
          <w:color w:val="auto"/>
        </w:rPr>
      </w:pPr>
      <w:r>
        <w:rPr>
          <w:rFonts w:ascii="Arial" w:cs="Arial" w:eastAsia="Arial" w:hAnsi="Arial"/>
          <w:sz w:val="16"/>
          <w:szCs w:val="16"/>
          <w:color w:val="auto"/>
        </w:rPr>
        <w:t>Rejection of all 40 claims subject to reexamination. Thereafter, Bard filed appeals to the PTO Board of Appeals and Interferences for all three reexams. The parties completed briefing on the appeals and oral argument was held on June 18, 2015. The Patent Office has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Bard has since filed Requests for Rehearing in all three reexamination appeals and the Company filed Requests for Rehearing in two of the reexamination appeals (the ‘302 and ‘615 patent reexaminations). Each party has filed comments in Opposition to the other party’s Rehearing Requests, and we are awaiting the PTO determinations in all three reexaminations. The Utah Action has been stayed pending final resolution of the 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69" w:lineRule="exact"/>
        <w:rPr>
          <w:sz w:val="20"/>
          <w:szCs w:val="20"/>
          <w:color w:val="auto"/>
        </w:rPr>
      </w:pPr>
    </w:p>
    <w:p>
      <w:pPr>
        <w:ind w:firstLine="864"/>
        <w:spacing w:after="0" w:line="268" w:lineRule="auto"/>
        <w:rPr>
          <w:sz w:val="20"/>
          <w:szCs w:val="20"/>
          <w:color w:val="auto"/>
        </w:rPr>
      </w:pPr>
      <w:r>
        <w:rPr>
          <w:rFonts w:ascii="Arial" w:cs="Arial" w:eastAsia="Arial" w:hAnsi="Arial"/>
          <w:sz w:val="17"/>
          <w:szCs w:val="17"/>
          <w:color w:val="auto"/>
        </w:rPr>
        <w:t>On March 10, 2015, C.R. Bard, Inc. and Bard Peripheral Vascular, Inc. (“Bard”)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we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since served various discovery requests on each other; on May 27, 2016 Bard served its Infringement Contentions which identified all the port products accused of infringement; and, on June 24, 2016, we served Invalidity Contentions which detail various grounds for invalidating the three asserted patents.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316"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9" w:name="page30"/>
    <w:bookmarkEnd w:id="29"/>
    <w:p>
      <w:pPr>
        <w:ind w:left="1040" w:right="2780" w:hanging="998"/>
        <w:spacing w:after="0" w:line="277"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common stock is traded on The Global Select Market tier of The NASDAQ Stock Market LLC (formerly the Nasdaq National Market), under the symbol “ANGO.”</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sets forth, for the fiscal quarters indicated, the high and low sale prices for our common stock as reported by The NASDAQ Stock Market.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Sale Price</w:t>
            </w:r>
          </w:p>
        </w:tc>
        <w:tc>
          <w:tcPr>
            <w:tcW w:w="130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2"/>
                <w:szCs w:val="22"/>
                <w:color w:val="auto"/>
              </w:rPr>
            </w:pPr>
          </w:p>
        </w:tc>
        <w:tc>
          <w:tcPr>
            <w:tcW w:w="1300" w:type="dxa"/>
            <w:vAlign w:val="bottom"/>
          </w:tcPr>
          <w:p>
            <w:pPr>
              <w:jc w:val="right"/>
              <w:ind w:right="694"/>
              <w:spacing w:after="0"/>
              <w:rPr>
                <w:sz w:val="20"/>
                <w:szCs w:val="20"/>
                <w:color w:val="auto"/>
              </w:rPr>
            </w:pPr>
            <w:r>
              <w:rPr>
                <w:rFonts w:ascii="Arial" w:cs="Arial" w:eastAsia="Arial" w:hAnsi="Arial"/>
                <w:sz w:val="14"/>
                <w:szCs w:val="14"/>
                <w:b w:val="1"/>
                <w:bCs w:val="1"/>
                <w:color w:val="auto"/>
              </w:rPr>
              <w:t>Low</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May 31, 2016</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10.76</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11.24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14.31</w:t>
            </w:r>
          </w:p>
        </w:tc>
      </w:tr>
      <w:tr>
        <w:trPr>
          <w:trHeight w:val="318"/>
        </w:trPr>
        <w:tc>
          <w:tcPr>
            <w:tcW w:w="7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Sale Price</w:t>
            </w:r>
          </w:p>
        </w:tc>
        <w:tc>
          <w:tcPr>
            <w:tcW w:w="1300" w:type="dxa"/>
            <w:vAlign w:val="bottom"/>
            <w:tcBorders>
              <w:bottom w:val="single" w:sz="8" w:color="auto"/>
            </w:tcBorders>
          </w:tcPr>
          <w:p>
            <w:pPr>
              <w:spacing w:after="0"/>
              <w:rPr>
                <w:sz w:val="24"/>
                <w:szCs w:val="24"/>
                <w:color w:val="auto"/>
              </w:rPr>
            </w:pPr>
          </w:p>
        </w:tc>
      </w:tr>
      <w:tr>
        <w:trPr>
          <w:trHeight w:val="264"/>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22"/>
                <w:szCs w:val="22"/>
                <w:color w:val="auto"/>
              </w:rPr>
            </w:pPr>
          </w:p>
        </w:tc>
        <w:tc>
          <w:tcPr>
            <w:tcW w:w="1300" w:type="dxa"/>
            <w:vAlign w:val="bottom"/>
          </w:tcPr>
          <w:p>
            <w:pPr>
              <w:jc w:val="right"/>
              <w:ind w:right="694"/>
              <w:spacing w:after="0"/>
              <w:rPr>
                <w:sz w:val="20"/>
                <w:szCs w:val="20"/>
                <w:color w:val="auto"/>
              </w:rPr>
            </w:pPr>
            <w:r>
              <w:rPr>
                <w:rFonts w:ascii="Arial" w:cs="Arial" w:eastAsia="Arial" w:hAnsi="Arial"/>
                <w:sz w:val="14"/>
                <w:szCs w:val="14"/>
                <w:b w:val="1"/>
                <w:bCs w:val="1"/>
                <w:color w:val="auto"/>
              </w:rPr>
              <w:t>Low</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May 31, 2015</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15.54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19.72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13.29</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16.60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13.80</w:t>
            </w:r>
          </w:p>
        </w:tc>
      </w:tr>
      <w:tr>
        <w:trPr>
          <w:trHeight w:val="27"/>
        </w:trPr>
        <w:tc>
          <w:tcPr>
            <w:tcW w:w="7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22, 2016, there were 202 holders of record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did not declare any cash dividends on our common stock during our last three fiscal years. We do not anticipate paying any cash dividends on our common stock for the foreseeable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graph below matches AngioDynamics, Inc.’s cumulative 5-year total shareholder return on common stock with the cumulative total returns of the NASDAQ Composite index, the RDG SmallCap Medical Devices index, and the NASDAQ Medical Equipment index. The graph tracks the performance of a $100 investment in our common stock and in each index (with the reinvestment of all dividends) from May 31, 2011 to May 31, 2016. The stock price performance included in this graph is not necessarily indicative of future stock price performance.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1375410</wp:posOffset>
            </wp:positionH>
            <wp:positionV relativeFrom="page">
              <wp:posOffset>431800</wp:posOffset>
            </wp:positionV>
            <wp:extent cx="4810760" cy="3653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81076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019"/>
          </w:cols>
          <w:pgMar w:left="1440" w:top="1440" w:right="1440" w:bottom="1440" w:gutter="0" w:footer="0" w:header="0"/>
        </w:sectPr>
      </w:pPr>
    </w:p>
    <w:bookmarkStart w:id="31" w:name="page32"/>
    <w:bookmarkEnd w:id="31"/>
    <w:p>
      <w:pPr>
        <w:ind w:left="40"/>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jc w:val="center"/>
        <w:ind w:right="760"/>
        <w:spacing w:after="0" w:line="334" w:lineRule="auto"/>
        <w:rPr>
          <w:sz w:val="20"/>
          <w:szCs w:val="20"/>
          <w:color w:val="auto"/>
        </w:rPr>
      </w:pPr>
      <w:r>
        <w:rPr>
          <w:rFonts w:ascii="Arial" w:cs="Arial" w:eastAsia="Arial" w:hAnsi="Arial"/>
          <w:sz w:val="16"/>
          <w:szCs w:val="16"/>
          <w:color w:val="auto"/>
        </w:rPr>
        <w:t>You should read the following selected financial data in conjunction with our consolidated financial statements and the related notes and “Management’s Discussion and Analysis of Financial Condition and Results of Operations” included elsewhere in this annual report on Form 10-K.</w:t>
      </w:r>
    </w:p>
    <w:p>
      <w:pPr>
        <w:spacing w:after="0" w:line="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consolidated statements of operations data for the fiscal years ended May 31, 2016, May 31, 2015, and May 31, 2014, and the consolidated balance sheet data as of May 31, 2016 and May 31, 2015, are derived from the consolidated financial statements that are included elsewhere in this annual report on Form 10-K. The consolidated statements of operations data for the fiscal years ended May 31, 2013 and May 31, 2012, and the consolidated balance sheet data as of May 31, 2014, May 31, 2013 and May 31, 2012, are derived from our audited consolidated financial statements not included in this annual report on Form 10-K. Historical results are not necessarily indicative of the results of operations to be expected for future periods. See Note N of “Notes to Consolidated Financial Statements” for a description of the method that we used to compute our historical basic and diluted net income per share attributable to common stockholders.</w:t>
      </w:r>
    </w:p>
    <w:p>
      <w:pPr>
        <w:spacing w:after="0" w:line="54"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made adjustments to correct immaterial errors within this selected financial data. For a detailed explanation of these adjustments, please refer to Note R, "Immaterial Error Corrections".</w:t>
      </w:r>
    </w:p>
    <w:p>
      <w:pPr>
        <w:spacing w:after="0" w:line="297"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35"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(Amounts in thousands, except per share information)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31, 2016</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31, 2015</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31, 2014</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31, 2013</w:t>
            </w:r>
          </w:p>
        </w:tc>
        <w:tc>
          <w:tcPr>
            <w:tcW w:w="180" w:type="dxa"/>
            <w:vAlign w:val="bottom"/>
          </w:tcPr>
          <w:p>
            <w:pPr>
              <w:spacing w:after="0"/>
              <w:rPr>
                <w:sz w:val="16"/>
                <w:szCs w:val="16"/>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May 31, 2012</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353,890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356,534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354,425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341,916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221,917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20,511</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84,723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85,305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65,757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19,033</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17,964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17,966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Acquisition, restructuring and other items, net (a)</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26,257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10,873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15,859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Medical device excise tax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11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173,298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179,245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169,687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163,272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130,553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37"/>
        </w:trPr>
        <w:tc>
          <w:tcPr>
            <w:tcW w:w="4700" w:type="dxa"/>
            <w:vAlign w:val="bottom"/>
          </w:tcPr>
          <w:p>
            <w:pPr>
              <w:ind w:left="1140"/>
              <w:spacing w:after="0"/>
              <w:rPr>
                <w:sz w:val="20"/>
                <w:szCs w:val="20"/>
                <w:color w:val="auto"/>
              </w:rPr>
            </w:pPr>
            <w:r>
              <w:rPr>
                <w:rFonts w:ascii="Arial" w:cs="Arial" w:eastAsia="Arial" w:hAnsi="Arial"/>
                <w:sz w:val="18"/>
                <w:szCs w:val="18"/>
                <w:color w:val="auto"/>
              </w:rPr>
              <w:t>Total other (expenses) income, net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Earnings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64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Acquisition, restructuring and other items, net consists of fixed and long-term asset impairments, intangible impairments, cost associated with litigation, recalls, the operational excellence program and other miscellaneous items.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44"/>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(Amounts in thousands)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65"/>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14"/>
                <w:szCs w:val="14"/>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May 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May 31,</w:t>
            </w:r>
          </w:p>
        </w:tc>
        <w:tc>
          <w:tcPr>
            <w:tcW w:w="2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31,</w:t>
            </w:r>
          </w:p>
        </w:tc>
        <w:tc>
          <w:tcPr>
            <w:tcW w:w="260" w:type="dxa"/>
            <w:vAlign w:val="bottom"/>
          </w:tcPr>
          <w:p>
            <w:pPr>
              <w:spacing w:after="0"/>
              <w:rPr>
                <w:sz w:val="14"/>
                <w:szCs w:val="14"/>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May 31,</w:t>
            </w:r>
          </w:p>
        </w:tc>
      </w:t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cash equivalents and marketable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20,080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40,309</w:t>
            </w:r>
          </w:p>
        </w:tc>
      </w:tr>
      <w:tr>
        <w:trPr>
          <w:trHeight w:val="243"/>
        </w:trPr>
        <w:tc>
          <w:tcPr>
            <w:tcW w:w="4700" w:type="dxa"/>
            <w:vAlign w:val="bottom"/>
          </w:tcPr>
          <w:p>
            <w:pPr>
              <w:ind w:left="380"/>
              <w:spacing w:after="0"/>
              <w:rPr>
                <w:sz w:val="20"/>
                <w:szCs w:val="20"/>
                <w:color w:val="auto"/>
              </w:rPr>
            </w:pPr>
            <w:r>
              <w:rPr>
                <w:rFonts w:ascii="Arial" w:cs="Arial" w:eastAsia="Arial" w:hAnsi="Arial"/>
                <w:sz w:val="16"/>
                <w:szCs w:val="16"/>
                <w:color w:val="auto"/>
              </w:rPr>
              <w:t>Working capital</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79,527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90,283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81,071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71,643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99,068</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773,058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798,576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790,561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719,903</w:t>
            </w:r>
          </w:p>
        </w:tc>
      </w:tr>
      <w:tr>
        <w:trPr>
          <w:trHeight w:val="243"/>
        </w:trPr>
        <w:tc>
          <w:tcPr>
            <w:tcW w:w="4700" w:type="dxa"/>
            <w:vAlign w:val="bottom"/>
          </w:tcPr>
          <w:p>
            <w:pPr>
              <w:ind w:left="380"/>
              <w:spacing w:after="0"/>
              <w:rPr>
                <w:sz w:val="20"/>
                <w:szCs w:val="20"/>
                <w:color w:val="auto"/>
              </w:rPr>
            </w:pPr>
            <w:r>
              <w:rPr>
                <w:rFonts w:ascii="Arial" w:cs="Arial" w:eastAsia="Arial" w:hAnsi="Arial"/>
                <w:sz w:val="16"/>
                <w:szCs w:val="16"/>
                <w:color w:val="auto"/>
              </w:rPr>
              <w:t>Total debt</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121,410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137,660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142,660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142,500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150,000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67,231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380"/>
              <w:spacing w:after="0"/>
              <w:rPr>
                <w:sz w:val="20"/>
                <w:szCs w:val="20"/>
                <w:color w:val="auto"/>
              </w:rPr>
            </w:pPr>
            <w:r>
              <w:rPr>
                <w:rFonts w:ascii="Arial" w:cs="Arial" w:eastAsia="Arial" w:hAnsi="Arial"/>
                <w:sz w:val="16"/>
                <w:szCs w:val="16"/>
                <w:color w:val="auto"/>
              </w:rPr>
              <w:t>Total long-term liabilities</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153,108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167,444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195,750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201,317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142,827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507,228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545,099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536,885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526,324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523,306</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Conditions and Results of Operations.</w:t>
      </w:r>
    </w:p>
    <w:p>
      <w:pPr>
        <w:spacing w:after="0" w:line="25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audited consolidated financial statements and the notes thereto and other information included elsewhere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acquisitions,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the actual results include, without limitation, our ability to develop our existing and new products, future actions by the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the loss of any of our key customers or reduction in the purchase of our products by any such customers, and our ability to integrate acquired businesses as well as the risk factors listed in Part I, Item 1A of this annual report on Form 10-K.</w:t>
      </w:r>
    </w:p>
    <w:p>
      <w:pPr>
        <w:spacing w:after="0" w:line="18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We disclaim any obligation to update the forward-looking statements. Investors are cautioned not to place undue reliance on these forward-looking statements which speak only as of the date stated, or if no date is stated, as of the date of this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long-term use.</w:t>
      </w:r>
    </w:p>
    <w:p>
      <w:pPr>
        <w:spacing w:after="0" w:line="14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sales and profitability growth depends, in part, on the introduction of new and innovative products, together with ongoing enhancements to our existing products. Expansions to our product offerings are created through internal product development, technology licensing and strategic alliances. In recent years we have acquired or developed, and launched several new products, including the AngioVac cannula and circuit, the BioFlo family of products, NanoKnife and the Acculis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38" w:right="239" w:bottom="1440" w:gutter="0" w:footer="0" w:header="0"/>
        </w:sectPr>
      </w:pPr>
    </w:p>
    <w:bookmarkStart w:id="33" w:name="page34"/>
    <w:bookmarkEnd w:id="33"/>
    <w:p>
      <w:pPr>
        <w:ind w:right="120"/>
        <w:spacing w:after="0" w:line="277" w:lineRule="auto"/>
        <w:rPr>
          <w:sz w:val="20"/>
          <w:szCs w:val="20"/>
          <w:color w:val="auto"/>
        </w:rPr>
      </w:pPr>
      <w:r>
        <w:rPr>
          <w:rFonts w:ascii="Arial" w:cs="Arial" w:eastAsia="Arial" w:hAnsi="Arial"/>
          <w:sz w:val="18"/>
          <w:szCs w:val="18"/>
          <w:color w:val="auto"/>
        </w:rPr>
        <w:t>microwave system, which are all expected to be growth drivers of our business. We recognize the importance of, and intend to continue to make investments in, research and development activities and business development opportunities.</w:t>
      </w:r>
    </w:p>
    <w:p>
      <w:pPr>
        <w:spacing w:after="0" w:line="170"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sell our products in the United States through a direct sales force and outside the U.S. through a combination of direct sales and distributor relationships. We expect our international business to grow in both sales and profit through geographic expansion, market penetration, and increasing our direct presence.</w:t>
      </w:r>
    </w:p>
    <w:p>
      <w:pPr>
        <w:spacing w:after="0" w:line="18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Our ability to further increase our profitability will depend in part on improving gross profit and operating margins. A portion of improved gross margin we expect to deliver through the acquisition, development and sale of innovative products, such as those mentioned above. Additionally, we have an active company-wide operational excellence program designed to create manufacturing efficiencies and drive improved business performance. Further, we anticipate being able to manage increases in our operating expenses at a rate slower than our sales growth to provide further operating margin expansion.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On March 31, 2016, Joseph DeVivo, former President and Chief Executive Officer, decided to pursue other interests outside of the Company and on April 4, 2016, James C. Clemmer was appointed as the new President and Chief Executive Officer. As part of the separation agreement with Joseph DeVivo, his stock options, restricted stock units and performance shares will continue to vest for one year.</w:t>
      </w:r>
    </w:p>
    <w:p>
      <w:pPr>
        <w:spacing w:after="0" w:line="181"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On November 3, 2015, Mark Frost resigned as Executive Vice President and Chief Financial Officer (CFO). Michael Trimarchi, Vice President and Global Controller, assumed the responsibilities as principal accounting officer of the Company and interim CFO until his resignation on May 13, 2016. On July 22, 2016, Michael Greiner was appointed Executive Vice President and Chief Financial Officer of the Company, effective August 16, 2016. On July 27, 2016, Peter J. Kish was designated as the principal financial officer and principal accounting officer of the Company by the Board of Directors of the Company. Mr. Kish will serve in this role until Mr. Greiner begins his service as Chief Financial Officer on August 16, 2016.</w:t>
      </w:r>
    </w:p>
    <w:p>
      <w:pPr>
        <w:spacing w:after="0" w:line="173"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On December 18, 2015, President Obama signed into law H.R. 2029, the “Consolidated Appropriations Act, 2016”, which includes a two-year moratorium on the medical device excise tax, effective January 1, 2016. The 2.3 percent tax on sales of medical devices (except certain devices sold at retail) was enacted as part of the Affordable Care Act in 2010 and applied to device sales beginning on January 1, 2013. Absent further legislative action, the tax will be automatically reinstated for medical device sales starting on January 1, 2018. As presented on our Consolidated Condensed Statement of Operations we have incurred $12.0 million cumulatively since the enactment of the tax on January 1, 2013 through the May 31, 2016. In the absence of this tax, the Company will seek opportunities to further invest in growth drivers to create long-term shareholder value.</w:t>
      </w:r>
    </w:p>
    <w:p>
      <w:pPr>
        <w:spacing w:after="0" w:line="178" w:lineRule="exact"/>
        <w:rPr>
          <w:sz w:val="20"/>
          <w:szCs w:val="20"/>
          <w:color w:val="auto"/>
        </w:rPr>
      </w:pPr>
    </w:p>
    <w:p>
      <w:pPr>
        <w:ind w:right="20" w:firstLine="392"/>
        <w:spacing w:after="0" w:line="279" w:lineRule="auto"/>
        <w:rPr>
          <w:sz w:val="20"/>
          <w:szCs w:val="20"/>
          <w:color w:val="auto"/>
        </w:rPr>
      </w:pPr>
      <w:r>
        <w:rPr>
          <w:rFonts w:ascii="Arial" w:cs="Arial" w:eastAsia="Arial" w:hAnsi="Arial"/>
          <w:sz w:val="17"/>
          <w:szCs w:val="17"/>
          <w:color w:val="auto"/>
        </w:rPr>
        <w:t>On November 17, 2015, the Company received a letter from the FDA closing out the warning letter the Company received from FDA in January 2011 regarding certain promotional activities related to the NanoKnife System. On November 25, 2015, the Company received letters from the FDA closing out the warning letters the Company received from FDA in May 2011 related to the Company’s Queensbury facility and in November 2014 related to the Company’s Glens Falls facility. These close out letters resolved all outstanding warning letters against the Company.</w:t>
      </w:r>
    </w:p>
    <w:p>
      <w:pPr>
        <w:spacing w:after="0" w:line="171"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During the quarter ended May 31, 2016, we made the decision to discontinue the Celerity tip location and navigation product line. The discontinuance of the product line was the result of performance and quality issues with the product and a strategic shift to focus on other product within the Vascular Access business. We recorded a write-off of approximately $5.8 million of inventory and $0.1 million of hardware assets during the fourth quarter.</w:t>
      </w:r>
    </w:p>
    <w:p>
      <w:pPr>
        <w:spacing w:after="0" w:line="10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During the quarter ended May 31, 2016 we entered into an agreement with Merz North America where we became the exclusive sub-distributor of ASCLERA in the vein market in the United States and received the Merz customer list for the designated market territory. As part of the agreement we receive a personal, non-exclusive, non-transferable, non-assignable, non-sub licensable, license to use the trademarks, service marks and trades names from Merz. As a result of this agreement we recorded $3.3 million of intangible assets for the exclusive distribution rights and customer lists obtained. The Asclera product is the replacement for Sotradecol.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Measures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Net sales “on a constant currency basis” is a non-GAAP measure. The company analyzes net sales on a constant currency basis to better measure the comparability of results between periods. Because changes in foreign currency exchange rates have a non-operating impact on net sales, the company believes that evaluating growth in net sales on a constant currency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ind w:right="700"/>
        <w:spacing w:after="0" w:line="277" w:lineRule="auto"/>
        <w:rPr>
          <w:sz w:val="20"/>
          <w:szCs w:val="20"/>
          <w:color w:val="auto"/>
        </w:rPr>
      </w:pPr>
      <w:r>
        <w:rPr>
          <w:rFonts w:ascii="Arial" w:cs="Arial" w:eastAsia="Arial" w:hAnsi="Arial"/>
          <w:sz w:val="18"/>
          <w:szCs w:val="18"/>
          <w:color w:val="auto"/>
        </w:rPr>
        <w:t>provides an additional and meaningful assessment of net sales to both management and the company’s investors. Constant currency growth rates are calculated by translating the current period's local currency sales by the prior period’s exchange rate.</w:t>
      </w:r>
    </w:p>
    <w:p>
      <w:pPr>
        <w:spacing w:after="0" w:line="17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Constant currency growth rates are not indicative of changes in corresponding cash flows. The limitation of these non-GAAP measures is that they do not reflect results on a standardized reporting basis. Non-GAAP measures are intended to supplement the applicable GAAP disclosures and should not be viewed as replacements of GAAP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significant accounting policies are summarized in Note A to Notes to Consolidated Financial Statements included elsewhere in this annual report on Form 10-K. While all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The accounting policies identified as critical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recognize revenue in accordance with generally accepted accounting principles as outlined in the SEC’s authoritative guidance on revenue recognition which requires that four criteria be met before revenue can be recognized: (i) persuasive evidence that an arrangement exists; (ii) the price is fixed or determinable; (iii) collectability is reasonably assured; and (iv) product delivery has occurred or services have been rendered. Decisions relative to criterion</w:t>
      </w:r>
    </w:p>
    <w:p>
      <w:pPr>
        <w:ind w:right="120" w:firstLine="8"/>
        <w:spacing w:after="0" w:line="288" w:lineRule="auto"/>
        <w:tabs>
          <w:tab w:leader="none" w:pos="3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regarding collectability are based upon our judgments, as discussed under “Accounts Receivable” in Note A, and should conditions change in the future and cause us to determine this criterion is not met; our results of operations may be affected. We recognize revenue, net of sales taxes assessed by any governmental authority, as products are shipped, based on F.O.B. shipping point terms when title and risk of loss passes to customers. We negotiate shipping and credit terms on a customer-by-customer basis and products are shipped at an agreed upon price. All product returns must be pre-approved by us and customers may be subject to a 20% restocking charge. To be accepted, a returned product must be unadulterated, undamaged and have at least 12 months remaining prior to its expiration date. Charges for discounts, returns, rebates and other allowances are recognized as a deduction from revenue on an accrual basis in the period in which the revenue is recorded. The accrual for product returns, discounts and other allowances is based on the company’s history.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392"/>
        <w:spacing w:after="0" w:line="276" w:lineRule="auto"/>
        <w:rPr>
          <w:sz w:val="20"/>
          <w:szCs w:val="20"/>
          <w:color w:val="auto"/>
        </w:rPr>
      </w:pPr>
      <w:r>
        <w:rPr>
          <w:rFonts w:ascii="Arial" w:cs="Arial" w:eastAsia="Arial" w:hAnsi="Arial"/>
          <w:sz w:val="17"/>
          <w:szCs w:val="17"/>
          <w:color w:val="auto"/>
        </w:rPr>
        <w:t>In preparing our financial statements, we calculate income tax expense for each jurisdiction in which we operate. This involves estimating actual current taxes due plus assessing temporary differences arising from differing treatment for tax and accounting purposes that are recorded as deferred tax assets and liabilities. We periodically evaluate deferred tax assets, capital loss carryforwards and tax credit carryforwards to determine their recoverability based primarily on our ability to generate future taxable income and capital gains. Where it is more-likely-than-not these will not be recovered, we estimate a valuation allowance and record a corresponding additional tax expense in our statement of operations.</w:t>
      </w:r>
    </w:p>
    <w:p>
      <w:pPr>
        <w:spacing w:after="0" w:line="173" w:lineRule="exact"/>
        <w:rPr>
          <w:sz w:val="20"/>
          <w:szCs w:val="20"/>
          <w:color w:val="auto"/>
        </w:rPr>
      </w:pPr>
    </w:p>
    <w:p>
      <w:pPr>
        <w:ind w:right="40" w:firstLine="392"/>
        <w:spacing w:after="0" w:line="273" w:lineRule="auto"/>
        <w:rPr>
          <w:sz w:val="20"/>
          <w:szCs w:val="20"/>
          <w:color w:val="auto"/>
        </w:rPr>
      </w:pPr>
      <w:r>
        <w:rPr>
          <w:rFonts w:ascii="Arial" w:cs="Arial" w:eastAsia="Arial" w:hAnsi="Arial"/>
          <w:sz w:val="17"/>
          <w:szCs w:val="17"/>
          <w:color w:val="auto"/>
        </w:rPr>
        <w:t>We file income tax returns in the U.S. federal jurisdiction and various state and foreign jurisdictions. In the normal course of business we are subject to examination by taxing authorities throughout the world. Fiscal years 2012 through 2016 remain open to examination by the various tax authorities. New York State is currently auditing AngioDynamic’s franchise tax filings for 2011 through 2013, and we do not anticipate any material adjustments will result. We analyzed filing positions in all of the Federal and state jurisdictions where we are required to file income taxes, as well as all open tax years in these jurisdictions and believe that our income tax filing positions and deductions will be sustained on audit and we do not anticipate any adjustments will result in a material adverse effect on our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Contingent Consideration</w:t>
      </w:r>
    </w:p>
    <w:p>
      <w:pPr>
        <w:spacing w:after="0" w:line="225"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In a business combination, the acquisition method of accounting requires that the identifiable assets acquired and liabilities assumed be measured at their fair value, with goodwill being the excess value of consideration paid over the fair value of the net identifiable assets acquired. IP R&amp;D is capitalized and recorded as an indefinite-lived intangible asset at the acquisition date, contingent consideration is recorded at fair value at the acquisition date, and transaction costs are expensed as incurred. When the company acquires net assets that are not accounted for as a business combination, no goodwill is recognized.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4" w:right="259" w:bottom="1440" w:gutter="0" w:footer="0" w:header="0"/>
        </w:sectPr>
      </w:pPr>
    </w:p>
    <w:bookmarkStart w:id="35" w:name="page36"/>
    <w:bookmarkEnd w:id="35"/>
    <w:p>
      <w:pPr>
        <w:jc w:val="both"/>
        <w:ind w:right="560" w:firstLine="432"/>
        <w:spacing w:after="0" w:line="312" w:lineRule="auto"/>
        <w:rPr>
          <w:sz w:val="20"/>
          <w:szCs w:val="20"/>
          <w:color w:val="auto"/>
        </w:rPr>
      </w:pPr>
      <w:r>
        <w:rPr>
          <w:rFonts w:ascii="Arial" w:cs="Arial" w:eastAsia="Arial" w:hAnsi="Arial"/>
          <w:sz w:val="16"/>
          <w:szCs w:val="16"/>
          <w:color w:val="auto"/>
        </w:rPr>
        <w:t>The fair value of the liability for contingent consideration recorded on the acquisition date is based on probability weighted estimated cash flow streams, discounted back to present value using a discount rate determined in accordance with accepted valuation methods. The liability for contingent consideration is remeasured to fair value at each reporting period with changes recorded in earnings until the contingency is resolved.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Intangible assets other than goodwill, indefinite lived intangible assets and IP R&amp;D are amortized over their estimated useful lives, which range between three and twenty years, on either a straight-line basis over the expected period of benefit or as revenues are earned from the sales of the related products. We periodically review the estimated useful lives of our intangible assets and review such assets for impairment whenever events or changes in circumstances indicate that the carrying value of the assets may not be recoverable. Our determination of impairment is based on estimates of future cash flows. If an intangible asset is considered to be impaired, the amount of the impairment will equal the excess of the carrying value over the fair value of the asset.</w:t>
      </w:r>
    </w:p>
    <w:p>
      <w:pPr>
        <w:spacing w:after="0" w:line="193"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Acquired IP R&amp;D is not amortized until completion and development of the project, at which time the IP R&amp;D becomes an amortizable asset with an appropriate useful life and an amortization method is determined. If the related project is not completed in a timely manner or the project is terminated or abandoned, we may have an impairment related to the IP R&amp;D, calculated as the excess of the asset’s carrying value over its fair value.</w:t>
      </w:r>
    </w:p>
    <w:p>
      <w:pPr>
        <w:spacing w:after="0" w:line="14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policy defines IP R&amp;D as the value assigned to those projects for which the related products have not received regulatory approval and have no alternative future use. Determining the portion of the purchase price allocated to IP R&amp;D requires us to make significant estimates. The amount of the purchase price allocated to IP R&amp;D is determined by estimating the future cash flows of each project or technology and discounting the net cash flows back to their present values. The discount rate used is determined at the time of measurement in accordance with accepted valuation methods. These methodologies include consideration of the risk of the project not achieving commercial feasibility.</w:t>
      </w:r>
    </w:p>
    <w:p>
      <w:pPr>
        <w:spacing w:after="0" w:line="18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8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For goodwill, the impairment test requires a comparison of the estimated fair value of the reporting unit to which the goodwill is assigned to the sum of the carrying value of the assets and liabilities of that unit. If the sum of the carrying value of the assets and liabilities of a reporting unit exceeds the fair value of the reporting unit, the carrying value of the reporting unit’s goodwill is reduced to its implied fair value through an adjustment to the goodwill balance, resulting in an impairment charge. Our determination of impairment is based on estimates of future cash flows. We consider our business to be a single operating segment entity – the development, manufacture and sale on a global basis of medical devices for vascular access, surgery, peripheral vascular disease and oncology.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Inventories are stated at the lower of cost (using the first-in, first-out method) or market. Appropriate consideration is given to deterioration, obsolescence, expiring and other factors in evaluating net realizable value.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May 31, 2016 and 2015</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For the fiscal year ended May 31, 2016, we reported a net loss of $(43.6) million, or $(1.21) loss per diluted share, on net sales of $353.9 million compared to a fiscal 2015 net loss of $(3.4) million, or $(0.09) loss per diluted share, on net sales of $356.5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year ended May 31, 2016 and 2015 were: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tbl>
      <w:tblPr>
        <w:tblLayout w:type="fixed"/>
        <w:tblInd w:w="2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80" w:type="dxa"/>
            <w:vAlign w:val="bottom"/>
            <w:gridSpan w:val="4"/>
          </w:tcPr>
          <w:p>
            <w:pPr>
              <w:jc w:val="center"/>
              <w:ind w:right="350"/>
              <w:spacing w:after="0"/>
              <w:rPr>
                <w:sz w:val="20"/>
                <w:szCs w:val="20"/>
                <w:color w:val="auto"/>
              </w:rPr>
            </w:pPr>
            <w:r>
              <w:rPr>
                <w:rFonts w:ascii="Arial" w:cs="Arial" w:eastAsia="Arial" w:hAnsi="Arial"/>
                <w:sz w:val="18"/>
                <w:szCs w:val="18"/>
                <w:color w:val="auto"/>
                <w:w w:val="89"/>
              </w:rPr>
              <w:t>For the years ended May 31,</w:t>
            </w:r>
          </w:p>
        </w:tc>
        <w:tc>
          <w:tcPr>
            <w:tcW w:w="124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Currency</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Impact (Pos)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1"/>
        </w:trPr>
        <w:tc>
          <w:tcPr>
            <w:tcW w:w="46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 Growth</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Neg</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Growth</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Product Category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40"/>
              <w:spacing w:after="0"/>
              <w:rPr>
                <w:sz w:val="20"/>
                <w:szCs w:val="20"/>
                <w:color w:val="auto"/>
              </w:rPr>
            </w:pPr>
            <w:r>
              <w:rPr>
                <w:rFonts w:ascii="Arial" w:cs="Arial" w:eastAsia="Arial" w:hAnsi="Arial"/>
                <w:sz w:val="18"/>
                <w:szCs w:val="18"/>
                <w:color w:val="auto"/>
              </w:rPr>
              <w:t>Peripheral Vascular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202,780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192,713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c>
          <w:tcPr>
            <w:tcW w:w="1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99,375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107,754</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-8%</w:t>
            </w: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40"/>
              <w:spacing w:after="0"/>
              <w:rPr>
                <w:sz w:val="20"/>
                <w:szCs w:val="20"/>
                <w:color w:val="auto"/>
              </w:rPr>
            </w:pPr>
            <w:r>
              <w:rPr>
                <w:rFonts w:ascii="Arial" w:cs="Arial" w:eastAsia="Arial" w:hAnsi="Arial"/>
                <w:sz w:val="18"/>
                <w:szCs w:val="18"/>
                <w:color w:val="auto"/>
              </w:rPr>
              <w:t>Oncology/Surgery</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48,895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51,890</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-6%</w:t>
            </w:r>
          </w:p>
        </w:tc>
        <w:tc>
          <w:tcPr>
            <w:tcW w:w="1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Excluding Supply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351,050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352,357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0%</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4680" w:type="dxa"/>
            <w:vAlign w:val="bottom"/>
          </w:tcPr>
          <w:p>
            <w:pPr>
              <w:ind w:left="340"/>
              <w:spacing w:after="0"/>
              <w:rPr>
                <w:sz w:val="20"/>
                <w:szCs w:val="20"/>
                <w:color w:val="auto"/>
              </w:rPr>
            </w:pPr>
            <w:r>
              <w:rPr>
                <w:rFonts w:ascii="Arial" w:cs="Arial" w:eastAsia="Arial" w:hAnsi="Arial"/>
                <w:sz w:val="18"/>
                <w:szCs w:val="18"/>
                <w:color w:val="auto"/>
              </w:rPr>
              <w:t>Supply Agreement</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4,177</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-32%</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-32%</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353,890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356,534</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283,519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280,611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67,531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71,746</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-6%</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w:t>
            </w:r>
          </w:p>
        </w:tc>
      </w:tr>
      <w:tr>
        <w:trPr>
          <w:trHeight w:val="243"/>
        </w:trPr>
        <w:tc>
          <w:tcPr>
            <w:tcW w:w="4680" w:type="dxa"/>
            <w:vAlign w:val="bottom"/>
          </w:tcPr>
          <w:p>
            <w:pPr>
              <w:ind w:left="340"/>
              <w:spacing w:after="0"/>
              <w:rPr>
                <w:sz w:val="20"/>
                <w:szCs w:val="20"/>
                <w:color w:val="auto"/>
              </w:rPr>
            </w:pPr>
            <w:r>
              <w:rPr>
                <w:rFonts w:ascii="Arial" w:cs="Arial" w:eastAsia="Arial" w:hAnsi="Arial"/>
                <w:sz w:val="18"/>
                <w:szCs w:val="18"/>
                <w:color w:val="auto"/>
              </w:rPr>
              <w:t>Supply Agreement</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4,177</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-32%</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-32%</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353,890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356,534</w:t>
            </w:r>
          </w:p>
        </w:tc>
        <w:tc>
          <w:tcPr>
            <w:tcW w:w="13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For year ended May 31, 2016, net sales decreased $(2.6) million to $353.9 million compared to the year ended May 31, 2015. As shown in the table above, while consolidated net sales decreased by 1%, excluding the planned reduction in sales under our supply agreement and the negative impact from fluctuations in currency exchange rates, our sales were flat year over year. The decline in net sales from vascular access and oncology surgery was partially offset by 5% year over year growth in our peripheral vascular franchise. Our international sales were significantly impacted by unfavorable movement in currency exchange rates, particularly the Euro, British pound and Canadian dollar.</w:t>
      </w:r>
    </w:p>
    <w:p>
      <w:pPr>
        <w:spacing w:after="0" w:line="173"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Peripheral Vascular sales increased $10.1 million primarily attributable to increased sales of AngioVac, Core and Venus products. While Vascular Access sales decreased $8.4 million primarily in our non-BioFlo businesses, our BioFlo line of products continued to gain traction in the marketplace. Oncology/Surgery sales decreased $3.0 million primarily due to fewer capital sales across all product lines compared to prior year. This was partially offset by increases in the sales of disposables in our Microwave and NanoKnife product lines.</w:t>
      </w:r>
    </w:p>
    <w:p>
      <w:pPr>
        <w:spacing w:after="0" w:line="18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U.S. sales increased $2.9 million due to growth in the Peripheral Vascular products, offset by a reduction in Vascular Access and Oncology/Surgery sales. While total US Vascular Access sales declined by $6.2 million overall, we saw growth in our U.S. BioFlo product lines of 18% year over year. U.S. Oncology/Surgery declined by $1.6 million, driven primarily through lower capital sales offset by growth in disposables. International sales decreased 2% on a constant-currency basis, due to a decline in Thermal Ablation and in the Vascular Access product lines.</w:t>
      </w:r>
    </w:p>
    <w:p>
      <w:pPr>
        <w:spacing w:after="0" w:line="171"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Our supply agreement arrangement, which we do not include in either the U.S. or International geographic sales, declined by $1.3 million as we continue to wind down that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31750</wp:posOffset>
            </wp:positionV>
            <wp:extent cx="2452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Medical device excise tax</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-41.5 %</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sales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7"/>
        </w:trPr>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The $(1.5) million decrease compared to 2015 is primarily attributable to a $5.9 million charge related to the write-off of Celerity inventory on hand and hardware assets after the business decision to no longer pursue the Celerity Navigation project. The prior year gross profit included a $4.8 million charge related to the voluntary Morpheus recall.</w:t>
      </w:r>
    </w:p>
    <w:p>
      <w:pPr>
        <w:spacing w:after="0" w:line="1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 The decrease in R&amp;D costs for the year ended May 31, 2016 is due to reductions in project spend and restructuring. As a percentage of net sales, R&amp;D expenses were 7.1% for fiscal 2016, compared to 7.5% for fiscal 2015.</w:t>
      </w:r>
    </w:p>
    <w:p>
      <w:pPr>
        <w:spacing w:after="0" w:line="18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u w:val="single" w:color="auto"/>
          <w:color w:val="auto"/>
        </w:rPr>
        <w:t>Sales and marketing expenses</w:t>
      </w:r>
      <w:r>
        <w:rPr>
          <w:rFonts w:ascii="Arial" w:cs="Arial" w:eastAsia="Arial" w:hAnsi="Arial"/>
          <w:sz w:val="17"/>
          <w:szCs w:val="17"/>
          <w:color w:val="auto"/>
        </w:rPr>
        <w:t xml:space="preserve"> - Sales and marketing (“S&amp;M”) expenses consist primarily of salaries, commissions, travel and related business expenses, attendance at medical society meetings, product promotions and marketing activities. Increases in S&amp;M expense for the year ended May 31, 2016 is the result of investments made in the US sales force focused around retention and improved sales performance along with an increase in credit card fees. As a percentage of net sales, S&amp;M expenses were 23.9% for fiscal 2016 compared to 23.3% for fiscal 2015.</w:t>
      </w:r>
    </w:p>
    <w:p>
      <w:pPr>
        <w:spacing w:after="0" w:line="17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Increases in G&amp;A expenses for the year ended May 31, 2016 are primarily the result of increased legal and audit fees.</w:t>
      </w:r>
    </w:p>
    <w:p>
      <w:pPr>
        <w:spacing w:after="0" w:line="18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 excise tax is assessed on our U.S. product sales subject to exclusions and adjustments. The decrease as compared to the prior year is attributable to the suspension of the medical device excise tax as of January 1, 2016.</w:t>
      </w:r>
    </w:p>
    <w:p>
      <w:pPr>
        <w:spacing w:after="0" w:line="116"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9.0</w:t>
            </w: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for the year ended May 31, 2016 increased primarily related to intangible asset amortization associated with the Merz intangibles acquired as part of the agreement that was entered into in Q4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ind w:right="220" w:firstLine="432"/>
        <w:spacing w:after="0" w:line="257" w:lineRule="auto"/>
        <w:rPr>
          <w:sz w:val="20"/>
          <w:szCs w:val="20"/>
          <w:color w:val="auto"/>
        </w:rPr>
      </w:pPr>
      <w:r>
        <w:rPr>
          <w:rFonts w:ascii="Arial" w:cs="Arial" w:eastAsia="Arial" w:hAnsi="Arial"/>
          <w:sz w:val="18"/>
          <w:szCs w:val="18"/>
          <w:u w:val="single" w:color="auto"/>
          <w:color w:val="auto"/>
        </w:rPr>
        <w:t>Change in fair value of contingent consideration</w:t>
      </w:r>
      <w:r>
        <w:rPr>
          <w:rFonts w:ascii="Arial" w:cs="Arial" w:eastAsia="Arial" w:hAnsi="Arial"/>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 The decrease from the prior year is due to a $10.5 million gain recognized as a result of reducing the estimated present value of future payments due on earn-outs in the prior year compared to $1 million in gains in 2016. These gains were partially offset in each period by amortization of the present value discount on the contingent liabilities.</w:t>
      </w:r>
    </w:p>
    <w:p>
      <w:pPr>
        <w:spacing w:after="0" w:line="188" w:lineRule="exact"/>
        <w:rPr>
          <w:sz w:val="20"/>
          <w:szCs w:val="20"/>
          <w:color w:val="auto"/>
        </w:rPr>
      </w:pPr>
    </w:p>
    <w:p>
      <w:pPr>
        <w:jc w:val="both"/>
        <w:ind w:right="380" w:firstLine="432"/>
        <w:spacing w:after="0" w:line="286" w:lineRule="auto"/>
        <w:rPr>
          <w:sz w:val="20"/>
          <w:szCs w:val="20"/>
          <w:color w:val="auto"/>
        </w:rPr>
      </w:pPr>
      <w:r>
        <w:rPr>
          <w:rFonts w:ascii="Arial" w:cs="Arial" w:eastAsia="Arial" w:hAnsi="Arial"/>
          <w:sz w:val="17"/>
          <w:szCs w:val="17"/>
          <w:u w:val="single" w:color="auto"/>
          <w:color w:val="auto"/>
        </w:rPr>
        <w:t>Acquisition, restructuring and other items, net</w:t>
      </w:r>
      <w:r>
        <w:rPr>
          <w:rFonts w:ascii="Arial" w:cs="Arial" w:eastAsia="Arial" w:hAnsi="Arial"/>
          <w:sz w:val="17"/>
          <w:szCs w:val="17"/>
          <w:color w:val="auto"/>
        </w:rPr>
        <w:t xml:space="preserve"> - Expense for fiscal 2016 consists of $7.5 million of litigation expense, $2.5 million of M&amp;A related expenses, $1.9 million of severance, $0.7 million of a gain related to the modification of stock based compensation awards for the former CEO and $1.0 million of accelerated depreciation associated with our operational excellence program, and other miscellaneous items.</w:t>
      </w:r>
    </w:p>
    <w:p>
      <w:pPr>
        <w:spacing w:after="0" w:line="16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 The increase in other expenses was primarily related to foreign currency losses.</w:t>
      </w:r>
    </w:p>
    <w:p>
      <w:pPr>
        <w:spacing w:after="0" w:line="116"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For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31750</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2015</w:t>
            </w: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(4.7)</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u w:val="single" w:color="auto"/>
          <w:color w:val="auto"/>
        </w:rPr>
        <w:t>Income tax provision (benefit)</w:t>
      </w:r>
      <w:r>
        <w:rPr>
          <w:rFonts w:ascii="Arial" w:cs="Arial" w:eastAsia="Arial" w:hAnsi="Arial"/>
          <w:sz w:val="18"/>
          <w:szCs w:val="18"/>
          <w:color w:val="auto"/>
        </w:rPr>
        <w:t xml:space="preserve"> - Our effective tax rate was (1,240)% for fiscal 2016 compared with 58% for the prior year. The current year rate reflects expense of $40.4 million related to a full valuation allowance on our US net deferred tax assets. The prior year rate reflects the benefit of $9.2 million nontaxable adjustment to the contingent liabilities related to Vortex Medical and Clinical Devices, and a seven month benefit from the R&amp;D tax credit that expired on December 31, 2014, offset by non-deductible interest expense related to contingent payments, true-ups of our fiscal year 2014 US income tax returns and the impact of the elimination of the ASC 718 APIC pool.</w:t>
      </w:r>
    </w:p>
    <w:p>
      <w:pPr>
        <w:spacing w:after="0" w:line="188"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At May 31, 2016, we had a net deferred tax liability of $21.7 million, after recording a valuation allowance of $42.2 million. The increase in the valuation allowance was $40.4 million.</w:t>
      </w:r>
    </w:p>
    <w:p>
      <w:pPr>
        <w:spacing w:after="0" w:line="17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While the net deferred tax asset at May 31, 2016 before the valuation allowance was $19.9 million, the Company was required to record a valuation allowance of $40.4 million due to deferred tax liabilities related to intangibles of $20.5 million that have an indefinite reversal period and can not be used to support the deferred tax asset.</w:t>
      </w:r>
    </w:p>
    <w:p>
      <w:pPr>
        <w:spacing w:after="0" w:line="18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A valuation allowance is provided if based upon the weight of available evidence, it is more likely than not that some or all of the deferred tax assets will not be realized. The Company’s analysis of the need for a valuation allowance considered that the Company has incurred a cumulative loss in the U.S. over the three year period ending May 31, 2016. A majority of the cumulative loss has been caused by the charges associated with the product recall and discontinuance and the impairment of fixed and intangible assets recorded in the quarter end February 28, 2015, From the time when the Company initially incurred a three year cumulative loss in the quarter ended February 28, 2015, and in each subsequent quarter through the quarter ended February 28, 2016, the Company could still demonstrate a recent history of core earnings , and had anticipated a return to profitability for the full fiscal year 2016. However, in the quarter ended May 31, 2016 the Company did not return to profitability for the full fiscal year and could no longer demonstrate a recent history of core earnings. Consequently after careful consideration and weighing of all the available positive and negative evidence, the weight given to the three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year cumulative loss and lack of a recent history of core earnings was difficult to overcome and a full valuation allowance related to the U.S. deferred tax assets was established.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May 31, 2015 and 2014</w:t>
      </w:r>
    </w:p>
    <w:p>
      <w:pPr>
        <w:spacing w:after="0" w:line="229"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For the fiscal year ended May 31, 2015, we reported net loss of $(3.4) million, or $(0.09) loss per basic and diluted common share, on net sales of $356.5 million compared to a fiscal 2014 net income of $2.3 million, or $0.07 per basic and diluted common share, on net sales of $354.4 million.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our products and related freight charges, less discounts and returns.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Net sales for the year ended May 31, 2015 and 2014 were: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4"/>
          </w:tcPr>
          <w:p>
            <w:pPr>
              <w:ind w:left="700"/>
              <w:spacing w:after="0"/>
              <w:rPr>
                <w:sz w:val="20"/>
                <w:szCs w:val="20"/>
                <w:color w:val="auto"/>
              </w:rPr>
            </w:pPr>
            <w:r>
              <w:rPr>
                <w:rFonts w:ascii="Arial" w:cs="Arial" w:eastAsia="Arial" w:hAnsi="Arial"/>
                <w:sz w:val="18"/>
                <w:szCs w:val="18"/>
                <w:color w:val="auto"/>
              </w:rPr>
              <w:t>For the years ended May 31,</w:t>
            </w:r>
          </w:p>
        </w:tc>
        <w:tc>
          <w:tcPr>
            <w:tcW w:w="12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Constant</w:t>
            </w:r>
          </w:p>
        </w:tc>
      </w:tr>
      <w:tr>
        <w:trPr>
          <w:trHeight w:val="216"/>
        </w:trPr>
        <w:tc>
          <w:tcPr>
            <w:tcW w:w="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Impact (Pos)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Currency</w:t>
            </w:r>
          </w:p>
        </w:tc>
      </w:tr>
      <w:tr>
        <w:trPr>
          <w:trHeight w:val="251"/>
        </w:trPr>
        <w:tc>
          <w:tcPr>
            <w:tcW w:w="40" w:type="dxa"/>
            <w:vAlign w:val="bottom"/>
          </w:tcPr>
          <w:p>
            <w:pPr>
              <w:spacing w:after="0"/>
              <w:rPr>
                <w:sz w:val="21"/>
                <w:szCs w:val="21"/>
                <w:color w:val="auto"/>
              </w:rPr>
            </w:pPr>
          </w:p>
        </w:tc>
        <w:tc>
          <w:tcPr>
            <w:tcW w:w="47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Growth</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Neg</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Growth</w:t>
            </w:r>
          </w:p>
        </w:tc>
      </w:tr>
      <w:tr>
        <w:trPr>
          <w:trHeight w:val="250"/>
        </w:trPr>
        <w:tc>
          <w:tcPr>
            <w:tcW w:w="4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Product Category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Peripheral Vascular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192,713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192,626</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106,394</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Oncology/Surgery</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51,890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49,360</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5%</w:t>
            </w:r>
          </w:p>
        </w:tc>
        <w:tc>
          <w:tcPr>
            <w:tcW w:w="1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Excluding Supply Agreement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352,357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348,380</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r>
      <w:tr>
        <w:trPr>
          <w:trHeight w:val="243"/>
        </w:trPr>
        <w:tc>
          <w:tcPr>
            <w:tcW w:w="40" w:type="dxa"/>
            <w:vAlign w:val="bottom"/>
          </w:tcPr>
          <w:p>
            <w:pPr>
              <w:spacing w:after="0"/>
              <w:rPr>
                <w:sz w:val="21"/>
                <w:szCs w:val="21"/>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Supply Agreement</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6,045</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5"/>
              </w:rPr>
              <w:t>-31%</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-31%</w:t>
            </w:r>
          </w:p>
        </w:tc>
      </w:tr>
      <w:tr>
        <w:trPr>
          <w:trHeight w:val="27"/>
        </w:trPr>
        <w:tc>
          <w:tcPr>
            <w:tcW w:w="4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356,534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354,425</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0"/>
        </w:trPr>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280,611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280,161</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71,746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68,219</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w:t>
            </w:r>
          </w:p>
        </w:tc>
      </w:tr>
      <w:tr>
        <w:trPr>
          <w:trHeight w:val="243"/>
        </w:trPr>
        <w:tc>
          <w:tcPr>
            <w:tcW w:w="40" w:type="dxa"/>
            <w:vAlign w:val="bottom"/>
          </w:tcPr>
          <w:p>
            <w:pPr>
              <w:spacing w:after="0"/>
              <w:rPr>
                <w:sz w:val="21"/>
                <w:szCs w:val="21"/>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Supply Agreement</w:t>
            </w:r>
          </w:p>
        </w:tc>
        <w:tc>
          <w:tcPr>
            <w:tcW w:w="2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6,045</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5"/>
              </w:rPr>
              <w:t>-31%</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-31%</w:t>
            </w:r>
          </w:p>
        </w:tc>
      </w:tr>
      <w:tr>
        <w:trPr>
          <w:trHeight w:val="27"/>
        </w:trPr>
        <w:tc>
          <w:tcPr>
            <w:tcW w:w="4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356,534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354,425</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0"/>
        </w:trPr>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For year ended May 31, 2015, net sales increased $2.1 million to $356.5 million compared to the year ended May 31, 2014. As shown in the table above, while consolidated net sales increased by 1%, excluding the planned reduction in sales under our supply agreement and a negative impact from fluctuations in currency exchange rates, our sales increased 2% year over year. Growth was driven by our international business, which grew 9% excluding the negative impact of currency. Sales were significantly impacted by unfavorable movement in currency exchange rates, particularly the Euro, British pound and Canadian dollar, with the remainder of the changes as compared to the prior year driven by volume.</w:t>
      </w:r>
    </w:p>
    <w:p>
      <w:pPr>
        <w:spacing w:after="0" w:line="173"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From a product line perspective, Peripheral Vascular sales increased $0.1 million primarily attributable to increased sales of AngioVac and Fluid Management products, offset by declines in our venous business and a negative impact of currency rate movements noted above. Vascular access sales increased $1.4 million as our BioFlo line of products continued to gain traction in the marketplace, offset by the voluntary recall and discontinuance of our Morpheus product line in the third fiscal quarter. Oncology/Surgery sales increased $2.5 million primarily due to the performance of NanoKnife products, particularly in the international markets.</w:t>
      </w:r>
    </w:p>
    <w:p>
      <w:pPr>
        <w:spacing w:after="0" w:line="188"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From a geographic perspective, U.S. sales increased $0.5 million due to growth in the Peripheral Vascular and Vascular Access products, offset by a reduction in Oncology/Surgery sales. While total U.S. Oncology/Surgery declined by $0.9 million, our U.S. NanoKnife sales growth exceeded 10%. International sales increased 9% on a constant-currency basis, with the largest driver being NanoKnife.</w:t>
      </w:r>
    </w:p>
    <w:p>
      <w:pPr>
        <w:spacing w:after="0" w:line="181"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Our supply agreement arrangement, which we do not include in either the U.S. or International geographic sales, declined by $1.9 million as we continue to wind down that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80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2444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 Change</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of sales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Medical device excise tax</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sales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
        </w:trPr>
        <w:tc>
          <w:tcPr>
            <w:tcW w:w="7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The $4.4 million decrease compared to 2014 is mostly attributable to a $4.8 million charge related to Morpheus PICC inventory on hand at the time of the product discontinuance. Further decreases were the result of currency exchange fluctuations which negatively impacted our sales with minimal reduction to our cost of sales. These headwinds were partially offset by product cost reductions generated by our active Operational Excellence program and favorable shifts in product mix.</w:t>
      </w:r>
    </w:p>
    <w:p>
      <w:pPr>
        <w:spacing w:after="0" w:line="193"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 The decrease in R&amp;D costs for the year ended May 31, 2015 relates to savings generated by restructuring activities in fiscal 2015.</w:t>
      </w:r>
    </w:p>
    <w:p>
      <w:pPr>
        <w:spacing w:after="0" w:line="18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u w:val="single" w:color="auto"/>
          <w:color w:val="auto"/>
        </w:rPr>
        <w:t>Sales and marketing expenses</w:t>
      </w:r>
      <w:r>
        <w:rPr>
          <w:rFonts w:ascii="Arial" w:cs="Arial" w:eastAsia="Arial" w:hAnsi="Arial"/>
          <w:sz w:val="16"/>
          <w:szCs w:val="16"/>
          <w:color w:val="auto"/>
        </w:rPr>
        <w:t xml:space="preserve"> - Sales and marketing (“S&amp;M”) expenses consist primarily of salaries, commissions, travel and related business expenses, attendance at medical society meetings, product promotions and marketing activities. Decreases in S&amp;M expense for the year ended May 31, 2015 is the result of a reorganization of our international sales organization, combined with the impact of attrition in our U.S. sales force. While the U.S. sales force attrition benefited our operating expenses in fiscal 2015, retaining our sales employees is important to our long-term revenue growth and operating results.</w:t>
      </w:r>
    </w:p>
    <w:p>
      <w:pPr>
        <w:spacing w:after="0" w:line="15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Increases in G&amp;A expenses for the year ended May 31, 2015 are primarily the result of higher depreciation and maintenance expenses particularly as a result of the ERP implementation in the prior year and increased incentive and stock-based compensation costs.</w:t>
      </w:r>
    </w:p>
    <w:p>
      <w:pPr>
        <w:spacing w:after="0" w:line="18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 excess tax is assessed on our U.S. product sales subject to exclusions and adjustments. The slight increase as compared to the prior year is attributable to the mix of taxable products within the U.S. market.</w:t>
      </w:r>
    </w:p>
    <w:p>
      <w:pPr>
        <w:spacing w:after="0" w:line="251"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For the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31750</wp:posOffset>
            </wp:positionV>
            <wp:extent cx="2246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20" w:lineRule="exact"/>
        <w:rPr>
          <w:sz w:val="20"/>
          <w:szCs w:val="20"/>
          <w:color w:val="auto"/>
        </w:rPr>
      </w:pPr>
    </w:p>
    <w:tbl>
      <w:tblPr>
        <w:tblLayout w:type="fixed"/>
        <w:tblInd w:w="160" w:type="dxa"/>
        <w:tblCellMar>
          <w:top w:w="0" w:type="dxa"/>
          <w:left w:w="0" w:type="dxa"/>
          <w:bottom w:w="0" w:type="dxa"/>
          <w:right w:w="0" w:type="dxa"/>
        </w:tblCellMar>
      </w:tblPr>
      <w:tr>
        <w:trPr>
          <w:trHeight w:val="188"/>
        </w:trPr>
        <w:tc>
          <w:tcPr>
            <w:tcW w:w="448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 Change</w:t>
            </w: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3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3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702"/>
        </w:trPr>
        <w:tc>
          <w:tcPr>
            <w:tcW w:w="4480" w:type="dxa"/>
            <w:vAlign w:val="bottom"/>
          </w:tcPr>
          <w:p>
            <w:pPr>
              <w:spacing w:after="0"/>
              <w:rPr>
                <w:sz w:val="24"/>
                <w:szCs w:val="24"/>
                <w:color w:val="auto"/>
              </w:rPr>
            </w:pPr>
          </w:p>
        </w:tc>
        <w:tc>
          <w:tcPr>
            <w:tcW w:w="3100" w:type="dxa"/>
            <w:vAlign w:val="bottom"/>
          </w:tcPr>
          <w:p>
            <w:pPr>
              <w:jc w:val="right"/>
              <w:ind w:right="185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017" w:right="239" w:bottom="1440" w:gutter="0" w:footer="0" w:header="0"/>
        </w:sectPr>
      </w:pPr>
    </w:p>
    <w:bookmarkStart w:id="41" w:name="page42"/>
    <w:bookmarkEnd w:id="41"/>
    <w:p>
      <w:pPr>
        <w:ind w:right="18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for the year ended May 31, 2015 increased primarily related to intangible asset amortization associated with our AngioVac technologies.</w:t>
      </w:r>
    </w:p>
    <w:p>
      <w:pPr>
        <w:spacing w:after="0" w:line="17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u w:val="single" w:color="auto"/>
          <w:color w:val="auto"/>
        </w:rPr>
        <w:t>Change in fair value of contingent consideration</w:t>
      </w:r>
      <w:r>
        <w:rPr>
          <w:rFonts w:ascii="Arial" w:cs="Arial" w:eastAsia="Arial" w:hAnsi="Arial"/>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 Fiscal 2015 included $10.5 million in gains recognized as a result of reducing the estimated present value of future payments due on earn-outs. These gains were partially offset in each period by amortization of the present value discount on the contingent liabilities.</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Expense for fiscal 2015 consists of $9.1 million of fixed and long-term asset impairments, $6.4 million of impairment on the NAMIC trademark, other costs associated with litigation, the recall of Morpheus, our operational excellence program, and other miscellaneous items. The impairment charges were primarily driven by a change in strategy within our fluid management product development pipeline, as we moved away from our planned design of an Automated Power Injector.</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 Expenses were consistent year over year in amount and composition.</w:t>
      </w:r>
    </w:p>
    <w:p>
      <w:pPr>
        <w:spacing w:after="0" w:line="251"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For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31750</wp:posOffset>
            </wp:positionV>
            <wp:extent cx="16122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2014</w:t>
            </w:r>
          </w:p>
        </w:tc>
      </w:tr>
      <w:tr>
        <w:trPr>
          <w:trHeight w:val="25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2.8</w:t>
            </w:r>
          </w:p>
        </w:tc>
      </w:tr>
      <w:tr>
        <w:trPr>
          <w:trHeight w:val="243"/>
        </w:trPr>
        <w:tc>
          <w:tcPr>
            <w:tcW w:w="886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u w:val="single" w:color="auto"/>
          <w:color w:val="auto"/>
        </w:rPr>
        <w:t>Income tax provision (benefit)</w:t>
      </w:r>
      <w:r>
        <w:rPr>
          <w:rFonts w:ascii="Arial" w:cs="Arial" w:eastAsia="Arial" w:hAnsi="Arial"/>
          <w:sz w:val="16"/>
          <w:szCs w:val="16"/>
          <w:color w:val="auto"/>
        </w:rPr>
        <w:t xml:space="preserve"> - Our effective tax rate was 58% for fiscal 2015 compared with 54% for the prior year. The current year rate reflects the benefit of the $9.2 million nontaxable adjustment to the contingent liabilities related to Vortex Medical and Clinical Devices, and a seven month benefit from the R&amp;D tax credit that expired on December 31, 2014, offset by non-deductible interest expense related to contingent payments, true-ups of our fiscal year 2014 US income tax returns and the impact of the elimination of the ASC 718 APIC pool. The prior year rate reflects the benefit of the $5.0 million nontaxable adjustment to the contingent liability related to Vortex Medical, Inc., offset by the impact of a New York State tax law change that resulted in a $1.2 million net write off of tax assets, non-deductible interest expense related to contingent payments, a seven month benefit from the R&amp;D tax credit that expired on December 31, 2013, true ups of our fiscal year 2013 US income tax returns and the impact of the elimination of the ASC 718 APIC pool.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cash and cash equivalents totaled $32.3 million as of May 31, 2016, compared with $18.4 million as of May 31, 2015. Marketable securities totaled $1.7 million and $1.7 million as of years ended May 31, 2016 and May 31, 2015, respectively, and consist of auction rate securities. As of May 31, 2016, total debt was $121.4 million comprised of a term loan and revolving credit facility. The fair value of contingent consideration payments as of May 31, 2016 was $38.3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years ended May 31, 2016, 2015 and 2014: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color w:val="auto"/>
              </w:rPr>
              <w:t>For the year ended May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2014</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45,216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25,685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24,681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(12,736)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(10,465)</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(14,016)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2,286</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Cash provided by operating activities during the twelve months ended May 31, 2016 and 2015 was primarily the result of net loss adjusted for non-cash items offset by favorable shifts in working capital in 2016 compared to unfavorable shifts in working capital in 2015. In the current year, DSO improvement and inventory management, coupled with reductions in payables and accrued expenses contributed to $12.9 million improvement in operating activities. The $12.9 million improvement includes approximately $4.8 million in non-cash changes to inventory reserves.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ind w:right="120" w:firstLine="432"/>
        <w:spacing w:after="0" w:line="259" w:lineRule="auto"/>
        <w:rPr>
          <w:sz w:val="20"/>
          <w:szCs w:val="20"/>
          <w:color w:val="auto"/>
        </w:rPr>
      </w:pPr>
      <w:r>
        <w:rPr>
          <w:rFonts w:ascii="Arial" w:cs="Arial" w:eastAsia="Arial" w:hAnsi="Arial"/>
          <w:sz w:val="18"/>
          <w:szCs w:val="18"/>
          <w:color w:val="auto"/>
        </w:rPr>
        <w:t>The net cash used in investing activities for the current year consisted of $2.3 million in fixed asset additions as a result of the agreement with EmboMedics, $2.0 million in warrant additions and $3.3 million in intangible asset additions related to the Merz Distribution Agreement. The prior year use of cash consisted primarily of $11.4 million in fixed asset additions, a large portion of which is associated with facility investments, and $1.4 million in intangible asset additions.</w:t>
      </w:r>
    </w:p>
    <w:p>
      <w:pPr>
        <w:spacing w:after="0" w:line="18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net cash used in financing activities is the result of $9.9 million in payments on contingent liabilities and $16.3 million of payments on our credit facility, partially offset by $2.4 million of stock option and ESPP activity proceeds.</w:t>
      </w:r>
    </w:p>
    <w:p>
      <w:pPr>
        <w:spacing w:after="0" w:line="170"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We believe that our current cash and investment balances, together with cash generated from operations and our remaining revolving credit facility capacity of $63.6 million as of May 31, 2016,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16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contractual obligations as of May 31, 2016 are set forth in the table below (in thousands). We have no variable interest entities or other off-balance sheet obligations.</w:t>
      </w:r>
    </w:p>
    <w:p>
      <w:pPr>
        <w:spacing w:after="0" w:line="324"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Cash Payments Due By Period as of May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23495</wp:posOffset>
            </wp:positionV>
            <wp:extent cx="3902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4"/>
                <w:szCs w:val="14"/>
                <w:color w:val="auto"/>
              </w:rPr>
            </w:pPr>
          </w:p>
        </w:tc>
        <w:tc>
          <w:tcPr>
            <w:tcW w:w="900" w:type="dxa"/>
            <w:vAlign w:val="bottom"/>
          </w:tcPr>
          <w:p>
            <w:pPr>
              <w:jc w:val="right"/>
              <w:ind w:right="254"/>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One Year</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Long term debt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125,428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18,369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107,059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leases(1)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Purchase obligations(1)</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50,949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13,805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28,435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8,709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Acquisition-related future obligations (2)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152,719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680" w:hanging="492"/>
        <w:spacing w:after="0" w:line="258"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non-cancelable operating leases and inventory purchase obligations are not reflected on our consolidated balance sheets under accounting principles generally accepted in the United States of America.</w:t>
      </w:r>
    </w:p>
    <w:p>
      <w:pPr>
        <w:spacing w:after="0" w:line="1" w:lineRule="exact"/>
        <w:rPr>
          <w:rFonts w:ascii="Arial" w:cs="Arial" w:eastAsia="Arial" w:hAnsi="Arial"/>
          <w:sz w:val="18"/>
          <w:szCs w:val="18"/>
          <w:color w:val="auto"/>
        </w:rPr>
      </w:pPr>
    </w:p>
    <w:p>
      <w:pPr>
        <w:ind w:left="500" w:right="500" w:hanging="492"/>
        <w:spacing w:after="0" w:line="273"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Acquisition-related future obligations include scheduled minimum payments and contingent payments based upon achievement of performance measures or milestones such as sales or profitability targets, the achievement of research and development objectives or the receipt of regulatory approvals. The amount represents the undiscounted value of contingent liabilities recorded on the balance sheet. Timing of payments are as contractually scheduled, or where contingent, the Company's best estimate of payment timing.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Note A for Recently issued Accounting Pronouncements.</w:t>
      </w:r>
    </w:p>
    <w:p>
      <w:pPr>
        <w:spacing w:after="0" w:line="383"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5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 of our sales in fiscal 2016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Income (Expenses). Significant non-functional balances include a Euro-denominated contingent liability and accounts receivable due from a sub-section of our international customers.</w:t>
      </w:r>
    </w:p>
    <w:p>
      <w:pPr>
        <w:spacing w:after="0" w:line="19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June 2012, we entered in an interest rate swap agreement, with an initial notional amount of $100 million, to limit the effect of variability due to interest rates on our debt. The swap agreement, which qualifies for hedge accounting under authoritative guidance, is a contract to exchange floating interest rate payments for fixed interest rate payments of 3.26% of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800" w:right="25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outstanding balance of loan over the life of the swap agreement without the exchange of the underlying notional amounts. The Swap matured in May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engage in any other hedging or market risk management tools.</w:t>
      </w:r>
    </w:p>
    <w:p>
      <w:pPr>
        <w:spacing w:after="0" w:line="21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On September 19, 2013, we entered into a Credit Agreement (the "Credit Agreement") which provides for a $100 million senior secured term loan facility (“ Term Loan") and a $100 million senior secured revolving credit facility (the “Revolving Facility", and together with the Term Loan, the "Facilities"). Interest on both the Term Loan and Revolver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Changes in the interest rate would not be material.</w:t>
      </w:r>
    </w:p>
    <w:p>
      <w:pPr>
        <w:spacing w:after="0" w:line="188"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Our excess cash is invested in highly liquid, short-term, investment grade securities with maturities primarily of less than two years. These investments are not held for speculative or trading purposes. Changes in interest rates may affect the investment income we earn on cash, cash equivalents and marketable securities and therefore affect our cash flows and results of operations. We hold investments in auction rate securities (“ARS”) in order to generate higher than typical money market investments. ARS typically are high credit quality, generally issued with municipal bond insurance. Credit risks are eased by the historical track record of bond insurers, which back a majority of this market. Sell orders for any security traded through an auction process could exceed bids. Such instances are usually the result of a drastic deterioration of issuer credit quality. Should there be a failed auction, we may be unable to liquidate our position in the securities in the near term. We have $1.7 million in investments in two auction rate securities issued by New York state and local government authorities that have failed auctions. The authorities are current in their interest payments on the securities.</w:t>
      </w:r>
    </w:p>
    <w:p>
      <w:pPr>
        <w:spacing w:after="0" w:line="32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4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Financial statements and supplementary data required by Part II, Item 8 are included in Part IV of this report as indexed as Item 15 (a) (1) and (2) of this report, and are incorporated by reference into this Item 8.</w:t>
      </w:r>
    </w:p>
    <w:p>
      <w:pPr>
        <w:spacing w:after="0" w:line="329"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our Interim Chief Financial Officer, evaluated the effectiveness of the design and operation of our disclosure controls and procedures pursuant to Rule</w:t>
      </w:r>
    </w:p>
    <w:p>
      <w:pPr>
        <w:spacing w:after="0" w:line="292" w:lineRule="auto"/>
        <w:rPr>
          <w:sz w:val="20"/>
          <w:szCs w:val="20"/>
          <w:color w:val="auto"/>
        </w:rPr>
      </w:pPr>
      <w:r>
        <w:rPr>
          <w:rFonts w:ascii="Arial" w:cs="Arial" w:eastAsia="Arial" w:hAnsi="Arial"/>
          <w:sz w:val="16"/>
          <w:szCs w:val="16"/>
          <w:color w:val="auto"/>
        </w:rPr>
        <w:t>13a-15(b) of the Securities Exchange Act of 1934, as amended. Based on that evaluation, the Chief Executive Officer and the Interim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Interim Chief Financial Officer,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spacing w:after="0" w:line="15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34" w:lineRule="exact"/>
        <w:rPr>
          <w:rFonts w:ascii="Arial" w:cs="Arial" w:eastAsia="Arial" w:hAnsi="Arial"/>
          <w:sz w:val="17"/>
          <w:szCs w:val="17"/>
          <w:color w:val="auto"/>
        </w:rPr>
      </w:pPr>
    </w:p>
    <w:p>
      <w:pPr>
        <w:ind w:left="660" w:right="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and that our receipts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color w:val="auto"/>
        </w:rPr>
        <w:t>expenditures are being made only in accordance with authorizations of our management and members of our board of directors; and</w:t>
      </w:r>
    </w:p>
    <w:p>
      <w:pPr>
        <w:spacing w:after="0" w:line="23" w:lineRule="exact"/>
        <w:rPr>
          <w:sz w:val="20"/>
          <w:szCs w:val="20"/>
          <w:color w:val="auto"/>
        </w:rPr>
      </w:pPr>
    </w:p>
    <w:p>
      <w:pPr>
        <w:ind w:left="660" w:hanging="328"/>
        <w:spacing w:after="0" w:line="27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 xml:space="preserve">Our management has assessed the effectiveness of our internal control over financial reporting as of May 31, 2016. In making this assessment,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Based on this evaluation, management concluded that our internal control over financial reporting was effective as of May 31, 2016.</w:t>
      </w:r>
    </w:p>
    <w:p>
      <w:pPr>
        <w:spacing w:after="0" w:line="14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May 31, 2016 has been audited by PricewaterhouseCoopers LLP, an independent registered public accounting firm, as stated in their report which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May 31, 2016 that has materially affected, or is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611" w:right="3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2016. The information included in the Proxy Statement under the respective headings noted below is incorporated herein by reference.</w:t>
      </w:r>
    </w:p>
    <w:p>
      <w:pPr>
        <w:spacing w:after="0" w:line="386"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5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w:t>
      </w:r>
    </w:p>
    <w:p>
      <w:pPr>
        <w:spacing w:after="0" w:line="339"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required by Item 11 is incorporated herein by reference to our Proxy Statement under the heading “Executive Compensation”.</w:t>
      </w:r>
    </w:p>
    <w:p>
      <w:pPr>
        <w:spacing w:after="0" w:line="395"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information required by this caption is incorporated herein by reference to our Proxy Statement under the heading “Ownership of Securities”.</w:t>
      </w:r>
    </w:p>
    <w:p>
      <w:pPr>
        <w:spacing w:after="0" w:line="395"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5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information required by this caption is incorporated herein by reference to our Proxy Statement under the heading “Certain Relationships and Related Transactions”.</w:t>
      </w:r>
    </w:p>
    <w:p>
      <w:pPr>
        <w:spacing w:after="0" w:line="329"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0" w:right="259" w:bottom="1440" w:gutter="0" w:footer="0" w:header="0"/>
        </w:sectPr>
      </w:pPr>
    </w:p>
    <w:bookmarkStart w:id="46" w:name="page47"/>
    <w:bookmarkEnd w:id="46"/>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36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(a)(1) </w:t>
      </w:r>
      <w:r>
        <w:rPr>
          <w:rFonts w:ascii="Arial" w:cs="Arial" w:eastAsia="Arial" w:hAnsi="Arial"/>
          <w:sz w:val="18"/>
          <w:szCs w:val="18"/>
          <w:b w:val="1"/>
          <w:bCs w:val="1"/>
          <w:i w:val="1"/>
          <w:iCs w:val="1"/>
          <w:color w:val="auto"/>
        </w:rPr>
        <w:t>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consolidated financial statements and supplementary data of Registrant and its subsidiaries required by Part II, Item 8, are included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 IV of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Report of Independent Registered Public Accounting Firm</w:t>
              </w:r>
            </w:hyperlink>
          </w:p>
        </w:tc>
        <w:tc>
          <w:tcPr>
            <w:tcW w:w="5680" w:type="dxa"/>
            <w:vAlign w:val="bottom"/>
            <w:gridSpan w:val="6"/>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50"/>
        </w:trPr>
        <w:tc>
          <w:tcPr>
            <w:tcW w:w="40" w:type="dxa"/>
            <w:vAlign w:val="bottom"/>
          </w:tcPr>
          <w:p>
            <w:pPr>
              <w:spacing w:after="0"/>
              <w:rPr>
                <w:sz w:val="21"/>
                <w:szCs w:val="21"/>
                <w:color w:val="auto"/>
              </w:rPr>
            </w:pPr>
          </w:p>
        </w:tc>
        <w:tc>
          <w:tcPr>
            <w:tcW w:w="9900" w:type="dxa"/>
            <w:vAlign w:val="bottom"/>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operations—Years ended May 31, 2016, May 31, 2015 and May 31, 2014</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900" w:type="dxa"/>
            <w:vAlign w:val="bottom"/>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comprehensive income (loss) – Years ended May 31, 2016, May 31, 2015 and May 31, 2014</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50"/>
        </w:trPr>
        <w:tc>
          <w:tcPr>
            <w:tcW w:w="40" w:type="dxa"/>
            <w:vAlign w:val="bottom"/>
          </w:tcPr>
          <w:p>
            <w:pPr>
              <w:spacing w:after="0"/>
              <w:rPr>
                <w:sz w:val="21"/>
                <w:szCs w:val="21"/>
                <w:color w:val="auto"/>
              </w:rPr>
            </w:pPr>
          </w:p>
        </w:tc>
        <w:tc>
          <w:tcPr>
            <w:tcW w:w="8700" w:type="dxa"/>
            <w:vAlign w:val="bottom"/>
            <w:tcBorders>
              <w:top w:val="single" w:sz="8" w:color="0000EE"/>
            </w:tcBorders>
            <w:gridSpan w:val="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balance sheets—May 31, 2016 and May 31, 2015</w:t>
              </w:r>
            </w:hyperlink>
          </w:p>
        </w:tc>
        <w:tc>
          <w:tcPr>
            <w:tcW w:w="1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Consolidated statements of stockholders’ equity—Years ended May 31, 2016, May 31, 2015 and May 31, 2014</w:t>
              </w:r>
            </w:hyperlink>
          </w:p>
        </w:tc>
        <w:tc>
          <w:tcPr>
            <w:tcW w:w="1840" w:type="dxa"/>
            <w:vAlign w:val="bottom"/>
            <w:gridSpan w:val="2"/>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50"/>
        </w:trPr>
        <w:tc>
          <w:tcPr>
            <w:tcW w:w="40" w:type="dxa"/>
            <w:vAlign w:val="bottom"/>
          </w:tcPr>
          <w:p>
            <w:pPr>
              <w:spacing w:after="0"/>
              <w:rPr>
                <w:sz w:val="21"/>
                <w:szCs w:val="21"/>
                <w:color w:val="auto"/>
              </w:rPr>
            </w:pPr>
          </w:p>
        </w:tc>
        <w:tc>
          <w:tcPr>
            <w:tcW w:w="73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Consolidated statements of cash flows—Years ended May 31, 2016, May 31, 2015 and May 31, 2014</w:t>
              </w:r>
            </w:hyperlink>
          </w:p>
        </w:tc>
        <w:tc>
          <w:tcPr>
            <w:tcW w:w="2540" w:type="dxa"/>
            <w:vAlign w:val="bottom"/>
            <w:gridSpan w:val="3"/>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50"/>
        </w:trPr>
        <w:tc>
          <w:tcPr>
            <w:tcW w:w="40" w:type="dxa"/>
            <w:vAlign w:val="bottom"/>
          </w:tcPr>
          <w:p>
            <w:pPr>
              <w:spacing w:after="0"/>
              <w:rPr>
                <w:sz w:val="21"/>
                <w:szCs w:val="21"/>
                <w:color w:val="auto"/>
              </w:rPr>
            </w:pPr>
          </w:p>
        </w:tc>
        <w:tc>
          <w:tcPr>
            <w:tcW w:w="3040" w:type="dxa"/>
            <w:vAlign w:val="bottom"/>
            <w:tcBorders>
              <w:bottom w:val="single" w:sz="8" w:color="0000EE"/>
            </w:tcBorders>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Notes to consolidated financial statements</w:t>
              </w:r>
            </w:hyperlink>
          </w:p>
        </w:tc>
        <w:tc>
          <w:tcPr>
            <w:tcW w:w="6860" w:type="dxa"/>
            <w:vAlign w:val="bottom"/>
            <w:gridSpan w:val="8"/>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507"/>
        </w:trPr>
        <w:tc>
          <w:tcPr>
            <w:tcW w:w="994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i w:val="1"/>
                <w:iCs w:val="1"/>
                <w:color w:val="auto"/>
              </w:rPr>
              <w:t>Financial Statement Schedules</w:t>
            </w:r>
          </w:p>
        </w:tc>
        <w:tc>
          <w:tcPr>
            <w:tcW w:w="1380" w:type="dxa"/>
            <w:vAlign w:val="bottom"/>
          </w:tcPr>
          <w:p>
            <w:pPr>
              <w:spacing w:after="0"/>
              <w:rPr>
                <w:sz w:val="24"/>
                <w:szCs w:val="24"/>
                <w:color w:val="auto"/>
              </w:rPr>
            </w:pPr>
          </w:p>
        </w:tc>
      </w:tr>
      <w:tr>
        <w:trPr>
          <w:trHeight w:val="297"/>
        </w:trPr>
        <w:tc>
          <w:tcPr>
            <w:tcW w:w="9940" w:type="dxa"/>
            <w:vAlign w:val="bottom"/>
            <w:gridSpan w:val="10"/>
          </w:tcPr>
          <w:p>
            <w:pPr>
              <w:spacing w:after="0"/>
              <w:rPr>
                <w:sz w:val="20"/>
                <w:szCs w:val="20"/>
                <w:color w:val="auto"/>
              </w:rPr>
            </w:pPr>
            <w:r>
              <w:rPr>
                <w:rFonts w:ascii="Arial" w:cs="Arial" w:eastAsia="Arial" w:hAnsi="Arial"/>
                <w:sz w:val="18"/>
                <w:szCs w:val="18"/>
                <w:color w:val="auto"/>
              </w:rPr>
              <w:t>The following consolidated financial statement schedule is included in Part IV of this report:</w:t>
            </w:r>
          </w:p>
        </w:tc>
        <w:tc>
          <w:tcPr>
            <w:tcW w:w="1380" w:type="dxa"/>
            <w:vAlign w:val="bottom"/>
          </w:tcPr>
          <w:p>
            <w:pPr>
              <w:spacing w:after="0"/>
              <w:rPr>
                <w:sz w:val="24"/>
                <w:szCs w:val="24"/>
                <w:color w:val="auto"/>
              </w:rPr>
            </w:pPr>
          </w:p>
        </w:tc>
      </w:tr>
      <w:tr>
        <w:trPr>
          <w:trHeight w:val="527"/>
        </w:trPr>
        <w:tc>
          <w:tcPr>
            <w:tcW w:w="40" w:type="dxa"/>
            <w:vAlign w:val="bottom"/>
          </w:tcPr>
          <w:p>
            <w:pPr>
              <w:spacing w:after="0"/>
              <w:rPr>
                <w:sz w:val="24"/>
                <w:szCs w:val="24"/>
                <w:color w:val="auto"/>
              </w:rPr>
            </w:pPr>
          </w:p>
        </w:tc>
        <w:tc>
          <w:tcPr>
            <w:tcW w:w="34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Schedule II—Valuation and qualifying accounts</w:t>
              </w:r>
            </w:hyperlink>
          </w:p>
        </w:tc>
        <w:tc>
          <w:tcPr>
            <w:tcW w:w="6440" w:type="dxa"/>
            <w:vAlign w:val="bottom"/>
            <w:gridSpan w:val="7"/>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202"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Borders>
              <w:bottom w:val="single" w:sz="8" w:color="0000EE"/>
            </w:tcBorders>
          </w:tcPr>
          <w:p>
            <w:pPr>
              <w:spacing w:after="0"/>
              <w:rPr>
                <w:rFonts w:ascii="Arial" w:cs="Arial" w:eastAsia="Arial" w:hAnsi="Arial"/>
                <w:sz w:val="18"/>
                <w:szCs w:val="18"/>
                <w:b w:val="1"/>
                <w:bCs w:val="1"/>
                <w:i w:val="1"/>
                <w:iCs w:val="1"/>
                <w:color w:val="0000EE"/>
                <w:w w:val="87"/>
              </w:rPr>
            </w:pPr>
            <w:hyperlink w:anchor="page99">
              <w:r>
                <w:rPr>
                  <w:rFonts w:ascii="Arial" w:cs="Arial" w:eastAsia="Arial" w:hAnsi="Arial"/>
                  <w:sz w:val="18"/>
                  <w:szCs w:val="18"/>
                  <w:b w:val="1"/>
                  <w:bCs w:val="1"/>
                  <w:i w:val="1"/>
                  <w:iCs w:val="1"/>
                  <w:color w:val="0000EE"/>
                  <w:w w:val="87"/>
                </w:rPr>
                <w:t>(b) Exhibits</w:t>
              </w:r>
            </w:hyperlink>
          </w:p>
        </w:tc>
        <w:tc>
          <w:tcPr>
            <w:tcW w:w="1040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20"/>
          </w:cols>
          <w:pgMar w:left="240" w:top="580" w:right="339" w:bottom="1440" w:gutter="0" w:footer="0" w:header="0"/>
        </w:sectPr>
      </w:pPr>
    </w:p>
    <w:bookmarkStart w:id="47" w:name="page48"/>
    <w:bookmarkEnd w:id="47"/>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AngioDynamics, Inc.</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(loss), of stockholders’ equity, and of cash flows present fairly, in all material respects, the financial position of AngioDynamics, Inc. and its subsidiaries (the Company) at May 31, 2016 and May 31, 2015, and the results of their operations and their cash flows for each of the three years in the period ended May 31, 2016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May 31,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8" w:lineRule="exact"/>
        <w:rPr>
          <w:sz w:val="20"/>
          <w:szCs w:val="20"/>
          <w:color w:val="auto"/>
        </w:rPr>
      </w:pPr>
    </w:p>
    <w:p>
      <w:pPr>
        <w:spacing w:after="0" w:line="340" w:lineRule="auto"/>
        <w:rPr>
          <w:sz w:val="20"/>
          <w:szCs w:val="20"/>
          <w:color w:val="auto"/>
        </w:rPr>
      </w:pPr>
      <w:r>
        <w:rPr>
          <w:rFonts w:ascii="Arial" w:cs="Arial" w:eastAsia="Arial" w:hAnsi="Arial"/>
          <w:sz w:val="18"/>
          <w:szCs w:val="18"/>
          <w:color w:val="auto"/>
        </w:rPr>
        <w:t xml:space="preserve">As discussed in Note A to the consolidated financial statements, the Company changed the manner in which it accounts for the classification of deferred taxes in the consolidated balance sheets due to the adoption of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797" w:right="279" w:bottom="1440" w:gutter="0" w:footer="0" w:header="0"/>
        </w:sectPr>
      </w:pPr>
    </w:p>
    <w:bookmarkStart w:id="48" w:name="page49"/>
    <w:bookmarkEnd w:id="48"/>
    <w:p>
      <w:pPr>
        <w:ind w:left="4260"/>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Years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31,</w:t>
            </w:r>
          </w:p>
        </w:tc>
        <w:tc>
          <w:tcPr>
            <w:tcW w:w="18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May 31,</w:t>
            </w:r>
          </w:p>
        </w:tc>
        <w:tc>
          <w:tcPr>
            <w:tcW w:w="220" w:type="dxa"/>
            <w:vAlign w:val="bottom"/>
          </w:tcPr>
          <w:p>
            <w:pPr>
              <w:spacing w:after="0"/>
              <w:rPr>
                <w:sz w:val="13"/>
                <w:szCs w:val="13"/>
                <w:color w:val="auto"/>
              </w:rPr>
            </w:pPr>
          </w:p>
        </w:tc>
        <w:tc>
          <w:tcPr>
            <w:tcW w:w="102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92"/>
        </w:trPr>
        <w:tc>
          <w:tcPr>
            <w:tcW w:w="7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356,534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354,425</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179,574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180,738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174,251</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174,316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175,796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180,174</w:t>
            </w:r>
          </w:p>
        </w:tc>
        <w:tc>
          <w:tcPr>
            <w:tcW w:w="0" w:type="dxa"/>
            <w:vAlign w:val="bottom"/>
          </w:tcPr>
          <w:p>
            <w:pPr>
              <w:spacing w:after="0"/>
              <w:rPr>
                <w:sz w:val="1"/>
                <w:szCs w:val="1"/>
                <w:color w:val="auto"/>
              </w:rPr>
            </w:pP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28,124</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84,723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85,305</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26,902</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17,966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16,562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26,257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Medical device excise tax</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37"/>
        </w:trPr>
        <w:tc>
          <w:tcPr>
            <w:tcW w:w="74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173,298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179,245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169,687</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color w:val="auto"/>
              </w:rPr>
              <w:t>Other (expenses) income</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37"/>
        </w:trPr>
        <w:tc>
          <w:tcPr>
            <w:tcW w:w="7400" w:type="dxa"/>
            <w:vAlign w:val="bottom"/>
          </w:tcPr>
          <w:p>
            <w:pPr>
              <w:ind w:left="720"/>
              <w:spacing w:after="0"/>
              <w:rPr>
                <w:sz w:val="20"/>
                <w:szCs w:val="20"/>
                <w:color w:val="auto"/>
              </w:rPr>
            </w:pPr>
            <w:r>
              <w:rPr>
                <w:rFonts w:ascii="Arial" w:cs="Arial" w:eastAsia="Arial" w:hAnsi="Arial"/>
                <w:sz w:val="18"/>
                <w:szCs w:val="18"/>
                <w:color w:val="auto"/>
              </w:rPr>
              <w:t>Total other expenses, net</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(loss) before income tax expense (benefit)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67"/>
        </w:trPr>
        <w:tc>
          <w:tcPr>
            <w:tcW w:w="74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35,683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35,136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36,161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35,683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35,440</w:t>
            </w:r>
          </w:p>
        </w:tc>
        <w:tc>
          <w:tcPr>
            <w:tcW w:w="0" w:type="dxa"/>
            <w:vAlign w:val="bottom"/>
          </w:tcPr>
          <w:p>
            <w:pPr>
              <w:spacing w:after="0"/>
              <w:rPr>
                <w:sz w:val="1"/>
                <w:szCs w:val="1"/>
                <w:color w:val="auto"/>
              </w:rPr>
            </w:pPr>
          </w:p>
        </w:tc>
      </w:tr>
      <w:tr>
        <w:trPr>
          <w:trHeight w:val="27"/>
        </w:trPr>
        <w:tc>
          <w:tcPr>
            <w:tcW w:w="7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580"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580" w:right="259" w:bottom="1440" w:gutter="0" w:footer="0" w:header="0"/>
          <w:type w:val="continuous"/>
        </w:sectPr>
      </w:pPr>
    </w:p>
    <w:bookmarkStart w:id="49" w:name="page50"/>
    <w:bookmarkEnd w:id="49"/>
    <w:p>
      <w:pPr>
        <w:ind w:left="4260"/>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Years ended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6"/>
        </w:trPr>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31, 2016</w:t>
            </w: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May 31, 2015</w:t>
            </w:r>
          </w:p>
        </w:tc>
        <w:tc>
          <w:tcPr>
            <w:tcW w:w="160" w:type="dxa"/>
            <w:vAlign w:val="bottom"/>
          </w:tcPr>
          <w:p>
            <w:pPr>
              <w:spacing w:after="0"/>
              <w:rPr>
                <w:sz w:val="24"/>
                <w:szCs w:val="24"/>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May 31, 2014</w:t>
            </w:r>
          </w:p>
        </w:tc>
      </w:tr>
      <w:tr>
        <w:trPr>
          <w:trHeight w:val="250"/>
        </w:trPr>
        <w:tc>
          <w:tcPr>
            <w:tcW w:w="7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2,347</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Unrealized gain (loss) on interest rate swap</w:t>
            </w: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gain (loss)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394</w:t>
            </w:r>
          </w:p>
        </w:tc>
      </w:tr>
      <w:tr>
        <w:trPr>
          <w:trHeight w:val="27"/>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benefit (expense) related to items of other comprehensive income (loss)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412</w:t>
            </w:r>
          </w:p>
        </w:tc>
      </w:tr>
      <w:tr>
        <w:trPr>
          <w:trHeight w:val="27"/>
        </w:trPr>
        <w:tc>
          <w:tcPr>
            <w:tcW w:w="7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0"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31,</w:t>
            </w:r>
          </w:p>
        </w:tc>
        <w:tc>
          <w:tcPr>
            <w:tcW w:w="240" w:type="dxa"/>
            <w:vAlign w:val="bottom"/>
          </w:tcPr>
          <w:p>
            <w:pPr>
              <w:spacing w:after="0"/>
              <w:rPr>
                <w:sz w:val="14"/>
                <w:szCs w:val="14"/>
                <w:color w:val="auto"/>
              </w:rPr>
            </w:pPr>
          </w:p>
        </w:tc>
        <w:tc>
          <w:tcPr>
            <w:tcW w:w="1000" w:type="dxa"/>
            <w:vAlign w:val="bottom"/>
          </w:tcPr>
          <w:p>
            <w:pPr>
              <w:jc w:val="right"/>
              <w:ind w:right="291"/>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48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7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324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ind w:left="360"/>
              <w:spacing w:after="0"/>
              <w:rPr>
                <w:sz w:val="20"/>
                <w:szCs w:val="20"/>
                <w:color w:val="auto"/>
              </w:rPr>
            </w:pPr>
            <w:r>
              <w:rPr>
                <w:rFonts w:ascii="Arial" w:cs="Arial" w:eastAsia="Arial" w:hAnsi="Arial"/>
                <w:sz w:val="18"/>
                <w:szCs w:val="18"/>
                <w:color w:val="auto"/>
              </w:rPr>
              <w:t>Marketable securities, at fair value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allowances of $4,372 and $3,043,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67,388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Prepaid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ind w:left="36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54,450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166,577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181,652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361,252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Deferred Income Taxes, long term</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19,508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773,058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760" w:type="dxa"/>
            <w:vAlign w:val="bottom"/>
            <w:tcBorders>
              <w:top w:val="single" w:sz="8" w:color="CCEEFF"/>
              <w:bottom w:val="single" w:sz="8" w:color="CCEEFF"/>
            </w:tcBorders>
            <w:gridSpan w:val="3"/>
            <w:vMerge w:val="restart"/>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7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240" w:type="dxa"/>
            <w:vAlign w:val="bottom"/>
            <w:tcBorders>
              <w:top w:val="single" w:sz="8" w:color="auto"/>
            </w:tcBorders>
          </w:tcPr>
          <w:p>
            <w:pPr>
              <w:spacing w:after="0"/>
              <w:rPr>
                <w:sz w:val="6"/>
                <w:szCs w:val="6"/>
                <w:color w:val="auto"/>
              </w:rPr>
            </w:pPr>
          </w:p>
        </w:tc>
        <w:tc>
          <w:tcPr>
            <w:tcW w:w="4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15,616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23,048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ind w:left="3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ind w:left="360"/>
              <w:spacing w:after="0"/>
              <w:rPr>
                <w:sz w:val="20"/>
                <w:szCs w:val="20"/>
                <w:color w:val="auto"/>
              </w:rPr>
            </w:pPr>
            <w:r>
              <w:rPr>
                <w:rFonts w:ascii="Arial" w:cs="Arial" w:eastAsia="Arial" w:hAnsi="Arial"/>
                <w:sz w:val="18"/>
                <w:szCs w:val="18"/>
                <w:color w:val="auto"/>
              </w:rPr>
              <w:t>Current portion of contingent consideration</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12,919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66,727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Deferred Income Taxes, long term</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21,684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Contingent Consideration,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Other Long Term Liabilities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219,835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7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Commitments and Contingencies (Note O)</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7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4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ind w:left="360"/>
              <w:spacing w:after="0"/>
              <w:rPr>
                <w:sz w:val="20"/>
                <w:szCs w:val="20"/>
                <w:color w:val="auto"/>
              </w:rPr>
            </w:pPr>
            <w:r>
              <w:rPr>
                <w:rFonts w:ascii="Arial" w:cs="Arial" w:eastAsia="Arial" w:hAnsi="Arial"/>
                <w:sz w:val="18"/>
                <w:szCs w:val="18"/>
                <w:color w:val="auto"/>
                <w:w w:val="99"/>
              </w:rPr>
              <w:t>Preferred stock, par value $.01 per share, 5,000,000 shares authorized; no shares issued and outstanding</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1"/>
              </w:rPr>
              <w:t>Common stock, par value $.01 per share, 75,000,000 shares authorized; 36,420,403 and 36,043,725 shares issued</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and 36,278,098 and 35,901,420 shares outstanding at May 31, 2016 and May 31, 2015,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ind w:left="3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525,775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520,101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60" w:type="dxa"/>
            <w:vAlign w:val="bottom"/>
            <w:gridSpan w:val="3"/>
          </w:tcPr>
          <w:p>
            <w:pPr>
              <w:ind w:left="360"/>
              <w:spacing w:after="0"/>
              <w:rPr>
                <w:sz w:val="20"/>
                <w:szCs w:val="20"/>
                <w:color w:val="auto"/>
              </w:rPr>
            </w:pPr>
            <w:r>
              <w:rPr>
                <w:rFonts w:ascii="Arial" w:cs="Arial" w:eastAsia="Arial" w:hAnsi="Arial"/>
                <w:sz w:val="18"/>
                <w:szCs w:val="18"/>
                <w:color w:val="auto"/>
              </w:rPr>
              <w:t>Treasury stock, 142,305 shares, at cost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507,228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545,099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773,058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380"/>
          </w:cols>
          <w:pgMar w:left="260" w:top="580" w:right="25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80"/>
          </w:cols>
          <w:pgMar w:left="260" w:top="580" w:right="259" w:bottom="144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80" w:firstLine="351"/>
        <w:spacing w:after="0" w:line="382" w:lineRule="auto"/>
        <w:rPr>
          <w:sz w:val="20"/>
          <w:szCs w:val="20"/>
          <w:color w:val="auto"/>
        </w:rPr>
      </w:pPr>
      <w:r>
        <w:rPr>
          <w:rFonts w:ascii="Arial" w:cs="Arial" w:eastAsia="Arial" w:hAnsi="Arial"/>
          <w:sz w:val="14"/>
          <w:szCs w:val="14"/>
          <w:color w:val="auto"/>
        </w:rPr>
        <w:t>Balance at May 31, 2013 Net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Tax effect of exercise of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Issuance of restricted shares, net</w:t>
      </w:r>
    </w:p>
    <w:p>
      <w:pPr>
        <w:spacing w:after="0" w:line="109"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Purchase of common stock under Employee Stock Purchase Plan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Other comprehensive income (loss), net of tax</w:t>
      </w:r>
    </w:p>
    <w:p>
      <w:pPr>
        <w:spacing w:after="0" w:line="148" w:lineRule="exact"/>
        <w:rPr>
          <w:sz w:val="20"/>
          <w:szCs w:val="20"/>
          <w:color w:val="auto"/>
        </w:rPr>
      </w:pPr>
    </w:p>
    <w:p>
      <w:pPr>
        <w:ind w:right="880" w:firstLine="351"/>
        <w:spacing w:after="0" w:line="382" w:lineRule="auto"/>
        <w:rPr>
          <w:sz w:val="20"/>
          <w:szCs w:val="20"/>
          <w:color w:val="auto"/>
        </w:rPr>
      </w:pPr>
      <w:r>
        <w:rPr>
          <w:rFonts w:ascii="Arial" w:cs="Arial" w:eastAsia="Arial" w:hAnsi="Arial"/>
          <w:sz w:val="14"/>
          <w:szCs w:val="14"/>
          <w:color w:val="auto"/>
        </w:rPr>
        <w:t>Balance at May 31, 2014 Net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Tax effect of exercise of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Issuance of restricted shares, net</w:t>
      </w:r>
    </w:p>
    <w:p>
      <w:pPr>
        <w:spacing w:after="0" w:line="109"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Purchase of common stock under Employee Stock Purchase Plan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Other comprehensive income (loss), net of tax</w:t>
      </w:r>
    </w:p>
    <w:p>
      <w:pPr>
        <w:spacing w:after="0" w:line="148" w:lineRule="exact"/>
        <w:rPr>
          <w:sz w:val="20"/>
          <w:szCs w:val="20"/>
          <w:color w:val="auto"/>
        </w:rPr>
      </w:pPr>
    </w:p>
    <w:p>
      <w:pPr>
        <w:ind w:right="880" w:firstLine="351"/>
        <w:spacing w:after="0" w:line="382" w:lineRule="auto"/>
        <w:rPr>
          <w:sz w:val="20"/>
          <w:szCs w:val="20"/>
          <w:color w:val="auto"/>
        </w:rPr>
      </w:pPr>
      <w:r>
        <w:rPr>
          <w:rFonts w:ascii="Arial" w:cs="Arial" w:eastAsia="Arial" w:hAnsi="Arial"/>
          <w:sz w:val="14"/>
          <w:szCs w:val="14"/>
          <w:color w:val="auto"/>
        </w:rPr>
        <w:t>Balance at May 31, 2015 Net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Tax effect of exercise of stock options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Issuance of restricted shares, net</w:t>
      </w:r>
    </w:p>
    <w:p>
      <w:pPr>
        <w:spacing w:after="0" w:line="109"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Purchase of common stock under Employee Stock Purchase Plan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Other comprehensive income (loss), net of tax</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Balance at May 31, 2016</w:t>
      </w:r>
    </w:p>
    <w:p>
      <w:pPr>
        <w:spacing w:after="0" w:line="20" w:lineRule="exact"/>
        <w:rPr>
          <w:sz w:val="20"/>
          <w:szCs w:val="20"/>
          <w:color w:val="auto"/>
        </w:rPr>
      </w:pPr>
      <w:r>
        <w:rPr>
          <w:sz w:val="20"/>
          <w:szCs w:val="20"/>
          <w:color w:val="auto"/>
        </w:rPr>
        <w:br w:type="column"/>
      </w:r>
    </w:p>
    <w:p>
      <w:pPr>
        <w:ind w:left="1520"/>
        <w:spacing w:after="0"/>
        <w:rPr>
          <w:sz w:val="20"/>
          <w:szCs w:val="20"/>
          <w:color w:val="auto"/>
        </w:rPr>
      </w:pPr>
      <w:r>
        <w:rPr>
          <w:rFonts w:ascii="Arial" w:cs="Arial" w:eastAsia="Arial" w:hAnsi="Arial"/>
          <w:sz w:val="18"/>
          <w:szCs w:val="18"/>
          <w:b w:val="1"/>
          <w:bCs w:val="1"/>
          <w:color w:val="auto"/>
        </w:rPr>
        <w:t>AngioDynamics, Inc. and Subsidiaries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2720"/>
        <w:spacing w:after="0"/>
        <w:rPr>
          <w:sz w:val="20"/>
          <w:szCs w:val="20"/>
          <w:color w:val="auto"/>
        </w:rPr>
      </w:pPr>
      <w:r>
        <w:rPr>
          <w:rFonts w:ascii="Arial" w:cs="Arial" w:eastAsia="Arial" w:hAnsi="Arial"/>
          <w:sz w:val="18"/>
          <w:szCs w:val="18"/>
          <w:b w:val="1"/>
          <w:bCs w:val="1"/>
          <w:color w:val="auto"/>
        </w:rPr>
        <w:t>Years ended May 31, 2016, May 31, 2015 and May 31, 2014</w:t>
      </w:r>
    </w:p>
    <w:p>
      <w:pPr>
        <w:spacing w:after="0" w:line="9" w:lineRule="exact"/>
        <w:rPr>
          <w:sz w:val="20"/>
          <w:szCs w:val="20"/>
          <w:color w:val="auto"/>
        </w:rPr>
      </w:pPr>
    </w:p>
    <w:p>
      <w:pPr>
        <w:jc w:val="center"/>
        <w:ind w:right="2720"/>
        <w:spacing w:after="0"/>
        <w:rPr>
          <w:sz w:val="20"/>
          <w:szCs w:val="20"/>
          <w:color w:val="auto"/>
        </w:rPr>
      </w:pPr>
      <w:r>
        <w:rPr>
          <w:rFonts w:ascii="Arial" w:cs="Arial" w:eastAsia="Arial" w:hAnsi="Arial"/>
          <w:sz w:val="18"/>
          <w:szCs w:val="18"/>
          <w:b w:val="1"/>
          <w:bCs w:val="1"/>
          <w:color w:val="auto"/>
        </w:rPr>
        <w:t>(in thousands, except share data)</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4"/>
            <w:vMerge w:val="restart"/>
          </w:tcPr>
          <w:p>
            <w:pPr>
              <w:jc w:val="right"/>
              <w:ind w:right="547"/>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8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2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other</w:t>
            </w:r>
          </w:p>
        </w:tc>
        <w:tc>
          <w:tcPr>
            <w:tcW w:w="168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10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paid in</w:t>
            </w: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0"/>
                <w:szCs w:val="10"/>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35,060,351</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500,554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28,616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(142,305)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526,324</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2,347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2,347</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105,676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129,702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(1,357)</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146,275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2,718</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5,502</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1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35,442,004</w:t>
            </w:r>
          </w:p>
        </w:tc>
        <w:tc>
          <w:tcPr>
            <w:tcW w:w="14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508,354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30,963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(142,305)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536,885</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(3,388)</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341,446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4,338</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141,274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119,001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1,416</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5,998</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1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36,043,725</w:t>
            </w:r>
          </w:p>
        </w:tc>
        <w:tc>
          <w:tcPr>
            <w:tcW w:w="14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520,101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27,575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(142,305)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545,099</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(43,590)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(43,590)</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101,040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137,681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137,957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4"/>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36,420,403</w:t>
            </w:r>
          </w:p>
        </w:tc>
        <w:tc>
          <w:tcPr>
            <w:tcW w:w="1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7"/>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525,775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(16,015)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(142,305)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507,228</w:t>
            </w:r>
          </w:p>
        </w:tc>
        <w:tc>
          <w:tcPr>
            <w:tcW w:w="0" w:type="dxa"/>
            <w:vAlign w:val="bottom"/>
          </w:tcPr>
          <w:p>
            <w:pPr>
              <w:spacing w:after="0"/>
              <w:rPr>
                <w:sz w:val="1"/>
                <w:szCs w:val="1"/>
                <w:color w:val="auto"/>
              </w:rPr>
            </w:pPr>
          </w:p>
        </w:tc>
      </w:tr>
      <w:tr>
        <w:trPr>
          <w:trHeight w:val="39"/>
        </w:trPr>
        <w:tc>
          <w:tcPr>
            <w:tcW w:w="10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-4287520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-3943985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-3601085</wp:posOffset>
            </wp:positionV>
            <wp:extent cx="722947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-3206750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-2863850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-2520950</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-2177415</wp:posOffset>
            </wp:positionV>
            <wp:extent cx="722947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-1783080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-1440180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-1097280</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-753745</wp:posOffset>
            </wp:positionV>
            <wp:extent cx="7229475"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22288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-359410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40"/>
            <w:col w:w="8660"/>
          </w:cols>
          <w:pgMar w:left="280"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80" w:top="580" w:right="25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Years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52"/>
        </w:trPr>
        <w:tc>
          <w:tcPr>
            <w:tcW w:w="7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31,</w:t>
            </w:r>
          </w:p>
        </w:tc>
        <w:tc>
          <w:tcPr>
            <w:tcW w:w="18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May 31,</w:t>
            </w:r>
          </w:p>
        </w:tc>
        <w:tc>
          <w:tcPr>
            <w:tcW w:w="220" w:type="dxa"/>
            <w:vAlign w:val="bottom"/>
          </w:tcPr>
          <w:p>
            <w:pPr>
              <w:spacing w:after="0"/>
              <w:rPr>
                <w:sz w:val="13"/>
                <w:szCs w:val="13"/>
                <w:color w:val="auto"/>
              </w:rPr>
            </w:pPr>
          </w:p>
        </w:tc>
        <w:tc>
          <w:tcPr>
            <w:tcW w:w="102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May 31,</w:t>
            </w:r>
          </w:p>
        </w:tc>
      </w:tr>
      <w:tr>
        <w:trPr>
          <w:trHeight w:val="192"/>
        </w:trPr>
        <w:tc>
          <w:tcPr>
            <w:tcW w:w="7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(43,590)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2,347</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29,861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28,329</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acquired inventory basis step-up</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Tax effect of exercise of stock options and issuance of performance shares</w:t>
            </w: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 provision</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2,716</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5,502</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accounts receivable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impairment/disposal of long-term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Loss on impairment of intangible assets</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(14,786)</w:t>
            </w:r>
          </w:p>
        </w:tc>
      </w:tr>
      <w:tr>
        <w:trPr>
          <w:trHeight w:val="243"/>
        </w:trPr>
        <w:tc>
          <w:tcPr>
            <w:tcW w:w="740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(6,114)</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w:t>
            </w:r>
          </w:p>
        </w:tc>
      </w:tr>
      <w:tr>
        <w:trPr>
          <w:trHeight w:val="243"/>
        </w:trPr>
        <w:tc>
          <w:tcPr>
            <w:tcW w:w="7400" w:type="dxa"/>
            <w:vAlign w:val="bottom"/>
          </w:tcPr>
          <w:p>
            <w:pPr>
              <w:ind w:left="114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6,788</w:t>
            </w: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24,681</w:t>
            </w: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7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(11,172)</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(4,169)</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Acquisition of warrants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6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353</w:t>
            </w: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(16,448)</w:t>
            </w: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7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(146,250)</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146,410</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ESPP</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2,444</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Payment of acquisition related contingent consideration</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(15,943)</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 on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37"/>
        </w:trPr>
        <w:tc>
          <w:tcPr>
            <w:tcW w:w="740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(14,016)</w:t>
            </w:r>
          </w:p>
        </w:tc>
      </w:tr>
      <w:tr>
        <w:trPr>
          <w:trHeight w:val="27"/>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r>
      <w:tr>
        <w:trPr>
          <w:trHeight w:val="237"/>
        </w:trPr>
        <w:tc>
          <w:tcPr>
            <w:tcW w:w="7400" w:type="dxa"/>
            <w:vAlign w:val="bottom"/>
          </w:tcPr>
          <w:p>
            <w:pPr>
              <w:ind w:left="146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w:t>
            </w:r>
          </w:p>
        </w:tc>
      </w:tr>
      <w:tr>
        <w:trPr>
          <w:trHeight w:val="27"/>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21,802</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32,333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18,391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16,105</w:t>
            </w:r>
          </w:p>
        </w:tc>
      </w:tr>
      <w:tr>
        <w:trPr>
          <w:trHeight w:val="27"/>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580"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580" w:right="259" w:bottom="1440" w:gutter="0" w:footer="0" w:header="0"/>
          <w:type w:val="continuous"/>
        </w:sectPr>
      </w:pPr>
    </w:p>
    <w:bookmarkStart w:id="53" w:name="page54"/>
    <w:bookmarkEnd w:id="53"/>
    <w:p>
      <w:pPr>
        <w:ind w:left="4260"/>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Years ended</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7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May 31,</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8"/>
              </w:rPr>
              <w:t>May 31,</w:t>
            </w:r>
          </w:p>
        </w:tc>
        <w:tc>
          <w:tcPr>
            <w:tcW w:w="260" w:type="dxa"/>
            <w:vAlign w:val="bottom"/>
          </w:tcPr>
          <w:p>
            <w:pPr>
              <w:spacing w:after="0"/>
              <w:rPr>
                <w:sz w:val="13"/>
                <w:szCs w:val="13"/>
                <w:color w:val="auto"/>
              </w:rPr>
            </w:pPr>
          </w:p>
        </w:tc>
        <w:tc>
          <w:tcPr>
            <w:tcW w:w="100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May 31,</w:t>
            </w:r>
          </w:p>
        </w:tc>
      </w:tr>
      <w:tr>
        <w:trPr>
          <w:trHeight w:val="192"/>
        </w:trPr>
        <w:tc>
          <w:tcPr>
            <w:tcW w:w="7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Supplemental disclosure of non-cash operating, investing and financing activities: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Contractual obligations for acquisition of fixed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4,970</w:t>
            </w: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Contractual obligations for acquisition of intangibles and business</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2,249</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Contractual obligations for tax basis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3,591</w:t>
            </w: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A—BASIS OF PRESENTATION, BUSINESS DESCRIPTION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Basis of Presentation and Description of Business</w:t>
      </w:r>
    </w:p>
    <w:p>
      <w:pPr>
        <w:spacing w:after="0" w:line="22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consolidated financial statements include the accounts of AngioDynamics, Inc. and its wholly owned subsidiaries, (collectively, the “Company”). We design, manufacture and sell a wide range of medical, surgical and diagnostic devices used by professional healthcare providers for vascular access, for the treatment of peripheral vascular disease and in oncology and surgical settings. Our devices are generally used in minimally invasive, image-guided procedures. Most of our products are intended to be used once and then discarded, or they may be temporarily implanted for short- or long-term use.</w:t>
      </w:r>
    </w:p>
    <w:p>
      <w:pPr>
        <w:spacing w:after="0" w:line="1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pacing w:after="0" w:line="52"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Assets and liabilities of non-U.S. dollar functional currency entities are translated to U.S. dollars at period-end exchange rates, and the resulting gains and losses arising from the translation of those net assets are recorded as a cumulative translation adjustment, a component of accumulated other comprehensive loss on the consolidated balance sheets.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intercompany balances and transactions have been eliminated.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Cash and Cash Equivalents</w:t>
      </w:r>
    </w:p>
    <w:p>
      <w:pPr>
        <w:spacing w:after="0" w:line="90" w:lineRule="exact"/>
        <w:rPr>
          <w:sz w:val="20"/>
          <w:szCs w:val="20"/>
          <w:color w:val="auto"/>
        </w:rPr>
      </w:pPr>
    </w:p>
    <w:p>
      <w:pPr>
        <w:jc w:val="both"/>
        <w:ind w:right="100" w:firstLine="432"/>
        <w:spacing w:after="0" w:line="342" w:lineRule="auto"/>
        <w:rPr>
          <w:sz w:val="20"/>
          <w:szCs w:val="20"/>
          <w:color w:val="auto"/>
        </w:rPr>
      </w:pPr>
      <w:r>
        <w:rPr>
          <w:rFonts w:ascii="Arial" w:cs="Arial" w:eastAsia="Arial" w:hAnsi="Arial"/>
          <w:sz w:val="16"/>
          <w:szCs w:val="16"/>
          <w:color w:val="auto"/>
        </w:rPr>
        <w:t>We consider all unrestricted highly liquid investments purchased with an initial maturity of less than three months to be cash equivalents. We maintain cash and cash equivalent balances with financial institutions in the United States in excess of amounts insured by the Federal Deposit Insurance Corporation.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Marketable Securities</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Marketable securities, which include auction rate investments, are classified as “available-for-sale securities” and are reported at fair value, with unrealized gains and losses excluded from operations and reported as a component of accumulated other comprehensive income (loss), net of the related tax effects, in stockholders’ equity. Cost is determined using the specific identification method. We hold investments in auction rate securities in order to generate higher than typical money market rate investment returns. Auction rate securities typically are high credit quality, generally achieved with municipal bond insurance. Credit risks are eased by the historical track record of bond insurers, which back a majority of this market. Sell orders for any security traded through an auction process could exceed bids and, in such cases, the auction fails and we may be unable to liquidate our position in the securities in the near term. As of May 31, 2016 and 2015, we had $1.7 million and $1.7 million, respectively, in investments in two auction rate securities issued by New York state and local government authorities that failed auctions. The authorities are current in their interest payments on the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Accounts Receivable</w:t>
      </w:r>
    </w:p>
    <w:p>
      <w:pPr>
        <w:spacing w:after="0" w:line="9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Accounts receivable, principally trade, are generally due within 30 to 90 days and are stated at amounts due from customers, net of an allowance for sales returns and doubtful accounts. We perform ongoing credit evaluations of our customers and adjust credit limits based upon payment history and the customer’s current creditworthiness, as determined by a review of their current credit information. We continuously monitor aging reports, collections and payments from customers, and a provision for estimated credit losses is maintained based upon our historical experience and any specific customer collection issues that have been identified. While such credit losses have historically been within our expectations and the provisions established, we cannot guarantee that the same credit loss rates will be experienced in the future. We write off accounts receivable when they are determined to be uncollectible.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Inventories</w:t>
      </w:r>
    </w:p>
    <w:p>
      <w:pPr>
        <w:spacing w:after="0" w:line="90"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Inventories are stated at the lower of cost (using the first-in, first-out method) or market. Appropriate consideration is given to deterioration, obsolescence, expiring and other factors in evaluating net realizable value.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6. Property, Plant and Equipment</w:t>
      </w:r>
    </w:p>
    <w:p>
      <w:pPr>
        <w:spacing w:after="0" w:line="9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Refer below for useful lives by category: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b w:val="1"/>
                <w:bCs w:val="1"/>
                <w:color w:val="auto"/>
              </w:rPr>
              <w:t>Estimated useful lives</w:t>
            </w:r>
          </w:p>
        </w:tc>
      </w:tr>
      <w:tr>
        <w:trPr>
          <w:trHeight w:val="27"/>
        </w:trPr>
        <w:tc>
          <w:tcPr>
            <w:tcW w:w="91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39 years</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280" w:type="dxa"/>
            <w:vAlign w:val="bottom"/>
          </w:tcPr>
          <w:p>
            <w:pPr>
              <w:ind w:left="20"/>
              <w:spacing w:after="0"/>
              <w:rPr>
                <w:sz w:val="20"/>
                <w:szCs w:val="20"/>
                <w:color w:val="auto"/>
              </w:rPr>
            </w:pPr>
            <w:r>
              <w:rPr>
                <w:rFonts w:ascii="Arial" w:cs="Arial" w:eastAsia="Arial" w:hAnsi="Arial"/>
                <w:sz w:val="18"/>
                <w:szCs w:val="18"/>
                <w:color w:val="auto"/>
              </w:rPr>
              <w:t>3 to 8 years</w:t>
            </w:r>
          </w:p>
        </w:tc>
      </w:tr>
      <w:tr>
        <w:trPr>
          <w:trHeight w:val="27"/>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to 10 years</w:t>
            </w:r>
          </w:p>
        </w:tc>
      </w:tr>
      <w:tr>
        <w:trPr>
          <w:trHeight w:val="27"/>
        </w:trPr>
        <w:tc>
          <w:tcPr>
            <w:tcW w:w="9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color w:val="auto"/>
        </w:rPr>
        <w:t>We evaluate these assets for impairment periodically or as changes in circumstances or the occurrence of events suggest the remaining value is not recoverable. Expenditures for repairs and maintenance are charged to expense as incurred. Renewals and betterments are capitalized.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Goodwill and Intangible Assets</w:t>
      </w:r>
    </w:p>
    <w:p>
      <w:pPr>
        <w:spacing w:after="0" w:line="9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Intangible assets other than goodwill and acquired IP R&amp;D are amortized over their estimated useful lives, which range between two and eighteen years, on either a straight-line basis over the expected period of benefit or as revenues are earned from the sales of the related products. We periodically review the estimated useful lives of our intangible assets and review such assets for impairment whenever events or changes in circumstances indicate that the carrying value of the assets is not recoverable. Our determination of impairment is based on estimates of future cash flows. If an intangible asset is considered to be impaired, the amount of the impairment will equal the excess of the carrying value over the fair value of the asset.</w:t>
      </w:r>
    </w:p>
    <w:p>
      <w:pPr>
        <w:spacing w:after="0" w:line="10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Acquired IP R&amp;D has an indefinite life and is not amortized until completion of the development of the project, at which time the IP R&amp;D becomes an amortizable asset. If the related project is not completed in a timely manner or the project is terminated or abandoned, we may have an impairment related to the IP R&amp;D, calculated as the excess of the asset’s carrying value over its fair value.</w:t>
      </w:r>
    </w:p>
    <w:p>
      <w:pPr>
        <w:spacing w:after="0" w:line="12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policy defines IP R&amp;D as the value assigned to those projects for which the related products have not received regulatory approval and have no alternative future use. Determining the portion of the purchase price allocated to IP R&amp;D requires us to make significant estimates. The amount of the purchase price allocated to IP R&amp;D is determined by estimating the future cash flows of each project or technology and discounting the net cash flows back to their present values. The discount rate used is determined at the time of measurement in accordance with accepted valuation methods. These methodologies include consideration of the risk of the project not achieving commercial feasibility.</w:t>
      </w:r>
    </w:p>
    <w:p>
      <w:pPr>
        <w:spacing w:after="0" w:line="13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33"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For goodwill, the impairment test requires a comparison of the estimated fair value of the reporting unit to which the goodwill is assigned to the sum of the carrying value of the assets and liabilities of that unit. If the sum of the carrying value of the assets and liabilities of a reporting unit exceeds the fair value of the reporting unit, the carrying value of the reporting unit’s goodwill is reduced to its implied fair value through an adjustment to the goodwill balance, resulting in an impairment charge. Our determination of impairment is based on estimates of future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Contingent Consideration</w:t>
      </w:r>
    </w:p>
    <w:p>
      <w:pPr>
        <w:spacing w:after="0" w:line="225"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The liability for contingent consideration is remeasured to fair value at each reporting period with changes recorded in earnings until the contingency is resolved.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Revenue Recognition</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recognize revenue when the following four criteria has been met: (i) persuasive evidence that an arrangement exists; (ii) the price is fixed or determinable; (iii) collectability is reasonably assured; and (iv) product delivery has occurred or services have been rendered. We recognize revenue, net of sales taxes assessed by any governmental authority, as products are shipped, based on shipping terms, and when title and risk of loss passes to customers. We negotiate shipping and credit terms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27" w:right="239" w:bottom="1440" w:gutter="0" w:footer="0" w:header="0"/>
        </w:sectPr>
      </w:pPr>
    </w:p>
    <w:bookmarkStart w:id="56" w:name="page57"/>
    <w:bookmarkEnd w:id="56"/>
    <w:p>
      <w:pPr>
        <w:ind w:right="40"/>
        <w:spacing w:after="0" w:line="302" w:lineRule="auto"/>
        <w:rPr>
          <w:sz w:val="20"/>
          <w:szCs w:val="20"/>
          <w:color w:val="auto"/>
        </w:rPr>
      </w:pPr>
      <w:r>
        <w:rPr>
          <w:rFonts w:ascii="Arial" w:cs="Arial" w:eastAsia="Arial" w:hAnsi="Arial"/>
          <w:sz w:val="16"/>
          <w:szCs w:val="16"/>
          <w:color w:val="auto"/>
        </w:rPr>
        <w:t>on a customer-by-customer basis and products are shipped at an agreed upon price. All product returns must be pre-approved by us and customers may be subject to a 20% restocking charge. To be accepted, a returned product must be unadulterated, undamaged and have at least twelve months remaining prior to its expiration date. Charges for discounts, returns, rebates and other allowances are recognized as a deduction from revenue on an accrual basis in the period in which the revenue is recorded. The accrual for product returns, discounts and other allowances is based on the company’s history.</w:t>
      </w:r>
    </w:p>
    <w:p>
      <w:pPr>
        <w:spacing w:after="0" w:line="154"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Research and Development</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Income Taxes</w:t>
      </w:r>
    </w:p>
    <w:p>
      <w:pPr>
        <w:spacing w:after="0" w:line="225" w:lineRule="exact"/>
        <w:rPr>
          <w:sz w:val="20"/>
          <w:szCs w:val="20"/>
          <w:color w:val="auto"/>
        </w:rPr>
      </w:pPr>
    </w:p>
    <w:p>
      <w:pPr>
        <w:ind w:firstLine="392"/>
        <w:spacing w:after="0" w:line="276" w:lineRule="auto"/>
        <w:rPr>
          <w:sz w:val="20"/>
          <w:szCs w:val="20"/>
          <w:color w:val="auto"/>
        </w:rPr>
      </w:pPr>
      <w:r>
        <w:rPr>
          <w:rFonts w:ascii="Arial" w:cs="Arial" w:eastAsia="Arial" w:hAnsi="Arial"/>
          <w:sz w:val="17"/>
          <w:szCs w:val="17"/>
          <w:color w:val="auto"/>
        </w:rPr>
        <w:t>In preparing our financial statements, we calculate income tax expense for each jurisdiction in which we operate. This involves estimating actual current taxes due plus assessing temporary differences arising from differing treatment for tax and accounting purposes that are recorded as deferred tax assets and liabilities. We periodically evaluate deferred tax assets, capital loss carryforwards and tax credit carryforwards to determine their recoverability based primarily on our ability to generate future taxable income and capital gains. Where it is more-likely-than-not these will not be recovered, we estimate a valuation allowance and record a corresponding additional tax expense in our statement of operations.</w:t>
      </w:r>
    </w:p>
    <w:p>
      <w:pPr>
        <w:spacing w:after="0" w:line="173" w:lineRule="exact"/>
        <w:rPr>
          <w:sz w:val="20"/>
          <w:szCs w:val="20"/>
          <w:color w:val="auto"/>
        </w:rPr>
      </w:pPr>
    </w:p>
    <w:p>
      <w:pPr>
        <w:ind w:right="20" w:firstLine="392"/>
        <w:spacing w:after="0" w:line="273" w:lineRule="auto"/>
        <w:rPr>
          <w:sz w:val="20"/>
          <w:szCs w:val="20"/>
          <w:color w:val="auto"/>
        </w:rPr>
      </w:pPr>
      <w:r>
        <w:rPr>
          <w:rFonts w:ascii="Arial" w:cs="Arial" w:eastAsia="Arial" w:hAnsi="Arial"/>
          <w:sz w:val="17"/>
          <w:szCs w:val="17"/>
          <w:color w:val="auto"/>
        </w:rPr>
        <w:t>We file income tax returns in the U.S. federal jurisdiction and various state and foreign jurisdictions. In the normal course of business we are subject to examination by taxing authorities throughout the world. Fiscal years 2012 through 2016 remain open to examination by the various tax authorities. New York State is currently auditing AngioDynamic’s franchise tax filings for 2011 through 2013, and we do not anticipate any material adjustments will result. We analyzed filing positions in all of the Federal and state jurisdictions where we are required to file income taxes, as well as all open tax years in these jurisdictions and believe that our income tax filing positions and deductions will be sustained on audit and we do not anticipate any adjustments will result in a material adverse effect on our financial condition,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Derivative Financial Instruments</w:t>
      </w:r>
    </w:p>
    <w:p>
      <w:pPr>
        <w:spacing w:after="0" w:line="90"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We are exposed to market risks, including changes in interest rates. We periodically enter into certain derivative financial instruments to hedge the underlying economic exposure. The derivative instruments used are floating-to-fixed rate interest rate swaps, which are subject to hedge accounting treatment.</w:t>
      </w:r>
    </w:p>
    <w:p>
      <w:pPr>
        <w:spacing w:after="0" w:line="12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Derivative instruments are presented in the consolidated financial statements at their fair value. Changes in the fair value of derivative financial instruments are either recognized periodically in income or in stockholders’ equity as a component of accumulated other comprehensive income (loss) depending on whether the derivative financial instrument qualifies for hedge accounting and, if so, whether it qualifies as a fair value or cash flow hedge. Generally, the changes in the fair value of derivatives accounted for as fair value hedges are recorded in income along with the portions of the changes in the fair value of hedged items that relate to the hedged risks. Changes in the fair value of derivatives accounted for as cash flow hedges, to the extent they are effective as hedges, are recorded in accumulated other comprehensive income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Supplier Concentrations</w:t>
      </w:r>
    </w:p>
    <w:p>
      <w:pPr>
        <w:spacing w:after="0" w:line="90"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are dependent upon the ability of our suppliers to provide products on a timely basis and on favorable pricing terms. The loss of our principal suppliers or a significant reduction in product availability from these suppliers could have a material adverse effect on us. We believe that our relationships with these suppliers are satisfactory.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Recent Events</w:t>
      </w:r>
    </w:p>
    <w:p>
      <w:pPr>
        <w:spacing w:after="0" w:line="22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March 31, 2016, Joseph DeVivo, former President and Chief Executive Officer, decided to pursue other interests outside of the Company and on April 4, 2016, James C. Clemmer was appointed as the new President and Chief Executive Officer. As part of the separation agreement with Joseph DeVivo, his stock options, restricted stock units and performance shares will continue to vest for one year.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584" w:right="279" w:bottom="1440" w:gutter="0" w:footer="0" w:header="0"/>
        </w:sectPr>
      </w:pPr>
    </w:p>
    <w:bookmarkStart w:id="57" w:name="page58"/>
    <w:bookmarkEnd w:id="57"/>
    <w:p>
      <w:pPr>
        <w:ind w:right="100" w:firstLine="405"/>
        <w:spacing w:after="0" w:line="276" w:lineRule="auto"/>
        <w:rPr>
          <w:sz w:val="20"/>
          <w:szCs w:val="20"/>
          <w:color w:val="auto"/>
        </w:rPr>
      </w:pPr>
      <w:r>
        <w:rPr>
          <w:rFonts w:ascii="Arial" w:cs="Arial" w:eastAsia="Arial" w:hAnsi="Arial"/>
          <w:sz w:val="17"/>
          <w:szCs w:val="17"/>
          <w:color w:val="auto"/>
        </w:rPr>
        <w:t>On November 3, 2015, Mark Frost resigned as Executive Vice President and Chief Financial Officer (CFO). Michael Trimarchi, Vice President and Global Controller, assumed the responsibilities as principal accounting officer of the Company and interim CFO until his resignation on May 13, 2016. On July 22, 2016, Michael Greiner was appointed Executive Vice President and Chief Financial Officer of the Company, effective August 16, 2016. On July 27, 2016, Peter J. Kish was designated as the principal financial officer and principal accounting officer of the Company by the Board of Directors of the Company. Mr. Kish will serve in this role until Mr. Greiner begins his service as Chief Financial Officer on August 16, 2016.</w:t>
      </w:r>
    </w:p>
    <w:p>
      <w:pPr>
        <w:spacing w:after="0" w:line="17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December 18, 2015, President Obama signed into law H.R. 2029, the “Consolidated Appropriations Act, 2016”, which includes a two-year moratorium on the medical device excise tax, effective January 1, 2016. The 2.3 percent tax on sales of medical devices (except certain devices sold at retail) was enacted as part of the Affordable Care Act in 2010 and applied to device sales beginning on January 1, 2013. Absent further legislative action, the tax will be automatically reinstated for medical device sales starting on January 1, 2018. As presented on our Consolidated Condensed Statement of Operations we have incurred $12.0 million cumulatively since the enactment of the tax on January 1, 2013 through the May 31, 2016. In the absence of this tax, the company will seek opportunities to further invest in growth drivers to create long-term shareholder value.</w:t>
      </w:r>
    </w:p>
    <w:p>
      <w:pPr>
        <w:spacing w:after="0" w:line="178" w:lineRule="exact"/>
        <w:rPr>
          <w:sz w:val="20"/>
          <w:szCs w:val="20"/>
          <w:color w:val="auto"/>
        </w:rPr>
      </w:pPr>
    </w:p>
    <w:p>
      <w:pPr>
        <w:ind w:firstLine="392"/>
        <w:spacing w:after="0" w:line="279" w:lineRule="auto"/>
        <w:rPr>
          <w:sz w:val="20"/>
          <w:szCs w:val="20"/>
          <w:color w:val="auto"/>
        </w:rPr>
      </w:pPr>
      <w:r>
        <w:rPr>
          <w:rFonts w:ascii="Arial" w:cs="Arial" w:eastAsia="Arial" w:hAnsi="Arial"/>
          <w:sz w:val="17"/>
          <w:szCs w:val="17"/>
          <w:color w:val="auto"/>
        </w:rPr>
        <w:t>On November 17, 2015, the Company received a letter from the FDA closing out the warning letter the Company received from FDA in January 2011 regarding certain promotional activities related to the NanoKnife System. On November 25, 2015, the Company received letters from the FDA closing out the warning letters the Company received from FDA in May 2011 related to the Company’s Queensbury facility and in November 2014 related to the Company’s Glens Falls facility. These close out letters resolved all outstanding warning letters against the Company.</w:t>
      </w:r>
    </w:p>
    <w:p>
      <w:pPr>
        <w:spacing w:after="0" w:line="171"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During the quarter ended May 31, 2016, we made the decision to discontinue the Celerity tip location and navigation product line. The discontinuance of the product line was the result of performance and quality issues with the product and a strategic shift to focus on other product within the Vascular Access business. We recorded a write-off of approximately $5.8 million of inventory and $0.1 million of hardware assets during the fourth quarter.</w:t>
      </w:r>
    </w:p>
    <w:p>
      <w:pPr>
        <w:spacing w:after="0" w:line="106"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During the quarter ended May 31, 2016 we entered into an agreement with Merz North America where we became the exclusive sub-distributor of ASCLERA in the vein market in the United States and received the Merz customer list for the designated market territory. As part of the agreement we receive a personal, non-exclusive, non-transferable, non-assignable, non-sub licensable, license to use the trademarks, service marks and trades names from Merz. As a result of this agreement we recorded $3.3 million of intangible assets for the exclusive distribution rights and the customer lists obtained. The Asclera product is the replacement for Sotradecol.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225"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On May 27, 2011, we received a Warning Letter from the U.S. Food and Drug Administration ("FDA") in connection with its inspection of our Queensbury, NY manufacturing facility. In the Warning Letter, FDA cited deficiencies in the response letter we provided FDA pertaining to the inspection that occurred from January 4 to January 13, 2011. The deficiencies related to our internal procedures for medical device reporting, corrections and removals and complaint handling. We responded to the Warning Letter and completed corrective and preventive actions to address the observations noted.</w:t>
      </w:r>
    </w:p>
    <w:p>
      <w:pPr>
        <w:spacing w:after="0" w:line="15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December 2011, we initiated a comprehensive Quality Call to Action Program to review and augment our Quality Management Systems at our Queensbury facility. To accelerate implementation of the program, we engaged a team of external regulatory and quality experts and reallocated a significant number of engineering and product development resources to support this corporate initiative. From inception of the Quality Call to Action Program through fiscal 2014, we have incurred $3.2 million in direct costs associated with the program.</w:t>
      </w:r>
    </w:p>
    <w:p>
      <w:pPr>
        <w:spacing w:after="0" w:line="187" w:lineRule="exact"/>
        <w:rPr>
          <w:sz w:val="20"/>
          <w:szCs w:val="20"/>
          <w:color w:val="auto"/>
        </w:rPr>
      </w:pPr>
    </w:p>
    <w:p>
      <w:pPr>
        <w:jc w:val="both"/>
        <w:ind w:right="180" w:firstLine="432"/>
        <w:spacing w:after="0" w:line="302" w:lineRule="auto"/>
        <w:rPr>
          <w:sz w:val="20"/>
          <w:szCs w:val="20"/>
          <w:color w:val="auto"/>
        </w:rPr>
      </w:pPr>
      <w:r>
        <w:rPr>
          <w:rFonts w:ascii="Arial" w:cs="Arial" w:eastAsia="Arial" w:hAnsi="Arial"/>
          <w:sz w:val="16"/>
          <w:szCs w:val="16"/>
          <w:color w:val="auto"/>
        </w:rPr>
        <w:t>On February 10, 2012, we received from FDA a Form 483, List of Investigational Observations, in connection with its inspection of our Queensbury facility from November 14, 2011 to February 10, 2012. The Form 483 contained 12 observations related to, among other things, our CAPA (Corrective and Preventive Action) system, MDR (Medical Device Reporting), complaint investigation, corrections and removals, acceptance criteria and training. Some of the observations contained in the Form 483 were repeat observations from the May 27, 2011 Warning Letter described above.</w:t>
      </w:r>
    </w:p>
    <w:p>
      <w:pPr>
        <w:spacing w:after="0" w:line="154"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On February 13, 2012, we received from FDA a Form 483 in connection with its inspection of our Fremont facility from January 12, 2012 to February 13, 2012. The Form 483 contained six observations related to, among other things, our CAPA system, design controls, risk management and training. We provided responses to FDA within 15 business days of our receipt of the Form 483s.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4" w:right="259" w:bottom="1440" w:gutter="0" w:footer="0" w:header="0"/>
        </w:sectPr>
      </w:pPr>
    </w:p>
    <w:bookmarkStart w:id="58" w:name="page59"/>
    <w:bookmarkEnd w:id="58"/>
    <w:p>
      <w:pPr>
        <w:ind w:right="180" w:firstLine="432"/>
        <w:spacing w:after="0" w:line="255" w:lineRule="auto"/>
        <w:rPr>
          <w:sz w:val="20"/>
          <w:szCs w:val="20"/>
          <w:color w:val="auto"/>
        </w:rPr>
      </w:pPr>
      <w:r>
        <w:rPr>
          <w:rFonts w:ascii="Arial" w:cs="Arial" w:eastAsia="Arial" w:hAnsi="Arial"/>
          <w:sz w:val="18"/>
          <w:szCs w:val="18"/>
          <w:color w:val="auto"/>
        </w:rPr>
        <w:t>On September 24, 2012, we received from FDA a Form 483 in connection with its subsequent inspection of our Queensbury, NY facility from September 6 to September 14, and September 19 to September 24. This re-inspection followed our response to the original Form 483 issued by FDA on February 13, 2012. The Form 483 contained 5 observations related to 510(k) decisions, complaint investigations, acceptance criteria, corrective and preventive actions and training. All but one of the observations in the Form 483 related to events that occurred before the date that we had indicated to FDA in our previous responses that our corrective and remediation activities related to our Quality Call to Action would be completed. We provided responses to FDA within 15 business days of our receipt of the Form 483.</w:t>
      </w:r>
    </w:p>
    <w:p>
      <w:pPr>
        <w:spacing w:after="0" w:line="19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February 4, 2014, FDA completed a comprehensive follow-up inspection of our Queensbury facility. The inspection began on January 14, 2014 and resulted in FDA issuing a Form 483 containing one observation. The observation related to the inconsistency of certain complaint investigation elements in certain devices that have hardware and disposable components. The Form 483 observation was annotated to reflect that during the inspection we had corrected the issue, and this correction was verified by the inspector. In addition, we provided a response to FDA within 15 business days of our receipt of the Form 483. We believe that the results of this inspection validate that all of the Quality System and current Good Manufacturing Practice issues raised in the 483s described above have been fully addressed.</w:t>
      </w:r>
    </w:p>
    <w:p>
      <w:pPr>
        <w:spacing w:after="0" w:line="193" w:lineRule="exact"/>
        <w:rPr>
          <w:sz w:val="20"/>
          <w:szCs w:val="20"/>
          <w:color w:val="auto"/>
        </w:rPr>
      </w:pPr>
    </w:p>
    <w:p>
      <w:pPr>
        <w:jc w:val="both"/>
        <w:ind w:right="20" w:firstLine="405"/>
        <w:spacing w:after="0" w:line="291" w:lineRule="auto"/>
        <w:rPr>
          <w:sz w:val="20"/>
          <w:szCs w:val="20"/>
          <w:color w:val="auto"/>
        </w:rPr>
      </w:pPr>
      <w:r>
        <w:rPr>
          <w:rFonts w:ascii="Arial" w:cs="Arial" w:eastAsia="Arial" w:hAnsi="Arial"/>
          <w:sz w:val="16"/>
          <w:szCs w:val="16"/>
          <w:color w:val="auto"/>
        </w:rPr>
        <w:t>On March 31, 2014, FDA completed an inspection of our Glens Falls, NY facility. The inspection began on March 17, 2014 and resulted in FDA issuing a form 483 containing 3 observations. The observations were related to 1) inconsistency of a manufacturing product test process used among similar products,</w:t>
      </w:r>
    </w:p>
    <w:p>
      <w:pPr>
        <w:ind w:right="460" w:firstLine="8"/>
        <w:spacing w:after="0" w:line="261" w:lineRule="auto"/>
        <w:tabs>
          <w:tab w:leader="none" w:pos="1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particular verification test of a product, and 3) non-conforming product control procedure. We responded to the FDA within 15 business days of the receipt of the Form 483.</w:t>
      </w:r>
    </w:p>
    <w:p>
      <w:pPr>
        <w:spacing w:after="0" w:line="18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During the fourth quarter of our fiscal year ended May 31, 2014, we received Certificate to Foreign Governments ("CFGs") from the FDA covering all Vascular Access and Peripheral Vascular products manufactured in our Queensbury facility. During the first quarter of our fiscal year ended May 31, 2016, we received CFGs for our NanoKnife product.</w:t>
      </w:r>
    </w:p>
    <w:p>
      <w:pPr>
        <w:spacing w:after="0" w:line="181" w:lineRule="exact"/>
        <w:rPr>
          <w:sz w:val="20"/>
          <w:szCs w:val="20"/>
          <w:color w:val="auto"/>
        </w:rPr>
      </w:pPr>
    </w:p>
    <w:p>
      <w:pPr>
        <w:ind w:right="120" w:firstLine="392"/>
        <w:spacing w:after="0" w:line="257" w:lineRule="auto"/>
        <w:rPr>
          <w:sz w:val="20"/>
          <w:szCs w:val="20"/>
          <w:color w:val="auto"/>
        </w:rPr>
      </w:pPr>
      <w:r>
        <w:rPr>
          <w:rFonts w:ascii="Arial" w:cs="Arial" w:eastAsia="Arial" w:hAnsi="Arial"/>
          <w:sz w:val="18"/>
          <w:szCs w:val="18"/>
          <w:color w:val="auto"/>
        </w:rPr>
        <w:t>On November 5, 2014, we received a Warning Letter from the FDA relating to observations noted during FDA’s inspection of our Navilyst Medical facilities located in Marlborough, Massachusetts and Glens Falls, New York in 2014. The matters raised in the Warning Letter and observations focused on design control processes related to packaging validations and accelerated and real time aging testing in connection with our fluid management and PICC families of products, inconsistency of a manufacturing product test process used among similar valved PICC products, a particular verification test of valved PICC products and non-conforming product control procedures.</w:t>
      </w:r>
    </w:p>
    <w:p>
      <w:pPr>
        <w:spacing w:after="0" w:line="188" w:lineRule="exact"/>
        <w:rPr>
          <w:sz w:val="20"/>
          <w:szCs w:val="20"/>
          <w:color w:val="auto"/>
        </w:rPr>
      </w:pPr>
    </w:p>
    <w:p>
      <w:pPr>
        <w:ind w:firstLine="392"/>
        <w:spacing w:after="0" w:line="259" w:lineRule="auto"/>
        <w:rPr>
          <w:sz w:val="20"/>
          <w:szCs w:val="20"/>
          <w:color w:val="auto"/>
        </w:rPr>
      </w:pPr>
      <w:r>
        <w:rPr>
          <w:rFonts w:ascii="Arial" w:cs="Arial" w:eastAsia="Arial" w:hAnsi="Arial"/>
          <w:sz w:val="18"/>
          <w:szCs w:val="18"/>
          <w:color w:val="auto"/>
        </w:rPr>
        <w:t>On November 17, 2015, we received a letter from the FDA closing out the warning letter we received from FDA in January 2011 regarding certain promotional activities related to the NanoKnife System. On November 25, 2015, we received letters from the FDA closing out the warning letters we received from FDA in May 2011 related to the Company’s Queensbury facility and in November 2014 related to the Company’s Glens Falls facility. These close out letters resolved all outstanding warning letters against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May 2014, the Financial Accounting Standards Board ("FASB") issued ASU No. 2014-09, "Revenue from Contracts with Customers" ("ASU 2014-09"). ASU 2014-09 provides a single, comprehensive accounting model for revenues arising from contracts with customers that supersedes most of the existing revenue recognition guidance, including industry-specific guidance. Under this model, revenue is recognized at an amount that an entity expects to be entitled to upon transferring control of goods or services to a customer, as opposed to when risks and rewards transfer to a customer under existing revenue recognition guidance. ASU 2014-09 is effective for the Company beginning in its fiscal year 2018, and may be applied retrospectively to all prior periods presented or through a cumulative adjustment to the opening retained earnings balance in the year of adoption. The Company is currently in the process of evaluating the impact of ASU 2014-09 on its consolidated financial statements.</w:t>
      </w:r>
    </w:p>
    <w:p>
      <w:pPr>
        <w:spacing w:after="0" w:line="17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June 2014, the FASB issued ASU 2014-12, Accounting for Share-Based Payments When the Terms of the Award Provide That a Performance Target Could Be Achieved after the Requisite Service Period, that clarified that entities should treat performance targets that can be met after the requisite service period of a share-based payment award as performance conditions that affect vesting. Therefore, an entity would not record compensation expense related to an award for which transfer to the employee is contingent on the entity’s satisfaction of a performance target until it becomes probable that the performance target is met. This ASU is effective for the Company in its first quarter beginning after January 1, 2016 and did not have a material impact on the Company’s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9" w:name="page60"/>
    <w:bookmarkEnd w:id="59"/>
    <w:p>
      <w:pPr>
        <w:ind w:right="60" w:firstLine="648"/>
        <w:spacing w:after="0" w:line="257" w:lineRule="auto"/>
        <w:rPr>
          <w:sz w:val="20"/>
          <w:szCs w:val="20"/>
          <w:color w:val="auto"/>
        </w:rPr>
      </w:pPr>
      <w:r>
        <w:rPr>
          <w:rFonts w:ascii="Arial" w:cs="Arial" w:eastAsia="Arial" w:hAnsi="Arial"/>
          <w:sz w:val="18"/>
          <w:szCs w:val="18"/>
          <w:color w:val="auto"/>
        </w:rPr>
        <w:t>In April 2015, the FASB issued ASC Update No. 2015-03, Interest-Imputation of Interest (Subtopic 835-30): Simplifying the Presentation of Debt Issuance Costs. Update No. 2015-03 requires debt issuance costs related to a recognized debt liability to be presented in the balance sheet as a direct deduction from the carrying amount of that debt liability, consistent with debt discounts. Update No. 2015-03 is effective for annual reporting periods beginning after December 15, 2015 and interim periods within those reporting periods. Early adoption is permitted for financial statements that have not been previously issued. This update is not expected to impact the results of our operations.</w:t>
      </w:r>
    </w:p>
    <w:p>
      <w:pPr>
        <w:spacing w:after="0" w:line="18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July 2015, the FASB issued ASC Update No. 2015-11, Inventory (Topic 330): Simplifying the Measurement of Inventory. Update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where net realizable value is the estimated selling prices in the ordinary course of business, less reasonably predictable costs of completion, disposal, and transportation. Update No. 2015-11 is effective for annual reporting periods beginning after December 15, 2016 and interim periods within those fiscal years. Update No. 2015-11 should be applied prospectively with earlier application permitted as of the beginning of an interim or annual reporting period. The adoption of Update No. 2015-11 is not expected to have a material impact on our financial position or results of operations.</w:t>
      </w:r>
    </w:p>
    <w:p>
      <w:pPr>
        <w:spacing w:after="0" w:line="17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November 2015, the FASB issued ASC Update No. 2015-17, “Balance Sheet Classification of Deferred Taxes” as part of its simplification initiatives. This update requires deferred tax liabilities and assets to be classified as non-current on the consolidated condensed balance sheet for fiscal years beginning after December 15, 2016, and interim periods within those annual periods. Early application is permitted. An entity can elect to adopt prospectively or retrospectively to all periods presented. This update was applied retrospectively as of November 30, 2015. The current deferred tax asset balance of $4.4 million was classified as a non-current deferred tax asset for the period ended May 31, 2015 in the consolidated condensed balance sheet.</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January 2016, the FASB issued ASU 2016-01, Financial Instruments - Overall (Subtopic 825-10). Update No. 2016-01 addresses certain aspects of recognition, measurement, presentation and disclosure of financial instruments. Update No. 2016-01 is effective for annual reporting periods beginning after December 15, 2017 and interim periods within those fiscal years and early application is permitted. The adoption of Update No. 2016-01 is not expected to have a material impact on our financial position or results of operations.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2016, the FASB issued ASU 2016-02, Leases (Topic 842). ASU 2016-02 increases transparency and comparability among organizations by recognizing lease assets and liabilities on the balance sheet and disclosing key information about leasing arrangements. For leases with a term or twelve months or less, a lessee is permitted to make an accounting policy election by class of underlying asset not to recognize lease assets and liabilities. ASU 2016-02 is effective for fiscal years beginning after December 15, 2018 and early application is permitted. The Company is currently in the process of evaluating the impact of ASU 2016-02 on its consolidated financial statements.</w:t>
      </w:r>
    </w:p>
    <w:p>
      <w:pPr>
        <w:spacing w:after="0" w:line="188"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March 2016, the FASB issued ASU 2016-09, Compensation - Stock Based Compensation (Topic 718: Improvements to Employee Share-Based Payment Accounting. ASU 2016-09 simplifies and improves various aspects of ASC 718 for share-based payments, including income tax items and the classification of these items on the statement of cash flows. ASU 2016-09 is effective for annual periods beginning after December 31, 2016 and early application is permitted. The Company is currently in the process of evaluating the impact of ASU 2016-09 on its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NOTE B—OTHER ASSETS</w:t>
      </w:r>
    </w:p>
    <w:p>
      <w:pPr>
        <w:spacing w:after="0" w:line="229"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On March 2, 2015, the Company filed an 8-K stating that it executed a non-binding letter of intent to enter into a strategic relationship with privately-held EmboMedics Inc., which develops injectable and resorbable embolic microspheres. On April 9, 2015, the Company entered into a License, Distribution, Manufacturing and Purchase Option Agreement with EmboMedics Inc, subject to certain approvals by EmboMedics shareholders. Under the terms of the agreement, AngioDynamics received an exclusive worldwide license to market and sell, upon regulatory clearances, EmboMedics’ microsphere technology. AngioDynamics has the ability to determine the manufacturing of the products.</w:t>
      </w:r>
    </w:p>
    <w:p>
      <w:pPr>
        <w:spacing w:after="0" w:line="17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December 7, 2015, AngioDynamics made an initial $2.0 million purchase of non-transferable warrants in a subsidiary of EmboMedics which become exercisable upon a change of control of EmboMedics. The Company does not have significant influence, or control of the subsidiary. This initial investment is recorded at cost and the Company will review for impairment at each balance sheet date. The warrants are not exercisable at the original issue date or the balance sheet date as they only become exercisable upon a change of control, termination of the agreement or delivery of an offer notice. Based on the achievement of certain development activities, the Company will make an additional $5.0 million purchase of non-transferable warrants and an additional $4.0 million in milestone payments based on regulatory approvals. In the future, AngioDynamics could execute an exclusive option to acquire this subsidiary of EmboMedics.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364"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C—FAIR VALUE OF FINANCIAL INSTRUMENTS</w:t>
      </w:r>
    </w:p>
    <w:p>
      <w:pPr>
        <w:spacing w:after="0" w:line="12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Our financial instruments include cash and cash equivalents, accounts receivable, marketable securities, accounts payable, interest rate swap agreement and contingent earn outs. The carrying amount of cash and cash equivalents, accounts receivable, and accounts payable approximates fair value due to the immediate or short-term maturities. The marketable securities and interest rate swap agreement has been recorded at its fair value based on a valuation received from an independent third party. The contingent earn out has been recorded at fair value using the income approach.</w:t>
      </w:r>
    </w:p>
    <w:p>
      <w:pPr>
        <w:spacing w:after="0" w:line="10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This policy establishes a fair value hierarchy which requires an entity to maximize the use of observable inputs and minimize the use of unobservable inputs when measuring fair value. The policy describes three levels of inputs that may be used to measure fair value which are provided in the table below.</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Level 1</w:t>
            </w:r>
          </w:p>
        </w:tc>
        <w:tc>
          <w:tcPr>
            <w:tcW w:w="10360" w:type="dxa"/>
            <w:vAlign w:val="bottom"/>
          </w:tcPr>
          <w:p>
            <w:pPr>
              <w:ind w:left="420"/>
              <w:spacing w:after="0"/>
              <w:rPr>
                <w:sz w:val="20"/>
                <w:szCs w:val="20"/>
                <w:color w:val="auto"/>
              </w:rPr>
            </w:pPr>
            <w:r>
              <w:rPr>
                <w:rFonts w:ascii="Arial" w:cs="Arial" w:eastAsia="Arial" w:hAnsi="Arial"/>
                <w:sz w:val="18"/>
                <w:szCs w:val="18"/>
                <w:color w:val="auto"/>
                <w:w w:val="92"/>
              </w:rPr>
              <w:t>Quoted prices in active markets for identical assets or liabilities. Level 1 assets include money market funds that are traded in an active</w:t>
            </w:r>
          </w:p>
        </w:tc>
      </w:tr>
      <w:tr>
        <w:trPr>
          <w:trHeight w:val="230"/>
        </w:trPr>
        <w:tc>
          <w:tcPr>
            <w:tcW w:w="96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exchange market.</w:t>
            </w:r>
          </w:p>
        </w:tc>
      </w:tr>
      <w:tr>
        <w:trPr>
          <w:trHeight w:val="391"/>
        </w:trPr>
        <w:tc>
          <w:tcPr>
            <w:tcW w:w="960" w:type="dxa"/>
            <w:vAlign w:val="bottom"/>
          </w:tcPr>
          <w:p>
            <w:pPr>
              <w:spacing w:after="0"/>
              <w:rPr>
                <w:sz w:val="20"/>
                <w:szCs w:val="20"/>
                <w:color w:val="auto"/>
              </w:rPr>
            </w:pPr>
            <w:r>
              <w:rPr>
                <w:rFonts w:ascii="Arial" w:cs="Arial" w:eastAsia="Arial" w:hAnsi="Arial"/>
                <w:sz w:val="18"/>
                <w:szCs w:val="18"/>
                <w:color w:val="auto"/>
              </w:rPr>
              <w:t>Level 2</w:t>
            </w:r>
          </w:p>
        </w:tc>
        <w:tc>
          <w:tcPr>
            <w:tcW w:w="10360" w:type="dxa"/>
            <w:vAlign w:val="bottom"/>
          </w:tcPr>
          <w:p>
            <w:pPr>
              <w:ind w:left="420"/>
              <w:spacing w:after="0"/>
              <w:rPr>
                <w:sz w:val="20"/>
                <w:szCs w:val="20"/>
                <w:color w:val="auto"/>
              </w:rPr>
            </w:pPr>
            <w:r>
              <w:rPr>
                <w:rFonts w:ascii="Arial" w:cs="Arial" w:eastAsia="Arial" w:hAnsi="Arial"/>
                <w:sz w:val="18"/>
                <w:szCs w:val="18"/>
                <w:color w:val="auto"/>
                <w:w w:val="93"/>
              </w:rPr>
              <w:t>Observable inputs other than Level 1 prices such as quoted prices for similar assets or liabilities; quoted prices in markets that are not</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0"/>
              </w:rPr>
              <w:t>active; or other inputs that are observable or can be corroborated by observable market data for substantially the full term of the assets or</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2"/>
              </w:rPr>
              <w:t>liabilities. When quoted market prices are unobservable, we obtain pricing information from an independent pricing vendor. The pricing</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0"/>
              </w:rPr>
              <w:t>vendor uses various pricing models for each asset class that are consistent with what other market participants would use. The inputs and</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0"/>
              </w:rPr>
              <w:t>assumptions to the model of the pricing vendor are derived from market observable sources including: benchmark yields, reported trades,</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1"/>
              </w:rPr>
              <w:t>broker/dealer quotes, issuer spreads, benchmark securities, bids, offers, and other market-related data. The pricing vendor considers all</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2"/>
              </w:rPr>
              <w:t>available market observable inputs in determining the evaluation for a security. Thus, certain securities may not be priced using quoted</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0"/>
              </w:rPr>
              <w:t>prices, but rather determined from market observable information. Included in Level 2 assets is our interest rate swap agreement which is</w:t>
            </w:r>
          </w:p>
        </w:tc>
      </w:tr>
      <w:tr>
        <w:trPr>
          <w:trHeight w:val="230"/>
        </w:trPr>
        <w:tc>
          <w:tcPr>
            <w:tcW w:w="96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valued using a mid-market valuation model.</w:t>
            </w:r>
          </w:p>
        </w:tc>
      </w:tr>
      <w:tr>
        <w:trPr>
          <w:trHeight w:val="391"/>
        </w:trPr>
        <w:tc>
          <w:tcPr>
            <w:tcW w:w="960" w:type="dxa"/>
            <w:vAlign w:val="bottom"/>
          </w:tcPr>
          <w:p>
            <w:pPr>
              <w:spacing w:after="0"/>
              <w:rPr>
                <w:sz w:val="20"/>
                <w:szCs w:val="20"/>
                <w:color w:val="auto"/>
              </w:rPr>
            </w:pPr>
            <w:r>
              <w:rPr>
                <w:rFonts w:ascii="Arial" w:cs="Arial" w:eastAsia="Arial" w:hAnsi="Arial"/>
                <w:sz w:val="18"/>
                <w:szCs w:val="18"/>
                <w:color w:val="auto"/>
              </w:rPr>
              <w:t>Level 3</w:t>
            </w:r>
          </w:p>
        </w:tc>
        <w:tc>
          <w:tcPr>
            <w:tcW w:w="10360" w:type="dxa"/>
            <w:vAlign w:val="bottom"/>
          </w:tcPr>
          <w:p>
            <w:pPr>
              <w:ind w:left="420"/>
              <w:spacing w:after="0"/>
              <w:rPr>
                <w:sz w:val="20"/>
                <w:szCs w:val="20"/>
                <w:color w:val="auto"/>
              </w:rPr>
            </w:pPr>
            <w:r>
              <w:rPr>
                <w:rFonts w:ascii="Arial" w:cs="Arial" w:eastAsia="Arial" w:hAnsi="Arial"/>
                <w:sz w:val="18"/>
                <w:szCs w:val="18"/>
                <w:color w:val="auto"/>
                <w:w w:val="92"/>
              </w:rPr>
              <w:t>Unobservable inputs that are supported by little or no market activity and are significant to the fair value of the assets or liabilities. Level</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3 assets and liabilities include financial instruments whose value is determined using pricing models, discounted cash flow</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3"/>
              </w:rPr>
              <w:t>methodologies, or similar techniques, as well as instruments for which the determination of fair value requires significant management</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5"/>
              </w:rPr>
              <w:t>judgment or estimation. This category includes the auction rate securities where independent pricing information was not able to be</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5"/>
              </w:rPr>
              <w:t>obtained and the contingent consideration related to the acquisitions of Vortex, Microsulis and Clinical Devices. Our investments in</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89"/>
              </w:rPr>
              <w:t>auction-rate securities were classified as Level 3 as quoted prices were unavailable since these auction rate securities issued by New York</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5"/>
              </w:rPr>
              <w:t>state and local government authorities failed auction. Due to limited market information, we utilized a discounted cash flow (“DCF”)</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2"/>
              </w:rPr>
              <w:t>model to derive an estimate of fair value for contingent considerations for all periods presented. The assumptions used in preparing the</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1"/>
              </w:rPr>
              <w:t>DCF model included estimates with respect to the discount rate, amount and timing of future interest and principal payments and forward</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0"/>
              </w:rPr>
              <w:t>projections. Assumptions associated with the auction rate securities include the interest rate benchmarks, the probability of full repayment</w:t>
            </w:r>
          </w:p>
        </w:tc>
      </w:tr>
      <w:tr>
        <w:trPr>
          <w:trHeight w:val="216"/>
        </w:trPr>
        <w:tc>
          <w:tcPr>
            <w:tcW w:w="96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w w:val="91"/>
              </w:rPr>
              <w:t>of the principal considering the credit quality and guarantees in place, and the rate of return required by investors to own such securities</w:t>
            </w:r>
          </w:p>
        </w:tc>
      </w:tr>
      <w:tr>
        <w:trPr>
          <w:trHeight w:val="230"/>
        </w:trPr>
        <w:tc>
          <w:tcPr>
            <w:tcW w:w="960" w:type="dxa"/>
            <w:vAlign w:val="bottom"/>
          </w:tcPr>
          <w:p>
            <w:pPr>
              <w:spacing w:after="0"/>
              <w:rPr>
                <w:sz w:val="20"/>
                <w:szCs w:val="20"/>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given the current liquidity risk.</w:t>
            </w:r>
          </w:p>
        </w:tc>
      </w:tr>
      <w:tr>
        <w:trPr>
          <w:trHeight w:val="486"/>
        </w:trPr>
        <w:tc>
          <w:tcPr>
            <w:tcW w:w="960" w:type="dxa"/>
            <w:vAlign w:val="bottom"/>
          </w:tcPr>
          <w:p>
            <w:pPr>
              <w:spacing w:after="0"/>
              <w:rPr>
                <w:sz w:val="24"/>
                <w:szCs w:val="24"/>
                <w:color w:val="auto"/>
              </w:rPr>
            </w:pPr>
          </w:p>
        </w:tc>
        <w:tc>
          <w:tcPr>
            <w:tcW w:w="10360" w:type="dxa"/>
            <w:vAlign w:val="bottom"/>
          </w:tcPr>
          <w:p>
            <w:pPr>
              <w:ind w:left="462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360"/>
          </w:cols>
          <w:pgMar w:left="240" w:top="607" w:right="29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using inputs considered as: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Fair Value at May 31,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right="27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New York State government agency obligations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68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4"/>
            <w:vMerge w:val="continue"/>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Contingent liability for acquisition earn out</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110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using inputs considered as: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Fair Value at May 31,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right="27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New York State government agency obligations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68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4"/>
            <w:vMerge w:val="continue"/>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Contingent liability for acquisition earn out</w:t>
            </w:r>
          </w:p>
        </w:tc>
        <w:tc>
          <w:tcPr>
            <w:tcW w:w="1080" w:type="dxa"/>
            <w:vAlign w:val="bottom"/>
          </w:tcPr>
          <w:p>
            <w:pPr>
              <w:spacing w:after="0"/>
              <w:rPr>
                <w:sz w:val="21"/>
                <w:szCs w:val="21"/>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47,384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47,384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47,641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in and out of Level 1, 2 and 3 measurements for the years ended May 31, 2016 and 2015.</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Level 3 fair value instruments as of May 31, 2016 are shown below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color w:val="auto"/>
                <w:w w:val="98"/>
              </w:rPr>
              <w:t>Financial Liabilities</w:t>
            </w:r>
          </w:p>
        </w:tc>
      </w:tr>
      <w:tr>
        <w:trPr>
          <w:trHeight w:val="156"/>
        </w:trPr>
        <w:tc>
          <w:tcPr>
            <w:tcW w:w="6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2"/>
              </w:rPr>
              <w:t>Fair Value Measurements</w:t>
            </w:r>
          </w:p>
        </w:tc>
        <w:tc>
          <w:tcPr>
            <w:tcW w:w="24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Using Significant</w:t>
            </w:r>
          </w:p>
        </w:tc>
        <w:tc>
          <w:tcPr>
            <w:tcW w:w="240" w:type="dxa"/>
            <w:vAlign w:val="bottom"/>
          </w:tcPr>
          <w:p>
            <w:pPr>
              <w:spacing w:after="0"/>
              <w:rPr>
                <w:sz w:val="12"/>
                <w:szCs w:val="12"/>
                <w:color w:val="auto"/>
              </w:rPr>
            </w:pPr>
          </w:p>
        </w:tc>
        <w:tc>
          <w:tcPr>
            <w:tcW w:w="192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92"/>
              </w:rPr>
              <w:t>Fair Value Measurements</w:t>
            </w:r>
          </w:p>
        </w:tc>
      </w:t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Unobservable Inputs</w:t>
            </w:r>
          </w:p>
        </w:tc>
        <w:tc>
          <w:tcPr>
            <w:tcW w:w="240" w:type="dxa"/>
            <w:vAlign w:val="bottom"/>
          </w:tcPr>
          <w:p>
            <w:pPr>
              <w:spacing w:after="0"/>
              <w:rPr>
                <w:sz w:val="12"/>
                <w:szCs w:val="12"/>
                <w:color w:val="auto"/>
              </w:rPr>
            </w:pPr>
          </w:p>
        </w:tc>
        <w:tc>
          <w:tcPr>
            <w:tcW w:w="1920" w:type="dxa"/>
            <w:vAlign w:val="bottom"/>
          </w:tcPr>
          <w:p>
            <w:pPr>
              <w:jc w:val="center"/>
              <w:ind w:right="157"/>
              <w:spacing w:after="0" w:line="149" w:lineRule="exact"/>
              <w:rPr>
                <w:sz w:val="20"/>
                <w:szCs w:val="20"/>
                <w:color w:val="auto"/>
              </w:rPr>
            </w:pPr>
            <w:r>
              <w:rPr>
                <w:rFonts w:ascii="Arial" w:cs="Arial" w:eastAsia="Arial" w:hAnsi="Arial"/>
                <w:sz w:val="14"/>
                <w:szCs w:val="14"/>
                <w:color w:val="auto"/>
                <w:w w:val="95"/>
              </w:rPr>
              <w:t>Using Significant</w:t>
            </w:r>
          </w:p>
        </w:tc>
      </w:tr>
      <w:tr>
        <w:trPr>
          <w:trHeight w:val="188"/>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(Level 3)</w:t>
            </w:r>
          </w:p>
        </w:tc>
        <w:tc>
          <w:tcPr>
            <w:tcW w:w="240" w:type="dxa"/>
            <w:vAlign w:val="bottom"/>
          </w:tcPr>
          <w:p>
            <w:pPr>
              <w:spacing w:after="0"/>
              <w:rPr>
                <w:sz w:val="16"/>
                <w:szCs w:val="16"/>
                <w:color w:val="auto"/>
              </w:rPr>
            </w:pPr>
          </w:p>
        </w:tc>
        <w:tc>
          <w:tcPr>
            <w:tcW w:w="1920" w:type="dxa"/>
            <w:vAlign w:val="bottom"/>
          </w:tcPr>
          <w:p>
            <w:pPr>
              <w:jc w:val="center"/>
              <w:ind w:right="157"/>
              <w:spacing w:after="0"/>
              <w:rPr>
                <w:sz w:val="20"/>
                <w:szCs w:val="20"/>
                <w:color w:val="auto"/>
              </w:rPr>
            </w:pPr>
            <w:r>
              <w:rPr>
                <w:rFonts w:ascii="Arial" w:cs="Arial" w:eastAsia="Arial" w:hAnsi="Arial"/>
                <w:sz w:val="14"/>
                <w:szCs w:val="14"/>
                <w:color w:val="auto"/>
                <w:w w:val="93"/>
              </w:rPr>
              <w:t>Unobservable Inputs</w:t>
            </w: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47,384</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 (1)</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948</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(gain) loss from remeasurement</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Fair market value adjustments</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Balance at May 31, 2016</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38,275</w:t>
            </w:r>
          </w:p>
        </w:tc>
      </w:tr>
      <w:tr>
        <w:trPr>
          <w:trHeight w:val="27"/>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Level 3 fair value instruments as of May 31, 2015 are shown below (in thousands):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3" w:name="page64"/>
    <w:bookmarkEnd w:id="63"/>
    <w:tbl>
      <w:tblPr>
        <w:tblLayout w:type="fixed"/>
        <w:tblInd w:w="40" w:type="dxa"/>
        <w:tblCellMar>
          <w:top w:w="0" w:type="dxa"/>
          <w:left w:w="0" w:type="dxa"/>
          <w:bottom w:w="0" w:type="dxa"/>
          <w:right w:w="0" w:type="dxa"/>
        </w:tblCellMar>
      </w:tblPr>
      <w:tr>
        <w:trPr>
          <w:trHeight w:val="188"/>
        </w:trPr>
        <w:tc>
          <w:tcPr>
            <w:tcW w:w="6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97"/>
              </w:rPr>
              <w:t>Financial Liabilities</w:t>
            </w:r>
          </w:p>
        </w:tc>
      </w:tr>
      <w:tr>
        <w:trPr>
          <w:trHeight w:val="156"/>
        </w:trPr>
        <w:tc>
          <w:tcPr>
            <w:tcW w:w="6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1"/>
              </w:rPr>
              <w:t>Fair Value Measurements</w:t>
            </w: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49"/>
        </w:trPr>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Using Significant</w:t>
            </w:r>
          </w:p>
        </w:tc>
        <w:tc>
          <w:tcPr>
            <w:tcW w:w="260" w:type="dxa"/>
            <w:vAlign w:val="bottom"/>
          </w:tcPr>
          <w:p>
            <w:pPr>
              <w:spacing w:after="0"/>
              <w:rPr>
                <w:sz w:val="12"/>
                <w:szCs w:val="12"/>
                <w:color w:val="auto"/>
              </w:rPr>
            </w:pPr>
          </w:p>
        </w:tc>
        <w:tc>
          <w:tcPr>
            <w:tcW w:w="2020" w:type="dxa"/>
            <w:vAlign w:val="bottom"/>
          </w:tcPr>
          <w:p>
            <w:pPr>
              <w:jc w:val="center"/>
              <w:ind w:right="197"/>
              <w:spacing w:after="0" w:line="149" w:lineRule="exact"/>
              <w:rPr>
                <w:sz w:val="20"/>
                <w:szCs w:val="20"/>
                <w:color w:val="auto"/>
              </w:rPr>
            </w:pPr>
            <w:r>
              <w:rPr>
                <w:rFonts w:ascii="Arial" w:cs="Arial" w:eastAsia="Arial" w:hAnsi="Arial"/>
                <w:sz w:val="14"/>
                <w:szCs w:val="14"/>
                <w:color w:val="auto"/>
                <w:w w:val="91"/>
              </w:rPr>
              <w:t>Fair Value Measurements</w:t>
            </w:r>
          </w:p>
        </w:tc>
      </w:tr>
      <w:tr>
        <w:trPr>
          <w:trHeight w:val="149"/>
        </w:trPr>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Unobservable Inputs</w:t>
            </w:r>
          </w:p>
        </w:tc>
        <w:tc>
          <w:tcPr>
            <w:tcW w:w="260" w:type="dxa"/>
            <w:vAlign w:val="bottom"/>
          </w:tcPr>
          <w:p>
            <w:pPr>
              <w:spacing w:after="0"/>
              <w:rPr>
                <w:sz w:val="12"/>
                <w:szCs w:val="12"/>
                <w:color w:val="auto"/>
              </w:rPr>
            </w:pPr>
          </w:p>
        </w:tc>
        <w:tc>
          <w:tcPr>
            <w:tcW w:w="2020" w:type="dxa"/>
            <w:vAlign w:val="bottom"/>
          </w:tcPr>
          <w:p>
            <w:pPr>
              <w:jc w:val="center"/>
              <w:ind w:right="197"/>
              <w:spacing w:after="0" w:line="149" w:lineRule="exact"/>
              <w:rPr>
                <w:sz w:val="20"/>
                <w:szCs w:val="20"/>
                <w:color w:val="auto"/>
              </w:rPr>
            </w:pPr>
            <w:r>
              <w:rPr>
                <w:rFonts w:ascii="Arial" w:cs="Arial" w:eastAsia="Arial" w:hAnsi="Arial"/>
                <w:sz w:val="14"/>
                <w:szCs w:val="14"/>
                <w:color w:val="auto"/>
                <w:w w:val="97"/>
              </w:rPr>
              <w:t>Using Significant</w:t>
            </w:r>
          </w:p>
        </w:tc>
      </w:tr>
      <w:tr>
        <w:trPr>
          <w:trHeight w:val="188"/>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(Level 3)</w:t>
            </w:r>
          </w:p>
        </w:tc>
        <w:tc>
          <w:tcPr>
            <w:tcW w:w="260" w:type="dxa"/>
            <w:vAlign w:val="bottom"/>
          </w:tcPr>
          <w:p>
            <w:pPr>
              <w:spacing w:after="0"/>
              <w:rPr>
                <w:sz w:val="16"/>
                <w:szCs w:val="16"/>
                <w:color w:val="auto"/>
              </w:rPr>
            </w:pPr>
          </w:p>
        </w:tc>
        <w:tc>
          <w:tcPr>
            <w:tcW w:w="2020" w:type="dxa"/>
            <w:vAlign w:val="bottom"/>
          </w:tcPr>
          <w:p>
            <w:pPr>
              <w:jc w:val="center"/>
              <w:ind w:right="197"/>
              <w:spacing w:after="0"/>
              <w:rPr>
                <w:sz w:val="20"/>
                <w:szCs w:val="20"/>
                <w:color w:val="auto"/>
              </w:rPr>
            </w:pPr>
            <w:r>
              <w:rPr>
                <w:rFonts w:ascii="Arial" w:cs="Arial" w:eastAsia="Arial" w:hAnsi="Arial"/>
                <w:sz w:val="14"/>
                <w:szCs w:val="14"/>
                <w:color w:val="auto"/>
                <w:w w:val="91"/>
              </w:rPr>
              <w:t>Unobservable Inputs</w:t>
            </w:r>
          </w:p>
        </w:tc>
      </w:tr>
      <w:tr>
        <w:trPr>
          <w:trHeight w:val="25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67,331</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 (1)</w:t>
            </w:r>
          </w:p>
        </w:tc>
        <w:tc>
          <w:tcPr>
            <w:tcW w:w="24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(8,196)</w:t>
            </w: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(gain) loss from remeasurement</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Included in other comprehensive income (loss)</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37"/>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(11,222)</w:t>
            </w: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Balance at May 31, 2015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47,384</w:t>
            </w:r>
          </w:p>
        </w:tc>
      </w:tr>
      <w:tr>
        <w:trPr>
          <w:trHeight w:val="27"/>
        </w:trPr>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Liability for Acquisition Earn Outs</w:t>
      </w:r>
    </w:p>
    <w:p>
      <w:pPr>
        <w:spacing w:after="0" w:line="121"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Certain of our business combinations involve the potential for the payment of future contingent consideration upon the achievement of certain product development milestones and/or various other favorable operating conditions. Payment of the additional consideration is generally contingent on the acquired company reaching certain performance milestones, including attaining specified revenue levels or achieving product development targets. Contingent consideration is recorded at the estimated fair value of the contingent milestone payments on the acquisition date. The fair value of the contingent milestone consideration is remeasured at the estimated fair value at each reporting period with the change in fair value recognized as income or expense within change in fair value of contingent consideration in the consolidated statement of operations. We measure the initial liability and remeasure the liability on a recurring basis using Level 3 inputs as defined under authoritative guidance for fair value measurements.</w:t>
      </w:r>
    </w:p>
    <w:p>
      <w:pPr>
        <w:spacing w:after="0" w:line="28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Contingent consideration liabilities will be remeasured to fair value each reporting period using projected net sales, discount rates, probabilities of payment and projected payment dates. Projected contingent payment amounts are discounted back to the current period using a discounted cash flow model. Projected net sales are based on our internal projections and extensive analysis of the target market and the sales potential. Increases in projected net sales and probabilities of payment may result in higher fair value measurements in the future. Increases in discount rates and the projected time to payment may result in lower fair value measurements in the future. Increases or decreases in any valuation inputs in isolation may result in a significantly lower or higher fair value measurement in the future.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May 31, 2016 (in thousands of dollars):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rPr>
              <w:t>Valuation</w:t>
            </w: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Unobservable</w:t>
            </w:r>
          </w:p>
        </w:tc>
        <w:tc>
          <w:tcPr>
            <w:tcW w:w="17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May 31, 2016</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Technique</w:t>
            </w:r>
          </w:p>
        </w:tc>
        <w:tc>
          <w:tcPr>
            <w:tcW w:w="100" w:type="dxa"/>
            <w:vAlign w:val="bottom"/>
            <w:tcBorders>
              <w:bottom w:val="single" w:sz="8" w:color="CCEEFF"/>
            </w:tcBorders>
          </w:tcPr>
          <w:p>
            <w:pPr>
              <w:spacing w:after="0"/>
              <w:rPr>
                <w:sz w:val="16"/>
                <w:szCs w:val="16"/>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35,325</w:t>
            </w: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Probability of payment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75% - 100%</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Projected fiscal year of payment</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2017 - 2022</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Milestone based payments</w:t>
            </w:r>
          </w:p>
        </w:tc>
        <w:tc>
          <w:tcPr>
            <w:tcW w:w="18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Discounted cash flow</w:t>
            </w:r>
          </w:p>
        </w:tc>
        <w:tc>
          <w:tcPr>
            <w:tcW w:w="3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Probability of payment</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75% - 100%</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Projected fiscal year of payment</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38,275</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At May 31, 2016, the estimated potential amount of undiscounted future contingent consideration that we expect to pay as a result of all completed acquisitions is approximately $40.8 million. The milestones associated with the contingent consideration must be reached in future periods ranging from fiscal years 2017 to 2022 in order for the consideration to be paid.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9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D—MARKETABLE SECURITIES AND INVESTMENTS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2016, marketable securities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14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76"/>
              </w:rPr>
              <w:t>cost</w:t>
            </w:r>
          </w:p>
        </w:tc>
        <w:tc>
          <w:tcPr>
            <w:tcW w:w="10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2"/>
              </w:rPr>
              <w:t>Gains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Available-for-sales securities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State government agency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2015, marketable securities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08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14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76"/>
              </w:rPr>
              <w:t>cost</w:t>
            </w:r>
          </w:p>
        </w:tc>
        <w:tc>
          <w:tcPr>
            <w:tcW w:w="108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2"/>
              </w:rPr>
              <w:t>Gains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Available-for-sales securities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State government agency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The amortized cost and fair value of marketable securities as of May 31, 2016, by contractual maturity, are shown below. Expected maturities may differ from contractual maturities because borrowers may have the right to call or prepay obligations with or without call or prepayment penalties.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tcPr>
          <w:p>
            <w:pPr>
              <w:jc w:val="right"/>
              <w:ind w:right="69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May 31, 2016:</w:t>
            </w:r>
          </w:p>
        </w:tc>
        <w:tc>
          <w:tcPr>
            <w:tcW w:w="3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Due in one year or less</w:t>
            </w:r>
          </w:p>
        </w:tc>
        <w:tc>
          <w:tcPr>
            <w:tcW w:w="466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after one through five years</w:t>
            </w:r>
          </w:p>
        </w:tc>
        <w:tc>
          <w:tcPr>
            <w:tcW w:w="3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380"/>
              <w:spacing w:after="0"/>
              <w:rPr>
                <w:sz w:val="20"/>
                <w:szCs w:val="20"/>
                <w:color w:val="auto"/>
              </w:rPr>
            </w:pPr>
            <w:r>
              <w:rPr>
                <w:rFonts w:ascii="Arial" w:cs="Arial" w:eastAsia="Arial" w:hAnsi="Arial"/>
                <w:sz w:val="18"/>
                <w:szCs w:val="18"/>
                <w:color w:val="auto"/>
              </w:rPr>
              <w:t>Due after five through twenty years</w:t>
            </w:r>
          </w:p>
        </w:tc>
        <w:tc>
          <w:tcPr>
            <w:tcW w:w="3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1,800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1,800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63</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5" w:name="page66"/>
    <w:bookmarkEnd w:id="65"/>
    <w:p>
      <w:pPr>
        <w:ind w:left="40"/>
        <w:spacing w:after="0"/>
        <w:rPr>
          <w:sz w:val="20"/>
          <w:szCs w:val="20"/>
          <w:color w:val="auto"/>
        </w:rPr>
      </w:pPr>
      <w:r>
        <w:rPr>
          <w:rFonts w:ascii="Arial" w:cs="Arial" w:eastAsia="Arial" w:hAnsi="Arial"/>
          <w:sz w:val="18"/>
          <w:szCs w:val="18"/>
          <w:b w:val="1"/>
          <w:bCs w:val="1"/>
          <w:color w:val="auto"/>
        </w:rPr>
        <w:t>NOTE E—INVENTORIES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2016 and 2015, inventories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May 31, 2016</w:t>
            </w:r>
          </w:p>
        </w:tc>
        <w:tc>
          <w:tcPr>
            <w:tcW w:w="5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May 31, 2015</w:t>
            </w:r>
          </w:p>
        </w:tc>
      </w:tr>
      <w:tr>
        <w:trPr>
          <w:trHeight w:val="196"/>
        </w:trPr>
        <w:tc>
          <w:tcPr>
            <w:tcW w:w="7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21,669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28,040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10,700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11,910</w:t>
            </w:r>
          </w:p>
        </w:tc>
      </w:tr>
      <w:tr>
        <w:trPr>
          <w:trHeight w:val="27"/>
        </w:trPr>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23,001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27,438</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55,370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67,388</w:t>
            </w:r>
          </w:p>
        </w:tc>
      </w:tr>
      <w:tr>
        <w:trPr>
          <w:trHeight w:val="27"/>
        </w:trPr>
        <w:tc>
          <w:tcPr>
            <w:tcW w:w="7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Total inventory is reduced to net realizable value by $12.6 million compared to $7.8 million in the prior year. Of the $12.6 million in the current year, $5.8 million relates to the write-off of Celerity.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F—PREPAID EXPENSES AND OTHER</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2016 and 2015, prepaid expenses and other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May 31, 2016</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4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prepaid taxes</w:t>
            </w:r>
          </w:p>
        </w:tc>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fees</w:t>
            </w:r>
          </w:p>
        </w:tc>
        <w:tc>
          <w:tcPr>
            <w:tcW w:w="4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Software licenses</w:t>
            </w:r>
          </w:p>
        </w:tc>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shows</w:t>
            </w:r>
          </w:p>
        </w:tc>
        <w:tc>
          <w:tcPr>
            <w:tcW w:w="4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Rent</w:t>
            </w:r>
          </w:p>
        </w:tc>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w:t>
            </w:r>
          </w:p>
        </w:tc>
        <w:tc>
          <w:tcPr>
            <w:tcW w:w="4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120" w:type="dxa"/>
            <w:vAlign w:val="bottom"/>
            <w:vMerge w:val="restart"/>
          </w:tcPr>
          <w:p>
            <w:pPr>
              <w:jc w:val="right"/>
              <w:ind w:right="1770"/>
              <w:spacing w:after="0"/>
              <w:rPr>
                <w:sz w:val="20"/>
                <w:szCs w:val="20"/>
                <w:color w:val="auto"/>
              </w:rPr>
            </w:pPr>
            <w:r>
              <w:rPr>
                <w:rFonts w:ascii="Arial" w:cs="Arial" w:eastAsia="Arial" w:hAnsi="Arial"/>
                <w:sz w:val="18"/>
                <w:szCs w:val="18"/>
                <w:color w:val="auto"/>
              </w:rPr>
              <w:t>64</w:t>
            </w: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1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4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NOTE G—PROPERTY, PLANT AND EQUIPMENT, AT COST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2016 and 2015, property, plant and equipment are summarized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May 31, 2016</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May 31, 2015</w:t>
            </w:r>
          </w:p>
        </w:tc>
      </w:tr>
      <w:tr>
        <w:trPr>
          <w:trHeight w:val="196"/>
        </w:trPr>
        <w:tc>
          <w:tcPr>
            <w:tcW w:w="7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7"/>
                <w:szCs w:val="17"/>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33,853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24,078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23,626</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24,431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7,033</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88,943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(43,536)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(36,197)</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52,746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1,704</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48,284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54,450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Depreciation expense for fiscal 2016, 2015 and 2014 was $8.2 million, $9.8 million and $8.4 million, respectively. In conjunction with the Operational Excellence Program that was announced in December 2013, we updated the estimated useful lives on certain manufacturing equipment. As a result of the change in the useful life, we recorded additional depreciation of $1.0 million, $1.5 million and $0.8 million for the years ended May 31, 2016, 2015 and 2014,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07"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NOTE H—GOODWILL AND INTANGIBLE ASSETS</w:t>
      </w:r>
    </w:p>
    <w:p>
      <w:pPr>
        <w:spacing w:after="0" w:line="12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Intangible assets other than goodwill and indefinite lived intangible assets are amortized over their estimated useful lives, which range between two and eighteen years, on either a straight-line basis or proportionately to the benefit being realized. We periodically review the estimated useful lives of our intangible assets and review such assets for impairment, based on estimated future cash flows, whenever events or changes in circumstances indicate that the carrying value of the assets may not be recoverable. If an intangible asset is considered to be impaired, the amount of the impairment will equal the excess of the carrying value over the fair value of the asset.</w:t>
      </w:r>
    </w:p>
    <w:p>
      <w:pPr>
        <w:spacing w:after="0" w:line="8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We consider our business to be a single operating segment entity, and a single reporting unit engaged in the development, manufacture and sale on a global basis of medical devices for vascular access, peripheral vascular disease, oncology and surgery.</w:t>
      </w:r>
    </w:p>
    <w:p>
      <w:pPr>
        <w:spacing w:after="0" w:line="6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costs based on respective fair market values at the date of acquisition.</w:t>
      </w:r>
    </w:p>
    <w:p>
      <w:pPr>
        <w:spacing w:after="0" w:line="7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goodwill, the impairment test requires a comparison of the estimated fair value of the reporting unit to which the goodwill is assigned to the sum of the carrying value of the assets and liabilities of that unit. If the sum of the carrying value of the assets and liabilities of a reporting unit exceeds the fair value of the reporting unit, the carrying value of the reporting unit’s goodwill is reduced to its implied fair value through an adjustment to the goodwill balance, resulting in an impairment charge.</w:t>
      </w:r>
    </w:p>
    <w:p>
      <w:pPr>
        <w:spacing w:after="0" w:line="79"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To determine fair value of our single reporting unit we utilized a market-based approach and an income approach. We determined the discounted cash flow as the best indicator to determine fair value and therefore assigned a weight of 75% with the remaining 25% assigned to the market approach.</w:t>
      </w:r>
    </w:p>
    <w:p>
      <w:pPr>
        <w:spacing w:after="0" w:line="1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Under the market-based approach, we utilized information of our Company as well as publicly available information of certain peer companies within our industry to determine earnings multiples (EBITDA).</w:t>
      </w:r>
    </w:p>
    <w:p>
      <w:pPr>
        <w:spacing w:after="0" w:line="6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Under the income approach, we determined fair value based on estimated future cash flows of the reporting unit, discounted by our estimated weighted-average cost of capital, which reflects the overall level of inherent risk of a reporting unit and the rate of return an outside investor would expect to earn. We used a discount rate of 12.5% to calculate the fair value of our reporting unit.</w:t>
      </w:r>
    </w:p>
    <w:p>
      <w:pPr>
        <w:spacing w:after="0" w:line="7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Use of the income approach in determining the fair value of a reporting unit requires the use of significant estimates and assumptions, including revenue growth rates, operating margins, discount rates and future market conditions, among others. These assumptions are highly sensitive and changes in these estimates could result in impairment. We applied gross margin assumptions, showing improvement over historical trends, improvements over historical trends of revenue of certain product lines and used a capitalization rate of 8.5% to calculate the terminal value of our reporting unit.</w:t>
      </w:r>
    </w:p>
    <w:p>
      <w:pPr>
        <w:spacing w:after="0" w:line="46"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completed our annual goodwill impairment test of our single reporting unit as of December 31, 2015. Our assessment of goodwill impairment indicated that the fair value of our reporting unit exceeded its carrying value and therefore goodwill was not impaired. The fair value of our reporting unit exceeded its carrying value by 9.2%.</w:t>
      </w:r>
    </w:p>
    <w:p>
      <w:pPr>
        <w:spacing w:after="0" w:line="73"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At times our stock market capitalization has been lower than our shareholders’ equity or book value. However, our reporting unit has continued to generate significant cash flows from operations, and we expect to continue to do so in fiscal 2016 and beyond. Furthermore, we believe that a reasonable potential buyer would offer a control premium for our business that would adequately cover the difference between our stock market capitalization and our book value. The implied control premium in our annual goodwill impairment test as of December 31, 2015 is comparable to premiums identified in recent acquisitions of companies of similar size and in similar industries.</w:t>
      </w:r>
    </w:p>
    <w:p>
      <w:pPr>
        <w:spacing w:after="0" w:line="8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Even though we determined that there was no goodwill impairment as of December 31, 2015,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2016. We continued to assess impairment through May 31, 2016 and noted no events that would be considered a triggering event.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68" w:name="page69"/>
    <w:bookmarkEnd w:id="68"/>
    <w:p>
      <w:pPr>
        <w:ind w:right="380" w:firstLine="432"/>
        <w:spacing w:after="0" w:line="264" w:lineRule="auto"/>
        <w:rPr>
          <w:sz w:val="20"/>
          <w:szCs w:val="20"/>
          <w:color w:val="auto"/>
        </w:rPr>
      </w:pPr>
      <w:r>
        <w:rPr>
          <w:rFonts w:ascii="Arial" w:cs="Arial" w:eastAsia="Arial" w:hAnsi="Arial"/>
          <w:sz w:val="18"/>
          <w:szCs w:val="18"/>
          <w:color w:val="auto"/>
        </w:rPr>
        <w:t>It is not possible at this time to determine if any such future impairment charge would result or, if it does, whether such charge would be material. Events that could, in the future, result in impairment include, but are not limited to, declining sales for a significant product or in a significant geographic region.</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31, 2016 and 2015, intangible assets consisted of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31, 2016</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52"/>
        </w:trPr>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Gross carrying</w:t>
            </w:r>
          </w:p>
        </w:tc>
        <w:tc>
          <w:tcPr>
            <w:tcW w:w="240" w:type="dxa"/>
            <w:vAlign w:val="bottom"/>
          </w:tcPr>
          <w:p>
            <w:pPr>
              <w:spacing w:after="0"/>
              <w:rPr>
                <w:sz w:val="13"/>
                <w:szCs w:val="13"/>
                <w:color w:val="auto"/>
              </w:rPr>
            </w:pPr>
          </w:p>
        </w:tc>
        <w:tc>
          <w:tcPr>
            <w:tcW w:w="14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1220" w:type="dxa"/>
            <w:vAlign w:val="bottom"/>
          </w:tcPr>
          <w:p>
            <w:pPr>
              <w:jc w:val="center"/>
              <w:ind w:right="314"/>
              <w:spacing w:after="0" w:line="153" w:lineRule="exact"/>
              <w:rPr>
                <w:sz w:val="20"/>
                <w:szCs w:val="20"/>
                <w:color w:val="auto"/>
              </w:rPr>
            </w:pPr>
            <w:r>
              <w:rPr>
                <w:rFonts w:ascii="Arial" w:cs="Arial" w:eastAsia="Arial" w:hAnsi="Arial"/>
                <w:sz w:val="14"/>
                <w:szCs w:val="14"/>
                <w:b w:val="1"/>
                <w:bCs w:val="1"/>
                <w:color w:val="auto"/>
                <w:w w:val="95"/>
              </w:rPr>
              <w:t>Net carrying</w:t>
            </w:r>
          </w:p>
        </w:tc>
        <w:tc>
          <w:tcPr>
            <w:tcW w:w="10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r>
      <w:tr>
        <w:trPr>
          <w:trHeight w:val="192"/>
        </w:trPr>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value</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amortization</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useful life</w:t>
            </w:r>
          </w:p>
        </w:tc>
      </w:tr>
      <w:tr>
        <w:trPr>
          <w:trHeight w:val="250"/>
        </w:trPr>
        <w:tc>
          <w:tcPr>
            <w:tcW w:w="4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148,387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97,074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88,389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(47,133)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41,256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22,228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 process R&amp;D</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1,204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278,927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166,577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569"/>
        </w:trPr>
        <w:tc>
          <w:tcPr>
            <w:tcW w:w="4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31, 2015</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52"/>
        </w:trPr>
        <w:tc>
          <w:tcPr>
            <w:tcW w:w="4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Gross carrying</w:t>
            </w:r>
          </w:p>
        </w:tc>
        <w:tc>
          <w:tcPr>
            <w:tcW w:w="240" w:type="dxa"/>
            <w:vAlign w:val="bottom"/>
          </w:tcPr>
          <w:p>
            <w:pPr>
              <w:spacing w:after="0"/>
              <w:rPr>
                <w:sz w:val="13"/>
                <w:szCs w:val="13"/>
                <w:color w:val="auto"/>
              </w:rPr>
            </w:pPr>
          </w:p>
        </w:tc>
        <w:tc>
          <w:tcPr>
            <w:tcW w:w="14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80" w:type="dxa"/>
            <w:vAlign w:val="bottom"/>
          </w:tcPr>
          <w:p>
            <w:pPr>
              <w:spacing w:after="0"/>
              <w:rPr>
                <w:sz w:val="13"/>
                <w:szCs w:val="13"/>
                <w:color w:val="auto"/>
              </w:rPr>
            </w:pPr>
          </w:p>
        </w:tc>
        <w:tc>
          <w:tcPr>
            <w:tcW w:w="1220" w:type="dxa"/>
            <w:vAlign w:val="bottom"/>
          </w:tcPr>
          <w:p>
            <w:pPr>
              <w:jc w:val="center"/>
              <w:ind w:right="314"/>
              <w:spacing w:after="0" w:line="153" w:lineRule="exact"/>
              <w:rPr>
                <w:sz w:val="20"/>
                <w:szCs w:val="20"/>
                <w:color w:val="auto"/>
              </w:rPr>
            </w:pPr>
            <w:r>
              <w:rPr>
                <w:rFonts w:ascii="Arial" w:cs="Arial" w:eastAsia="Arial" w:hAnsi="Arial"/>
                <w:sz w:val="14"/>
                <w:szCs w:val="14"/>
                <w:b w:val="1"/>
                <w:bCs w:val="1"/>
                <w:color w:val="auto"/>
                <w:w w:val="95"/>
              </w:rPr>
              <w:t>Net carrying</w:t>
            </w:r>
          </w:p>
        </w:tc>
        <w:tc>
          <w:tcPr>
            <w:tcW w:w="10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avg</w:t>
            </w:r>
          </w:p>
        </w:tc>
      </w:tr>
      <w:tr>
        <w:trPr>
          <w:trHeight w:val="192"/>
        </w:trPr>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value</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amortization</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useful life</w:t>
            </w:r>
          </w:p>
        </w:tc>
      </w:tr>
      <w:tr>
        <w:trPr>
          <w:trHeight w:val="250"/>
        </w:trPr>
        <w:tc>
          <w:tcPr>
            <w:tcW w:w="4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148,776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(41,447)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107,329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86,371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(42,813)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43,558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25,162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 process R&amp;D</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276,105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(94,453)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181,652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was $18.0 million, $18.0 million and $16.6 million for fiscal 2016, 2015 and 2014, respectively.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Annual amortization of these intangible assets is expected to approximate the following amounts for each of the next five fiscal years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19,903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23,329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9820" w:type="dxa"/>
            <w:vAlign w:val="bottom"/>
          </w:tcPr>
          <w:p>
            <w:pPr>
              <w:ind w:left="440"/>
              <w:spacing w:after="0"/>
              <w:rPr>
                <w:sz w:val="20"/>
                <w:szCs w:val="20"/>
                <w:color w:val="auto"/>
              </w:rPr>
            </w:pPr>
            <w:r>
              <w:rPr>
                <w:rFonts w:ascii="Arial" w:cs="Arial" w:eastAsia="Arial" w:hAnsi="Arial"/>
                <w:sz w:val="18"/>
                <w:szCs w:val="18"/>
                <w:color w:val="auto"/>
              </w:rPr>
              <w:t>Adjustments to goodwill for the fiscal year ended May 31, 2016 and May 31, 2015 are as follows (in thousands):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98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May 31, 2014</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360,473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Tax basis adjustment</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May 31, 2015</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361,252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May 31,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361,252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67</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98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9" w:name="page70"/>
    <w:bookmarkEnd w:id="69"/>
    <w:p>
      <w:pPr>
        <w:ind w:right="260" w:firstLine="324"/>
        <w:spacing w:after="0" w:line="264" w:lineRule="auto"/>
        <w:rPr>
          <w:sz w:val="20"/>
          <w:szCs w:val="20"/>
          <w:color w:val="auto"/>
        </w:rPr>
      </w:pPr>
      <w:r>
        <w:rPr>
          <w:rFonts w:ascii="Arial" w:cs="Arial" w:eastAsia="Arial" w:hAnsi="Arial"/>
          <w:sz w:val="18"/>
          <w:szCs w:val="18"/>
          <w:color w:val="auto"/>
        </w:rPr>
        <w:t>During fiscal 2015, goodwill and deferred tax liabilities were adjusted by $0.8 million due to the receipt of a New York State tax grant that was not correctly accounted for as part of purchase accounting in fiscal 2012. The Company has determined that this adjustment was not material to any current or prior annual or interim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(loss) before income tax provision for the years ended May 31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238125</wp:posOffset>
            </wp:positionV>
            <wp:extent cx="3833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r>
      <w:tr>
        <w:trPr>
          <w:trHeight w:val="202"/>
        </w:trPr>
        <w:tc>
          <w:tcPr>
            <w:tcW w:w="5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income before tax provision:</w:t>
            </w:r>
          </w:p>
        </w:tc>
        <w:tc>
          <w:tcPr>
            <w:tcW w:w="1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4,645</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Non-US</w:t>
            </w:r>
          </w:p>
        </w:tc>
        <w:tc>
          <w:tcPr>
            <w:tcW w:w="1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541</w:t>
            </w:r>
          </w:p>
        </w:tc>
      </w:tr>
      <w:tr>
        <w:trPr>
          <w:trHeight w:val="27"/>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tax (benefit) provision analyzed by category and by statement of operations classification for the years ended May 31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114935</wp:posOffset>
            </wp:positionV>
            <wp:extent cx="3833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2014</w:t>
            </w:r>
          </w:p>
        </w:tc>
      </w:tr>
      <w:tr>
        <w:trPr>
          <w:trHeight w:val="202"/>
        </w:trPr>
        <w:tc>
          <w:tcPr>
            <w:tcW w:w="5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Current</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99</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 U.S.</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r>
      <w:tr>
        <w:trPr>
          <w:trHeight w:val="237"/>
        </w:trPr>
        <w:tc>
          <w:tcPr>
            <w:tcW w:w="53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123</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2,716</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40,337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2,839</w:t>
            </w:r>
          </w:p>
        </w:tc>
      </w:tr>
      <w:tr>
        <w:trPr>
          <w:trHeight w:val="27"/>
        </w:trPr>
        <w:tc>
          <w:tcPr>
            <w:tcW w:w="5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deferred income tax (benefit) expense from operations for the years ended May 31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220980</wp:posOffset>
            </wp:positionV>
            <wp:extent cx="38334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2014</w:t>
            </w:r>
          </w:p>
        </w:tc>
      </w:tr>
      <w:tr>
        <w:trPr>
          <w:trHeight w:val="202"/>
        </w:trPr>
        <w:tc>
          <w:tcPr>
            <w:tcW w:w="5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effect of temporary differences</w:t>
            </w: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1,543</w:t>
            </w: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Adjustments for beginning-of-the-year valuation allowance balance for</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circumstances</w:t>
            </w:r>
          </w:p>
        </w:tc>
        <w:tc>
          <w:tcPr>
            <w:tcW w:w="1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Impact of NYS tax reform legislation</w:t>
            </w:r>
          </w:p>
        </w:tc>
        <w:tc>
          <w:tcPr>
            <w:tcW w:w="124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1,173</w:t>
            </w: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spacing w:after="0"/>
              <w:rPr>
                <w:sz w:val="20"/>
                <w:szCs w:val="20"/>
                <w:color w:val="auto"/>
              </w:rPr>
            </w:pPr>
          </w:p>
        </w:tc>
        <w:tc>
          <w:tcPr>
            <w:tcW w:w="1240" w:type="dxa"/>
            <w:vAlign w:val="bottom"/>
            <w:tcBorders>
              <w:top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2,716</w:t>
            </w:r>
          </w:p>
        </w:tc>
      </w:tr>
      <w:tr>
        <w:trPr>
          <w:trHeight w:val="27"/>
        </w:trPr>
        <w:tc>
          <w:tcPr>
            <w:tcW w:w="53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8" w:right="23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t>Temporary differences that give rise to deferred tax assets and liabilities are summarized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May 31, 2016</w:t>
            </w: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May 31, 2015</w:t>
            </w:r>
          </w:p>
        </w:tc>
      </w:tr>
      <w:tr>
        <w:trPr>
          <w:trHeight w:val="256"/>
        </w:trPr>
        <w:tc>
          <w:tcPr>
            <w:tcW w:w="69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40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52,593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52,025</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4,468</w:t>
            </w: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and state R&amp;D tax credit carryforward</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2,808</w:t>
            </w: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Expenses incurred not currently deductible</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6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deferred tax asset</w:t>
            </w:r>
          </w:p>
        </w:tc>
        <w:tc>
          <w:tcPr>
            <w:tcW w:w="4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66,765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63,168</w:t>
            </w:r>
          </w:p>
        </w:tc>
      </w:tr>
      <w:tr>
        <w:trPr>
          <w:trHeight w:val="223"/>
        </w:trPr>
        <w:tc>
          <w:tcPr>
            <w:tcW w:w="69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41"/>
        </w:trPr>
        <w:tc>
          <w:tcPr>
            <w:tcW w:w="6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over book 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46,240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42,988</w:t>
            </w:r>
          </w:p>
        </w:tc>
      </w:tr>
      <w:tr>
        <w:trPr>
          <w:trHeight w:val="237"/>
        </w:trPr>
        <w:tc>
          <w:tcPr>
            <w:tcW w:w="69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46,240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42,988</w:t>
            </w: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(42,209)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Net deferred tax asset (liability)</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(21,684)</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18,389</w:t>
            </w:r>
          </w:p>
        </w:tc>
      </w:tr>
      <w:tr>
        <w:trPr>
          <w:trHeight w:val="27"/>
        </w:trPr>
        <w:tc>
          <w:tcPr>
            <w:tcW w:w="6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Our Federal net operating loss carryforwards as of May 31, 2016 after considering IRC Section 382 limitations are $151.7 million. The expiration of the Federal net operating loss carryforwards are as follows: $29.8 million between 2017 and 2023 and $121.9 million between 2027 and 2036.</w:t>
      </w:r>
    </w:p>
    <w:p>
      <w:pPr>
        <w:spacing w:after="0" w:line="14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state net operating loss carryforwards as of May 31, 2016 after considering remaining IRC Section 382 limitations are $30.8 million which expire in various years from 2016 to 2036.</w:t>
      </w:r>
    </w:p>
    <w:p>
      <w:pPr>
        <w:spacing w:after="0" w:line="17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As a result of certain realization requirements of ASC 718, the table of deferred tax assets and liabilities shown above does not include certain deferred tax assets as of May 31, 2016 and 2015 that arose directly from tax deductions related to equity compensation greater than compensation recognized for financial reporting. Equity will be increased by $0.4 million if and when such excess tax benefits are ultimately realized.</w:t>
      </w:r>
    </w:p>
    <w:p>
      <w:pPr>
        <w:spacing w:after="0" w:line="166"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At May 31, 2016, we had a net deferred income tax liability of $21.7 million, after recording a valuation allowance of $42.2 million. The valuation allowance increased by $40.4 million in 2016.</w:t>
      </w:r>
    </w:p>
    <w:p>
      <w:pPr>
        <w:spacing w:after="0" w:line="17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While the net deferred tax asset at May 31, 2016 before the valuation allowance was $19.9 million, the Company was required to record a valuation allowance of $40.4 million due to deferred tax liabilities related to intangibles of $20.5 million that have an indefinite reversal period and can not be used to support the deferred tax asset.</w:t>
      </w:r>
    </w:p>
    <w:p>
      <w:pPr>
        <w:spacing w:after="0" w:line="18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A valuation allowance is provided if based upon the weight of available evidence, it is more likely than not that some or all of the deferred tax assets will not be realized. The Company’s analysis of the need for a valuation allowance considered that the Company has incurred a cumulative loss in the U.S. over the three year period ending May 31, 2016. A majority of the cumulative loss has been caused by the charges associated with the product recall and discontinuance and the impairment of fixed and intangible assets recorded in the quarter end February 28, 2015, From the time when the Company initially incurred a three year cumulative loss in the quarter ended February 28, 2015, and in each subsequent quarter through the quarter ended February 28, 2016, the Company could still demonstrate a recent history of core earnings , and had anticipated a return to profitability for the full fiscal year 2016. However, in the quarter ended May 31, 2016 the Company did not return to profitability for the full fiscal year and could no longer demonstrate a recent history of core earnings. Consequently after careful consideration and weighing of all the available positive and negative evidence, the weight given to the three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year cumulative loss and lack of a recent history of core earnings was difficult to overcome and a full valuation allowance related to the U.S. deferred tax assets was established. Management will continue to reevaluate the positive and negative evidence at each reporting period and if future results as projected in the U.S. and our tax planning strategies are favorable, the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t>valuation allowance may be removed, which could have a favorable material impact on our results of operations in the period in which it is recorded.</w:t>
      </w:r>
    </w:p>
    <w:p>
      <w:pPr>
        <w:spacing w:after="0" w:line="23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consolidated income tax provision has differed from the amount that would be provided by applying the U.S. Federal statutory income tax rate to our income before income taxes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66040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r>
      <w:tr>
        <w:trPr>
          <w:trHeight w:val="202"/>
        </w:trPr>
        <w:tc>
          <w:tcPr>
            <w:tcW w:w="57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Income tax (benefit) provision at statutory tax rate of 35%</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(2,845)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1,814</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graduated tax rates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State income taxes, net of Federal tax benefit</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Impact of Non US operations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Research and development tax credit</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Meals and entertainment</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Nondeductible interest on contingent payments</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540</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Nontaxable gain on revaluation of contingent consideration liability</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Tax law changes</w:t>
            </w:r>
          </w:p>
        </w:tc>
        <w:tc>
          <w:tcPr>
            <w:tcW w:w="1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1,173</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to beginning of year valuation allowance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Effect of elimination of stock compensation APIC pool</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440</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Nondeductible 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 nondeductible expenses</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384</w:t>
            </w:r>
          </w:p>
        </w:tc>
      </w:tr>
      <w:tr>
        <w:trPr>
          <w:trHeight w:val="27"/>
        </w:trPr>
        <w:tc>
          <w:tcPr>
            <w:tcW w:w="5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Over (under) accrual of prior year Federal and state taxes</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amount of unrecognized tax benefits, all of which, if recognized, would impact the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177165</wp:posOffset>
            </wp:positionV>
            <wp:extent cx="3687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2014</w:t>
            </w:r>
          </w:p>
        </w:tc>
      </w:tr>
      <w:tr>
        <w:trPr>
          <w:trHeight w:val="202"/>
        </w:trPr>
        <w:tc>
          <w:tcPr>
            <w:tcW w:w="56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Unrecognized tax benefits balance at June 1</w:t>
            </w:r>
          </w:p>
        </w:tc>
        <w:tc>
          <w:tcPr>
            <w:tcW w:w="1340" w:type="dxa"/>
            <w:vAlign w:val="bottom"/>
          </w:tcPr>
          <w:p>
            <w:pPr>
              <w:jc w:val="right"/>
              <w:ind w:right="115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gross amounts of tax positions related to prior years</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Decrease in gross amounts of tax positions related to prior years</w:t>
            </w:r>
          </w:p>
        </w:tc>
        <w:tc>
          <w:tcPr>
            <w:tcW w:w="13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gross amounts of tax positions related to current year</w:t>
            </w:r>
          </w:p>
        </w:tc>
        <w:tc>
          <w:tcPr>
            <w:tcW w:w="1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Decrease due to settlements with tax authorities</w:t>
            </w:r>
          </w:p>
        </w:tc>
        <w:tc>
          <w:tcPr>
            <w:tcW w:w="134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ind w:left="110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due to lapse in statute of limitations</w:t>
            </w:r>
          </w:p>
        </w:tc>
        <w:tc>
          <w:tcPr>
            <w:tcW w:w="1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Unrecognized tax benefits balance at May 31</w:t>
            </w:r>
          </w:p>
        </w:tc>
        <w:tc>
          <w:tcPr>
            <w:tcW w:w="1340" w:type="dxa"/>
            <w:vAlign w:val="bottom"/>
            <w:tcBorders>
              <w:top w:val="single" w:sz="8" w:color="auto"/>
              <w:bottom w:val="single" w:sz="8" w:color="auto"/>
            </w:tcBorders>
          </w:tcPr>
          <w:p>
            <w:pPr>
              <w:jc w:val="right"/>
              <w:ind w:right="11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table above includes unrecognized tax benefits associated with the calculation of limitations placed on the utilization of tax attributes related to an acquired company. If recognized, $0.1 million of the balance of unrecognized tax benefits as of May 31, 2016 would affect the effective tax rate and the balance of $0.8 million would result in adjustments to other tax accounts.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8" w:right="239" w:bottom="1440" w:gutter="0" w:footer="0" w:header="0"/>
        </w:sectPr>
      </w:pPr>
    </w:p>
    <w:bookmarkStart w:id="72" w:name="page73"/>
    <w:bookmarkEnd w:id="72"/>
    <w:p>
      <w:pPr>
        <w:ind w:right="20" w:firstLine="405"/>
        <w:spacing w:after="0" w:line="277" w:lineRule="auto"/>
        <w:rPr>
          <w:sz w:val="20"/>
          <w:szCs w:val="20"/>
          <w:color w:val="auto"/>
        </w:rPr>
      </w:pPr>
      <w:r>
        <w:rPr>
          <w:rFonts w:ascii="Arial" w:cs="Arial" w:eastAsia="Arial" w:hAnsi="Arial"/>
          <w:sz w:val="18"/>
          <w:szCs w:val="18"/>
          <w:color w:val="auto"/>
        </w:rPr>
        <w:t>We recognize interest and penalties related to unrecognized tax benefits within its global operations as a component of income tax expense. There are no accrued interest and penalties recognized in the consolidated balance sheet as of May 31, 2016 and May 31, 2015.</w:t>
      </w:r>
    </w:p>
    <w:p>
      <w:pPr>
        <w:spacing w:after="0" w:line="13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file income tax returns in the U.S. federal jurisdiction and various state and foreign jurisdictions. In the normal course of business we are subject to examination by taxing authorities throughout the world.</w:t>
      </w:r>
    </w:p>
    <w:p>
      <w:pPr>
        <w:spacing w:after="0" w:line="13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Fiscal years 2012 through 2016 remain open to examination by the various tax authorities. New York State is currently auditing AngioDynamic's franchise tax filings for 2011 through 2013. We do not anticipate any adjustments will result in a material adverse effect on our financial condition, results of operations or cash flows.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anticipate that the amount of unrecognized tax benefits will significantly change in the next twelve months.</w:t>
      </w:r>
    </w:p>
    <w:p>
      <w:pPr>
        <w:spacing w:after="0" w:line="225" w:lineRule="exact"/>
        <w:rPr>
          <w:sz w:val="20"/>
          <w:szCs w:val="20"/>
          <w:color w:val="auto"/>
        </w:rPr>
      </w:pPr>
    </w:p>
    <w:p>
      <w:pPr>
        <w:ind w:right="80" w:firstLine="392"/>
        <w:spacing w:after="0" w:line="259" w:lineRule="auto"/>
        <w:rPr>
          <w:sz w:val="20"/>
          <w:szCs w:val="20"/>
          <w:color w:val="auto"/>
        </w:rPr>
      </w:pPr>
      <w:r>
        <w:rPr>
          <w:rFonts w:ascii="Arial" w:cs="Arial" w:eastAsia="Arial" w:hAnsi="Arial"/>
          <w:sz w:val="18"/>
          <w:szCs w:val="18"/>
          <w:color w:val="auto"/>
        </w:rPr>
        <w:t>The accumulated undistributed earnings of the Company’s foreign operations were approximately $4.6 million, and are intended to remain indefinitely invested in foreign operations. Accordingly, no taxes have been provided on these earnings at May 31, 2016. If these earnings were distributed, the Company would be subject to both foreign withholding taxes and U.S. income taxes that may not be fully offset by foreign tax credits. A reasonable estimate of the deferred tax liability on these earnings is not practicable at this time.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J—ACCRUED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2016 and 2015, accrued liabilities consist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May 31,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633"/>
              <w:spacing w:after="0"/>
              <w:rPr>
                <w:sz w:val="20"/>
                <w:szCs w:val="20"/>
                <w:color w:val="auto"/>
              </w:rPr>
            </w:pPr>
            <w:r>
              <w:rPr>
                <w:rFonts w:ascii="Arial" w:cs="Arial" w:eastAsia="Arial" w:hAnsi="Arial"/>
                <w:sz w:val="14"/>
                <w:szCs w:val="14"/>
                <w:b w:val="1"/>
                <w:bCs w:val="1"/>
                <w:color w:val="auto"/>
              </w:rPr>
              <w:t>May 31,</w:t>
            </w:r>
          </w:p>
        </w:tc>
      </w:tr>
      <w:tr>
        <w:trPr>
          <w:trHeight w:val="192"/>
        </w:trPr>
        <w:tc>
          <w:tcPr>
            <w:tcW w:w="7440" w:type="dxa"/>
            <w:vAlign w:val="bottom"/>
          </w:tcPr>
          <w:p>
            <w:pPr>
              <w:spacing w:after="0"/>
              <w:rPr>
                <w:sz w:val="16"/>
                <w:szCs w:val="16"/>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2015</w:t>
            </w:r>
          </w:p>
        </w:tc>
      </w:tr>
      <w:tr>
        <w:trPr>
          <w:trHeight w:val="196"/>
        </w:trPr>
        <w:tc>
          <w:tcPr>
            <w:tcW w:w="7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7"/>
                <w:szCs w:val="17"/>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10,297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28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2,237</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28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489</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liability</w:t>
            </w: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Outside services</w:t>
            </w:r>
          </w:p>
        </w:tc>
        <w:tc>
          <w:tcPr>
            <w:tcW w:w="128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1,522</w:t>
            </w:r>
          </w:p>
        </w:tc>
      </w:tr>
      <w:tr>
        <w:trPr>
          <w:trHeight w:val="27"/>
        </w:trPr>
        <w:tc>
          <w:tcPr>
            <w:tcW w:w="7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2,341</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21,896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18,109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K—LONG-TERM DEBT</w:t>
      </w:r>
    </w:p>
    <w:p>
      <w:pPr>
        <w:spacing w:after="0" w:line="94"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On September 19, 2013, we entered into a Credit Agreement (the "Credit Agreement") with the lenders party thereto, JPMorgan Chase Bank, N.A., as administrative agent, Bank of America, N.A. and Keybank National Association as co-syndication agents, and J.P. Morgan Securities LLC, Merrill Lynch, Pierce, Fenner &amp; Smith Incorporated and Keybank National Association as joint bookrunners and joint lead arrangers.</w:t>
      </w:r>
    </w:p>
    <w:p>
      <w:pPr>
        <w:spacing w:after="0" w:line="30"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The Credit Agreement provides for a $100 million senior secured term loan facility (the "Term Loan") and a $100 million senior secured revolving credit facility, which includes up to a $20 million sublimit for letters of credit and a $5 million sublimit for swingline loans (the "Revolving Facility", and together with the Term Loan, the "Facilities").</w:t>
      </w:r>
    </w:p>
    <w:p>
      <w:pPr>
        <w:spacing w:after="0" w:line="46"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proceeds of the Revolving Facility may be used for general corporate purposes of the Company and its subsidiaries. The Facilities have a five years maturity. The Term Loan has a quarterly repayment schedule equal to 5%, 5%, 10%, 15% and 65% of its principal amount in years one through five. Interest on both the Term Loan and Revolving Facility will be based on a base rate or Eurodollar rate plus an applicable margin which increases as our total leverage ratio increases, with the base rate and Eurodollar rate having ranges of 0.5% to 1.25% and 1.5% to 2.25% respectively. After default, the interest rate may be increased by 2.0%. The Revolving Facility will also carry a commitment fee of 0.2% to 0.35% per annum on the unused portion.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8" w:right="239" w:bottom="1440" w:gutter="0" w:footer="0" w:header="0"/>
        </w:sectPr>
      </w:pPr>
    </w:p>
    <w:bookmarkStart w:id="73" w:name="page74"/>
    <w:bookmarkEnd w:id="73"/>
    <w:p>
      <w:pPr>
        <w:jc w:val="both"/>
        <w:ind w:right="140" w:firstLine="432"/>
        <w:spacing w:after="0" w:line="264" w:lineRule="auto"/>
        <w:rPr>
          <w:sz w:val="20"/>
          <w:szCs w:val="20"/>
          <w:color w:val="auto"/>
        </w:rPr>
      </w:pPr>
      <w:r>
        <w:rPr>
          <w:rFonts w:ascii="Arial" w:cs="Arial" w:eastAsia="Arial" w:hAnsi="Arial"/>
          <w:sz w:val="18"/>
          <w:szCs w:val="18"/>
          <w:color w:val="auto"/>
        </w:rPr>
        <w:t>Our obligations under the Facilities are unconditionally guaranteed, jointly and severally, by our material direct and indirect domestic subsidiaries (the "Guarantors"). All obligations of the Company and the Guarantors under the Facilities are collateralized by first priority security interests in substantially all of the assets of the Company and the Guarantors.</w:t>
      </w:r>
    </w:p>
    <w:p>
      <w:pPr>
        <w:spacing w:after="0" w:line="12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have entered in an interest rate swap agreement, (the "Swap Agreement"), with an initial notional amount of $100 million, to limit the effect of rising of interest rates. The Swap Agreement, which qualified for hedge accounting, was a contract to exchange floating interest rate payments for fixed interest rate payments of 3.26% on the outstanding balance of the loan over the life of the agreement without the exchange of the underlying notional amounts. The Swap Agreement provides for a fixed rate of 0.74% above the applicable rate provided for in the Credit Agreement. The Swap matured in May 2016.</w:t>
      </w:r>
    </w:p>
    <w:p>
      <w:pPr>
        <w:spacing w:after="0" w:line="134" w:lineRule="exact"/>
        <w:rPr>
          <w:sz w:val="20"/>
          <w:szCs w:val="20"/>
          <w:color w:val="auto"/>
        </w:rPr>
      </w:pPr>
    </w:p>
    <w:p>
      <w:pPr>
        <w:ind w:right="100" w:firstLine="432"/>
        <w:spacing w:after="0" w:line="253" w:lineRule="auto"/>
        <w:rPr>
          <w:sz w:val="20"/>
          <w:szCs w:val="20"/>
          <w:color w:val="auto"/>
        </w:rPr>
      </w:pPr>
      <w:r>
        <w:rPr>
          <w:rFonts w:ascii="Arial" w:cs="Arial" w:eastAsia="Arial" w:hAnsi="Arial"/>
          <w:sz w:val="18"/>
          <w:szCs w:val="18"/>
          <w:color w:val="auto"/>
        </w:rPr>
        <w:t>On September 19, 2013, we borrowed $100 million under the Term Facility and approximately $41.4 million under the Revolving Facility to repay the prior credit agreement. As of May 31, 2016, $85.0 million and $36.4 million were outstanding under the Term Facility and Revolving Facility, respectively. As of May 31, 2016 and 2015 the carrying value of long-term debt approximates its fair market value. The Credit Agreement includes customary representations, warranties and covenants, and acceleration, indemnity and events of default provisions, including, among other things, two financial covenants. The first financial covenant requires us to maintain, as of the end of each of our fiscal quarters, a ratio of (i) consolidated EBITDA minus consolidated capital expenditures to (ii) consolidated interest expense paid or payable in cash plus scheduled principal payments in respect of indebtedness under the Credit Agreement of not less than 1.35 to 1.00. The second financial covenant requires us to maintain, as of the end of each of our fiscal quarters, a ratio of consolidated total indebtedness to consolidated EBITDA of not greater than 3.75 to 1.00. We were in compliance with both financial covenants as of May 31, 2016.</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May 31, 2016, future minimum principal payments on long-term debt were as follows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rPr>
              <w:t>2017</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16,250</w:t>
            </w:r>
          </w:p>
        </w:tc>
      </w:tr>
      <w:tr>
        <w:trPr>
          <w:trHeight w:val="243"/>
        </w:trPr>
        <w:tc>
          <w:tcPr>
            <w:tcW w:w="9260" w:type="dxa"/>
            <w:vAlign w:val="bottom"/>
          </w:tcPr>
          <w:p>
            <w:pPr>
              <w:jc w:val="right"/>
              <w:ind w:right="8430"/>
              <w:spacing w:after="0"/>
              <w:rPr>
                <w:sz w:val="20"/>
                <w:szCs w:val="20"/>
                <w:color w:val="auto"/>
              </w:rPr>
            </w:pPr>
            <w:r>
              <w:rPr>
                <w:rFonts w:ascii="Arial" w:cs="Arial" w:eastAsia="Arial" w:hAnsi="Arial"/>
                <w:sz w:val="18"/>
                <w:szCs w:val="18"/>
                <w:color w:val="auto"/>
              </w:rPr>
              <w:t>2018</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26,250</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78,910</w:t>
            </w:r>
          </w:p>
        </w:tc>
      </w:tr>
      <w:tr>
        <w:trPr>
          <w:trHeight w:val="237"/>
        </w:trPr>
        <w:tc>
          <w:tcPr>
            <w:tcW w:w="926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121,410</w:t>
            </w:r>
          </w:p>
        </w:tc>
      </w:tr>
      <w:tr>
        <w:trPr>
          <w:trHeight w:val="27"/>
        </w:trPr>
        <w:tc>
          <w:tcPr>
            <w:tcW w:w="9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L—RETIREMENT PLANS</w:t>
      </w:r>
    </w:p>
    <w:p>
      <w:pPr>
        <w:spacing w:after="0" w:line="94"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have a 401(k) plan under which eligible employees can defer a portion of their compensation, part of which is matched by us. Matching contributions were $3.7 million, $3.7 million and $2.8 million in 2016, 2015 and 2014, respectively. There are also various immaterial foreign retirement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M—STOCKHOLDERS’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Capitalization</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On October 29, 2014, our Board of Directors approved our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we liquidate, dissolve, or wind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3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Our board of directors has the authority to (i) issue the undesignated preferred stock in one or more series, (ii) determine the powers, preferences and rights and the qualifications, limitations or restrictions granted to or imposed upon any wholly un-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49" w:right="239" w:bottom="1440" w:gutter="0" w:footer="0" w:header="0"/>
        </w:sectPr>
      </w:pPr>
    </w:p>
    <w:bookmarkStart w:id="74" w:name="page75"/>
    <w:bookmarkEnd w:id="74"/>
    <w:p>
      <w:pPr>
        <w:ind w:right="280"/>
        <w:spacing w:after="0" w:line="277" w:lineRule="auto"/>
        <w:rPr>
          <w:sz w:val="20"/>
          <w:szCs w:val="20"/>
          <w:color w:val="auto"/>
        </w:rPr>
      </w:pPr>
      <w:r>
        <w:rPr>
          <w:rFonts w:ascii="Arial" w:cs="Arial" w:eastAsia="Arial" w:hAnsi="Arial"/>
          <w:sz w:val="18"/>
          <w:szCs w:val="18"/>
          <w:color w:val="auto"/>
        </w:rPr>
        <w:t>issued series of undesignated preferred stock and (iii) fix the number of shares constituting any series and the designation of the series, without any further vote or action by our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1997 Stock Option Plan</w:t>
      </w:r>
    </w:p>
    <w:p>
      <w:pPr>
        <w:spacing w:after="0" w:line="9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In 1997, we adopted a Stock Option Plan (the “1997 Plan”). The 1997 Plan provided for the grant to key employees of both nonqualified stock options and incentive stock options and to members of the Board of Directors and consultants of nonqualified stock options. A total of 1,497,674 shares of our common stock were available to be issued under the 1997 Plan pursuant to the exercise of options. All stock options were to have an exercise price of not less than the fair market value of the shares on the date of grant. Options are exercisable over a period of time to be designated by the administrators of the 1997 Plan (but not more than 10 years from the date of grant) and are subject to such other terms and conditions as the administrators may determine. The vesting schedule is subject to the discretion of our Board of Directors. Options are exercisable immediately upon vesting. In addition, all options, whether vested or not, become exercisable in full immediately upon a change of control, as defined under the 1997 Plan. The 1997 Plan terminated in March 2007 and as such, no further options will be granted under this plan.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Stock and Incentive Award Plan</w:t>
      </w:r>
    </w:p>
    <w:p>
      <w:pPr>
        <w:spacing w:after="0" w:line="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 2004 Stock and Incentive Award Plan (the “2004 Plan”) provides for the grant of incentive options to our employees and for the grant of non-statutory stock options, restricted stock, stock appreciation rights, performance units, performance shares and other incentive awards to our employees, directors and other service providers. A total of 6,750,000 shares of our common stock have been reserved for issuance under the 2004 Plan, of which up to 800,000 shares may be issued upon the exercise of incentive stock options. The compensation committee of the Board of Directors administers the 2004 Plan. The committee determines vesting terms and the exercise price of options granted under the 2004 Plan, but for all incentive stock options the exercise price must at least be equal to the fair market value of our common stock on the date of grant. The term of an incentive stock option may not exceed ten years.</w:t>
      </w:r>
    </w:p>
    <w:p>
      <w:pPr>
        <w:spacing w:after="0" w:line="111"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On October 5, 2011, we amended the 2004 Stock and Incentive Award Plan to increase the maximum number of shares of our common stock with respect to which stock options may be granted during any calendar year to one employee from 200,000 shares to 500,000 shares.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options activity for the fiscal year ended May 31,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8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96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9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9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value (in</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2,299,313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564,380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(145,260)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spacing w:after="0"/>
              <w:rPr>
                <w:sz w:val="20"/>
                <w:szCs w:val="20"/>
                <w:color w:val="auto"/>
              </w:rPr>
            </w:pPr>
            <w:r>
              <w:rPr>
                <w:rFonts w:ascii="Arial" w:cs="Arial" w:eastAsia="Arial" w:hAnsi="Arial"/>
                <w:sz w:val="18"/>
                <w:szCs w:val="18"/>
                <w:color w:val="auto"/>
              </w:rPr>
              <w:t>(304,563)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(132,252)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end of year</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2,281,618</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14.45</w:t>
            </w:r>
          </w:p>
        </w:tc>
        <w:tc>
          <w:tcPr>
            <w:tcW w:w="200" w:type="dxa"/>
            <w:vAlign w:val="bottom"/>
            <w:tcBorders>
              <w:bottom w:val="single" w:sz="8" w:color="CCEEFF"/>
            </w:tcBorders>
            <w:gridSpan w:val="2"/>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Options exercisable at year-end</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1,313,698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Options expected to vest in future periods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vMerge w:val="continue"/>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854,189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14.72</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As of May 31, 2016, there remained approximately 2.2 million shares available for granting of options under the 2004 Plan. Options are exercisable into common stock.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30" w:right="239" w:bottom="1440" w:gutter="0" w:footer="0" w:header="0"/>
        </w:sectPr>
      </w:pPr>
    </w:p>
    <w:bookmarkStart w:id="75" w:name="page76"/>
    <w:bookmarkEnd w:id="75"/>
    <w:p>
      <w:pPr>
        <w:ind w:left="440"/>
        <w:spacing w:after="0"/>
        <w:rPr>
          <w:sz w:val="20"/>
          <w:szCs w:val="20"/>
          <w:color w:val="auto"/>
        </w:rPr>
      </w:pPr>
      <w:r>
        <w:rPr>
          <w:rFonts w:ascii="Arial" w:cs="Arial" w:eastAsia="Arial" w:hAnsi="Arial"/>
          <w:sz w:val="18"/>
          <w:szCs w:val="18"/>
          <w:color w:val="auto"/>
        </w:rPr>
        <w:t>The following table summarizes information about stock options outstanding at May 31,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left="308"/>
              <w:spacing w:after="0"/>
              <w:rPr>
                <w:sz w:val="20"/>
                <w:szCs w:val="20"/>
                <w:color w:val="auto"/>
              </w:rPr>
            </w:pPr>
            <w:r>
              <w:rPr>
                <w:rFonts w:ascii="Arial" w:cs="Arial" w:eastAsia="Arial" w:hAnsi="Arial"/>
                <w:sz w:val="14"/>
                <w:szCs w:val="14"/>
                <w:b w:val="1"/>
                <w:bCs w:val="1"/>
                <w:color w:val="auto"/>
                <w:w w:val="94"/>
              </w:rPr>
              <w:t>Weighted-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2"/>
              </w:rPr>
              <w:t>remaining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500" w:type="dxa"/>
            <w:vAlign w:val="bottom"/>
            <w:gridSpan w:val="2"/>
            <w:vMerge w:val="continue"/>
          </w:tcPr>
          <w:p>
            <w:pPr>
              <w:spacing w:after="0"/>
              <w:rPr>
                <w:sz w:val="12"/>
                <w:szCs w:val="12"/>
                <w:color w:val="auto"/>
              </w:rPr>
            </w:pPr>
          </w:p>
        </w:tc>
        <w:tc>
          <w:tcPr>
            <w:tcW w:w="10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2"/>
              </w:rPr>
              <w:t>life in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exercise</w:t>
            </w:r>
          </w:p>
        </w:tc>
        <w:tc>
          <w:tcPr>
            <w:tcW w:w="14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1020" w:type="dxa"/>
            <w:vAlign w:val="bottom"/>
          </w:tcPr>
          <w:p>
            <w:pPr>
              <w:jc w:val="center"/>
              <w:ind w:left="308"/>
              <w:spacing w:after="0"/>
              <w:rPr>
                <w:sz w:val="20"/>
                <w:szCs w:val="20"/>
                <w:color w:val="auto"/>
              </w:rPr>
            </w:pPr>
            <w:r>
              <w:rPr>
                <w:rFonts w:ascii="Arial" w:cs="Arial" w:eastAsia="Arial" w:hAnsi="Arial"/>
                <w:sz w:val="14"/>
                <w:szCs w:val="14"/>
                <w:b w:val="1"/>
                <w:bCs w:val="1"/>
                <w:color w:val="auto"/>
                <w:w w:val="87"/>
              </w:rPr>
              <w:t>years</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price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Exercisable</w:t>
            </w:r>
          </w:p>
        </w:tc>
        <w:tc>
          <w:tcPr>
            <w:tcW w:w="240" w:type="dxa"/>
            <w:vAlign w:val="bottom"/>
          </w:tcPr>
          <w:p>
            <w:pPr>
              <w:spacing w:after="0"/>
              <w:rPr>
                <w:sz w:val="16"/>
                <w:szCs w:val="16"/>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$10.25 - $14.24</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1,398,385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$14.25 - $18.24</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684,427</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4.75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228,571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$18.25 - $22.24</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183,695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$22.25 - $26.24</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14,250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14,251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$26.25 - $30.24</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2,281,618</w:t>
            </w:r>
          </w:p>
        </w:tc>
        <w:tc>
          <w:tcPr>
            <w:tcW w:w="1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3.79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1,313,698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Stock options are granted at exercise prices equal to the quoted market price of our common stock at the date of the grant. Options vest 25% per year over four years for employees and 100% after one year for consultants. Grants to directors vest 33.33% per year over three years. Stock options granted prior to May 1, 2007 expire on the tenth anniversary of the grant date. Stock options granted on or after May 1, 2007, expire on the seventh anniversary of the grant date.</w:t>
      </w:r>
    </w:p>
    <w:p>
      <w:pPr>
        <w:spacing w:after="0" w:line="133"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measure the fair value of each stock option grant at the date of grant using a Black-Scholes option pricing model. The weighted average grant-date fair value of options granted during the years ended May 31, 2016, 2015 and 2014 was $4.16, $4.74, and $4.10, respectively. The following assumptions were used in arriving at the fair value of options granted during 2016, 2015 and 2014, respectively: risk-free interest rates of 1.48%, 1.54% and 1.44%; expected volatility of 31%, 31%, and 34%; and expected lives of 4.81 years, 4.76 years, and 4.74 years. We do not declare dividends therefore a dividend yield of zero was used for the years ended 2016, 2015 and 2014. Risk-free interest rates reflect the yield on zero-coupon U.S. Treasury bonds whose maturity period equals the expected term of the option. Expected volatilities are based on the historical volatility of our stock. The expected option lives are based on our historical experience of employee exercise behavior.</w:t>
      </w:r>
    </w:p>
    <w:p>
      <w:pPr>
        <w:spacing w:after="0" w:line="124"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The total intrinsic value of options exercised during the years ended 2016, 2015 and 2014 amounted to $0.1 million, $1.6 million, and $1.0 million, respectively. As of May 31, 2016, there was $3.3 million of total unrecognized compensation cost related to non-vested options. The cost is expected to be recognized over a weighted average period of 3 years.</w:t>
      </w:r>
    </w:p>
    <w:p>
      <w:pPr>
        <w:spacing w:after="0" w:line="127"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Cash received from option exercises during 2016, 2015 and 2014 was $1.3 million, $4.3 million and $1.3 million, respectively. The tax benefit realized from stock options exercised during the years ended 2016, 2015 and 2014 were $0.1 million, $0.5 million and $0.1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Performance Share and Restricted Stock Unit Awards</w:t>
      </w:r>
    </w:p>
    <w:p>
      <w:pPr>
        <w:spacing w:after="0" w:line="90"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We grant restricted stock units to certain employees under the 2004 Plan which give the recipients the right to receive shares of our stock upon vesting. The restricted stock unit awards vest in equal annual installments over the term of the grants. Unvested restricted stock unit awards will be forfeited if the recipient ceases to be employed by us, competes with our business or otherwise engages in activities detrimental to our business before such date.</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restricted stock unit activity for the year ended May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80" w:type="dxa"/>
            <w:vAlign w:val="bottom"/>
          </w:tcPr>
          <w:p>
            <w:pPr>
              <w:jc w:val="right"/>
              <w:ind w:right="514"/>
              <w:spacing w:after="0"/>
              <w:rPr>
                <w:sz w:val="20"/>
                <w:szCs w:val="20"/>
                <w:color w:val="auto"/>
              </w:rPr>
            </w:pPr>
            <w:r>
              <w:rPr>
                <w:rFonts w:ascii="Arial" w:cs="Arial" w:eastAsia="Arial" w:hAnsi="Arial"/>
                <w:sz w:val="14"/>
                <w:szCs w:val="14"/>
                <w:b w:val="1"/>
                <w:bCs w:val="1"/>
                <w:color w:val="auto"/>
              </w:rPr>
              <w:t>Non-Vested Stock</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jc w:val="right"/>
              <w:ind w:right="494"/>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Award Units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Grant-Date Fair Value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beginning of year</w:t>
            </w:r>
          </w:p>
        </w:tc>
        <w:tc>
          <w:tcPr>
            <w:tcW w:w="2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563,101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34"/>
              <w:spacing w:after="0"/>
              <w:rPr>
                <w:sz w:val="20"/>
                <w:szCs w:val="20"/>
                <w:color w:val="auto"/>
              </w:rPr>
            </w:pPr>
            <w:r>
              <w:rPr>
                <w:rFonts w:ascii="Arial" w:cs="Arial" w:eastAsia="Arial" w:hAnsi="Arial"/>
                <w:sz w:val="18"/>
                <w:szCs w:val="18"/>
                <w:color w:val="auto"/>
              </w:rPr>
              <w:t>259,917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(160,845)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Canceled</w:t>
            </w:r>
          </w:p>
        </w:tc>
        <w:tc>
          <w:tcPr>
            <w:tcW w:w="2280" w:type="dxa"/>
            <w:vAlign w:val="bottom"/>
          </w:tcPr>
          <w:p>
            <w:pPr>
              <w:jc w:val="right"/>
              <w:spacing w:after="0"/>
              <w:rPr>
                <w:sz w:val="20"/>
                <w:szCs w:val="20"/>
                <w:color w:val="auto"/>
              </w:rPr>
            </w:pPr>
            <w:r>
              <w:rPr>
                <w:rFonts w:ascii="Arial" w:cs="Arial" w:eastAsia="Arial" w:hAnsi="Arial"/>
                <w:sz w:val="18"/>
                <w:szCs w:val="18"/>
                <w:color w:val="auto"/>
              </w:rPr>
              <w:t>(112,396)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end of year</w:t>
            </w:r>
          </w:p>
        </w:tc>
        <w:tc>
          <w:tcPr>
            <w:tcW w:w="2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549,777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Awards expected to vest in future periods</w:t>
            </w: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vMerge w:val="continue"/>
          </w:tcPr>
          <w:p>
            <w:pPr>
              <w:spacing w:after="0"/>
              <w:rPr>
                <w:sz w:val="21"/>
                <w:szCs w:val="21"/>
                <w:color w:val="auto"/>
              </w:rPr>
            </w:pPr>
          </w:p>
        </w:tc>
        <w:tc>
          <w:tcPr>
            <w:tcW w:w="2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482,594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4"/>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The fair value of each restricted stock unit is the market price of our stock on the date of grant. The weighted average grant date fair value of restricted stock units granted during the years ended May 31, 2016, 2015 and 2014 was $15.21, $14.75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49" w:right="239" w:bottom="1440" w:gutter="0" w:footer="0" w:header="0"/>
        </w:sectPr>
      </w:pPr>
    </w:p>
    <w:bookmarkStart w:id="76" w:name="page77"/>
    <w:bookmarkEnd w:id="76"/>
    <w:p>
      <w:pPr>
        <w:ind w:right="60"/>
        <w:spacing w:after="0" w:line="264" w:lineRule="auto"/>
        <w:rPr>
          <w:sz w:val="20"/>
          <w:szCs w:val="20"/>
          <w:color w:val="auto"/>
        </w:rPr>
      </w:pPr>
      <w:r>
        <w:rPr>
          <w:rFonts w:ascii="Arial" w:cs="Arial" w:eastAsia="Arial" w:hAnsi="Arial"/>
          <w:sz w:val="18"/>
          <w:szCs w:val="18"/>
          <w:color w:val="auto"/>
        </w:rPr>
        <w:t>and $13.23, respectively. The total intrinsic value of restricted stock units vesting during the years ended 2016, 2015 and 2014 was $2.5 million, $2.4 million, and $1.8 million, respectively. As of May 31, 2016, there was $5.4 million of total unrecognized compensation cost related to non-vested restricted stock awards. The cost is expected to be recognized over a weighted average period of 2 years.</w:t>
      </w:r>
    </w:p>
    <w:p>
      <w:pPr>
        <w:spacing w:after="0" w:line="46"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We grant performance share awards to certain employees under the 2004 Plan which gives the recipients the right to receive shares of our stock if certain criteria is met. The performance criteria is established by the compensation committee for vesting of the performance share awards and may include factors such as the achievement of relative total shareholder return ("TSR"), certain sales, operating income and earnings per share (“EPS”) goals. Performance share awards are subject to additional conditions, including the recipient’s continued employment with us.</w:t>
      </w:r>
    </w:p>
    <w:p>
      <w:pPr>
        <w:spacing w:after="0" w:line="17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Performance share units are valued using a Monte Carlo simulation model on the date of grant. As of May 31, 2016, 2015 and 2014, the weighted average grant date fair market value for new grants was $18.07, $19.83 and $25.56, respectively. Compensation cost is recognized over the performance period which is typically three years. As of May 31, 2016, 0.4 million performance share units with a weighted average remaining contractual term of 3 years and $4.6 million of unrecognized compensation cost were outstanding. As of May 31, 2015, 0.2 million performance share units with a weighted average remaining contractual term of 3 years and $2.2 million of unrecognized compensation cost were outstanding.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Employee Stock Purchase Plan</w:t>
      </w:r>
    </w:p>
    <w:p>
      <w:pPr>
        <w:spacing w:after="0" w:line="90"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Employee Stock Purchase Plan (the “Stock Purchase Plan”) provides a means by which our employees (the “participants”) are given an opportunity to purchase our common stock through payroll deductions. A total of 2,000,000 shares of our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our stock are not eligible to participate in the Stock Purchase Plan. The purchase price of the shares of common stock acquired on each purchase date will be the lower of (i) 85% of the fair market value of a share of common 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During the year ended May 31, 2015, an additional 800,000 shares of our common stock have been reserved for issuance under the Stock Purchase Plan.</w:t>
      </w:r>
    </w:p>
    <w:p>
      <w:pPr>
        <w:spacing w:after="0" w:line="11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use the Black-Scholes option-pricing model to calculate the purchase date fair value of the shares issued under the Stock Purchase Plan and recognize expense related to shares purchased ratably over the offering period. During the years ended 2016, 2015 and 2014, 137,957, 119,001 and 146,275 shares, respectively, were issued at an average price of $10.67, $11.89 and $9.30, respectively, under the Stock Purchase Plan. As of May 31, 2016, 1.0 million shares remained available for future purchases under the Stock Purchase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Other items</w:t>
      </w:r>
    </w:p>
    <w:p>
      <w:pPr>
        <w:spacing w:after="0" w:line="225"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Share-based compensation expense recognized in the consolidated statement of operations during the years ended 2016, 2015 and 2014 amounted to $3.2 million, $6.0 million and $5.5 million, respectively. The income tax benefit recognized in earnings on the compensation expense recognized for all share-based compensation arrangements amounted to $1.0 million, $2.0 million and $1.8 million, respectively. Income tax expense of $0.8 million, $1.3 million and $0.5 million was recorded in continuing operations for the excess of cumulative book deductions over actual tax deductions for the years ended 2016, 2015 and 2014, respectively. The income tax benefit on all share based compensation expense in 2016 as well as the income tax expense on the excess book deductions over actual tax deductions in 2016 are negated by the full valuation allowance established at May 31, 2016. Additional income tax expense of $0.1 million for 2014 was recorded in shareholder’s equity for the excess book deductions to the extent prior tax deductions exceeded prior book deductions.</w:t>
      </w:r>
    </w:p>
    <w:p>
      <w:pPr>
        <w:spacing w:after="0" w:line="192"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color w:val="auto"/>
        </w:rPr>
        <w:t>As part of his employment agreement, the Company awarded James C. Clemmer, the Company’s President and CEO, 250,000 performance shares, 200,000 options and 50,000 restricted stock units. The award was unanimously approved by the Company's independent compensation committee. The performance shares have a three years term with payouts to be made 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30" w:right="239" w:bottom="1440" w:gutter="0" w:footer="0" w:header="0"/>
        </w:sectPr>
      </w:pPr>
    </w:p>
    <w:bookmarkStart w:id="77" w:name="page78"/>
    <w:bookmarkEnd w:id="77"/>
    <w:p>
      <w:pPr>
        <w:ind w:right="120"/>
        <w:spacing w:after="0" w:line="279" w:lineRule="auto"/>
        <w:rPr>
          <w:sz w:val="20"/>
          <w:szCs w:val="20"/>
          <w:color w:val="auto"/>
        </w:rPr>
      </w:pPr>
      <w:r>
        <w:rPr>
          <w:rFonts w:ascii="Arial" w:cs="Arial" w:eastAsia="Arial" w:hAnsi="Arial"/>
          <w:sz w:val="17"/>
          <w:szCs w:val="17"/>
          <w:color w:val="auto"/>
        </w:rPr>
        <w:t>shares of the Company's common stock at the end of the term ranging between 0 and 200 percent of the grant amount depending on the Company's total shareholder return relative to a peer group of companies. The options will vest in four equal installments beginning on the first anniversary of the grant date, have a strike price equal to the closing price of the company's common stock as of April 4, 2016 and expire, if not exercised, on April 4, 2023. The restricted stock units will vest in four equal installments beginning on the first anniversary of the grant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N—EARNINGS PER SHARE</w:t>
      </w:r>
    </w:p>
    <w:p>
      <w:pPr>
        <w:spacing w:after="0" w:line="256" w:lineRule="exact"/>
        <w:rPr>
          <w:sz w:val="20"/>
          <w:szCs w:val="20"/>
          <w:color w:val="auto"/>
        </w:rPr>
      </w:pPr>
    </w:p>
    <w:p>
      <w:pPr>
        <w:ind w:right="220" w:firstLine="243"/>
        <w:spacing w:after="0" w:line="259" w:lineRule="auto"/>
        <w:rPr>
          <w:sz w:val="20"/>
          <w:szCs w:val="20"/>
          <w:color w:val="auto"/>
        </w:rPr>
      </w:pPr>
      <w:r>
        <w:rPr>
          <w:rFonts w:ascii="Arial" w:cs="Arial" w:eastAsia="Arial" w:hAnsi="Arial"/>
          <w:sz w:val="18"/>
          <w:szCs w:val="18"/>
          <w:color w:val="auto"/>
        </w:rPr>
        <w:t>Basic earnings per share are based on the weighted average number of common shares outstanding without consideration of potential common stock.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reconciles basic to diluted weighted average shares outstanding for the years ended May 31, 2016, 2015 and 2014:</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2014</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36,161,383</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35,683,139</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35,135,689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304,161</w:t>
            </w:r>
          </w:p>
        </w:tc>
      </w:tr>
      <w:tr>
        <w:trPr>
          <w:trHeight w:val="27"/>
        </w:trPr>
        <w:tc>
          <w:tcPr>
            <w:tcW w:w="49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36,161,383</w:t>
            </w:r>
          </w:p>
        </w:tc>
        <w:tc>
          <w:tcPr>
            <w:tcW w:w="2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35,683,139</w:t>
            </w:r>
          </w:p>
        </w:tc>
        <w:tc>
          <w:tcPr>
            <w:tcW w:w="2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35,439,850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92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3,277,037</w:t>
            </w:r>
          </w:p>
        </w:tc>
        <w:tc>
          <w:tcPr>
            <w:tcW w:w="2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2,862,414</w:t>
            </w:r>
          </w:p>
        </w:tc>
        <w:tc>
          <w:tcPr>
            <w:tcW w:w="2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2,347,426</w:t>
            </w:r>
          </w:p>
        </w:tc>
      </w:tr>
      <w:tr>
        <w:trPr>
          <w:trHeight w:val="20"/>
        </w:trPr>
        <w:tc>
          <w:tcPr>
            <w:tcW w:w="49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are committed under non-cancelable operating leases for facilities and equipment. During fiscal 2016, 2015 and 2014, aggregate rental costs under all operating leases were approximately $2.5 million, $3.4 million and $2.0 million, respectively. Future annual payments under non-cancelable operating leases in the aggregate, of which one includes an escalation clause, with initial remaining terms of more than one year at May 31, 2016, are summarized as follows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40" w:type="dxa"/>
            <w:vAlign w:val="bottom"/>
            <w:shd w:val="clear" w:color="auto" w:fill="CCEEFF"/>
          </w:tcPr>
          <w:p>
            <w:pPr>
              <w:jc w:val="right"/>
              <w:ind w:right="8750"/>
              <w:spacing w:after="0"/>
              <w:rPr>
                <w:sz w:val="20"/>
                <w:szCs w:val="20"/>
                <w:color w:val="auto"/>
              </w:rPr>
            </w:pPr>
            <w:r>
              <w:rPr>
                <w:rFonts w:ascii="Arial" w:cs="Arial" w:eastAsia="Arial" w:hAnsi="Arial"/>
                <w:sz w:val="18"/>
                <w:szCs w:val="18"/>
                <w:color w:val="auto"/>
                <w:w w:val="94"/>
              </w:rPr>
              <w:t>2017</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2,183</w:t>
            </w:r>
          </w:p>
        </w:tc>
      </w:tr>
      <w:tr>
        <w:trPr>
          <w:trHeight w:val="243"/>
        </w:trPr>
        <w:tc>
          <w:tcPr>
            <w:tcW w:w="9240" w:type="dxa"/>
            <w:vAlign w:val="bottom"/>
          </w:tcPr>
          <w:p>
            <w:pPr>
              <w:jc w:val="right"/>
              <w:ind w:right="8750"/>
              <w:spacing w:after="0"/>
              <w:rPr>
                <w:sz w:val="20"/>
                <w:szCs w:val="20"/>
                <w:color w:val="auto"/>
              </w:rPr>
            </w:pPr>
            <w:r>
              <w:rPr>
                <w:rFonts w:ascii="Arial" w:cs="Arial" w:eastAsia="Arial" w:hAnsi="Arial"/>
                <w:sz w:val="18"/>
                <w:szCs w:val="18"/>
                <w:color w:val="auto"/>
                <w:w w:val="94"/>
              </w:rPr>
              <w:t>2018</w:t>
            </w:r>
          </w:p>
        </w:tc>
        <w:tc>
          <w:tcPr>
            <w:tcW w:w="8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2,013</w:t>
            </w:r>
          </w:p>
        </w:tc>
      </w:tr>
      <w:tr>
        <w:trPr>
          <w:trHeight w:val="27"/>
        </w:trPr>
        <w:tc>
          <w:tcPr>
            <w:tcW w:w="9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jc w:val="right"/>
              <w:ind w:right="8750"/>
              <w:spacing w:after="0"/>
              <w:rPr>
                <w:sz w:val="20"/>
                <w:szCs w:val="20"/>
                <w:color w:val="auto"/>
              </w:rPr>
            </w:pPr>
            <w:r>
              <w:rPr>
                <w:rFonts w:ascii="Arial" w:cs="Arial" w:eastAsia="Arial" w:hAnsi="Arial"/>
                <w:sz w:val="18"/>
                <w:szCs w:val="18"/>
                <w:color w:val="auto"/>
                <w:w w:val="94"/>
              </w:rPr>
              <w:t>2019</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1,981</w:t>
            </w:r>
          </w:p>
        </w:tc>
      </w:tr>
      <w:tr>
        <w:trPr>
          <w:trHeight w:val="243"/>
        </w:trPr>
        <w:tc>
          <w:tcPr>
            <w:tcW w:w="9240" w:type="dxa"/>
            <w:vAlign w:val="bottom"/>
          </w:tcPr>
          <w:p>
            <w:pPr>
              <w:jc w:val="right"/>
              <w:ind w:right="8750"/>
              <w:spacing w:after="0"/>
              <w:rPr>
                <w:sz w:val="20"/>
                <w:szCs w:val="20"/>
                <w:color w:val="auto"/>
              </w:rPr>
            </w:pPr>
            <w:r>
              <w:rPr>
                <w:rFonts w:ascii="Arial" w:cs="Arial" w:eastAsia="Arial" w:hAnsi="Arial"/>
                <w:sz w:val="18"/>
                <w:szCs w:val="18"/>
                <w:color w:val="auto"/>
                <w:w w:val="94"/>
              </w:rPr>
              <w:t>2020</w:t>
            </w:r>
          </w:p>
        </w:tc>
        <w:tc>
          <w:tcPr>
            <w:tcW w:w="8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1,772</w:t>
            </w:r>
          </w:p>
        </w:tc>
      </w:tr>
      <w:tr>
        <w:trPr>
          <w:trHeight w:val="27"/>
        </w:trPr>
        <w:tc>
          <w:tcPr>
            <w:tcW w:w="9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jc w:val="right"/>
              <w:ind w:right="8750"/>
              <w:spacing w:after="0"/>
              <w:rPr>
                <w:sz w:val="20"/>
                <w:szCs w:val="20"/>
                <w:color w:val="auto"/>
              </w:rPr>
            </w:pPr>
            <w:r>
              <w:rPr>
                <w:rFonts w:ascii="Arial" w:cs="Arial" w:eastAsia="Arial" w:hAnsi="Arial"/>
                <w:sz w:val="18"/>
                <w:szCs w:val="18"/>
                <w:color w:val="auto"/>
                <w:w w:val="94"/>
              </w:rPr>
              <w:t>2021</w:t>
            </w:r>
          </w:p>
        </w:tc>
        <w:tc>
          <w:tcPr>
            <w:tcW w:w="8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r>
      <w:tr>
        <w:trPr>
          <w:trHeight w:val="237"/>
        </w:trPr>
        <w:tc>
          <w:tcPr>
            <w:tcW w:w="9240" w:type="dxa"/>
            <w:vAlign w:val="bottom"/>
          </w:tcPr>
          <w:p>
            <w:pPr>
              <w:spacing w:after="0"/>
              <w:rPr>
                <w:sz w:val="20"/>
                <w:szCs w:val="20"/>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8,884</w:t>
            </w:r>
          </w:p>
        </w:tc>
      </w:tr>
      <w:tr>
        <w:trPr>
          <w:trHeight w:val="27"/>
        </w:trPr>
        <w:tc>
          <w:tcPr>
            <w:tcW w:w="9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9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225" w:lineRule="exact"/>
        <w:rPr>
          <w:sz w:val="20"/>
          <w:szCs w:val="20"/>
          <w:color w:val="auto"/>
        </w:rPr>
      </w:pPr>
    </w:p>
    <w:p>
      <w:pPr>
        <w:ind w:right="40" w:firstLine="864"/>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8" w:right="239" w:bottom="1440" w:gutter="0" w:footer="0" w:header="0"/>
        </w:sectPr>
      </w:pPr>
    </w:p>
    <w:bookmarkStart w:id="78" w:name="page79"/>
    <w:bookmarkEnd w:id="78"/>
    <w:p>
      <w:pPr>
        <w:ind w:firstLine="864"/>
        <w:spacing w:after="0" w:line="286" w:lineRule="auto"/>
        <w:rPr>
          <w:sz w:val="20"/>
          <w:szCs w:val="20"/>
          <w:color w:val="auto"/>
        </w:rPr>
      </w:pPr>
      <w:r>
        <w:rPr>
          <w:rFonts w:ascii="Arial" w:cs="Arial" w:eastAsia="Arial" w:hAnsi="Arial"/>
          <w:sz w:val="16"/>
          <w:szCs w:val="16"/>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have also filed an appeal with the U.S. Court of Appeals for the First Circuit regarding civil contempt sanctions imposed by the Massachusetts District Court as a result of defendants’ completion of the downstream merger in violation of the Court’s injunction. On May 6, 2016, the First Circuit issued an opinion rejecting this latest appeal. On February 18, 2016, the Massachusetts District Court issued an order compelling the Massachusetts defendants to provide post-judgment discovery intended to aid us in potentially collecting our judgment. On March 21, 2016, the Massachusetts defendants noticed an appeal from this order. On June 27, 2016, we filed a motion asking the Massachusetts District Court to impose sanctions on the Massachusetts defendants for their failure to comply with the post-judgment discovery order.</w:t>
      </w:r>
    </w:p>
    <w:p>
      <w:pPr>
        <w:spacing w:after="0" w:line="61" w:lineRule="exact"/>
        <w:rPr>
          <w:sz w:val="20"/>
          <w:szCs w:val="20"/>
          <w:color w:val="auto"/>
        </w:rPr>
      </w:pPr>
    </w:p>
    <w:p>
      <w:pPr>
        <w:ind w:firstLine="878"/>
        <w:spacing w:after="0" w:line="293"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 On January 21, 2016, the four Chapter 7 cases were transferred at our request to the U.S. Bankruptcy Court for the District of New Jersey.</w:t>
      </w:r>
    </w:p>
    <w:p>
      <w:pPr>
        <w:spacing w:after="0" w:line="57" w:lineRule="exact"/>
        <w:rPr>
          <w:sz w:val="20"/>
          <w:szCs w:val="20"/>
          <w:color w:val="auto"/>
        </w:rPr>
      </w:pPr>
    </w:p>
    <w:p>
      <w:pPr>
        <w:ind w:right="40" w:firstLine="878"/>
        <w:spacing w:after="0" w:line="276"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right="20" w:firstLine="864"/>
        <w:spacing w:after="0" w:line="286"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3 patents asserted by Bard in the litigation. Our petitions were granted and 40 of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has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Bard has since filed Requests for Rehearing in all three reexamination appeals and the Company filed Requests for Rehearing in two of the reexamination appeals (the ‘302 and ‘615 patent reexaminations). Each party has filed comments in Opposition to the other party’s Rehearing Requests, and we are awaiting the PTO determinations in all three reexaminations. The Utah Action has been stayed pending final resolution of the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584" w:right="27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t>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0" w:lineRule="exact"/>
        <w:rPr>
          <w:sz w:val="20"/>
          <w:szCs w:val="20"/>
          <w:color w:val="auto"/>
        </w:rPr>
      </w:pPr>
    </w:p>
    <w:p>
      <w:pPr>
        <w:ind w:right="20" w:firstLine="864"/>
        <w:spacing w:after="0" w:line="268" w:lineRule="auto"/>
        <w:rPr>
          <w:sz w:val="20"/>
          <w:szCs w:val="20"/>
          <w:color w:val="auto"/>
        </w:rPr>
      </w:pPr>
      <w:r>
        <w:rPr>
          <w:rFonts w:ascii="Arial" w:cs="Arial" w:eastAsia="Arial" w:hAnsi="Arial"/>
          <w:sz w:val="17"/>
          <w:szCs w:val="17"/>
          <w:color w:val="auto"/>
        </w:rPr>
        <w:t>On March 10, 2015, C.R. Bard, Inc. and Bard Peripheral Vascular, Inc. (“Bard”)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we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since served various discovery requests on each other; on May 27, 2016 Bard served its Infringement Contentions which identified all the port products accused of infringement; and, on June 24, 2016, we served Invalidity Contentions which detail various grounds for invalidating the three asserted patents.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Purchase Obligations</w:t>
      </w:r>
    </w:p>
    <w:p>
      <w:pPr>
        <w:spacing w:after="0" w:line="9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We have entered into commitments for future minimum inventory purchases related to several core products. Total future non-cancelable purchase obligations through fiscal 2021 amount to $8.9 million. There are no such obligations thereafter.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P—SEGMENTS AND GEOGRAPHIC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consider our business to be a single segment entity related to the development, manufacture and sale on a global basis of medical devices for vascular access, surgery, peripheral vascular disease and oncology. Our chief operating decision maker (CEO) evaluates the various global product portfolios on a net sales basis. Executives reporting in to the CEO include those responsible for operations and supply chain management, research and development, sales, franchise marketing and certain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8" w:right="239" w:bottom="1440" w:gutter="0" w:footer="0" w:header="0"/>
        </w:sectPr>
      </w:pPr>
    </w:p>
    <w:bookmarkStart w:id="80" w:name="page81"/>
    <w:bookmarkEnd w:id="80"/>
    <w:p>
      <w:pPr>
        <w:ind w:right="280"/>
        <w:spacing w:after="0" w:line="277" w:lineRule="auto"/>
        <w:rPr>
          <w:sz w:val="20"/>
          <w:szCs w:val="20"/>
          <w:color w:val="auto"/>
        </w:rPr>
      </w:pPr>
      <w:r>
        <w:rPr>
          <w:rFonts w:ascii="Arial" w:cs="Arial" w:eastAsia="Arial" w:hAnsi="Arial"/>
          <w:sz w:val="18"/>
          <w:szCs w:val="18"/>
          <w:color w:val="auto"/>
        </w:rPr>
        <w:t>corporate functions. The CEO evaluates profitability, investment and cash flow metrics on a consolidated worldwide basis due to shared infrastructure and resources.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sales by product category are summarized below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May 31,</w:t>
            </w:r>
          </w:p>
        </w:tc>
        <w:tc>
          <w:tcPr>
            <w:tcW w:w="340" w:type="dxa"/>
            <w:vAlign w:val="bottom"/>
          </w:tcPr>
          <w:p>
            <w:pPr>
              <w:spacing w:after="0"/>
              <w:rPr>
                <w:sz w:val="13"/>
                <w:szCs w:val="13"/>
                <w:color w:val="auto"/>
              </w:rPr>
            </w:pPr>
          </w:p>
        </w:tc>
        <w:tc>
          <w:tcPr>
            <w:tcW w:w="16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8"/>
              </w:rPr>
              <w:t>May 31,</w:t>
            </w:r>
          </w:p>
        </w:tc>
        <w:tc>
          <w:tcPr>
            <w:tcW w:w="380" w:type="dxa"/>
            <w:vAlign w:val="bottom"/>
          </w:tcPr>
          <w:p>
            <w:pPr>
              <w:spacing w:after="0"/>
              <w:rPr>
                <w:sz w:val="13"/>
                <w:szCs w:val="13"/>
                <w:color w:val="auto"/>
              </w:rPr>
            </w:pPr>
          </w:p>
        </w:tc>
        <w:tc>
          <w:tcPr>
            <w:tcW w:w="1440" w:type="dxa"/>
            <w:vAlign w:val="bottom"/>
          </w:tcPr>
          <w:p>
            <w:pPr>
              <w:jc w:val="center"/>
              <w:ind w:right="296"/>
              <w:spacing w:after="0" w:line="153" w:lineRule="exact"/>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Peripheral Vascular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202,780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192,713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192,626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107,754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106,394</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40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48,895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51,890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49,360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Supply Agreement</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37"/>
        </w:trPr>
        <w:tc>
          <w:tcPr>
            <w:tcW w:w="5720" w:type="dxa"/>
            <w:vAlign w:val="bottom"/>
          </w:tcPr>
          <w:p>
            <w:pPr>
              <w:jc w:val="center"/>
              <w:ind w:right="3830"/>
              <w:spacing w:after="0"/>
              <w:rPr>
                <w:sz w:val="20"/>
                <w:szCs w:val="20"/>
                <w:color w:val="auto"/>
              </w:rPr>
            </w:pPr>
            <w:r>
              <w:rPr>
                <w:rFonts w:ascii="Arial" w:cs="Arial" w:eastAsia="Arial" w:hAnsi="Arial"/>
                <w:sz w:val="18"/>
                <w:szCs w:val="18"/>
                <w:color w:val="auto"/>
                <w:w w:val="89"/>
              </w:rPr>
              <w:t>Total</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353,890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356,534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354,425</w:t>
            </w:r>
          </w:p>
        </w:tc>
        <w:tc>
          <w:tcPr>
            <w:tcW w:w="0" w:type="dxa"/>
            <w:vAlign w:val="bottom"/>
          </w:tcPr>
          <w:p>
            <w:pPr>
              <w:spacing w:after="0"/>
              <w:rPr>
                <w:sz w:val="1"/>
                <w:szCs w:val="1"/>
                <w:color w:val="auto"/>
              </w:rPr>
            </w:pPr>
          </w:p>
        </w:tc>
      </w:tr>
      <w:tr>
        <w:trPr>
          <w:trHeight w:val="27"/>
        </w:trPr>
        <w:tc>
          <w:tcPr>
            <w:tcW w:w="5720" w:type="dxa"/>
            <w:vAlign w:val="bottom"/>
            <w:vMerge w:val="restart"/>
          </w:tcPr>
          <w:p>
            <w:pPr>
              <w:jc w:val="center"/>
              <w:ind w:right="3810"/>
              <w:spacing w:after="0"/>
              <w:rPr>
                <w:sz w:val="20"/>
                <w:szCs w:val="20"/>
                <w:color w:val="auto"/>
              </w:rPr>
            </w:pPr>
            <w:r>
              <w:rPr>
                <w:rFonts w:ascii="Arial" w:cs="Arial" w:eastAsia="Arial" w:hAnsi="Arial"/>
                <w:sz w:val="18"/>
                <w:szCs w:val="18"/>
                <w:b w:val="1"/>
                <w:bCs w:val="1"/>
                <w:i w:val="1"/>
                <w:iCs w:val="1"/>
                <w:color w:val="auto"/>
                <w:w w:val="89"/>
              </w:rPr>
              <w:t>Geographic information</w:t>
            </w: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20" w:type="dxa"/>
            <w:vAlign w:val="bottom"/>
          </w:tcPr>
          <w:p>
            <w:pPr>
              <w:ind w:left="440"/>
              <w:spacing w:after="0"/>
              <w:rPr>
                <w:sz w:val="20"/>
                <w:szCs w:val="20"/>
                <w:color w:val="auto"/>
              </w:rPr>
            </w:pPr>
            <w:r>
              <w:rPr>
                <w:rFonts w:ascii="Arial" w:cs="Arial" w:eastAsia="Arial" w:hAnsi="Arial"/>
                <w:sz w:val="18"/>
                <w:szCs w:val="18"/>
                <w:color w:val="auto"/>
                <w:w w:val="92"/>
              </w:rPr>
              <w:t>Total sales for geographic areas are summarized below (in thousands):</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57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4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May 31,</w:t>
            </w:r>
          </w:p>
        </w:tc>
        <w:tc>
          <w:tcPr>
            <w:tcW w:w="340" w:type="dxa"/>
            <w:vAlign w:val="bottom"/>
          </w:tcPr>
          <w:p>
            <w:pPr>
              <w:spacing w:after="0"/>
              <w:rPr>
                <w:sz w:val="13"/>
                <w:szCs w:val="13"/>
                <w:color w:val="auto"/>
              </w:rPr>
            </w:pPr>
          </w:p>
        </w:tc>
        <w:tc>
          <w:tcPr>
            <w:tcW w:w="16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8"/>
              </w:rPr>
              <w:t>May 31,</w:t>
            </w:r>
          </w:p>
        </w:tc>
        <w:tc>
          <w:tcPr>
            <w:tcW w:w="380" w:type="dxa"/>
            <w:vAlign w:val="bottom"/>
          </w:tcPr>
          <w:p>
            <w:pPr>
              <w:spacing w:after="0"/>
              <w:rPr>
                <w:sz w:val="13"/>
                <w:szCs w:val="13"/>
                <w:color w:val="auto"/>
              </w:rPr>
            </w:pPr>
          </w:p>
        </w:tc>
        <w:tc>
          <w:tcPr>
            <w:tcW w:w="1440" w:type="dxa"/>
            <w:vAlign w:val="bottom"/>
          </w:tcPr>
          <w:p>
            <w:pPr>
              <w:jc w:val="center"/>
              <w:ind w:right="296"/>
              <w:spacing w:after="0" w:line="153" w:lineRule="exact"/>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jc w:val="center"/>
              <w:ind w:right="3830"/>
              <w:spacing w:after="0"/>
              <w:rPr>
                <w:sz w:val="20"/>
                <w:szCs w:val="20"/>
                <w:color w:val="auto"/>
              </w:rPr>
            </w:pPr>
            <w:r>
              <w:rPr>
                <w:rFonts w:ascii="Arial" w:cs="Arial" w:eastAsia="Arial" w:hAnsi="Arial"/>
                <w:sz w:val="18"/>
                <w:szCs w:val="18"/>
                <w:color w:val="auto"/>
                <w:w w:val="89"/>
              </w:rPr>
              <w:t>Net sales by Geography</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283,519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280,611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280,161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71,746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68,219</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Supply Agreement</w:t>
            </w:r>
          </w:p>
        </w:tc>
        <w:tc>
          <w:tcPr>
            <w:tcW w:w="40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4,177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jc w:val="center"/>
              <w:ind w:right="3830"/>
              <w:spacing w:after="0"/>
              <w:rPr>
                <w:sz w:val="20"/>
                <w:szCs w:val="20"/>
                <w:color w:val="auto"/>
              </w:rPr>
            </w:pPr>
            <w:r>
              <w:rPr>
                <w:rFonts w:ascii="Arial" w:cs="Arial" w:eastAsia="Arial" w:hAnsi="Arial"/>
                <w:sz w:val="18"/>
                <w:szCs w:val="18"/>
                <w:color w:val="auto"/>
                <w:w w:val="89"/>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353,890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356,534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354,425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 fiscal years 2016, 2015 and 2014, International sales as a percentage of total net sales were 19%, 20% and 19%, respectively. Sales to any one country outside the U.S., as determined by shipment destination, did not comprise a material portion of our net sales in any of the last three fiscal years. 99% of our total assets are located within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Q—RESTRUCTURING</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December 5, 2013, we announced a company-wide operational excellence program designed to save between $15 and $18 million during the course of the next three years. The initiative is expected to create greater efficiencies and drive business performance improvements by focusing on several key elements, including product rationalization, lean manufacturing initiatives, supply chain optimization and enterprise resource planning (ERP) implementation. The plan also incorporates the consolidation of our New York plants to establish a single manufacturing center in Glens Falls and a distribution center in Queensbury. During the course of the three years program, we reduced our New York employee base by approximately 80-100 positions as a result of this plant consolidation and reorganization. We have invested $5.4 million in facility improvements to date. In addition, total restructuring charges are estimated to be $4.9 million. During the year ended May 31, 2016, the cost incurred was $1.5 million, consisting of $1.0 million of accelerated depreciation and $0.5 million of other related costs. During the year ended May 31, 2015, the cost incurred was $2.0 million, consisting of $0.5 million of severance and related costs and $1.5 million of accelerated depreciation. These costs are included in “Acquisition, restructuring and other items, net” in the statements of income.</w:t>
      </w:r>
    </w:p>
    <w:p>
      <w:pPr>
        <w:spacing w:after="0" w:line="19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year ended May 31, 2015, we initiated a restructuring of finance, R&amp;D and S&amp;M organizations to improve our profitability. As part of the restructuring, we recorded $1.9 million and $0.8 million, for the years ended May 31, 2016 and 2015, respectively, in severance expense which is included in "Acquisition, restructuring and other items, net" in the statement of operations. In addition, we recorded a gain of $0.7 million related to the modification of the stock based compensation for the former CEO.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49"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R—IMMATERIAL ERROR CORRECTIONS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financial closing process for the fourth quarter of fiscal year 2016, the Company determined that certain consolidated financial statement amounts were not accounted for correctly in prior periods. The Company has evaluated these errors together with errors identified in prior periods and concluded that they were not material individually or in the aggregate to any of its previously issued annual and interim financial statements. However, the financial statements included herein have been revised to correct for the impact of these items.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has corrected the relevant financial information from previous reporting periods contained in these financial statements. The immaterial error corrections identified were primarily related to a misclassification of credit card fees from Other Expense to Sales and Marketing (refer to the tables below for the impact in each period), intercompany foreign exchange losses (cumulative impact of approximately $0.7 million), research and development expenses (cumulative impact of approximately $0.4 million), lease expense (cumulative impact of approximately $0.3 million) and other individually immaterial items. The impacts of these revisions are shown in the tables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214630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2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Year ended May 31, 2015</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w w:val="93"/>
              </w:rPr>
              <w:t>As previously reported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30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356,974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356,534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180,085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180,738</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176,889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175,796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26,594</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83,220</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29,871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29,162</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(8,096)</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177,883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179,245</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(1,489)</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(4,682)</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Income (loss) before taxes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(8,131)</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(3,388)</w:t>
            </w:r>
          </w:p>
        </w:tc>
      </w:tr>
      <w:tr>
        <w:trPr>
          <w:trHeight w:val="378"/>
        </w:trPr>
        <w:tc>
          <w:tcPr>
            <w:tcW w:w="4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2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Year ended May 31, 2015</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w w:val="93"/>
              </w:rPr>
              <w:t>As previously reported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30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r>
      <w:tr>
        <w:trPr>
          <w:trHeight w:val="459"/>
        </w:trPr>
        <w:tc>
          <w:tcPr>
            <w:tcW w:w="456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2" w:name="page83"/>
    <w:bookmarkEnd w:id="82"/>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long term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investing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br w:type="column"/>
      </w:r>
    </w:p>
    <w:p>
      <w:pPr>
        <w:ind w:left="1980"/>
        <w:spacing w:after="0"/>
        <w:rPr>
          <w:sz w:val="20"/>
          <w:szCs w:val="20"/>
          <w:color w:val="auto"/>
        </w:rPr>
      </w:pPr>
      <w:r>
        <w:rPr>
          <w:rFonts w:ascii="Arial" w:cs="Arial" w:eastAsia="Arial" w:hAnsi="Arial"/>
          <w:sz w:val="18"/>
          <w:szCs w:val="18"/>
          <w:color w:val="auto"/>
        </w:rPr>
        <w:t>As of May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-147320</wp:posOffset>
            </wp:positionV>
            <wp:extent cx="3404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ind w:left="40"/>
              <w:spacing w:after="0"/>
              <w:rPr>
                <w:sz w:val="20"/>
                <w:szCs w:val="20"/>
                <w:color w:val="auto"/>
              </w:rPr>
            </w:pPr>
            <w:r>
              <w:rPr>
                <w:rFonts w:ascii="Arial" w:cs="Arial" w:eastAsia="Arial" w:hAnsi="Arial"/>
                <w:sz w:val="18"/>
                <w:szCs w:val="18"/>
                <w:color w:val="auto"/>
                <w:w w:val="93"/>
              </w:rPr>
              <w:t>As previously reported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30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As revised</w:t>
            </w:r>
          </w:p>
        </w:tc>
      </w:tr>
      <w:tr>
        <w:trPr>
          <w:trHeight w:val="27"/>
        </w:trPr>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4,783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4,132</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151,449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150,798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54,560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54,450</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5,398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181,806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181,652</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19,268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19,508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773,623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773,058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23,668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23,048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18,331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18,109</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61,157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60,515</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228,601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227,959</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28,233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27,575</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545,022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545,099</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773,623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773,058</w:t>
            </w:r>
          </w:p>
        </w:tc>
      </w:tr>
      <w:tr>
        <w:trPr>
          <w:trHeight w:val="594"/>
        </w:trPr>
        <w:tc>
          <w:tcPr>
            <w:tcW w:w="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2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Year ended May 31, 2015</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w w:val="93"/>
              </w:rPr>
              <w:t>As previously reported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30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As revised</w:t>
            </w:r>
          </w:p>
        </w:tc>
      </w:tr>
      <w:tr>
        <w:trPr>
          <w:trHeight w:val="27"/>
        </w:trPr>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26,242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25,685</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(12,736)</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-3978275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-3627120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-3283585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-2940685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-2597785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-2254885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-1911985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-1568450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-505460</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-153670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360"/>
          </w:cols>
          <w:pgMar w:left="280" w:top="5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80"/>
          </w:cols>
          <w:pgMar w:left="280" w:top="544"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20" w:type="dxa"/>
            <w:vAlign w:val="bottom"/>
            <w:gridSpan w:val="4"/>
          </w:tcPr>
          <w:p>
            <w:pPr>
              <w:jc w:val="center"/>
              <w:spacing w:after="0"/>
              <w:rPr>
                <w:sz w:val="20"/>
                <w:szCs w:val="20"/>
                <w:color w:val="auto"/>
              </w:rPr>
            </w:pPr>
            <w:r>
              <w:rPr>
                <w:rFonts w:ascii="Arial" w:cs="Arial" w:eastAsia="Arial" w:hAnsi="Arial"/>
                <w:sz w:val="18"/>
                <w:szCs w:val="18"/>
                <w:color w:val="auto"/>
                <w:w w:val="89"/>
              </w:rPr>
              <w:t>Year ended May 31, 2014</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As previously reported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32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76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174,757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174,251</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179,668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180,174</w:t>
            </w: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85,305</w:t>
            </w: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26,902</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16,562</w:t>
            </w: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10,873</w:t>
            </w: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169,687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12,940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10,487</w:t>
            </w: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(5,301)</w:t>
            </w: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2,839</w:t>
            </w: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w:t>
            </w:r>
          </w:p>
        </w:tc>
      </w:tr>
      <w:tr>
        <w:trPr>
          <w:trHeight w:val="351"/>
        </w:trPr>
        <w:tc>
          <w:tcPr>
            <w:tcW w:w="4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7"/>
        </w:trPr>
        <w:tc>
          <w:tcPr>
            <w:tcW w:w="4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20" w:type="dxa"/>
            <w:vAlign w:val="bottom"/>
            <w:gridSpan w:val="4"/>
          </w:tcPr>
          <w:p>
            <w:pPr>
              <w:jc w:val="center"/>
              <w:spacing w:after="0"/>
              <w:rPr>
                <w:sz w:val="20"/>
                <w:szCs w:val="20"/>
                <w:color w:val="auto"/>
              </w:rPr>
            </w:pPr>
            <w:r>
              <w:rPr>
                <w:rFonts w:ascii="Arial" w:cs="Arial" w:eastAsia="Arial" w:hAnsi="Arial"/>
                <w:sz w:val="18"/>
                <w:szCs w:val="18"/>
                <w:color w:val="auto"/>
                <w:w w:val="89"/>
              </w:rPr>
              <w:t>Year ended May 31, 2014</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As previously reported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32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76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412</w:t>
            </w:r>
          </w:p>
        </w:tc>
      </w:tr>
      <w:tr>
        <w:trPr>
          <w:trHeight w:val="27"/>
        </w:trPr>
        <w:tc>
          <w:tcPr>
            <w:tcW w:w="4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r>
      <w:tr>
        <w:trPr>
          <w:trHeight w:val="675"/>
        </w:trPr>
        <w:tc>
          <w:tcPr>
            <w:tcW w:w="4560" w:type="dxa"/>
            <w:vAlign w:val="bottom"/>
          </w:tcPr>
          <w:p>
            <w:pPr>
              <w:spacing w:after="0"/>
              <w:rPr>
                <w:sz w:val="24"/>
                <w:szCs w:val="24"/>
                <w:color w:val="auto"/>
              </w:rPr>
            </w:pPr>
          </w:p>
        </w:tc>
        <w:tc>
          <w:tcPr>
            <w:tcW w:w="1760" w:type="dxa"/>
            <w:vAlign w:val="bottom"/>
            <w:gridSpan w:val="2"/>
          </w:tcPr>
          <w:p>
            <w:pPr>
              <w:jc w:val="right"/>
              <w:ind w:right="430"/>
              <w:spacing w:after="0"/>
              <w:rPr>
                <w:sz w:val="20"/>
                <w:szCs w:val="20"/>
                <w:color w:val="auto"/>
              </w:rPr>
            </w:pPr>
            <w:r>
              <w:rPr>
                <w:rFonts w:ascii="Arial" w:cs="Arial" w:eastAsia="Arial" w:hAnsi="Arial"/>
                <w:sz w:val="18"/>
                <w:szCs w:val="18"/>
                <w:color w:val="auto"/>
              </w:rPr>
              <w:t>82</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544" w:right="299" w:bottom="1440" w:gutter="0" w:footer="0" w:header="0"/>
        </w:sectPr>
      </w:pPr>
      <w:r>
        <w:rPr>
          <w:sz w:val="20"/>
          <w:szCs w:val="20"/>
          <w:color w:val="auto"/>
        </w:rPr>
        <w:drawing>
          <wp:anchor simplePos="0" relativeHeight="251657728" behindDoc="1" locked="0" layoutInCell="0" allowOverlap="1">
            <wp:simplePos x="0" y="0"/>
            <wp:positionH relativeFrom="page">
              <wp:posOffset>3768090</wp:posOffset>
            </wp:positionH>
            <wp:positionV relativeFrom="page">
              <wp:posOffset>328930</wp:posOffset>
            </wp:positionV>
            <wp:extent cx="36017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bookmarkStart w:id="84" w:name="page85"/>
    <w:bookmarkEnd w:id="84"/>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long term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Current portion of contingent consideration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Long Term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w:t>
      </w:r>
    </w:p>
    <w:p>
      <w:pPr>
        <w:spacing w:after="0" w:line="63" w:lineRule="exact"/>
        <w:rPr>
          <w:sz w:val="20"/>
          <w:szCs w:val="20"/>
          <w:color w:val="auto"/>
        </w:rPr>
      </w:pPr>
    </w:p>
    <w:p>
      <w:pPr>
        <w:ind w:right="2120"/>
        <w:spacing w:after="0" w:line="313" w:lineRule="auto"/>
        <w:rPr>
          <w:sz w:val="20"/>
          <w:szCs w:val="20"/>
          <w:color w:val="auto"/>
        </w:rPr>
      </w:pPr>
      <w:r>
        <w:rPr>
          <w:rFonts w:ascii="Arial" w:cs="Arial" w:eastAsia="Arial" w:hAnsi="Arial"/>
          <w:sz w:val="18"/>
          <w:szCs w:val="18"/>
          <w:color w:val="auto"/>
        </w:rPr>
        <w:t>Accumulated other comprehensive loss Total Stockholders' Equity</w:t>
      </w:r>
    </w:p>
    <w:p>
      <w:pPr>
        <w:spacing w:after="0"/>
        <w:rPr>
          <w:sz w:val="20"/>
          <w:szCs w:val="20"/>
          <w:color w:val="auto"/>
        </w:rPr>
      </w:pPr>
      <w:r>
        <w:rPr>
          <w:rFonts w:ascii="Arial" w:cs="Arial" w:eastAsia="Arial" w:hAnsi="Arial"/>
          <w:sz w:val="18"/>
          <w:szCs w:val="18"/>
          <w:color w:val="auto"/>
        </w:rPr>
        <w:t>Total 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investing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ind w:left="2120"/>
        <w:spacing w:after="0"/>
        <w:rPr>
          <w:sz w:val="20"/>
          <w:szCs w:val="20"/>
          <w:color w:val="auto"/>
        </w:rPr>
      </w:pPr>
      <w:r>
        <w:rPr>
          <w:rFonts w:ascii="Arial" w:cs="Arial" w:eastAsia="Arial" w:hAnsi="Arial"/>
          <w:sz w:val="18"/>
          <w:szCs w:val="18"/>
          <w:color w:val="auto"/>
        </w:rPr>
        <w:t>As of May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36017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-147320</wp:posOffset>
            </wp:positionV>
            <wp:extent cx="36017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As previously reported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32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As revised</w:t>
            </w:r>
          </w:p>
        </w:tc>
      </w:tr>
      <w:tr>
        <w:trPr>
          <w:trHeight w:val="27"/>
        </w:trPr>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61,234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61,740</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4,880</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147,097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147,012</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66,590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66,455</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3,806</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205,256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205,053</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15,028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15,256</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798,891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798,576</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16,652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15,940</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10,918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10,818</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599</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66,753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65,941</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262,056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261,691</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31,501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30,963</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536,835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536,885</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798,891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798,576</w:t>
            </w:r>
          </w:p>
        </w:tc>
      </w:tr>
      <w:tr>
        <w:trPr>
          <w:trHeight w:val="378"/>
        </w:trPr>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20" w:type="dxa"/>
            <w:vAlign w:val="bottom"/>
            <w:gridSpan w:val="4"/>
          </w:tcPr>
          <w:p>
            <w:pPr>
              <w:jc w:val="center"/>
              <w:spacing w:after="0"/>
              <w:rPr>
                <w:sz w:val="20"/>
                <w:szCs w:val="20"/>
                <w:color w:val="auto"/>
              </w:rPr>
            </w:pPr>
            <w:r>
              <w:rPr>
                <w:rFonts w:ascii="Arial" w:cs="Arial" w:eastAsia="Arial" w:hAnsi="Arial"/>
                <w:sz w:val="18"/>
                <w:szCs w:val="18"/>
                <w:color w:val="auto"/>
                <w:w w:val="89"/>
              </w:rPr>
              <w:t>Year ended May 31, 2014</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As previously reported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32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As revised</w:t>
            </w:r>
          </w:p>
        </w:tc>
      </w:tr>
      <w:tr>
        <w:trPr>
          <w:trHeight w:val="27"/>
        </w:trPr>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24,681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24,681</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(16,448)</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(14,016)</w:t>
            </w:r>
          </w:p>
        </w:tc>
      </w:tr>
      <w:tr>
        <w:trPr>
          <w:trHeight w:val="378"/>
        </w:trPr>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20" w:type="dxa"/>
            <w:vAlign w:val="bottom"/>
            <w:gridSpan w:val="4"/>
          </w:tcPr>
          <w:p>
            <w:pPr>
              <w:jc w:val="center"/>
              <w:spacing w:after="0"/>
              <w:rPr>
                <w:sz w:val="20"/>
                <w:szCs w:val="20"/>
                <w:color w:val="auto"/>
              </w:rPr>
            </w:pPr>
            <w:r>
              <w:rPr>
                <w:rFonts w:ascii="Arial" w:cs="Arial" w:eastAsia="Arial" w:hAnsi="Arial"/>
                <w:sz w:val="18"/>
                <w:szCs w:val="18"/>
                <w:color w:val="auto"/>
                <w:w w:val="89"/>
              </w:rPr>
              <w:t>Year ended May 31, 2013</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As previously reported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32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As revised</w:t>
            </w:r>
          </w:p>
        </w:tc>
      </w:tr>
      <w:tr>
        <w:trPr>
          <w:trHeight w:val="27"/>
        </w:trPr>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26,319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26,091</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76,121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77,564</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26,186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26,035</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16,617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16,599</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162,226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163,272</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5,242</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(6,579)</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-6663055</wp:posOffset>
            </wp:positionV>
            <wp:extent cx="721233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-6311265</wp:posOffset>
            </wp:positionV>
            <wp:extent cx="721233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-5968365</wp:posOffset>
            </wp:positionV>
            <wp:extent cx="721233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-5624830</wp:posOffset>
            </wp:positionV>
            <wp:extent cx="721233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-5281930</wp:posOffset>
            </wp:positionV>
            <wp:extent cx="721233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-4939030</wp:posOffset>
            </wp:positionV>
            <wp:extent cx="721233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-4596130</wp:posOffset>
            </wp:positionV>
            <wp:extent cx="721233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-4253230</wp:posOffset>
            </wp:positionV>
            <wp:extent cx="721233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-3909695</wp:posOffset>
            </wp:positionV>
            <wp:extent cx="721233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-2983865</wp:posOffset>
            </wp:positionV>
            <wp:extent cx="721233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-2632075</wp:posOffset>
            </wp:positionV>
            <wp:extent cx="721233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-1877695</wp:posOffset>
            </wp:positionV>
            <wp:extent cx="721233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-1525905</wp:posOffset>
            </wp:positionV>
            <wp:extent cx="721233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-1183005</wp:posOffset>
            </wp:positionV>
            <wp:extent cx="721233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-839470</wp:posOffset>
            </wp:positionV>
            <wp:extent cx="721233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-496570</wp:posOffset>
            </wp:positionV>
            <wp:extent cx="721233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-153670</wp:posOffset>
            </wp:positionV>
            <wp:extent cx="721233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660"/>
          </w:cols>
          <w:pgMar w:left="280" w:top="544" w:right="29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320"/>
          </w:cols>
          <w:pgMar w:left="280" w:top="544" w:right="29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As of May 31, 2013</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As previously 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Adjustments</w:t>
            </w:r>
          </w:p>
        </w:tc>
        <w:tc>
          <w:tcPr>
            <w:tcW w:w="32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As revised</w:t>
            </w:r>
          </w:p>
        </w:tc>
      </w:tr>
      <w:tr>
        <w:trPr>
          <w:trHeight w:val="27"/>
        </w:trPr>
        <w:tc>
          <w:tcPr>
            <w:tcW w:w="4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62,391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62,375</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214,673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214,523</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long term</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18,009</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790,734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790,561</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15,961</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63,315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62,920</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264,237</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28,616</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526,102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526,324</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790,734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790,561</w:t>
            </w:r>
          </w:p>
        </w:tc>
      </w:tr>
      <w:tr>
        <w:trPr>
          <w:trHeight w:val="351"/>
        </w:trPr>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7"/>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20" w:type="dxa"/>
            <w:vAlign w:val="bottom"/>
            <w:gridSpan w:val="4"/>
          </w:tcPr>
          <w:p>
            <w:pPr>
              <w:jc w:val="center"/>
              <w:spacing w:after="0"/>
              <w:rPr>
                <w:sz w:val="20"/>
                <w:szCs w:val="20"/>
                <w:color w:val="auto"/>
              </w:rPr>
            </w:pPr>
            <w:r>
              <w:rPr>
                <w:rFonts w:ascii="Arial" w:cs="Arial" w:eastAsia="Arial" w:hAnsi="Arial"/>
                <w:sz w:val="18"/>
                <w:szCs w:val="18"/>
                <w:color w:val="auto"/>
                <w:w w:val="89"/>
              </w:rPr>
              <w:t>Year ended May 31, 2012</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As previously 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Adjustments</w:t>
            </w:r>
          </w:p>
        </w:tc>
        <w:tc>
          <w:tcPr>
            <w:tcW w:w="32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As revised</w:t>
            </w:r>
          </w:p>
        </w:tc>
      </w:tr>
      <w:tr>
        <w:trPr>
          <w:trHeight w:val="27"/>
        </w:trPr>
        <w:tc>
          <w:tcPr>
            <w:tcW w:w="4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00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64,505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65,757</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9,393</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130,553</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(5,244)</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r>
      <w:tr>
        <w:trPr>
          <w:trHeight w:val="351"/>
        </w:trPr>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7"/>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As of May 31, 2012</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As previously reported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Adjustments</w:t>
            </w:r>
          </w:p>
        </w:tc>
        <w:tc>
          <w:tcPr>
            <w:tcW w:w="320" w:type="dxa"/>
            <w:vAlign w:val="bottom"/>
          </w:tcPr>
          <w:p>
            <w:pPr>
              <w:spacing w:after="0"/>
              <w:rPr>
                <w:sz w:val="20"/>
                <w:szCs w:val="20"/>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As revised</w:t>
            </w:r>
          </w:p>
        </w:tc>
      </w:tr>
      <w:tr>
        <w:trPr>
          <w:trHeight w:val="27"/>
        </w:trPr>
        <w:tc>
          <w:tcPr>
            <w:tcW w:w="4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147,363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147,195</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Deferred Income Taxes, long term</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44,277</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719,903</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30,046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29,667</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523,391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523,306</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719,988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719,903</w:t>
            </w:r>
          </w:p>
        </w:tc>
      </w:tr>
      <w:tr>
        <w:trPr>
          <w:trHeight w:val="891"/>
        </w:trPr>
        <w:tc>
          <w:tcPr>
            <w:tcW w:w="4320" w:type="dxa"/>
            <w:vAlign w:val="bottom"/>
          </w:tcPr>
          <w:p>
            <w:pPr>
              <w:spacing w:after="0"/>
              <w:rPr>
                <w:sz w:val="24"/>
                <w:szCs w:val="24"/>
                <w:color w:val="auto"/>
              </w:rPr>
            </w:pPr>
          </w:p>
        </w:tc>
        <w:tc>
          <w:tcPr>
            <w:tcW w:w="2000" w:type="dxa"/>
            <w:vAlign w:val="bottom"/>
            <w:gridSpan w:val="2"/>
          </w:tcPr>
          <w:p>
            <w:pPr>
              <w:jc w:val="right"/>
              <w:ind w:right="430"/>
              <w:spacing w:after="0"/>
              <w:rPr>
                <w:sz w:val="20"/>
                <w:szCs w:val="20"/>
                <w:color w:val="auto"/>
              </w:rPr>
            </w:pPr>
            <w:r>
              <w:rPr>
                <w:rFonts w:ascii="Arial" w:cs="Arial" w:eastAsia="Arial" w:hAnsi="Arial"/>
                <w:sz w:val="18"/>
                <w:szCs w:val="18"/>
                <w:color w:val="auto"/>
              </w:rPr>
              <w:t>84</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544" w:right="299" w:bottom="1440" w:gutter="0" w:footer="0" w:header="0"/>
        </w:sectPr>
      </w:pPr>
      <w:r>
        <w:rPr>
          <w:sz w:val="20"/>
          <w:szCs w:val="20"/>
          <w:color w:val="auto"/>
        </w:rPr>
        <w:drawing>
          <wp:anchor simplePos="0" relativeHeight="251657728" behindDoc="1" locked="0" layoutInCell="0" allowOverlap="1">
            <wp:simplePos x="0" y="0"/>
            <wp:positionH relativeFrom="page">
              <wp:posOffset>3768090</wp:posOffset>
            </wp:positionH>
            <wp:positionV relativeFrom="page">
              <wp:posOffset>328930</wp:posOffset>
            </wp:positionV>
            <wp:extent cx="36017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bookmarkStart w:id="86" w:name="page87"/>
    <w:bookmarkEnd w:id="86"/>
    <w:p>
      <w:pPr>
        <w:spacing w:after="0"/>
        <w:rPr>
          <w:sz w:val="20"/>
          <w:szCs w:val="20"/>
          <w:color w:val="auto"/>
        </w:rPr>
      </w:pPr>
      <w:r>
        <w:rPr>
          <w:rFonts w:ascii="Arial" w:cs="Arial" w:eastAsia="Arial" w:hAnsi="Arial"/>
          <w:sz w:val="18"/>
          <w:szCs w:val="18"/>
          <w:b w:val="1"/>
          <w:bCs w:val="1"/>
          <w:color w:val="auto"/>
        </w:rPr>
        <w:t>NOTE S—QUARTERLY INFORMATION (unaudited)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Quarterly results of operations during the fiscal years ended May 31, 2016 and 2015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left="658"/>
              <w:spacing w:after="0"/>
              <w:rPr>
                <w:sz w:val="20"/>
                <w:szCs w:val="20"/>
                <w:color w:val="auto"/>
              </w:rPr>
            </w:pPr>
            <w:r>
              <w:rPr>
                <w:rFonts w:ascii="Arial" w:cs="Arial" w:eastAsia="Arial" w:hAnsi="Arial"/>
                <w:sz w:val="14"/>
                <w:szCs w:val="14"/>
                <w:b w:val="1"/>
                <w:bCs w:val="1"/>
                <w:color w:val="auto"/>
                <w:w w:val="96"/>
              </w:rPr>
              <w:t>2016</w:t>
            </w: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right="295"/>
              <w:spacing w:after="0" w:line="153" w:lineRule="exact"/>
              <w:rPr>
                <w:sz w:val="20"/>
                <w:szCs w:val="20"/>
                <w:color w:val="auto"/>
              </w:rPr>
            </w:pPr>
            <w:r>
              <w:rPr>
                <w:rFonts w:ascii="Arial" w:cs="Arial" w:eastAsia="Arial" w:hAnsi="Arial"/>
                <w:sz w:val="14"/>
                <w:szCs w:val="14"/>
                <w:b w:val="1"/>
                <w:bCs w:val="1"/>
                <w:color w:val="auto"/>
                <w:w w:val="98"/>
              </w:rPr>
              <w:t>First</w:t>
            </w:r>
          </w:p>
        </w:tc>
        <w:tc>
          <w:tcPr>
            <w:tcW w:w="380" w:type="dxa"/>
            <w:vAlign w:val="bottom"/>
          </w:tcPr>
          <w:p>
            <w:pPr>
              <w:spacing w:after="0"/>
              <w:rPr>
                <w:sz w:val="13"/>
                <w:szCs w:val="13"/>
                <w:color w:val="auto"/>
              </w:rPr>
            </w:pPr>
          </w:p>
        </w:tc>
        <w:tc>
          <w:tcPr>
            <w:tcW w:w="132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Second</w:t>
            </w:r>
          </w:p>
        </w:tc>
        <w:tc>
          <w:tcPr>
            <w:tcW w:w="600" w:type="dxa"/>
            <w:vAlign w:val="bottom"/>
          </w:tcPr>
          <w:p>
            <w:pPr>
              <w:spacing w:after="0"/>
              <w:rPr>
                <w:sz w:val="13"/>
                <w:szCs w:val="13"/>
                <w:color w:val="auto"/>
              </w:rPr>
            </w:pPr>
          </w:p>
        </w:tc>
        <w:tc>
          <w:tcPr>
            <w:tcW w:w="1100" w:type="dxa"/>
            <w:vAlign w:val="bottom"/>
          </w:tcPr>
          <w:p>
            <w:pPr>
              <w:jc w:val="center"/>
              <w:ind w:right="495"/>
              <w:spacing w:after="0" w:line="153" w:lineRule="exact"/>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3"/>
                <w:szCs w:val="13"/>
                <w:color w:val="auto"/>
              </w:rPr>
            </w:pPr>
          </w:p>
        </w:tc>
        <w:tc>
          <w:tcPr>
            <w:tcW w:w="126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Fourth</w:t>
            </w:r>
          </w:p>
        </w:tc>
      </w:tr>
      <w:tr>
        <w:trPr>
          <w:trHeight w:val="192"/>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9"/>
              </w:rPr>
              <w:t>quarter</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quarter</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95"/>
              <w:spacing w:after="0"/>
              <w:rPr>
                <w:sz w:val="20"/>
                <w:szCs w:val="20"/>
                <w:color w:val="auto"/>
              </w:rPr>
            </w:pPr>
            <w:r>
              <w:rPr>
                <w:rFonts w:ascii="Arial" w:cs="Arial" w:eastAsia="Arial" w:hAnsi="Arial"/>
                <w:sz w:val="14"/>
                <w:szCs w:val="14"/>
                <w:b w:val="1"/>
                <w:bCs w:val="1"/>
                <w:color w:val="auto"/>
                <w:w w:val="99"/>
              </w:rPr>
              <w:t>quarter</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quarter</w:t>
            </w:r>
          </w:p>
        </w:tc>
      </w:tr>
      <w:tr>
        <w:trPr>
          <w:trHeight w:val="196"/>
        </w:trPr>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3"/>
          </w:tcPr>
          <w:p>
            <w:pPr>
              <w:jc w:val="center"/>
              <w:ind w:right="275"/>
              <w:spacing w:after="0"/>
              <w:rPr>
                <w:sz w:val="20"/>
                <w:szCs w:val="20"/>
                <w:color w:val="auto"/>
              </w:rPr>
            </w:pPr>
            <w:r>
              <w:rPr>
                <w:rFonts w:ascii="Arial" w:cs="Arial" w:eastAsia="Arial" w:hAnsi="Arial"/>
                <w:sz w:val="14"/>
                <w:szCs w:val="14"/>
                <w:b w:val="1"/>
                <w:bCs w:val="1"/>
                <w:color w:val="auto"/>
                <w:w w:val="91"/>
              </w:rPr>
              <w:t>(in thousands, except per share data)</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83,753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89,284</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87,434</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93,419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43,371</w:t>
            </w:r>
          </w:p>
        </w:tc>
        <w:tc>
          <w:tcPr>
            <w:tcW w:w="380" w:type="dxa"/>
            <w:vAlign w:val="bottom"/>
          </w:tcPr>
          <w:p>
            <w:pPr>
              <w:spacing w:after="0"/>
              <w:rPr>
                <w:sz w:val="21"/>
                <w:szCs w:val="21"/>
                <w:color w:val="auto"/>
              </w:rPr>
            </w:pPr>
          </w:p>
        </w:tc>
        <w:tc>
          <w:tcPr>
            <w:tcW w:w="1320" w:type="dxa"/>
            <w:vAlign w:val="bottom"/>
          </w:tcPr>
          <w:p>
            <w:pPr>
              <w:jc w:val="right"/>
              <w:ind w:right="78"/>
              <w:spacing w:after="0"/>
              <w:rPr>
                <w:sz w:val="20"/>
                <w:szCs w:val="20"/>
                <w:color w:val="auto"/>
              </w:rPr>
            </w:pPr>
            <w:r>
              <w:rPr>
                <w:rFonts w:ascii="Arial" w:cs="Arial" w:eastAsia="Arial" w:hAnsi="Arial"/>
                <w:sz w:val="18"/>
                <w:szCs w:val="18"/>
                <w:color w:val="auto"/>
              </w:rPr>
              <w:t>45,884</w:t>
            </w:r>
          </w:p>
        </w:tc>
        <w:tc>
          <w:tcPr>
            <w:tcW w:w="60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43,534</w:t>
            </w:r>
          </w:p>
        </w:tc>
        <w:tc>
          <w:tcPr>
            <w:tcW w:w="4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41,527</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(775)</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(334)</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594</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(0.01)</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0.02</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(0.01)</w:t>
            </w:r>
          </w:p>
        </w:tc>
        <w:tc>
          <w:tcPr>
            <w:tcW w:w="60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0.02</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548"/>
        </w:trPr>
        <w:tc>
          <w:tcPr>
            <w:tcW w:w="4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left="658"/>
              <w:spacing w:after="0"/>
              <w:rPr>
                <w:sz w:val="20"/>
                <w:szCs w:val="20"/>
                <w:color w:val="auto"/>
              </w:rPr>
            </w:pPr>
            <w:r>
              <w:rPr>
                <w:rFonts w:ascii="Arial" w:cs="Arial" w:eastAsia="Arial" w:hAnsi="Arial"/>
                <w:sz w:val="14"/>
                <w:szCs w:val="14"/>
                <w:b w:val="1"/>
                <w:bCs w:val="1"/>
                <w:color w:val="auto"/>
                <w:w w:val="96"/>
              </w:rPr>
              <w:t>2015</w:t>
            </w: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52"/>
        </w:trPr>
        <w:tc>
          <w:tcPr>
            <w:tcW w:w="4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right="295"/>
              <w:spacing w:after="0" w:line="153" w:lineRule="exact"/>
              <w:rPr>
                <w:sz w:val="20"/>
                <w:szCs w:val="20"/>
                <w:color w:val="auto"/>
              </w:rPr>
            </w:pPr>
            <w:r>
              <w:rPr>
                <w:rFonts w:ascii="Arial" w:cs="Arial" w:eastAsia="Arial" w:hAnsi="Arial"/>
                <w:sz w:val="14"/>
                <w:szCs w:val="14"/>
                <w:b w:val="1"/>
                <w:bCs w:val="1"/>
                <w:color w:val="auto"/>
                <w:w w:val="98"/>
              </w:rPr>
              <w:t>First</w:t>
            </w:r>
          </w:p>
        </w:tc>
        <w:tc>
          <w:tcPr>
            <w:tcW w:w="380" w:type="dxa"/>
            <w:vAlign w:val="bottom"/>
          </w:tcPr>
          <w:p>
            <w:pPr>
              <w:spacing w:after="0"/>
              <w:rPr>
                <w:sz w:val="13"/>
                <w:szCs w:val="13"/>
                <w:color w:val="auto"/>
              </w:rPr>
            </w:pPr>
          </w:p>
        </w:tc>
        <w:tc>
          <w:tcPr>
            <w:tcW w:w="132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Second</w:t>
            </w:r>
          </w:p>
        </w:tc>
        <w:tc>
          <w:tcPr>
            <w:tcW w:w="600" w:type="dxa"/>
            <w:vAlign w:val="bottom"/>
          </w:tcPr>
          <w:p>
            <w:pPr>
              <w:spacing w:after="0"/>
              <w:rPr>
                <w:sz w:val="13"/>
                <w:szCs w:val="13"/>
                <w:color w:val="auto"/>
              </w:rPr>
            </w:pPr>
          </w:p>
        </w:tc>
        <w:tc>
          <w:tcPr>
            <w:tcW w:w="1100" w:type="dxa"/>
            <w:vAlign w:val="bottom"/>
          </w:tcPr>
          <w:p>
            <w:pPr>
              <w:jc w:val="center"/>
              <w:ind w:right="495"/>
              <w:spacing w:after="0" w:line="153" w:lineRule="exact"/>
              <w:rPr>
                <w:sz w:val="20"/>
                <w:szCs w:val="20"/>
                <w:color w:val="auto"/>
              </w:rPr>
            </w:pPr>
            <w:r>
              <w:rPr>
                <w:rFonts w:ascii="Arial" w:cs="Arial" w:eastAsia="Arial" w:hAnsi="Arial"/>
                <w:sz w:val="14"/>
                <w:szCs w:val="14"/>
                <w:b w:val="1"/>
                <w:bCs w:val="1"/>
                <w:color w:val="auto"/>
              </w:rPr>
              <w:t>Third</w:t>
            </w:r>
          </w:p>
        </w:tc>
        <w:tc>
          <w:tcPr>
            <w:tcW w:w="400" w:type="dxa"/>
            <w:vAlign w:val="bottom"/>
          </w:tcPr>
          <w:p>
            <w:pPr>
              <w:spacing w:after="0"/>
              <w:rPr>
                <w:sz w:val="13"/>
                <w:szCs w:val="13"/>
                <w:color w:val="auto"/>
              </w:rPr>
            </w:pPr>
          </w:p>
        </w:tc>
        <w:tc>
          <w:tcPr>
            <w:tcW w:w="1260" w:type="dxa"/>
            <w:vAlign w:val="bottom"/>
          </w:tcPr>
          <w:p>
            <w:pPr>
              <w:ind w:left="240"/>
              <w:spacing w:after="0" w:line="153" w:lineRule="exact"/>
              <w:rPr>
                <w:sz w:val="20"/>
                <w:szCs w:val="20"/>
                <w:color w:val="auto"/>
              </w:rPr>
            </w:pPr>
            <w:r>
              <w:rPr>
                <w:rFonts w:ascii="Arial" w:cs="Arial" w:eastAsia="Arial" w:hAnsi="Arial"/>
                <w:sz w:val="14"/>
                <w:szCs w:val="14"/>
                <w:b w:val="1"/>
                <w:bCs w:val="1"/>
                <w:color w:val="auto"/>
              </w:rPr>
              <w:t>Fourth</w:t>
            </w:r>
          </w:p>
        </w:tc>
      </w:tr>
      <w:tr>
        <w:trPr>
          <w:trHeight w:val="192"/>
        </w:trPr>
        <w:tc>
          <w:tcPr>
            <w:tcW w:w="4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9"/>
              </w:rPr>
              <w:t>quarter</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quarter</w:t>
            </w:r>
          </w:p>
        </w:tc>
        <w:tc>
          <w:tcPr>
            <w:tcW w:w="6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95"/>
              <w:spacing w:after="0"/>
              <w:rPr>
                <w:sz w:val="20"/>
                <w:szCs w:val="20"/>
                <w:color w:val="auto"/>
              </w:rPr>
            </w:pPr>
            <w:r>
              <w:rPr>
                <w:rFonts w:ascii="Arial" w:cs="Arial" w:eastAsia="Arial" w:hAnsi="Arial"/>
                <w:sz w:val="14"/>
                <w:szCs w:val="14"/>
                <w:b w:val="1"/>
                <w:bCs w:val="1"/>
                <w:color w:val="auto"/>
                <w:w w:val="99"/>
              </w:rPr>
              <w:t>quarter</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quarter</w:t>
            </w:r>
          </w:p>
        </w:tc>
      </w:tr>
      <w:tr>
        <w:trPr>
          <w:trHeight w:val="196"/>
        </w:trPr>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3"/>
          </w:tcPr>
          <w:p>
            <w:pPr>
              <w:jc w:val="center"/>
              <w:ind w:right="275"/>
              <w:spacing w:after="0"/>
              <w:rPr>
                <w:sz w:val="20"/>
                <w:szCs w:val="20"/>
                <w:color w:val="auto"/>
              </w:rPr>
            </w:pPr>
            <w:r>
              <w:rPr>
                <w:rFonts w:ascii="Arial" w:cs="Arial" w:eastAsia="Arial" w:hAnsi="Arial"/>
                <w:sz w:val="14"/>
                <w:szCs w:val="14"/>
                <w:b w:val="1"/>
                <w:bCs w:val="1"/>
                <w:color w:val="auto"/>
                <w:w w:val="91"/>
              </w:rPr>
              <w:t>(in thousands, except per share data)</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87,091</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92,149</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86,597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90,697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45,964</w:t>
            </w:r>
          </w:p>
        </w:tc>
        <w:tc>
          <w:tcPr>
            <w:tcW w:w="380" w:type="dxa"/>
            <w:vAlign w:val="bottom"/>
          </w:tcPr>
          <w:p>
            <w:pPr>
              <w:spacing w:after="0"/>
              <w:rPr>
                <w:sz w:val="21"/>
                <w:szCs w:val="21"/>
                <w:color w:val="auto"/>
              </w:rPr>
            </w:pPr>
          </w:p>
        </w:tc>
        <w:tc>
          <w:tcPr>
            <w:tcW w:w="1320" w:type="dxa"/>
            <w:vAlign w:val="bottom"/>
          </w:tcPr>
          <w:p>
            <w:pPr>
              <w:jc w:val="right"/>
              <w:ind w:right="78"/>
              <w:spacing w:after="0"/>
              <w:rPr>
                <w:sz w:val="20"/>
                <w:szCs w:val="20"/>
                <w:color w:val="auto"/>
              </w:rPr>
            </w:pPr>
            <w:r>
              <w:rPr>
                <w:rFonts w:ascii="Arial" w:cs="Arial" w:eastAsia="Arial" w:hAnsi="Arial"/>
                <w:sz w:val="18"/>
                <w:szCs w:val="18"/>
                <w:color w:val="auto"/>
              </w:rPr>
              <w:t>46,828</w:t>
            </w:r>
          </w:p>
        </w:tc>
        <w:tc>
          <w:tcPr>
            <w:tcW w:w="60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37,673</w:t>
            </w:r>
          </w:p>
        </w:tc>
        <w:tc>
          <w:tcPr>
            <w:tcW w:w="4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45,331</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284</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1,069</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0.01</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0.03</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0.01</w:t>
            </w:r>
          </w:p>
        </w:tc>
        <w:tc>
          <w:tcPr>
            <w:tcW w:w="380" w:type="dxa"/>
            <w:vAlign w:val="bottom"/>
          </w:tcPr>
          <w:p>
            <w:pPr>
              <w:spacing w:after="0"/>
              <w:rPr>
                <w:sz w:val="21"/>
                <w:szCs w:val="21"/>
                <w:color w:val="auto"/>
              </w:rPr>
            </w:pPr>
          </w:p>
        </w:tc>
        <w:tc>
          <w:tcPr>
            <w:tcW w:w="1320" w:type="dxa"/>
            <w:vAlign w:val="bottom"/>
          </w:tcPr>
          <w:p>
            <w:pPr>
              <w:jc w:val="right"/>
              <w:ind w:right="78"/>
              <w:spacing w:after="0"/>
              <w:rPr>
                <w:sz w:val="20"/>
                <w:szCs w:val="20"/>
                <w:color w:val="auto"/>
              </w:rPr>
            </w:pPr>
            <w:r>
              <w:rPr>
                <w:rFonts w:ascii="Arial" w:cs="Arial" w:eastAsia="Arial" w:hAnsi="Arial"/>
                <w:sz w:val="18"/>
                <w:szCs w:val="18"/>
                <w:color w:val="auto"/>
              </w:rPr>
              <w:t>0.03</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405"/>
        </w:trPr>
        <w:tc>
          <w:tcPr>
            <w:tcW w:w="8660" w:type="dxa"/>
            <w:vAlign w:val="bottom"/>
            <w:gridSpan w:val="6"/>
          </w:tcPr>
          <w:p>
            <w:pPr>
              <w:ind w:left="440"/>
              <w:spacing w:after="0"/>
              <w:rPr>
                <w:sz w:val="20"/>
                <w:szCs w:val="20"/>
                <w:color w:val="auto"/>
              </w:rPr>
            </w:pPr>
            <w:r>
              <w:rPr>
                <w:rFonts w:ascii="Arial" w:cs="Arial" w:eastAsia="Arial" w:hAnsi="Arial"/>
                <w:sz w:val="18"/>
                <w:szCs w:val="18"/>
                <w:color w:val="auto"/>
                <w:w w:val="88"/>
              </w:rPr>
              <w:t>The data in the schedules above has been intentionally rounded to the nearest thousand and therefore the quarterly</w:t>
            </w:r>
          </w:p>
        </w:tc>
        <w:tc>
          <w:tcPr>
            <w:tcW w:w="2760" w:type="dxa"/>
            <w:vAlign w:val="bottom"/>
            <w:gridSpan w:val="3"/>
          </w:tcPr>
          <w:p>
            <w:pPr>
              <w:jc w:val="right"/>
              <w:ind w:right="135"/>
              <w:spacing w:after="0"/>
              <w:rPr>
                <w:sz w:val="20"/>
                <w:szCs w:val="20"/>
                <w:color w:val="auto"/>
              </w:rPr>
            </w:pPr>
            <w:r>
              <w:rPr>
                <w:rFonts w:ascii="Arial" w:cs="Arial" w:eastAsia="Arial" w:hAnsi="Arial"/>
                <w:sz w:val="18"/>
                <w:szCs w:val="18"/>
                <w:color w:val="auto"/>
                <w:w w:val="98"/>
              </w:rPr>
              <w:t>amounts may not sum to the full</w:t>
            </w:r>
          </w:p>
        </w:tc>
      </w:tr>
    </w:tbl>
    <w:p>
      <w:pPr>
        <w:ind w:right="300"/>
        <w:spacing w:after="0" w:line="261" w:lineRule="auto"/>
        <w:rPr>
          <w:sz w:val="20"/>
          <w:szCs w:val="20"/>
          <w:color w:val="auto"/>
        </w:rPr>
      </w:pPr>
      <w:r>
        <w:rPr>
          <w:rFonts w:ascii="Arial" w:cs="Arial" w:eastAsia="Arial" w:hAnsi="Arial"/>
          <w:sz w:val="18"/>
          <w:szCs w:val="18"/>
          <w:color w:val="auto"/>
        </w:rPr>
        <w:t>year amounts. We made adjustments to correct immaterial errors within this selected financial data. For a detailed explanation of these adjustments, please refer to Note R, "Immaterial Error Corrections".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74295</wp:posOffset>
            </wp:positionV>
            <wp:extent cx="361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6"/>
          </w:tcPr>
          <w:p>
            <w:pPr>
              <w:jc w:val="center"/>
              <w:ind w:left="610"/>
              <w:spacing w:after="0"/>
              <w:rPr>
                <w:sz w:val="20"/>
                <w:szCs w:val="20"/>
                <w:color w:val="auto"/>
              </w:rPr>
            </w:pPr>
            <w:r>
              <w:rPr>
                <w:rFonts w:ascii="Arial" w:cs="Arial" w:eastAsia="Arial" w:hAnsi="Arial"/>
                <w:sz w:val="18"/>
                <w:szCs w:val="18"/>
                <w:color w:val="auto"/>
                <w:w w:val="89"/>
              </w:rPr>
              <w:t>Three months ended February 29, 2016</w:t>
            </w:r>
          </w:p>
        </w:tc>
        <w:tc>
          <w:tcPr>
            <w:tcW w:w="136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40" w:type="dxa"/>
            <w:vAlign w:val="bottom"/>
            <w:gridSpan w:val="3"/>
          </w:tcPr>
          <w:p>
            <w:pPr>
              <w:ind w:left="100"/>
              <w:spacing w:after="0"/>
              <w:rPr>
                <w:sz w:val="20"/>
                <w:szCs w:val="20"/>
                <w:color w:val="auto"/>
              </w:rPr>
            </w:pPr>
            <w:r>
              <w:rPr>
                <w:rFonts w:ascii="Arial" w:cs="Arial" w:eastAsia="Arial" w:hAnsi="Arial"/>
                <w:sz w:val="18"/>
                <w:szCs w:val="18"/>
                <w:color w:val="auto"/>
              </w:rPr>
              <w:t>As previously reported</w:t>
            </w:r>
          </w:p>
        </w:tc>
        <w:tc>
          <w:tcPr>
            <w:tcW w:w="30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460" w:type="dxa"/>
            <w:vAlign w:val="bottom"/>
          </w:tcPr>
          <w:p>
            <w:pPr>
              <w:spacing w:after="0"/>
              <w:rPr>
                <w:sz w:val="20"/>
                <w:szCs w:val="20"/>
                <w:color w:val="auto"/>
              </w:rPr>
            </w:pPr>
          </w:p>
        </w:tc>
        <w:tc>
          <w:tcPr>
            <w:tcW w:w="1360" w:type="dxa"/>
            <w:vAlign w:val="bottom"/>
          </w:tcPr>
          <w:p>
            <w:pPr>
              <w:jc w:val="right"/>
              <w:ind w:right="430"/>
              <w:spacing w:after="0"/>
              <w:rPr>
                <w:sz w:val="20"/>
                <w:szCs w:val="20"/>
                <w:color w:val="auto"/>
              </w:rPr>
            </w:pPr>
            <w:r>
              <w:rPr>
                <w:rFonts w:ascii="Arial" w:cs="Arial" w:eastAsia="Arial" w:hAnsi="Arial"/>
                <w:sz w:val="18"/>
                <w:szCs w:val="18"/>
                <w:color w:val="auto"/>
                <w:w w:val="97"/>
              </w:rPr>
              <w:t>As revised</w:t>
            </w:r>
          </w:p>
        </w:tc>
      </w:tr>
      <w:tr>
        <w:trPr>
          <w:trHeight w:val="27"/>
        </w:trPr>
        <w:tc>
          <w:tcPr>
            <w:tcW w:w="38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52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87,434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43,484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43,534</w:t>
            </w:r>
          </w:p>
        </w:tc>
      </w:tr>
      <w:tr>
        <w:trPr>
          <w:trHeight w:val="27"/>
        </w:trPr>
        <w:tc>
          <w:tcPr>
            <w:tcW w:w="3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8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6,901</w:t>
            </w:r>
          </w:p>
        </w:tc>
      </w:tr>
      <w:tr>
        <w:trPr>
          <w:trHeight w:val="27"/>
        </w:trPr>
        <w:tc>
          <w:tcPr>
            <w:tcW w:w="3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41,568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1,966</w:t>
            </w:r>
          </w:p>
        </w:tc>
      </w:tr>
      <w:tr>
        <w:trPr>
          <w:trHeight w:val="27"/>
        </w:trPr>
        <w:tc>
          <w:tcPr>
            <w:tcW w:w="3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8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1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7"/>
        </w:trPr>
        <w:tc>
          <w:tcPr>
            <w:tcW w:w="3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18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351</w:t>
            </w:r>
          </w:p>
        </w:tc>
      </w:tr>
      <w:tr>
        <w:trPr>
          <w:trHeight w:val="27"/>
        </w:trPr>
        <w:tc>
          <w:tcPr>
            <w:tcW w:w="3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r>
      <w:tr>
        <w:trPr>
          <w:trHeight w:val="459"/>
        </w:trPr>
        <w:tc>
          <w:tcPr>
            <w:tcW w:w="3880" w:type="dxa"/>
            <w:vAlign w:val="bottom"/>
          </w:tcPr>
          <w:p>
            <w:pPr>
              <w:spacing w:after="0"/>
              <w:rPr>
                <w:sz w:val="24"/>
                <w:szCs w:val="24"/>
                <w:color w:val="auto"/>
              </w:rPr>
            </w:pPr>
          </w:p>
        </w:tc>
        <w:tc>
          <w:tcPr>
            <w:tcW w:w="2520" w:type="dxa"/>
            <w:vAlign w:val="bottom"/>
            <w:gridSpan w:val="2"/>
          </w:tcPr>
          <w:p>
            <w:pPr>
              <w:jc w:val="right"/>
              <w:ind w:right="510"/>
              <w:spacing w:after="0"/>
              <w:rPr>
                <w:sz w:val="20"/>
                <w:szCs w:val="20"/>
                <w:color w:val="auto"/>
              </w:rPr>
            </w:pPr>
            <w:r>
              <w:rPr>
                <w:rFonts w:ascii="Arial" w:cs="Arial" w:eastAsia="Arial" w:hAnsi="Arial"/>
                <w:sz w:val="18"/>
                <w:szCs w:val="18"/>
                <w:color w:val="auto"/>
              </w:rPr>
              <w:t>85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7" w:name="page88"/>
    <w:bookmarkEnd w:id="87"/>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long term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w:t>
      </w:r>
    </w:p>
    <w:p>
      <w:pPr>
        <w:spacing w:after="0" w:line="63" w:lineRule="exact"/>
        <w:rPr>
          <w:sz w:val="20"/>
          <w:szCs w:val="20"/>
          <w:color w:val="auto"/>
        </w:rPr>
      </w:pPr>
    </w:p>
    <w:p>
      <w:pPr>
        <w:ind w:right="2120"/>
        <w:spacing w:after="0" w:line="313" w:lineRule="auto"/>
        <w:rPr>
          <w:sz w:val="20"/>
          <w:szCs w:val="20"/>
          <w:color w:val="auto"/>
        </w:rPr>
      </w:pPr>
      <w:r>
        <w:rPr>
          <w:rFonts w:ascii="Arial" w:cs="Arial" w:eastAsia="Arial" w:hAnsi="Arial"/>
          <w:sz w:val="18"/>
          <w:szCs w:val="18"/>
          <w:color w:val="auto"/>
        </w:rPr>
        <w:t>Accumulated other comprehensive loss Total Stockholders' Equity</w:t>
      </w:r>
    </w:p>
    <w:p>
      <w:pPr>
        <w:spacing w:after="0"/>
        <w:rPr>
          <w:sz w:val="20"/>
          <w:szCs w:val="20"/>
          <w:color w:val="auto"/>
        </w:rPr>
      </w:pPr>
      <w:r>
        <w:rPr>
          <w:rFonts w:ascii="Arial" w:cs="Arial" w:eastAsia="Arial" w:hAnsi="Arial"/>
          <w:sz w:val="18"/>
          <w:szCs w:val="18"/>
          <w:color w:val="auto"/>
        </w:rPr>
        <w:t>Total 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investing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Arial" w:cs="Arial" w:eastAsia="Arial" w:hAnsi="Arial"/>
          <w:sz w:val="18"/>
          <w:szCs w:val="18"/>
          <w:color w:val="auto"/>
        </w:rPr>
        <w:t>Nine months ended February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-147320</wp:posOffset>
            </wp:positionV>
            <wp:extent cx="36188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gridSpan w:val="5"/>
          </w:tcPr>
          <w:p>
            <w:pPr>
              <w:ind w:left="100"/>
              <w:spacing w:after="0"/>
              <w:rPr>
                <w:sz w:val="20"/>
                <w:szCs w:val="20"/>
                <w:color w:val="auto"/>
              </w:rPr>
            </w:pPr>
            <w:r>
              <w:rPr>
                <w:rFonts w:ascii="Arial" w:cs="Arial" w:eastAsia="Arial" w:hAnsi="Arial"/>
                <w:sz w:val="18"/>
                <w:szCs w:val="18"/>
                <w:color w:val="auto"/>
              </w:rPr>
              <w:t>As previously reported</w:t>
            </w:r>
          </w:p>
        </w:tc>
        <w:tc>
          <w:tcPr>
            <w:tcW w:w="280" w:type="dxa"/>
            <w:vAlign w:val="bottom"/>
          </w:tcPr>
          <w:p>
            <w:pPr>
              <w:spacing w:after="0"/>
              <w:rPr>
                <w:sz w:val="20"/>
                <w:szCs w:val="20"/>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As revised</w:t>
            </w:r>
          </w:p>
        </w:tc>
      </w:tr>
      <w:tr>
        <w:trPr>
          <w:trHeight w:val="27"/>
        </w:trPr>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260,321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0"/>
                <w:szCs w:val="20"/>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260,471</w:t>
            </w:r>
          </w:p>
        </w:tc>
        <w:tc>
          <w:tcPr>
            <w:tcW w:w="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127,829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127,682</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132,492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132,789</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18,189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18,116</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61,429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63,534</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22,300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22,897</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127,418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2,629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130,047</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(5,464)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(3,173)</w:t>
            </w: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r>
      <w:tr>
        <w:trPr>
          <w:trHeight w:val="378"/>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20" w:type="dxa"/>
            <w:vAlign w:val="bottom"/>
            <w:gridSpan w:val="3"/>
          </w:tcPr>
          <w:p>
            <w:pPr>
              <w:ind w:left="40"/>
              <w:spacing w:after="0"/>
              <w:rPr>
                <w:sz w:val="20"/>
                <w:szCs w:val="20"/>
                <w:color w:val="auto"/>
              </w:rPr>
            </w:pPr>
            <w:r>
              <w:rPr>
                <w:rFonts w:ascii="Arial" w:cs="Arial" w:eastAsia="Arial" w:hAnsi="Arial"/>
                <w:sz w:val="18"/>
                <w:szCs w:val="18"/>
                <w:color w:val="auto"/>
                <w:w w:val="91"/>
              </w:rPr>
              <w:t>As of February 29, 2016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40" w:type="dxa"/>
            <w:vAlign w:val="bottom"/>
            <w:gridSpan w:val="5"/>
          </w:tcPr>
          <w:p>
            <w:pPr>
              <w:ind w:left="100"/>
              <w:spacing w:after="0"/>
              <w:rPr>
                <w:sz w:val="20"/>
                <w:szCs w:val="20"/>
                <w:color w:val="auto"/>
              </w:rPr>
            </w:pPr>
            <w:r>
              <w:rPr>
                <w:rFonts w:ascii="Arial" w:cs="Arial" w:eastAsia="Arial" w:hAnsi="Arial"/>
                <w:sz w:val="18"/>
                <w:szCs w:val="18"/>
                <w:color w:val="auto"/>
              </w:rPr>
              <w:t>As previously reported</w:t>
            </w:r>
          </w:p>
        </w:tc>
        <w:tc>
          <w:tcPr>
            <w:tcW w:w="280" w:type="dxa"/>
            <w:vAlign w:val="bottom"/>
          </w:tcPr>
          <w:p>
            <w:pPr>
              <w:spacing w:after="0"/>
              <w:rPr>
                <w:sz w:val="20"/>
                <w:szCs w:val="20"/>
                <w:color w:val="auto"/>
              </w:rPr>
            </w:pPr>
          </w:p>
        </w:tc>
        <w:tc>
          <w:tcPr>
            <w:tcW w:w="154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As revised</w:t>
            </w:r>
          </w:p>
        </w:tc>
      </w:tr>
      <w:tr>
        <w:trPr>
          <w:trHeight w:val="27"/>
        </w:trPr>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168,080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0"/>
                <w:szCs w:val="20"/>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167,926</w:t>
            </w:r>
          </w:p>
        </w:tc>
        <w:tc>
          <w:tcPr>
            <w:tcW w:w="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19,563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19,818</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753,513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753,614</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61,579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61,629</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202,768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202,818</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27,744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27,060</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(1,055)</w:t>
            </w: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550,745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550,796</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753,513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753,614</w:t>
            </w:r>
          </w:p>
        </w:tc>
        <w:tc>
          <w:tcPr>
            <w:tcW w:w="60" w:type="dxa"/>
            <w:vAlign w:val="bottom"/>
          </w:tcPr>
          <w:p>
            <w:pPr>
              <w:spacing w:after="0"/>
              <w:rPr>
                <w:sz w:val="23"/>
                <w:szCs w:val="23"/>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10"/>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40" w:type="dxa"/>
            <w:vAlign w:val="bottom"/>
            <w:gridSpan w:val="10"/>
          </w:tcPr>
          <w:p>
            <w:pPr>
              <w:jc w:val="right"/>
              <w:ind w:right="80"/>
              <w:spacing w:after="0"/>
              <w:rPr>
                <w:sz w:val="20"/>
                <w:szCs w:val="20"/>
                <w:color w:val="auto"/>
              </w:rPr>
            </w:pPr>
            <w:r>
              <w:rPr>
                <w:rFonts w:ascii="Arial" w:cs="Arial" w:eastAsia="Arial" w:hAnsi="Arial"/>
                <w:sz w:val="18"/>
                <w:szCs w:val="18"/>
                <w:color w:val="auto"/>
              </w:rPr>
              <w:t>Nine months ended February 29, 2016</w:t>
            </w: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940" w:type="dxa"/>
            <w:vAlign w:val="bottom"/>
            <w:gridSpan w:val="5"/>
          </w:tcPr>
          <w:p>
            <w:pPr>
              <w:ind w:left="60"/>
              <w:spacing w:after="0"/>
              <w:rPr>
                <w:sz w:val="20"/>
                <w:szCs w:val="20"/>
                <w:color w:val="auto"/>
              </w:rPr>
            </w:pPr>
            <w:r>
              <w:rPr>
                <w:rFonts w:ascii="Arial" w:cs="Arial" w:eastAsia="Arial" w:hAnsi="Arial"/>
                <w:sz w:val="18"/>
                <w:szCs w:val="18"/>
                <w:color w:val="auto"/>
              </w:rPr>
              <w:t>As previously reported</w:t>
            </w:r>
          </w:p>
        </w:tc>
        <w:tc>
          <w:tcPr>
            <w:tcW w:w="28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As revised</w:t>
            </w:r>
          </w:p>
        </w:tc>
      </w:tr>
      <w:tr>
        <w:trPr>
          <w:trHeight w:val="27"/>
        </w:trPr>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26,672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26,672</w:t>
            </w:r>
          </w:p>
        </w:tc>
        <w:tc>
          <w:tcPr>
            <w:tcW w:w="6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(3,888)</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(19,167)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(19,167)</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-5462270</wp:posOffset>
            </wp:positionV>
            <wp:extent cx="724662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-5110480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-4767580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-4424680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-4081145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-3738245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-2812415</wp:posOffset>
            </wp:positionV>
            <wp:extent cx="724662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-2460625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-2117725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-1774825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-1431290</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-505460</wp:posOffset>
            </wp:positionV>
            <wp:extent cx="721233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-153670</wp:posOffset>
            </wp:positionV>
            <wp:extent cx="721233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720"/>
          </w:cols>
          <w:pgMar w:left="280" w:top="544" w:right="239" w:bottom="1440" w:gutter="0" w:footer="0" w:header="0"/>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380"/>
          </w:cols>
          <w:pgMar w:left="280" w:top="544" w:right="2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gridSpan w:val="13"/>
          </w:tcPr>
          <w:p>
            <w:pPr>
              <w:jc w:val="center"/>
              <w:ind w:right="420"/>
              <w:spacing w:after="0"/>
              <w:rPr>
                <w:sz w:val="20"/>
                <w:szCs w:val="20"/>
                <w:color w:val="auto"/>
              </w:rPr>
            </w:pPr>
            <w:r>
              <w:rPr>
                <w:rFonts w:ascii="Arial" w:cs="Arial" w:eastAsia="Arial" w:hAnsi="Arial"/>
                <w:sz w:val="18"/>
                <w:szCs w:val="18"/>
                <w:color w:val="auto"/>
                <w:w w:val="89"/>
              </w:rPr>
              <w:t>Three months ended November 30, 2015</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5"/>
          </w:tcPr>
          <w:p>
            <w:pPr>
              <w:ind w:left="40"/>
              <w:spacing w:after="0"/>
              <w:rPr>
                <w:sz w:val="20"/>
                <w:szCs w:val="20"/>
                <w:color w:val="auto"/>
              </w:rPr>
            </w:pPr>
            <w:r>
              <w:rPr>
                <w:rFonts w:ascii="Arial" w:cs="Arial" w:eastAsia="Arial" w:hAnsi="Arial"/>
                <w:sz w:val="18"/>
                <w:szCs w:val="18"/>
                <w:color w:val="auto"/>
                <w:w w:val="99"/>
              </w:rPr>
              <w:t>As previously reported</w:t>
            </w:r>
          </w:p>
        </w:tc>
        <w:tc>
          <w:tcPr>
            <w:tcW w:w="160" w:type="dxa"/>
            <w:vAlign w:val="bottom"/>
          </w:tcPr>
          <w:p>
            <w:pPr>
              <w:spacing w:after="0"/>
              <w:rPr>
                <w:sz w:val="20"/>
                <w:szCs w:val="20"/>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Adjustments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As revised</w:t>
            </w:r>
          </w:p>
        </w:tc>
      </w:tr>
      <w:tr>
        <w:trPr>
          <w:trHeight w:val="27"/>
        </w:trPr>
        <w:tc>
          <w:tcPr>
            <w:tcW w:w="4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180" w:type="dxa"/>
            <w:vAlign w:val="bottom"/>
            <w:tcBorders>
              <w:bottom w:val="single" w:sz="8" w:color="CCEEFF"/>
            </w:tcBorders>
            <w:gridSpan w:val="3"/>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89,284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45,834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45,884</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8,089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8,082</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(752)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(1,236)</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r>
      <w:tr>
        <w:trPr>
          <w:trHeight w:val="351"/>
        </w:trPr>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37"/>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20" w:type="dxa"/>
            <w:vAlign w:val="bottom"/>
            <w:gridSpan w:val="13"/>
          </w:tcPr>
          <w:p>
            <w:pPr>
              <w:jc w:val="center"/>
              <w:ind w:right="420"/>
              <w:spacing w:after="0"/>
              <w:rPr>
                <w:sz w:val="20"/>
                <w:szCs w:val="20"/>
                <w:color w:val="auto"/>
              </w:rPr>
            </w:pPr>
            <w:r>
              <w:rPr>
                <w:rFonts w:ascii="Arial" w:cs="Arial" w:eastAsia="Arial" w:hAnsi="Arial"/>
                <w:sz w:val="18"/>
                <w:szCs w:val="18"/>
                <w:color w:val="auto"/>
                <w:w w:val="90"/>
              </w:rPr>
              <w:t>Six months ended November 30, 2015</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5"/>
          </w:tcPr>
          <w:p>
            <w:pPr>
              <w:ind w:left="40"/>
              <w:spacing w:after="0"/>
              <w:rPr>
                <w:sz w:val="20"/>
                <w:szCs w:val="20"/>
                <w:color w:val="auto"/>
              </w:rPr>
            </w:pPr>
            <w:r>
              <w:rPr>
                <w:rFonts w:ascii="Arial" w:cs="Arial" w:eastAsia="Arial" w:hAnsi="Arial"/>
                <w:sz w:val="18"/>
                <w:szCs w:val="18"/>
                <w:color w:val="auto"/>
                <w:w w:val="99"/>
              </w:rPr>
              <w:t>As previously reported</w:t>
            </w:r>
          </w:p>
        </w:tc>
        <w:tc>
          <w:tcPr>
            <w:tcW w:w="160" w:type="dxa"/>
            <w:vAlign w:val="bottom"/>
          </w:tcPr>
          <w:p>
            <w:pPr>
              <w:spacing w:after="0"/>
              <w:rPr>
                <w:sz w:val="20"/>
                <w:szCs w:val="20"/>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Adjustments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As revised</w:t>
            </w:r>
          </w:p>
        </w:tc>
      </w:tr>
      <w:tr>
        <w:trPr>
          <w:trHeight w:val="27"/>
        </w:trPr>
        <w:tc>
          <w:tcPr>
            <w:tcW w:w="4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180" w:type="dxa"/>
            <w:vAlign w:val="bottom"/>
            <w:tcBorders>
              <w:bottom w:val="single" w:sz="8" w:color="CCEEFF"/>
            </w:tcBorders>
            <w:gridSpan w:val="3"/>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173,037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83,929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83,782</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89,255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12,381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12,308</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41,128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42,578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15,516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15,996</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86,621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88,478</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(1,610)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777</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1,636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(2,153)</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(1,376)</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r>
      <w:tr>
        <w:trPr>
          <w:trHeight w:val="351"/>
        </w:trPr>
        <w:tc>
          <w:tcPr>
            <w:tcW w:w="4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40" w:type="dxa"/>
            <w:vAlign w:val="bottom"/>
            <w:gridSpan w:val="7"/>
          </w:tcPr>
          <w:p>
            <w:pPr>
              <w:jc w:val="right"/>
              <w:ind w:right="100"/>
              <w:spacing w:after="0"/>
              <w:rPr>
                <w:sz w:val="20"/>
                <w:szCs w:val="20"/>
                <w:color w:val="auto"/>
              </w:rPr>
            </w:pPr>
            <w:r>
              <w:rPr>
                <w:rFonts w:ascii="Arial" w:cs="Arial" w:eastAsia="Arial" w:hAnsi="Arial"/>
                <w:sz w:val="18"/>
                <w:szCs w:val="18"/>
                <w:color w:val="auto"/>
                <w:w w:val="94"/>
              </w:rPr>
              <w:t>As of November 30, 2015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40" w:type="dxa"/>
            <w:vAlign w:val="bottom"/>
            <w:gridSpan w:val="3"/>
          </w:tcPr>
          <w:p>
            <w:pPr>
              <w:jc w:val="right"/>
              <w:ind w:right="10"/>
              <w:spacing w:after="0"/>
              <w:rPr>
                <w:sz w:val="20"/>
                <w:szCs w:val="20"/>
                <w:color w:val="auto"/>
              </w:rPr>
            </w:pPr>
            <w:r>
              <w:rPr>
                <w:rFonts w:ascii="Arial" w:cs="Arial" w:eastAsia="Arial" w:hAnsi="Arial"/>
                <w:sz w:val="18"/>
                <w:szCs w:val="18"/>
                <w:color w:val="auto"/>
                <w:w w:val="96"/>
              </w:rPr>
              <w:t>As previously reported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ind w:right="580"/>
              <w:spacing w:after="0"/>
              <w:rPr>
                <w:sz w:val="20"/>
                <w:szCs w:val="20"/>
                <w:color w:val="auto"/>
              </w:rPr>
            </w:pPr>
            <w:r>
              <w:rPr>
                <w:rFonts w:ascii="Arial" w:cs="Arial" w:eastAsia="Arial" w:hAnsi="Arial"/>
                <w:sz w:val="18"/>
                <w:szCs w:val="18"/>
                <w:color w:val="auto"/>
                <w:w w:val="92"/>
              </w:rPr>
              <w:t>Adjustments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As revised</w:t>
            </w:r>
          </w:p>
        </w:tc>
      </w:tr>
      <w:tr>
        <w:trPr>
          <w:trHeight w:val="27"/>
        </w:trPr>
        <w:tc>
          <w:tcPr>
            <w:tcW w:w="4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7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172,511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172,357</w:t>
            </w:r>
          </w:p>
        </w:tc>
        <w:tc>
          <w:tcPr>
            <w:tcW w:w="60" w:type="dxa"/>
            <w:vAlign w:val="bottom"/>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Deferred Income Taxes, long term</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19,826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20,050</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760,441</w:t>
            </w:r>
          </w:p>
        </w:tc>
        <w:tc>
          <w:tcPr>
            <w:tcW w:w="60" w:type="dxa"/>
            <w:vAlign w:val="bottom"/>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16,858</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60,087</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212,715</w:t>
            </w:r>
          </w:p>
        </w:tc>
        <w:tc>
          <w:tcPr>
            <w:tcW w:w="60" w:type="dxa"/>
            <w:vAlign w:val="bottom"/>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Retained earnings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26,466</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Pr>
          <w:p>
            <w:pPr>
              <w:spacing w:after="0"/>
              <w:rPr>
                <w:sz w:val="21"/>
                <w:szCs w:val="2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547,639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547,726</w:t>
            </w:r>
          </w:p>
        </w:tc>
        <w:tc>
          <w:tcPr>
            <w:tcW w:w="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760,371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760,441</w:t>
            </w:r>
          </w:p>
        </w:tc>
        <w:tc>
          <w:tcPr>
            <w:tcW w:w="60" w:type="dxa"/>
            <w:vAlign w:val="bottom"/>
          </w:tcPr>
          <w:p>
            <w:pPr>
              <w:spacing w:after="0"/>
              <w:rPr>
                <w:sz w:val="21"/>
                <w:szCs w:val="21"/>
                <w:color w:val="auto"/>
              </w:rPr>
            </w:pPr>
          </w:p>
        </w:tc>
      </w:tr>
      <w:tr>
        <w:trPr>
          <w:trHeight w:val="675"/>
        </w:trPr>
        <w:tc>
          <w:tcPr>
            <w:tcW w:w="4320" w:type="dxa"/>
            <w:vAlign w:val="bottom"/>
          </w:tcPr>
          <w:p>
            <w:pPr>
              <w:spacing w:after="0"/>
              <w:rPr>
                <w:sz w:val="24"/>
                <w:szCs w:val="24"/>
                <w:color w:val="auto"/>
              </w:rPr>
            </w:pPr>
          </w:p>
        </w:tc>
        <w:tc>
          <w:tcPr>
            <w:tcW w:w="1740" w:type="dxa"/>
            <w:vAlign w:val="bottom"/>
            <w:gridSpan w:val="2"/>
          </w:tcPr>
          <w:p>
            <w:pPr>
              <w:jc w:val="right"/>
              <w:ind w:right="170"/>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544" w:right="239" w:bottom="1440" w:gutter="0" w:footer="0" w:header="0"/>
        </w:sectPr>
      </w:pPr>
      <w:r>
        <w:rPr>
          <w:sz w:val="20"/>
          <w:szCs w:val="20"/>
          <w:color w:val="auto"/>
        </w:rPr>
        <w:drawing>
          <wp:anchor simplePos="0" relativeHeight="251657728" behindDoc="1" locked="0" layoutInCell="0" allowOverlap="1">
            <wp:simplePos x="0" y="0"/>
            <wp:positionH relativeFrom="page">
              <wp:posOffset>3999230</wp:posOffset>
            </wp:positionH>
            <wp:positionV relativeFrom="page">
              <wp:posOffset>328930</wp:posOffset>
            </wp:positionV>
            <wp:extent cx="3404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bookmarkStart w:id="89" w:name="page90"/>
    <w:bookmarkEnd w:id="89"/>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80" w:type="dxa"/>
            <w:vAlign w:val="bottom"/>
            <w:gridSpan w:val="12"/>
          </w:tcPr>
          <w:p>
            <w:pPr>
              <w:jc w:val="right"/>
              <w:ind w:right="80"/>
              <w:spacing w:after="0"/>
              <w:rPr>
                <w:sz w:val="20"/>
                <w:szCs w:val="20"/>
                <w:color w:val="auto"/>
              </w:rPr>
            </w:pPr>
            <w:r>
              <w:rPr>
                <w:rFonts w:ascii="Arial" w:cs="Arial" w:eastAsia="Arial" w:hAnsi="Arial"/>
                <w:sz w:val="18"/>
                <w:szCs w:val="18"/>
                <w:color w:val="auto"/>
              </w:rPr>
              <w:t>Six months ended November 30, 2015</w:t>
            </w: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w w:val="96"/>
              </w:rPr>
              <w:t>As previously reported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ind w:right="580"/>
              <w:spacing w:after="0"/>
              <w:rPr>
                <w:sz w:val="20"/>
                <w:szCs w:val="20"/>
                <w:color w:val="auto"/>
              </w:rPr>
            </w:pPr>
            <w:r>
              <w:rPr>
                <w:rFonts w:ascii="Arial" w:cs="Arial" w:eastAsia="Arial" w:hAnsi="Arial"/>
                <w:sz w:val="18"/>
                <w:szCs w:val="18"/>
                <w:color w:val="auto"/>
                <w:w w:val="92"/>
              </w:rPr>
              <w:t>Adjustments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As revised</w:t>
            </w:r>
          </w:p>
        </w:tc>
      </w:tr>
      <w:tr>
        <w:trPr>
          <w:trHeight w:val="27"/>
        </w:trPr>
        <w:tc>
          <w:tcPr>
            <w:tcW w:w="5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14,278</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14,278</w:t>
            </w:r>
          </w:p>
        </w:tc>
        <w:tc>
          <w:tcPr>
            <w:tcW w:w="60" w:type="dxa"/>
            <w:vAlign w:val="bottom"/>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(1,143)</w:t>
            </w:r>
          </w:p>
        </w:tc>
        <w:tc>
          <w:tcPr>
            <w:tcW w:w="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60" w:type="dxa"/>
            <w:vAlign w:val="bottom"/>
          </w:tcPr>
          <w:p>
            <w:pPr>
              <w:spacing w:after="0"/>
              <w:rPr>
                <w:sz w:val="21"/>
                <w:szCs w:val="21"/>
                <w:color w:val="auto"/>
              </w:rPr>
            </w:pPr>
          </w:p>
        </w:tc>
      </w:tr>
      <w:tr>
        <w:trPr>
          <w:trHeight w:val="351"/>
        </w:trPr>
        <w:tc>
          <w:tcPr>
            <w:tcW w:w="5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14"/>
          </w:tcPr>
          <w:p>
            <w:pPr>
              <w:spacing w:after="0"/>
              <w:rPr>
                <w:sz w:val="24"/>
                <w:szCs w:val="24"/>
                <w:color w:val="auto"/>
              </w:rPr>
            </w:pPr>
          </w:p>
        </w:tc>
      </w:tr>
      <w:tr>
        <w:trPr>
          <w:trHeight w:val="237"/>
        </w:trPr>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00" w:type="dxa"/>
            <w:vAlign w:val="bottom"/>
            <w:gridSpan w:val="14"/>
          </w:tcPr>
          <w:p>
            <w:pPr>
              <w:jc w:val="right"/>
              <w:ind w:right="1320"/>
              <w:spacing w:after="0"/>
              <w:rPr>
                <w:sz w:val="20"/>
                <w:szCs w:val="20"/>
                <w:color w:val="auto"/>
              </w:rPr>
            </w:pPr>
            <w:r>
              <w:rPr>
                <w:rFonts w:ascii="Arial" w:cs="Arial" w:eastAsia="Arial" w:hAnsi="Arial"/>
                <w:sz w:val="18"/>
                <w:szCs w:val="18"/>
                <w:color w:val="auto"/>
              </w:rPr>
              <w:t>Three months ended August 31, 2015</w:t>
            </w: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6"/>
          </w:tcPr>
          <w:p>
            <w:pPr>
              <w:jc w:val="right"/>
              <w:ind w:right="140"/>
              <w:spacing w:after="0"/>
              <w:rPr>
                <w:sz w:val="20"/>
                <w:szCs w:val="20"/>
                <w:color w:val="auto"/>
              </w:rPr>
            </w:pPr>
            <w:r>
              <w:rPr>
                <w:rFonts w:ascii="Arial" w:cs="Arial" w:eastAsia="Arial" w:hAnsi="Arial"/>
                <w:sz w:val="18"/>
                <w:szCs w:val="18"/>
                <w:color w:val="auto"/>
                <w:w w:val="93"/>
              </w:rPr>
              <w:t>As previously reported</w:t>
            </w:r>
          </w:p>
        </w:tc>
        <w:tc>
          <w:tcPr>
            <w:tcW w:w="160" w:type="dxa"/>
            <w:vAlign w:val="bottom"/>
          </w:tcPr>
          <w:p>
            <w:pPr>
              <w:spacing w:after="0"/>
              <w:rPr>
                <w:sz w:val="20"/>
                <w:szCs w:val="20"/>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Adjustments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As revised</w:t>
            </w:r>
          </w:p>
        </w:tc>
      </w:tr>
      <w:tr>
        <w:trPr>
          <w:trHeight w:val="27"/>
        </w:trPr>
        <w:tc>
          <w:tcPr>
            <w:tcW w:w="5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2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83,703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83,753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40,529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40,382</w:t>
            </w:r>
          </w:p>
        </w:tc>
        <w:tc>
          <w:tcPr>
            <w:tcW w:w="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43,174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43,371</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6,202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6,129</w:t>
            </w:r>
          </w:p>
        </w:tc>
        <w:tc>
          <w:tcPr>
            <w:tcW w:w="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7,427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7,914</w:t>
            </w:r>
          </w:p>
        </w:tc>
        <w:tc>
          <w:tcPr>
            <w:tcW w:w="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42,104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43,159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(858)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(917)</w:t>
            </w: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r>
      <w:tr>
        <w:trPr>
          <w:trHeight w:val="243"/>
        </w:trPr>
        <w:tc>
          <w:tcPr>
            <w:tcW w:w="5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r>
      <w:tr>
        <w:trPr>
          <w:trHeight w:val="27"/>
        </w:trPr>
        <w:tc>
          <w:tcPr>
            <w:tcW w:w="5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3768090</wp:posOffset>
            </wp:positionH>
            <wp:positionV relativeFrom="page">
              <wp:posOffset>328930</wp:posOffset>
            </wp:positionV>
            <wp:extent cx="36017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222885</wp:posOffset>
            </wp:positionV>
            <wp:extent cx="3404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Income Taxes, long term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Retained earnings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Stockholders' Equity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As of August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3404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w w:val="95"/>
              </w:rPr>
              <w:t>As revised</w:t>
            </w:r>
          </w:p>
        </w:tc>
      </w:tr>
      <w:tr>
        <w:trPr>
          <w:trHeight w:val="27"/>
        </w:trPr>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4,928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177,399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177,245</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19,436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19,689</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771,789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771,998</w:t>
            </w:r>
          </w:p>
        </w:tc>
      </w:tr>
      <w:tr>
        <w:trPr>
          <w:trHeight w:val="270"/>
        </w:trPr>
        <w:tc>
          <w:tcPr>
            <w:tcW w:w="5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60,651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60,801</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224,666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224,816</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27,476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26,800</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547,123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547,182</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771,789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771,998</w:t>
            </w:r>
          </w:p>
        </w:tc>
      </w:tr>
      <w:tr>
        <w:trPr>
          <w:trHeight w:val="162"/>
        </w:trPr>
        <w:tc>
          <w:tcPr>
            <w:tcW w:w="5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6"/>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500" w:type="dxa"/>
            <w:vAlign w:val="bottom"/>
            <w:gridSpan w:val="6"/>
          </w:tcPr>
          <w:p>
            <w:pPr>
              <w:jc w:val="center"/>
              <w:ind w:left="630"/>
              <w:spacing w:after="0"/>
              <w:rPr>
                <w:sz w:val="20"/>
                <w:szCs w:val="20"/>
                <w:color w:val="auto"/>
              </w:rPr>
            </w:pPr>
            <w:r>
              <w:rPr>
                <w:rFonts w:ascii="Arial" w:cs="Arial" w:eastAsia="Arial" w:hAnsi="Arial"/>
                <w:sz w:val="18"/>
                <w:szCs w:val="18"/>
                <w:color w:val="auto"/>
                <w:w w:val="89"/>
              </w:rPr>
              <w:t>Three months ended August 31, 2015</w:t>
            </w:r>
          </w:p>
        </w:tc>
        <w:tc>
          <w:tcPr>
            <w:tcW w:w="1280" w:type="dxa"/>
            <w:vAlign w:val="bottom"/>
          </w:tcPr>
          <w:p>
            <w:pPr>
              <w:spacing w:after="0"/>
              <w:rPr>
                <w:sz w:val="20"/>
                <w:szCs w:val="20"/>
                <w:color w:val="auto"/>
              </w:rPr>
            </w:pPr>
          </w:p>
        </w:tc>
      </w:tr>
      <w:tr>
        <w:trPr>
          <w:trHeight w:val="27"/>
        </w:trPr>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color w:val="auto"/>
                <w:w w:val="95"/>
              </w:rPr>
              <w:t>As revised</w:t>
            </w:r>
          </w:p>
        </w:tc>
      </w:tr>
      <w:tr>
        <w:trPr>
          <w:trHeight w:val="27"/>
        </w:trPr>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4,699</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-2846705</wp:posOffset>
            </wp:positionV>
            <wp:extent cx="724662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-2494915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-2152015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-1809115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-1465580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-1122680</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-505460</wp:posOffset>
            </wp:positionV>
            <wp:extent cx="724662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-153670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544"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44" w:right="2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40" w:type="dxa"/>
            <w:vAlign w:val="bottom"/>
            <w:gridSpan w:val="6"/>
          </w:tcPr>
          <w:p>
            <w:pPr>
              <w:jc w:val="center"/>
              <w:ind w:left="610"/>
              <w:spacing w:after="0"/>
              <w:rPr>
                <w:sz w:val="20"/>
                <w:szCs w:val="20"/>
                <w:color w:val="auto"/>
              </w:rPr>
            </w:pPr>
            <w:r>
              <w:rPr>
                <w:rFonts w:ascii="Arial" w:cs="Arial" w:eastAsia="Arial" w:hAnsi="Arial"/>
                <w:sz w:val="18"/>
                <w:szCs w:val="18"/>
                <w:color w:val="auto"/>
                <w:w w:val="89"/>
              </w:rPr>
              <w:t>Three months ended May 31, 2015</w:t>
            </w:r>
          </w:p>
        </w:tc>
        <w:tc>
          <w:tcPr>
            <w:tcW w:w="124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6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w w:val="90"/>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90,697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45,366</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45,331</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6,551</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21,151</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7,448</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44,202</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1,129</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351"/>
        </w:trPr>
        <w:tc>
          <w:tcPr>
            <w:tcW w:w="4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40" w:type="dxa"/>
            <w:vAlign w:val="bottom"/>
            <w:gridSpan w:val="6"/>
          </w:tcPr>
          <w:p>
            <w:pPr>
              <w:jc w:val="center"/>
              <w:ind w:left="610"/>
              <w:spacing w:after="0"/>
              <w:rPr>
                <w:sz w:val="20"/>
                <w:szCs w:val="20"/>
                <w:color w:val="auto"/>
              </w:rPr>
            </w:pPr>
            <w:r>
              <w:rPr>
                <w:rFonts w:ascii="Arial" w:cs="Arial" w:eastAsia="Arial" w:hAnsi="Arial"/>
                <w:sz w:val="18"/>
                <w:szCs w:val="18"/>
                <w:color w:val="auto"/>
                <w:w w:val="89"/>
              </w:rPr>
              <w:t>Three months ended February 28, 2015</w:t>
            </w:r>
          </w:p>
        </w:tc>
        <w:tc>
          <w:tcPr>
            <w:tcW w:w="124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6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w w:val="90"/>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48,924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37,851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37,673</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19,799</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6,613</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5,188</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18,676</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48,094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(10,421)</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Total other income (expense)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(11,752)</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(7,599)</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r>
      <w:tr>
        <w:trPr>
          <w:trHeight w:val="675"/>
        </w:trPr>
        <w:tc>
          <w:tcPr>
            <w:tcW w:w="456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544" w:right="239" w:bottom="1440" w:gutter="0" w:footer="0" w:header="0"/>
        </w:sectPr>
      </w:pPr>
      <w:r>
        <w:rPr>
          <w:sz w:val="20"/>
          <w:szCs w:val="20"/>
          <w:color w:val="auto"/>
        </w:rPr>
        <w:drawing>
          <wp:anchor simplePos="0" relativeHeight="251657728" behindDoc="1" locked="0" layoutInCell="0" allowOverlap="1">
            <wp:simplePos x="0" y="0"/>
            <wp:positionH relativeFrom="page">
              <wp:posOffset>3999230</wp:posOffset>
            </wp:positionH>
            <wp:positionV relativeFrom="page">
              <wp:posOffset>328930</wp:posOffset>
            </wp:positionV>
            <wp:extent cx="3404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bookmarkStart w:id="91" w:name="page92"/>
    <w:bookmarkEnd w:id="91"/>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40" w:type="dxa"/>
            <w:vAlign w:val="bottom"/>
            <w:gridSpan w:val="6"/>
          </w:tcPr>
          <w:p>
            <w:pPr>
              <w:jc w:val="center"/>
              <w:ind w:left="590"/>
              <w:spacing w:after="0"/>
              <w:rPr>
                <w:sz w:val="20"/>
                <w:szCs w:val="20"/>
                <w:color w:val="auto"/>
              </w:rPr>
            </w:pPr>
            <w:r>
              <w:rPr>
                <w:rFonts w:ascii="Arial" w:cs="Arial" w:eastAsia="Arial" w:hAnsi="Arial"/>
                <w:sz w:val="18"/>
                <w:szCs w:val="18"/>
                <w:color w:val="auto"/>
                <w:w w:val="90"/>
              </w:rPr>
              <w:t>Nine months ended February 28, 2015</w:t>
            </w:r>
          </w:p>
        </w:tc>
        <w:tc>
          <w:tcPr>
            <w:tcW w:w="124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6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w w:val="90"/>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265,837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134,745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135,372</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131,332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130,465</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20,043</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62,069</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22,213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21,714</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(8,526)</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23,402</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133,666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135,043</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Income (loss) before taxes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(8,283)</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378"/>
        </w:trPr>
        <w:tc>
          <w:tcPr>
            <w:tcW w:w="4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40" w:type="dxa"/>
            <w:vAlign w:val="bottom"/>
            <w:gridSpan w:val="6"/>
          </w:tcPr>
          <w:p>
            <w:pPr>
              <w:jc w:val="center"/>
              <w:ind w:left="610"/>
              <w:spacing w:after="0"/>
              <w:rPr>
                <w:sz w:val="20"/>
                <w:szCs w:val="20"/>
                <w:color w:val="auto"/>
              </w:rPr>
            </w:pPr>
            <w:r>
              <w:rPr>
                <w:rFonts w:ascii="Arial" w:cs="Arial" w:eastAsia="Arial" w:hAnsi="Arial"/>
                <w:sz w:val="18"/>
                <w:szCs w:val="18"/>
                <w:color w:val="auto"/>
                <w:w w:val="89"/>
              </w:rPr>
              <w:t>Three months ended February 28, 2015</w:t>
            </w:r>
          </w:p>
        </w:tc>
        <w:tc>
          <w:tcPr>
            <w:tcW w:w="124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6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w w:val="90"/>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(4,667)</w:t>
            </w:r>
          </w:p>
        </w:tc>
      </w:tr>
      <w:tr>
        <w:trPr>
          <w:trHeight w:val="135"/>
        </w:trPr>
        <w:tc>
          <w:tcPr>
            <w:tcW w:w="45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gridSpan w:val="6"/>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40" w:type="dxa"/>
            <w:vAlign w:val="bottom"/>
            <w:gridSpan w:val="6"/>
          </w:tcPr>
          <w:p>
            <w:pPr>
              <w:jc w:val="center"/>
              <w:ind w:left="590"/>
              <w:spacing w:after="0"/>
              <w:rPr>
                <w:sz w:val="20"/>
                <w:szCs w:val="20"/>
                <w:color w:val="auto"/>
              </w:rPr>
            </w:pPr>
            <w:r>
              <w:rPr>
                <w:rFonts w:ascii="Arial" w:cs="Arial" w:eastAsia="Arial" w:hAnsi="Arial"/>
                <w:sz w:val="18"/>
                <w:szCs w:val="18"/>
                <w:color w:val="auto"/>
                <w:w w:val="90"/>
              </w:rPr>
              <w:t>Nine months ended February 28, 2015</w:t>
            </w:r>
          </w:p>
        </w:tc>
        <w:tc>
          <w:tcPr>
            <w:tcW w:w="124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6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color w:val="auto"/>
                <w:w w:val="90"/>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r>
      <w:tr>
        <w:trPr>
          <w:trHeight w:val="675"/>
        </w:trPr>
        <w:tc>
          <w:tcPr>
            <w:tcW w:w="456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544" w:right="239" w:bottom="1440" w:gutter="0" w:footer="0" w:header="0"/>
        </w:sectPr>
      </w:pPr>
      <w:r>
        <w:rPr>
          <w:sz w:val="20"/>
          <w:szCs w:val="20"/>
          <w:color w:val="auto"/>
        </w:rPr>
        <w:drawing>
          <wp:anchor simplePos="0" relativeHeight="251657728" behindDoc="1" locked="0" layoutInCell="0" allowOverlap="1">
            <wp:simplePos x="0" y="0"/>
            <wp:positionH relativeFrom="page">
              <wp:posOffset>3999230</wp:posOffset>
            </wp:positionH>
            <wp:positionV relativeFrom="page">
              <wp:posOffset>328930</wp:posOffset>
            </wp:positionV>
            <wp:extent cx="3404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688975</wp:posOffset>
            </wp:positionV>
            <wp:extent cx="724662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long term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Long 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615315</wp:posOffset>
            </wp:positionV>
            <wp:extent cx="7246620"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operating activities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615315</wp:posOffset>
            </wp:positionV>
            <wp:extent cx="7246620"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 of contingent consideration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Acquisition, restructuring and 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br w:type="column"/>
      </w:r>
    </w:p>
    <w:p>
      <w:pPr>
        <w:ind w:left="1820"/>
        <w:spacing w:after="0"/>
        <w:rPr>
          <w:sz w:val="20"/>
          <w:szCs w:val="20"/>
          <w:color w:val="auto"/>
        </w:rPr>
      </w:pPr>
      <w:r>
        <w:rPr>
          <w:rFonts w:ascii="Arial" w:cs="Arial" w:eastAsia="Arial" w:hAnsi="Arial"/>
          <w:sz w:val="18"/>
          <w:szCs w:val="18"/>
          <w:color w:val="auto"/>
        </w:rPr>
        <w:t>As of February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3404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-147320</wp:posOffset>
            </wp:positionV>
            <wp:extent cx="34048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4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w w:val="92"/>
              </w:rPr>
              <w:t>As revised</w:t>
            </w:r>
          </w:p>
        </w:tc>
      </w:tr>
      <w:tr>
        <w:trPr>
          <w:trHeight w:val="27"/>
        </w:trPr>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68,710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68,767</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4,638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154,654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154,490</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58,295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58,215</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4,284</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186,547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186,393</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19,107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19,540</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783,136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783,395</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21,696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21,974</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19,946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19,485</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59,687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59,504</w:t>
            </w:r>
          </w:p>
        </w:tc>
      </w:tr>
      <w:tr>
        <w:trPr>
          <w:trHeight w:val="270"/>
        </w:trPr>
        <w:tc>
          <w:tcPr>
            <w:tcW w:w="5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239,380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239,825</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29,047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28,163</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543,756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543,570</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783,136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783,395</w:t>
            </w:r>
          </w:p>
        </w:tc>
      </w:tr>
      <w:tr>
        <w:trPr>
          <w:trHeight w:val="378"/>
        </w:trPr>
        <w:tc>
          <w:tcPr>
            <w:tcW w:w="5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3520" w:type="dxa"/>
            <w:vAlign w:val="bottom"/>
            <w:gridSpan w:val="6"/>
          </w:tcPr>
          <w:p>
            <w:pPr>
              <w:jc w:val="center"/>
              <w:ind w:left="610"/>
              <w:spacing w:after="0"/>
              <w:rPr>
                <w:sz w:val="20"/>
                <w:szCs w:val="20"/>
                <w:color w:val="auto"/>
              </w:rPr>
            </w:pPr>
            <w:r>
              <w:rPr>
                <w:rFonts w:ascii="Arial" w:cs="Arial" w:eastAsia="Arial" w:hAnsi="Arial"/>
                <w:sz w:val="18"/>
                <w:szCs w:val="18"/>
                <w:color w:val="auto"/>
                <w:w w:val="90"/>
              </w:rPr>
              <w:t>Nine months ended February 28, 2015</w:t>
            </w:r>
          </w:p>
        </w:tc>
        <w:tc>
          <w:tcPr>
            <w:tcW w:w="1260" w:type="dxa"/>
            <w:vAlign w:val="bottom"/>
          </w:tcPr>
          <w:p>
            <w:pPr>
              <w:spacing w:after="0"/>
              <w:rPr>
                <w:sz w:val="20"/>
                <w:szCs w:val="20"/>
                <w:color w:val="auto"/>
              </w:rPr>
            </w:pPr>
          </w:p>
        </w:tc>
      </w:tr>
      <w:tr>
        <w:trPr>
          <w:trHeight w:val="27"/>
        </w:trPr>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4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w w:val="92"/>
              </w:rPr>
              <w:t>As revised</w:t>
            </w:r>
          </w:p>
        </w:tc>
      </w:tr>
      <w:tr>
        <w:trPr>
          <w:trHeight w:val="27"/>
        </w:trPr>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15,436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14,879</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(11,485)</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641</w:t>
            </w:r>
          </w:p>
        </w:tc>
      </w:tr>
      <w:tr>
        <w:trPr>
          <w:trHeight w:val="378"/>
        </w:trPr>
        <w:tc>
          <w:tcPr>
            <w:tcW w:w="5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7"/>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4780" w:type="dxa"/>
            <w:vAlign w:val="bottom"/>
            <w:gridSpan w:val="7"/>
          </w:tcPr>
          <w:p>
            <w:pPr>
              <w:jc w:val="center"/>
              <w:ind w:right="470"/>
              <w:spacing w:after="0"/>
              <w:rPr>
                <w:sz w:val="20"/>
                <w:szCs w:val="20"/>
                <w:color w:val="auto"/>
              </w:rPr>
            </w:pPr>
            <w:r>
              <w:rPr>
                <w:rFonts w:ascii="Arial" w:cs="Arial" w:eastAsia="Arial" w:hAnsi="Arial"/>
                <w:sz w:val="18"/>
                <w:szCs w:val="18"/>
                <w:color w:val="auto"/>
                <w:w w:val="89"/>
              </w:rPr>
              <w:t>Three months ended November 30, 2014</w:t>
            </w:r>
          </w:p>
        </w:tc>
      </w:tr>
      <w:tr>
        <w:trPr>
          <w:trHeight w:val="27"/>
        </w:trPr>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4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w w:val="92"/>
              </w:rPr>
              <w:t>As revised</w:t>
            </w:r>
          </w:p>
        </w:tc>
      </w:tr>
      <w:tr>
        <w:trPr>
          <w:trHeight w:val="27"/>
        </w:trPr>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44,493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45,321</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47,656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46,828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6,276</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20,983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21,536</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7,786</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4,011</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542</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2,062</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43,081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43,289</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3,539</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2,373</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1,304</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1,069</w:t>
            </w:r>
          </w:p>
        </w:tc>
      </w:tr>
    </w:tbl>
    <w:p>
      <w:pPr>
        <w:sectPr>
          <w:pgSz w:w="11900" w:h="16838" w:orient="portrait"/>
          <w:cols w:equalWidth="0" w:num="2">
            <w:col w:w="5760" w:space="260"/>
            <w:col w:w="5360"/>
          </w:cols>
          <w:pgMar w:left="280" w:top="544" w:right="239" w:bottom="1440" w:gutter="0" w:footer="0" w:header="0"/>
        </w:sectPr>
      </w:pPr>
    </w:p>
    <w:bookmarkStart w:id="93" w:name="page94"/>
    <w:bookmarkEnd w:id="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3999230</wp:posOffset>
            </wp:positionH>
            <wp:positionV relativeFrom="page">
              <wp:posOffset>328930</wp:posOffset>
            </wp:positionV>
            <wp:extent cx="34048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gridSpan w:val="6"/>
          </w:tcPr>
          <w:p>
            <w:pPr>
              <w:jc w:val="center"/>
              <w:ind w:left="610"/>
              <w:spacing w:after="0"/>
              <w:rPr>
                <w:sz w:val="20"/>
                <w:szCs w:val="20"/>
                <w:color w:val="auto"/>
              </w:rPr>
            </w:pPr>
            <w:r>
              <w:rPr>
                <w:rFonts w:ascii="Arial" w:cs="Arial" w:eastAsia="Arial" w:hAnsi="Arial"/>
                <w:sz w:val="18"/>
                <w:szCs w:val="18"/>
                <w:color w:val="auto"/>
                <w:w w:val="90"/>
              </w:rPr>
              <w:t>Six months ended November 30, 2014</w:t>
            </w:r>
          </w:p>
        </w:tc>
        <w:tc>
          <w:tcPr>
            <w:tcW w:w="126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4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w w:val="92"/>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179,240</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85,999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86,448</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92,792</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12,787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13,465</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42,271</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15,101</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1,268</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85,664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86,949</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Income (loss) before taxes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3,469</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1,353</w:t>
            </w:r>
          </w:p>
        </w:tc>
      </w:tr>
      <w:tr>
        <w:trPr>
          <w:trHeight w:val="378"/>
        </w:trPr>
        <w:tc>
          <w:tcPr>
            <w:tcW w:w="4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7"/>
          </w:tcPr>
          <w:p>
            <w:pPr>
              <w:spacing w:after="0"/>
              <w:rPr>
                <w:sz w:val="24"/>
                <w:szCs w:val="24"/>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80" w:type="dxa"/>
            <w:vAlign w:val="bottom"/>
            <w:gridSpan w:val="7"/>
          </w:tcPr>
          <w:p>
            <w:pPr>
              <w:jc w:val="center"/>
              <w:ind w:right="470"/>
              <w:spacing w:after="0"/>
              <w:rPr>
                <w:sz w:val="20"/>
                <w:szCs w:val="20"/>
                <w:color w:val="auto"/>
              </w:rPr>
            </w:pPr>
            <w:r>
              <w:rPr>
                <w:rFonts w:ascii="Arial" w:cs="Arial" w:eastAsia="Arial" w:hAnsi="Arial"/>
                <w:sz w:val="18"/>
                <w:szCs w:val="18"/>
                <w:color w:val="auto"/>
                <w:w w:val="89"/>
              </w:rPr>
              <w:t>Three months ended November 30, 2014</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4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w w:val="92"/>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r>
      <w:tr>
        <w:trPr>
          <w:trHeight w:val="351"/>
        </w:trPr>
        <w:tc>
          <w:tcPr>
            <w:tcW w:w="4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gridSpan w:val="6"/>
          </w:tcPr>
          <w:p>
            <w:pPr>
              <w:jc w:val="center"/>
              <w:ind w:left="610"/>
              <w:spacing w:after="0"/>
              <w:rPr>
                <w:sz w:val="20"/>
                <w:szCs w:val="20"/>
                <w:color w:val="auto"/>
              </w:rPr>
            </w:pPr>
            <w:r>
              <w:rPr>
                <w:rFonts w:ascii="Arial" w:cs="Arial" w:eastAsia="Arial" w:hAnsi="Arial"/>
                <w:sz w:val="18"/>
                <w:szCs w:val="18"/>
                <w:color w:val="auto"/>
                <w:w w:val="90"/>
              </w:rPr>
              <w:t>Six months ended November 30, 2014</w:t>
            </w:r>
          </w:p>
        </w:tc>
        <w:tc>
          <w:tcPr>
            <w:tcW w:w="126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44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w w:val="92"/>
              </w:rPr>
              <w:t>As revised</w:t>
            </w:r>
          </w:p>
        </w:tc>
      </w:tr>
      <w:tr>
        <w:trPr>
          <w:trHeight w:val="27"/>
        </w:trPr>
        <w:tc>
          <w:tcPr>
            <w:tcW w:w="45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r>
      <w:tr>
        <w:trPr>
          <w:trHeight w:val="675"/>
        </w:trPr>
        <w:tc>
          <w:tcPr>
            <w:tcW w:w="4560" w:type="dxa"/>
            <w:vAlign w:val="bottom"/>
          </w:tcPr>
          <w:p>
            <w:pPr>
              <w:spacing w:after="0"/>
              <w:rPr>
                <w:sz w:val="24"/>
                <w:szCs w:val="24"/>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92</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44" w:right="239" w:bottom="1440" w:gutter="0" w:footer="0" w:header="0"/>
        </w:sectPr>
      </w:pPr>
    </w:p>
    <w:bookmarkStart w:id="94" w:name="page95"/>
    <w:bookmarkEnd w:id="94"/>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long term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63" w:lineRule="exact"/>
        <w:rPr>
          <w:sz w:val="20"/>
          <w:szCs w:val="20"/>
          <w:color w:val="auto"/>
        </w:rPr>
      </w:pPr>
    </w:p>
    <w:p>
      <w:pPr>
        <w:ind w:right="1820"/>
        <w:spacing w:after="0" w:line="313" w:lineRule="auto"/>
        <w:rPr>
          <w:sz w:val="20"/>
          <w:szCs w:val="20"/>
          <w:color w:val="auto"/>
        </w:rPr>
      </w:pPr>
      <w:r>
        <w:rPr>
          <w:rFonts w:ascii="Arial" w:cs="Arial" w:eastAsia="Arial" w:hAnsi="Arial"/>
          <w:sz w:val="18"/>
          <w:szCs w:val="18"/>
          <w:color w:val="auto"/>
        </w:rPr>
        <w:t>Current portion of contingent consideration Total current liabilities Other Long Term Liabilities</w:t>
      </w:r>
    </w:p>
    <w:p>
      <w:pPr>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w:t>
      </w:r>
    </w:p>
    <w:p>
      <w:pPr>
        <w:spacing w:after="0" w:line="63" w:lineRule="exact"/>
        <w:rPr>
          <w:sz w:val="20"/>
          <w:szCs w:val="20"/>
          <w:color w:val="auto"/>
        </w:rPr>
      </w:pPr>
    </w:p>
    <w:p>
      <w:pPr>
        <w:ind w:right="2120"/>
        <w:spacing w:after="0" w:line="313" w:lineRule="auto"/>
        <w:rPr>
          <w:sz w:val="20"/>
          <w:szCs w:val="20"/>
          <w:color w:val="auto"/>
        </w:rPr>
      </w:pPr>
      <w:r>
        <w:rPr>
          <w:rFonts w:ascii="Arial" w:cs="Arial" w:eastAsia="Arial" w:hAnsi="Arial"/>
          <w:sz w:val="18"/>
          <w:szCs w:val="18"/>
          <w:color w:val="auto"/>
        </w:rPr>
        <w:t>Accumulated other comprehensive loss Total Stockholders' Equity</w:t>
      </w:r>
    </w:p>
    <w:p>
      <w:pPr>
        <w:spacing w:after="0"/>
        <w:rPr>
          <w:sz w:val="20"/>
          <w:szCs w:val="20"/>
          <w:color w:val="auto"/>
        </w:rPr>
      </w:pPr>
      <w:r>
        <w:rPr>
          <w:rFonts w:ascii="Arial" w:cs="Arial" w:eastAsia="Arial" w:hAnsi="Arial"/>
          <w:sz w:val="18"/>
          <w:szCs w:val="18"/>
          <w:color w:val="auto"/>
        </w:rPr>
        <w:t>Total 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investing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Change in fair value of contingent consideration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ind w:left="2120"/>
        <w:spacing w:after="0"/>
        <w:rPr>
          <w:sz w:val="20"/>
          <w:szCs w:val="20"/>
          <w:color w:val="auto"/>
        </w:rPr>
      </w:pPr>
      <w:r>
        <w:rPr>
          <w:rFonts w:ascii="Arial" w:cs="Arial" w:eastAsia="Arial" w:hAnsi="Arial"/>
          <w:sz w:val="18"/>
          <w:szCs w:val="18"/>
          <w:color w:val="auto"/>
        </w:rPr>
        <w:t>As of November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31750</wp:posOffset>
            </wp:positionV>
            <wp:extent cx="3404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-147320</wp:posOffset>
            </wp:positionV>
            <wp:extent cx="3404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840" w:type="dxa"/>
            <w:vAlign w:val="bottom"/>
            <w:gridSpan w:val="3"/>
          </w:tcPr>
          <w:p>
            <w:pPr>
              <w:ind w:left="40"/>
              <w:spacing w:after="0"/>
              <w:rPr>
                <w:sz w:val="20"/>
                <w:szCs w:val="20"/>
                <w:color w:val="auto"/>
              </w:rPr>
            </w:pPr>
            <w:r>
              <w:rPr>
                <w:rFonts w:ascii="Arial" w:cs="Arial" w:eastAsia="Arial" w:hAnsi="Arial"/>
                <w:sz w:val="18"/>
                <w:szCs w:val="18"/>
                <w:color w:val="auto"/>
                <w:w w:val="99"/>
              </w:rPr>
              <w:t>As previously reported</w:t>
            </w:r>
          </w:p>
        </w:tc>
        <w:tc>
          <w:tcPr>
            <w:tcW w:w="26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color w:val="auto"/>
              </w:rPr>
              <w:t>Adjustments</w:t>
            </w:r>
          </w:p>
        </w:tc>
        <w:tc>
          <w:tcPr>
            <w:tcW w:w="300" w:type="dxa"/>
            <w:vAlign w:val="bottom"/>
          </w:tcPr>
          <w:p>
            <w:pPr>
              <w:spacing w:after="0"/>
              <w:rPr>
                <w:sz w:val="20"/>
                <w:szCs w:val="20"/>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As revised</w:t>
            </w:r>
          </w:p>
        </w:tc>
      </w:tr>
      <w:tr>
        <w:trPr>
          <w:trHeight w:val="27"/>
        </w:trPr>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75,315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75,372</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6,562</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159,355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159,221</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67,552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66,723</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2,726</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197,362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197,187</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11,878</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799,331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798,729</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19,177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18,589</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9,545</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57,937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57,099</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692</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255,760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255,490</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33,309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32,316</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543,571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543,239</w:t>
            </w:r>
          </w:p>
        </w:tc>
      </w:tr>
      <w:tr>
        <w:trPr>
          <w:trHeight w:val="270"/>
        </w:trPr>
        <w:tc>
          <w:tcPr>
            <w:tcW w:w="58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799,331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798,729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-2906395</wp:posOffset>
            </wp:positionV>
            <wp:extent cx="7246620" cy="180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-2555240</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-2211705</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-1868805</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-1525905</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-1183005</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-839470</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-496570</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-153670</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36017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8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Six months ended November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36017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gridSpan w:val="3"/>
          </w:tcPr>
          <w:p>
            <w:pPr>
              <w:ind w:left="80"/>
              <w:spacing w:after="0"/>
              <w:rPr>
                <w:sz w:val="20"/>
                <w:szCs w:val="20"/>
                <w:color w:val="auto"/>
              </w:rPr>
            </w:pPr>
            <w:r>
              <w:rPr>
                <w:rFonts w:ascii="Arial" w:cs="Arial" w:eastAsia="Arial" w:hAnsi="Arial"/>
                <w:sz w:val="18"/>
                <w:szCs w:val="18"/>
                <w:color w:val="auto"/>
              </w:rPr>
              <w:t>As previously reported</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4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w w:val="99"/>
              </w:rPr>
              <w:t>As revised</w:t>
            </w:r>
          </w:p>
        </w:tc>
      </w:tr>
      <w:tr>
        <w:trPr>
          <w:trHeight w:val="27"/>
        </w:trPr>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2,648</w:t>
            </w:r>
          </w:p>
        </w:tc>
      </w:tr>
      <w:tr>
        <w:trPr>
          <w:trHeight w:val="270"/>
        </w:trPr>
        <w:tc>
          <w:tcPr>
            <w:tcW w:w="6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(7,216)</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3,381</w:t>
            </w:r>
          </w:p>
        </w:tc>
      </w:tr>
      <w:tr>
        <w:trPr>
          <w:trHeight w:val="378"/>
        </w:trPr>
        <w:tc>
          <w:tcPr>
            <w:tcW w:w="6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3620" w:type="dxa"/>
            <w:vAlign w:val="bottom"/>
            <w:gridSpan w:val="6"/>
          </w:tcPr>
          <w:p>
            <w:pPr>
              <w:jc w:val="center"/>
              <w:ind w:left="650"/>
              <w:spacing w:after="0"/>
              <w:rPr>
                <w:sz w:val="20"/>
                <w:szCs w:val="20"/>
                <w:color w:val="auto"/>
              </w:rPr>
            </w:pPr>
            <w:r>
              <w:rPr>
                <w:rFonts w:ascii="Arial" w:cs="Arial" w:eastAsia="Arial" w:hAnsi="Arial"/>
                <w:sz w:val="18"/>
                <w:szCs w:val="18"/>
                <w:color w:val="auto"/>
                <w:w w:val="89"/>
              </w:rPr>
              <w:t>Three months ended August 31, 2014</w:t>
            </w:r>
          </w:p>
        </w:tc>
        <w:tc>
          <w:tcPr>
            <w:tcW w:w="1380" w:type="dxa"/>
            <w:vAlign w:val="bottom"/>
          </w:tcPr>
          <w:p>
            <w:pPr>
              <w:spacing w:after="0"/>
              <w:rPr>
                <w:sz w:val="20"/>
                <w:szCs w:val="20"/>
                <w:color w:val="auto"/>
              </w:rPr>
            </w:pPr>
          </w:p>
        </w:tc>
      </w:tr>
      <w:tr>
        <w:trPr>
          <w:trHeight w:val="27"/>
        </w:trPr>
        <w:tc>
          <w:tcPr>
            <w:tcW w:w="1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gridSpan w:val="3"/>
          </w:tcPr>
          <w:p>
            <w:pPr>
              <w:ind w:left="80"/>
              <w:spacing w:after="0"/>
              <w:rPr>
                <w:sz w:val="20"/>
                <w:szCs w:val="20"/>
                <w:color w:val="auto"/>
              </w:rPr>
            </w:pPr>
            <w:r>
              <w:rPr>
                <w:rFonts w:ascii="Arial" w:cs="Arial" w:eastAsia="Arial" w:hAnsi="Arial"/>
                <w:sz w:val="18"/>
                <w:szCs w:val="18"/>
                <w:color w:val="auto"/>
              </w:rPr>
              <w:t>As previously reported</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4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w w:val="99"/>
              </w:rPr>
              <w:t>As revised</w:t>
            </w:r>
          </w:p>
        </w:tc>
      </w:tr>
      <w:tr>
        <w:trPr>
          <w:trHeight w:val="27"/>
        </w:trPr>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87,331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87,091</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41,506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41,127</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45,825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45,964</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7,188</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20,067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20,735</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7,315</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4,037</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726</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42,583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43,660</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2,304</w:t>
            </w:r>
          </w:p>
        </w:tc>
      </w:tr>
      <w:tr>
        <w:trPr>
          <w:trHeight w:val="270"/>
        </w:trPr>
        <w:tc>
          <w:tcPr>
            <w:tcW w:w="6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0"/>
        </w:trPr>
        <w:tc>
          <w:tcPr>
            <w:tcW w:w="6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1,096</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812</w:t>
            </w:r>
          </w:p>
        </w:tc>
      </w:tr>
      <w:tr>
        <w:trPr>
          <w:trHeight w:val="270"/>
        </w:trPr>
        <w:tc>
          <w:tcPr>
            <w:tcW w:w="66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-3669665</wp:posOffset>
            </wp:positionV>
            <wp:extent cx="721233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-3318510</wp:posOffset>
            </wp:positionV>
            <wp:extent cx="721233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-2563495</wp:posOffset>
            </wp:positionV>
            <wp:extent cx="7212330"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-2211705</wp:posOffset>
            </wp:positionV>
            <wp:extent cx="721233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-1868805</wp:posOffset>
            </wp:positionV>
            <wp:extent cx="721233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-1525905</wp:posOffset>
            </wp:positionV>
            <wp:extent cx="721233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-1183005</wp:posOffset>
            </wp:positionV>
            <wp:extent cx="721233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-839470</wp:posOffset>
            </wp:positionV>
            <wp:extent cx="721233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-496570</wp:posOffset>
            </wp:positionV>
            <wp:extent cx="721233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-153670</wp:posOffset>
            </wp:positionV>
            <wp:extent cx="721233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720"/>
          </w:cols>
          <w:pgMar w:left="280" w:top="544" w:right="239" w:bottom="1440" w:gutter="0" w:footer="0" w:header="0"/>
        </w:sect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380"/>
          </w:cols>
          <w:pgMar w:left="280" w:top="544" w:right="239" w:bottom="1440" w:gutter="0" w:footer="0" w:header="0"/>
          <w:type w:val="continuous"/>
        </w:sectPr>
      </w:pPr>
    </w:p>
    <w:bookmarkStart w:id="95" w:name="page96"/>
    <w:bookmarkEnd w:id="95"/>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(loss), before tax</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(loss), net of tax</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Total comprehensive income (loss),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long term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63" w:lineRule="exact"/>
        <w:rPr>
          <w:sz w:val="20"/>
          <w:szCs w:val="20"/>
          <w:color w:val="auto"/>
        </w:rPr>
      </w:pPr>
    </w:p>
    <w:p>
      <w:pPr>
        <w:ind w:right="1820"/>
        <w:spacing w:after="0" w:line="313" w:lineRule="auto"/>
        <w:rPr>
          <w:sz w:val="20"/>
          <w:szCs w:val="20"/>
          <w:color w:val="auto"/>
        </w:rPr>
      </w:pPr>
      <w:r>
        <w:rPr>
          <w:rFonts w:ascii="Arial" w:cs="Arial" w:eastAsia="Arial" w:hAnsi="Arial"/>
          <w:sz w:val="18"/>
          <w:szCs w:val="18"/>
          <w:color w:val="auto"/>
        </w:rPr>
        <w:t>Current portion of contingent consideration Total current liabilities Other Long Term Liabilities</w:t>
      </w:r>
    </w:p>
    <w:p>
      <w:pPr>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Retained earnings</w:t>
      </w:r>
    </w:p>
    <w:p>
      <w:pPr>
        <w:spacing w:after="0" w:line="63" w:lineRule="exact"/>
        <w:rPr>
          <w:sz w:val="20"/>
          <w:szCs w:val="20"/>
          <w:color w:val="auto"/>
        </w:rPr>
      </w:pPr>
    </w:p>
    <w:p>
      <w:pPr>
        <w:ind w:right="2120"/>
        <w:spacing w:after="0" w:line="313" w:lineRule="auto"/>
        <w:rPr>
          <w:sz w:val="20"/>
          <w:szCs w:val="20"/>
          <w:color w:val="auto"/>
        </w:rPr>
      </w:pPr>
      <w:r>
        <w:rPr>
          <w:rFonts w:ascii="Arial" w:cs="Arial" w:eastAsia="Arial" w:hAnsi="Arial"/>
          <w:sz w:val="18"/>
          <w:szCs w:val="18"/>
          <w:color w:val="auto"/>
        </w:rPr>
        <w:t>Accumulated other comprehensive loss Total Stockholders' Equity</w:t>
      </w:r>
    </w:p>
    <w:p>
      <w:pPr>
        <w:spacing w:after="0"/>
        <w:rPr>
          <w:sz w:val="20"/>
          <w:szCs w:val="20"/>
          <w:color w:val="auto"/>
        </w:rPr>
      </w:pPr>
      <w:r>
        <w:rPr>
          <w:rFonts w:ascii="Arial" w:cs="Arial" w:eastAsia="Arial" w:hAnsi="Arial"/>
          <w:sz w:val="18"/>
          <w:szCs w:val="18"/>
          <w:color w:val="auto"/>
        </w:rPr>
        <w:t>Total 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investing activities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financing activities</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Arial" w:cs="Arial" w:eastAsia="Arial" w:hAnsi="Arial"/>
          <w:sz w:val="18"/>
          <w:szCs w:val="18"/>
          <w:color w:val="auto"/>
        </w:rPr>
        <w:t>Three months ended August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36017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-147320</wp:posOffset>
            </wp:positionV>
            <wp:extent cx="36017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gridSpan w:val="3"/>
          </w:tcPr>
          <w:p>
            <w:pPr>
              <w:ind w:left="80"/>
              <w:spacing w:after="0"/>
              <w:rPr>
                <w:sz w:val="20"/>
                <w:szCs w:val="20"/>
                <w:color w:val="auto"/>
              </w:rPr>
            </w:pPr>
            <w:r>
              <w:rPr>
                <w:rFonts w:ascii="Arial" w:cs="Arial" w:eastAsia="Arial" w:hAnsi="Arial"/>
                <w:sz w:val="18"/>
                <w:szCs w:val="18"/>
                <w:color w:val="auto"/>
              </w:rPr>
              <w:t>As previously reported</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4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w w:val="99"/>
              </w:rPr>
              <w:t>As revised</w:t>
            </w:r>
          </w:p>
        </w:tc>
      </w:tr>
      <w:tr>
        <w:trPr>
          <w:trHeight w:val="27"/>
        </w:trPr>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0"/>
        </w:trPr>
        <w:tc>
          <w:tcPr>
            <w:tcW w:w="6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378"/>
        </w:trPr>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As of August 30, 2014</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1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gridSpan w:val="3"/>
          </w:tcPr>
          <w:p>
            <w:pPr>
              <w:ind w:left="80"/>
              <w:spacing w:after="0"/>
              <w:rPr>
                <w:sz w:val="20"/>
                <w:szCs w:val="20"/>
                <w:color w:val="auto"/>
              </w:rPr>
            </w:pPr>
            <w:r>
              <w:rPr>
                <w:rFonts w:ascii="Arial" w:cs="Arial" w:eastAsia="Arial" w:hAnsi="Arial"/>
                <w:sz w:val="18"/>
                <w:szCs w:val="18"/>
                <w:color w:val="auto"/>
              </w:rPr>
              <w:t>As previously reported</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4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w w:val="99"/>
              </w:rPr>
              <w:t>As revised</w:t>
            </w:r>
          </w:p>
        </w:tc>
      </w:tr>
      <w:tr>
        <w:trPr>
          <w:trHeight w:val="27"/>
        </w:trPr>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70,421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71,306</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6,466</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150,638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151,212</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66,794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66,189</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3,292</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201,440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201,215</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13,267</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796,114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796,169</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17,522</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10,722</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63,707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63,354</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539</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256,430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256,584</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31,971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31,247</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539,684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539,585</w:t>
            </w:r>
          </w:p>
        </w:tc>
      </w:tr>
      <w:tr>
        <w:trPr>
          <w:trHeight w:val="270"/>
        </w:trPr>
        <w:tc>
          <w:tcPr>
            <w:tcW w:w="62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796,114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796,169</w:t>
            </w:r>
          </w:p>
        </w:tc>
      </w:tr>
      <w:tr>
        <w:trPr>
          <w:trHeight w:val="378"/>
        </w:trPr>
        <w:tc>
          <w:tcPr>
            <w:tcW w:w="6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6"/>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3660" w:type="dxa"/>
            <w:vAlign w:val="bottom"/>
            <w:gridSpan w:val="6"/>
          </w:tcPr>
          <w:p>
            <w:pPr>
              <w:jc w:val="center"/>
              <w:ind w:left="690"/>
              <w:spacing w:after="0"/>
              <w:rPr>
                <w:sz w:val="20"/>
                <w:szCs w:val="20"/>
                <w:color w:val="auto"/>
              </w:rPr>
            </w:pPr>
            <w:r>
              <w:rPr>
                <w:rFonts w:ascii="Arial" w:cs="Arial" w:eastAsia="Arial" w:hAnsi="Arial"/>
                <w:sz w:val="18"/>
                <w:szCs w:val="18"/>
                <w:color w:val="auto"/>
                <w:w w:val="89"/>
              </w:rPr>
              <w:t>Three months ended August 30, 2014</w:t>
            </w:r>
          </w:p>
        </w:tc>
        <w:tc>
          <w:tcPr>
            <w:tcW w:w="1380" w:type="dxa"/>
            <w:vAlign w:val="bottom"/>
          </w:tcPr>
          <w:p>
            <w:pPr>
              <w:spacing w:after="0"/>
              <w:rPr>
                <w:sz w:val="20"/>
                <w:szCs w:val="20"/>
                <w:color w:val="auto"/>
              </w:rPr>
            </w:pPr>
          </w:p>
        </w:tc>
      </w:tr>
      <w:tr>
        <w:trPr>
          <w:trHeight w:val="27"/>
        </w:trPr>
        <w:tc>
          <w:tcPr>
            <w:tcW w:w="19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940" w:type="dxa"/>
            <w:vAlign w:val="bottom"/>
            <w:gridSpan w:val="3"/>
          </w:tcPr>
          <w:p>
            <w:pPr>
              <w:ind w:left="80"/>
              <w:spacing w:after="0"/>
              <w:rPr>
                <w:sz w:val="20"/>
                <w:szCs w:val="20"/>
                <w:color w:val="auto"/>
              </w:rPr>
            </w:pPr>
            <w:r>
              <w:rPr>
                <w:rFonts w:ascii="Arial" w:cs="Arial" w:eastAsia="Arial" w:hAnsi="Arial"/>
                <w:sz w:val="18"/>
                <w:szCs w:val="18"/>
                <w:color w:val="auto"/>
              </w:rPr>
              <w:t>As previously reported</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Adjustments</w:t>
            </w:r>
          </w:p>
        </w:tc>
        <w:tc>
          <w:tcPr>
            <w:tcW w:w="4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w w:val="99"/>
              </w:rPr>
              <w:t>As revised</w:t>
            </w:r>
          </w:p>
        </w:tc>
      </w:tr>
      <w:tr>
        <w:trPr>
          <w:trHeight w:val="27"/>
        </w:trPr>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4,942</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(4,848)</w:t>
            </w:r>
          </w:p>
        </w:tc>
      </w:tr>
      <w:tr>
        <w:trPr>
          <w:trHeight w:val="270"/>
        </w:trPr>
        <w:tc>
          <w:tcPr>
            <w:tcW w:w="6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-5462270</wp:posOffset>
            </wp:positionV>
            <wp:extent cx="7212330"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-5110480</wp:posOffset>
            </wp:positionV>
            <wp:extent cx="721233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-4767580</wp:posOffset>
            </wp:positionV>
            <wp:extent cx="721233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-4012565</wp:posOffset>
            </wp:positionV>
            <wp:extent cx="7212330" cy="180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-3661410</wp:posOffset>
            </wp:positionV>
            <wp:extent cx="721233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-3318510</wp:posOffset>
            </wp:positionV>
            <wp:extent cx="721233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-2974975</wp:posOffset>
            </wp:positionV>
            <wp:extent cx="721233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-2632075</wp:posOffset>
            </wp:positionV>
            <wp:extent cx="721233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-2289175</wp:posOffset>
            </wp:positionV>
            <wp:extent cx="721233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-1946275</wp:posOffset>
            </wp:positionV>
            <wp:extent cx="721233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-1602740</wp:posOffset>
            </wp:positionV>
            <wp:extent cx="721233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-1259840</wp:posOffset>
            </wp:positionV>
            <wp:extent cx="721233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-505460</wp:posOffset>
            </wp:positionV>
            <wp:extent cx="7212330" cy="180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-153670</wp:posOffset>
            </wp:positionV>
            <wp:extent cx="721233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660"/>
          </w:cols>
          <w:pgMar w:left="280" w:top="54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20"/>
          </w:cols>
          <w:pgMar w:left="280" w:top="544" w:right="299" w:bottom="144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80" w:type="dxa"/>
            <w:vAlign w:val="bottom"/>
            <w:tcBorders>
              <w:bottom w:val="single" w:sz="8" w:color="auto"/>
            </w:tcBorders>
            <w:gridSpan w:val="10"/>
          </w:tcPr>
          <w:p>
            <w:pPr>
              <w:jc w:val="center"/>
              <w:ind w:right="174"/>
              <w:spacing w:after="0"/>
              <w:rPr>
                <w:sz w:val="20"/>
                <w:szCs w:val="20"/>
                <w:color w:val="auto"/>
              </w:rPr>
            </w:pPr>
            <w:r>
              <w:rPr>
                <w:rFonts w:ascii="Arial" w:cs="Arial" w:eastAsia="Arial" w:hAnsi="Arial"/>
                <w:sz w:val="14"/>
                <w:szCs w:val="14"/>
                <w:b w:val="1"/>
                <w:bCs w:val="1"/>
                <w:color w:val="auto"/>
              </w:rPr>
              <w:t>SCHEDULE II -VALUATION AND QUALIFYING ACCOUNTS</w:t>
            </w:r>
          </w:p>
        </w:tc>
        <w:tc>
          <w:tcPr>
            <w:tcW w:w="0" w:type="dxa"/>
            <w:vAlign w:val="bottom"/>
          </w:tcPr>
          <w:p>
            <w:pPr>
              <w:spacing w:after="0"/>
              <w:rPr>
                <w:sz w:val="1"/>
                <w:szCs w:val="1"/>
                <w:color w:val="auto"/>
              </w:rPr>
            </w:pPr>
          </w:p>
        </w:tc>
      </w:tr>
      <w:tr>
        <w:trPr>
          <w:trHeight w:val="244"/>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Column A</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Column C</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4"/>
              </w:rPr>
              <w:t>Column E</w:t>
            </w:r>
          </w:p>
        </w:tc>
        <w:tc>
          <w:tcPr>
            <w:tcW w:w="0" w:type="dxa"/>
            <w:vAlign w:val="bottom"/>
          </w:tcPr>
          <w:p>
            <w:pPr>
              <w:spacing w:after="0"/>
              <w:rPr>
                <w:sz w:val="1"/>
                <w:szCs w:val="1"/>
                <w:color w:val="auto"/>
              </w:rPr>
            </w:pPr>
          </w:p>
        </w:tc>
      </w:tr>
      <w:tr>
        <w:trPr>
          <w:trHeight w:val="152"/>
        </w:trPr>
        <w:tc>
          <w:tcPr>
            <w:tcW w:w="5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Additions -</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Charged to</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center"/>
              <w:ind w:right="134"/>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costs and</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400"/>
              <w:spacing w:after="0"/>
              <w:rPr>
                <w:sz w:val="20"/>
                <w:szCs w:val="20"/>
                <w:color w:val="auto"/>
              </w:rPr>
            </w:pPr>
            <w:r>
              <w:rPr>
                <w:rFonts w:ascii="Arial" w:cs="Arial" w:eastAsia="Arial" w:hAnsi="Arial"/>
                <w:sz w:val="14"/>
                <w:szCs w:val="14"/>
                <w:b w:val="1"/>
                <w:bCs w:val="1"/>
                <w:color w:val="auto"/>
                <w:w w:val="92"/>
              </w:rPr>
              <w:t>of Year</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81"/>
              </w:rPr>
              <w:t>expenses</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89"/>
              </w:rPr>
              <w:t>Deductions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ind w:right="114"/>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Year Ended May 31, 2014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 (a)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Allowance for sales returns and doubtful accounts (b)</w:t>
            </w:r>
          </w:p>
        </w:tc>
        <w:tc>
          <w:tcPr>
            <w:tcW w:w="2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7,342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Year Ended May 31, 2015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 (a)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Allowance for sales returns and doubtful accounts (b)</w:t>
            </w:r>
          </w:p>
        </w:tc>
        <w:tc>
          <w:tcPr>
            <w:tcW w:w="2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Year Ended May 31, 2016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 (a)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42,209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Allowance for sales returns and doubtful accounts (b)</w:t>
            </w:r>
          </w:p>
        </w:tc>
        <w:tc>
          <w:tcPr>
            <w:tcW w:w="28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3,748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44,433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46,581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Fully reserved deferred tax assets and expiration of fully reserved state net operating loss.</w:t>
      </w:r>
    </w:p>
    <w:p>
      <w:pPr>
        <w:spacing w:after="0" w:line="9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made adjustments to correct immaterial errors within this selected financial data. For a detailed explanation of these adjustments, please refer to Note R, "Immaterial Error Corrections".</w:t>
      </w:r>
    </w:p>
    <w:p>
      <w:pPr>
        <w:spacing w:after="0" w:line="279"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Previously reserved sales returns and accounts written off as uncollectible.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95</w:t>
      </w:r>
    </w:p>
    <w:p>
      <w:pPr>
        <w:sectPr>
          <w:pgSz w:w="11900" w:h="16838" w:orient="portrait"/>
          <w:cols w:equalWidth="0" w:num="1">
            <w:col w:w="11420"/>
          </w:cols>
          <w:pgMar w:left="240" w:top="1440"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ANGIODYNAMICS, INC.</w:t>
      </w:r>
    </w:p>
    <w:p>
      <w:pPr>
        <w:spacing w:after="0" w:line="67" w:lineRule="exact"/>
        <w:rPr>
          <w:sz w:val="20"/>
          <w:szCs w:val="20"/>
          <w:color w:val="auto"/>
        </w:rPr>
      </w:pPr>
    </w:p>
    <w:p>
      <w:pPr>
        <w:ind w:left="40"/>
        <w:spacing w:after="0"/>
        <w:tabs>
          <w:tab w:leader="none" w:pos="720" w:val="left"/>
          <w:tab w:leader="none" w:pos="5740" w:val="left"/>
          <w:tab w:leader="none" w:pos="7720" w:val="left"/>
          <w:tab w:leader="none" w:pos="8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w:t>
      </w:r>
      <w:r>
        <w:rPr>
          <w:rFonts w:ascii="Arial" w:cs="Arial" w:eastAsia="Arial" w:hAnsi="Arial"/>
          <w:sz w:val="13"/>
          <w:szCs w:val="13"/>
          <w:color w:val="auto"/>
        </w:rPr>
        <w:t>OWARD</w:t>
      </w:r>
      <w:r>
        <w:rPr>
          <w:rFonts w:ascii="Arial" w:cs="Arial" w:eastAsia="Arial" w:hAnsi="Arial"/>
          <w:sz w:val="17"/>
          <w:szCs w:val="17"/>
          <w:color w:val="auto"/>
        </w:rPr>
        <w:t xml:space="preserve"> W. D</w:t>
      </w:r>
      <w:r>
        <w:rPr>
          <w:rFonts w:ascii="Arial" w:cs="Arial" w:eastAsia="Arial" w:hAnsi="Arial"/>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8"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Howard W. Donnelly,</w:t>
      </w:r>
    </w:p>
    <w:p>
      <w:pPr>
        <w:spacing w:after="0" w:line="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Chairman of the Board, Director</w:t>
      </w:r>
    </w:p>
    <w:p>
      <w:pPr>
        <w:spacing w:after="0" w:line="14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 2016</w:t>
            </w:r>
          </w:p>
        </w:tc>
        <w:tc>
          <w:tcPr>
            <w:tcW w:w="19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80" w:type="dxa"/>
            <w:vAlign w:val="bottom"/>
            <w:gridSpan w:val="2"/>
          </w:tcPr>
          <w:p>
            <w:pPr>
              <w:jc w:val="center"/>
              <w:ind w:right="1724"/>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OWARD</w:t>
            </w:r>
            <w:r>
              <w:rPr>
                <w:rFonts w:ascii="Arial" w:cs="Arial" w:eastAsia="Arial" w:hAnsi="Arial"/>
                <w:sz w:val="18"/>
                <w:szCs w:val="18"/>
                <w:color w:val="auto"/>
                <w:w w:val="98"/>
              </w:rPr>
              <w:t xml:space="preserve"> W. D</w:t>
            </w:r>
            <w:r>
              <w:rPr>
                <w:rFonts w:ascii="Arial" w:cs="Arial" w:eastAsia="Arial" w:hAnsi="Arial"/>
                <w:sz w:val="14"/>
                <w:szCs w:val="14"/>
                <w:color w:val="auto"/>
                <w:w w:val="98"/>
              </w:rPr>
              <w:t>ONNELLY</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6"/>
              </w:rPr>
              <w:t>Howard W. Donnelly,</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Chairman of the Board, 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 2016</w:t>
            </w:r>
          </w:p>
        </w:tc>
        <w:tc>
          <w:tcPr>
            <w:tcW w:w="1980" w:type="dxa"/>
            <w:vAlign w:val="bottom"/>
          </w:tcPr>
          <w:p>
            <w:pPr>
              <w:spacing w:after="0"/>
              <w:rPr>
                <w:sz w:val="24"/>
                <w:szCs w:val="24"/>
                <w:color w:val="auto"/>
              </w:rPr>
            </w:pPr>
          </w:p>
        </w:tc>
        <w:tc>
          <w:tcPr>
            <w:tcW w:w="570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JAMES C. CLEMMER</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1"/>
              </w:rPr>
              <w:t>James C. Clemmer,</w:t>
            </w:r>
          </w:p>
        </w:tc>
      </w:tr>
      <w:tr>
        <w:trPr>
          <w:trHeight w:val="165"/>
        </w:trPr>
        <w:tc>
          <w:tcPr>
            <w:tcW w:w="5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5"/>
              </w:rPr>
              <w:t>Chief Executive Officer</w:t>
            </w:r>
          </w:p>
        </w:tc>
      </w:tr>
      <w:tr>
        <w:trPr>
          <w:trHeight w:val="186"/>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780" w:type="dxa"/>
            <w:vAlign w:val="bottom"/>
            <w:gridSpan w:val="2"/>
          </w:tcPr>
          <w:p>
            <w:pPr>
              <w:jc w:val="center"/>
              <w:ind w:right="1844"/>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 2016</w:t>
            </w:r>
          </w:p>
        </w:tc>
        <w:tc>
          <w:tcPr>
            <w:tcW w:w="1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PETER KISH</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5"/>
              </w:rPr>
              <w:t>Peter Kish,</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Interim—Chief Financial Officer, (Principal Financial and Chief Accounting Officer)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 2016</w:t>
            </w:r>
          </w:p>
        </w:tc>
        <w:tc>
          <w:tcPr>
            <w:tcW w:w="1980" w:type="dxa"/>
            <w:vAlign w:val="bottom"/>
          </w:tcPr>
          <w:p>
            <w:pPr>
              <w:spacing w:after="0"/>
              <w:rPr>
                <w:sz w:val="24"/>
                <w:szCs w:val="24"/>
                <w:color w:val="auto"/>
              </w:rPr>
            </w:pPr>
          </w:p>
        </w:tc>
        <w:tc>
          <w:tcPr>
            <w:tcW w:w="1920" w:type="dxa"/>
            <w:vAlign w:val="bottom"/>
          </w:tcPr>
          <w:p>
            <w:pPr>
              <w:jc w:val="right"/>
              <w:ind w:right="7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80" w:type="dxa"/>
            <w:vAlign w:val="bottom"/>
            <w:gridSpan w:val="2"/>
          </w:tcPr>
          <w:p>
            <w:pPr>
              <w:jc w:val="center"/>
              <w:ind w:right="1844"/>
              <w:spacing w:after="0"/>
              <w:rPr>
                <w:sz w:val="20"/>
                <w:szCs w:val="20"/>
                <w:color w:val="auto"/>
              </w:rPr>
            </w:pPr>
            <w:r>
              <w:rPr>
                <w:rFonts w:ascii="Arial" w:cs="Arial" w:eastAsia="Arial" w:hAnsi="Arial"/>
                <w:sz w:val="18"/>
                <w:szCs w:val="18"/>
                <w:color w:val="auto"/>
                <w:w w:val="93"/>
              </w:rPr>
              <w:t>W</w:t>
            </w:r>
            <w:r>
              <w:rPr>
                <w:rFonts w:ascii="Arial" w:cs="Arial" w:eastAsia="Arial" w:hAnsi="Arial"/>
                <w:sz w:val="14"/>
                <w:szCs w:val="14"/>
                <w:color w:val="auto"/>
                <w:w w:val="93"/>
              </w:rPr>
              <w:t>ESLEY</w:t>
            </w:r>
            <w:r>
              <w:rPr>
                <w:rFonts w:ascii="Arial" w:cs="Arial" w:eastAsia="Arial" w:hAnsi="Arial"/>
                <w:sz w:val="18"/>
                <w:szCs w:val="18"/>
                <w:color w:val="auto"/>
                <w:w w:val="93"/>
              </w:rPr>
              <w:t xml:space="preserve"> E. J</w:t>
            </w:r>
            <w:r>
              <w:rPr>
                <w:rFonts w:ascii="Arial" w:cs="Arial" w:eastAsia="Arial" w:hAnsi="Arial"/>
                <w:sz w:val="14"/>
                <w:szCs w:val="14"/>
                <w:color w:val="auto"/>
                <w:w w:val="93"/>
              </w:rPr>
              <w:t>OHNSON</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0"/>
              </w:rPr>
              <w:t>Wesley E. Johnson, Jr.,</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 2016</w:t>
            </w:r>
          </w:p>
        </w:tc>
        <w:tc>
          <w:tcPr>
            <w:tcW w:w="1980" w:type="dxa"/>
            <w:vAlign w:val="bottom"/>
          </w:tcPr>
          <w:p>
            <w:pPr>
              <w:spacing w:after="0"/>
              <w:rPr>
                <w:sz w:val="24"/>
                <w:szCs w:val="24"/>
                <w:color w:val="auto"/>
              </w:rPr>
            </w:pPr>
          </w:p>
        </w:tc>
        <w:tc>
          <w:tcPr>
            <w:tcW w:w="2120" w:type="dxa"/>
            <w:vAlign w:val="bottom"/>
            <w:gridSpan w:val="2"/>
          </w:tcPr>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964"/>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EFFREY</w:t>
            </w:r>
            <w:r>
              <w:rPr>
                <w:rFonts w:ascii="Arial" w:cs="Arial" w:eastAsia="Arial" w:hAnsi="Arial"/>
                <w:sz w:val="18"/>
                <w:szCs w:val="18"/>
                <w:color w:val="auto"/>
                <w:w w:val="95"/>
              </w:rPr>
              <w:t xml:space="preserve"> G. G</w:t>
            </w:r>
            <w:r>
              <w:rPr>
                <w:rFonts w:ascii="Arial" w:cs="Arial" w:eastAsia="Arial" w:hAnsi="Arial"/>
                <w:sz w:val="14"/>
                <w:szCs w:val="14"/>
                <w:color w:val="auto"/>
                <w:w w:val="95"/>
              </w:rPr>
              <w:t>OLD</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3"/>
              </w:rPr>
              <w:t>Jeffrey G. Gold,</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 2016</w:t>
            </w:r>
          </w:p>
        </w:tc>
        <w:tc>
          <w:tcPr>
            <w:tcW w:w="1980" w:type="dxa"/>
            <w:vAlign w:val="bottom"/>
          </w:tcPr>
          <w:p>
            <w:pPr>
              <w:spacing w:after="0"/>
              <w:rPr>
                <w:sz w:val="24"/>
                <w:szCs w:val="24"/>
                <w:color w:val="auto"/>
              </w:rPr>
            </w:pPr>
          </w:p>
        </w:tc>
        <w:tc>
          <w:tcPr>
            <w:tcW w:w="2120" w:type="dxa"/>
            <w:vAlign w:val="bottom"/>
            <w:gridSpan w:val="2"/>
          </w:tcPr>
          <w:p>
            <w:pPr>
              <w:ind w:left="18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964"/>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S. M</w:t>
            </w:r>
            <w:r>
              <w:rPr>
                <w:rFonts w:ascii="Arial" w:cs="Arial" w:eastAsia="Arial" w:hAnsi="Arial"/>
                <w:sz w:val="14"/>
                <w:szCs w:val="14"/>
                <w:color w:val="auto"/>
                <w:w w:val="98"/>
              </w:rPr>
              <w:t>ETENY</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1"/>
              </w:rPr>
              <w:t>Dennis S. Meteny,</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 2016</w:t>
            </w:r>
          </w:p>
        </w:tc>
        <w:tc>
          <w:tcPr>
            <w:tcW w:w="1980" w:type="dxa"/>
            <w:vAlign w:val="bottom"/>
          </w:tcPr>
          <w:p>
            <w:pPr>
              <w:spacing w:after="0"/>
              <w:rPr>
                <w:sz w:val="24"/>
                <w:szCs w:val="24"/>
                <w:color w:val="auto"/>
              </w:rPr>
            </w:pPr>
          </w:p>
        </w:tc>
        <w:tc>
          <w:tcPr>
            <w:tcW w:w="2120" w:type="dxa"/>
            <w:vAlign w:val="bottom"/>
            <w:gridSpan w:val="2"/>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Pr>
          <w:p>
            <w:pPr>
              <w:jc w:val="center"/>
              <w:ind w:right="1964"/>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TEVEN R.</w:t>
            </w:r>
            <w:r>
              <w:rPr>
                <w:rFonts w:ascii="Arial" w:cs="Arial" w:eastAsia="Arial" w:hAnsi="Arial"/>
                <w:sz w:val="18"/>
                <w:szCs w:val="18"/>
                <w:color w:val="auto"/>
                <w:w w:val="96"/>
              </w:rPr>
              <w:t xml:space="preserve"> L</w:t>
            </w:r>
            <w:r>
              <w:rPr>
                <w:rFonts w:ascii="Arial" w:cs="Arial" w:eastAsia="Arial" w:hAnsi="Arial"/>
                <w:sz w:val="14"/>
                <w:szCs w:val="14"/>
                <w:color w:val="auto"/>
                <w:w w:val="96"/>
              </w:rPr>
              <w:t>A</w:t>
            </w:r>
            <w:r>
              <w:rPr>
                <w:rFonts w:ascii="Arial" w:cs="Arial" w:eastAsia="Arial" w:hAnsi="Arial"/>
                <w:sz w:val="18"/>
                <w:szCs w:val="18"/>
                <w:color w:val="auto"/>
                <w:w w:val="96"/>
              </w:rPr>
              <w:t>P</w:t>
            </w:r>
            <w:r>
              <w:rPr>
                <w:rFonts w:ascii="Arial" w:cs="Arial" w:eastAsia="Arial" w:hAnsi="Arial"/>
                <w:sz w:val="14"/>
                <w:szCs w:val="14"/>
                <w:color w:val="auto"/>
                <w:w w:val="96"/>
              </w:rPr>
              <w:t>ORTE</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24"/>
              <w:spacing w:after="0"/>
              <w:rPr>
                <w:sz w:val="20"/>
                <w:szCs w:val="20"/>
                <w:color w:val="auto"/>
              </w:rPr>
            </w:pPr>
            <w:r>
              <w:rPr>
                <w:rFonts w:ascii="Arial" w:cs="Arial" w:eastAsia="Arial" w:hAnsi="Arial"/>
                <w:sz w:val="14"/>
                <w:szCs w:val="14"/>
                <w:b w:val="1"/>
                <w:bCs w:val="1"/>
                <w:color w:val="auto"/>
                <w:w w:val="93"/>
              </w:rPr>
              <w:t>Steven R. LaPorte,</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 2016</w:t>
            </w:r>
          </w:p>
        </w:tc>
        <w:tc>
          <w:tcPr>
            <w:tcW w:w="1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80" w:type="dxa"/>
            <w:vAlign w:val="bottom"/>
          </w:tcPr>
          <w:p>
            <w:pPr>
              <w:jc w:val="center"/>
              <w:ind w:right="1964"/>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EVIN</w:t>
            </w:r>
            <w:r>
              <w:rPr>
                <w:rFonts w:ascii="Arial" w:cs="Arial" w:eastAsia="Arial" w:hAnsi="Arial"/>
                <w:sz w:val="18"/>
                <w:szCs w:val="18"/>
                <w:color w:val="auto"/>
              </w:rPr>
              <w:t xml:space="preserve"> J. G</w:t>
            </w:r>
            <w:r>
              <w:rPr>
                <w:rFonts w:ascii="Arial" w:cs="Arial" w:eastAsia="Arial" w:hAnsi="Arial"/>
                <w:sz w:val="14"/>
                <w:szCs w:val="14"/>
                <w:color w:val="auto"/>
              </w:rPr>
              <w:t>OULD</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6"/>
              </w:rPr>
              <w:t>Kevin J. Gould,</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 2016</w:t>
            </w:r>
          </w:p>
        </w:tc>
        <w:tc>
          <w:tcPr>
            <w:tcW w:w="19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80" w:type="dxa"/>
            <w:vAlign w:val="bottom"/>
            <w:gridSpan w:val="2"/>
          </w:tcPr>
          <w:p>
            <w:pPr>
              <w:jc w:val="center"/>
              <w:ind w:right="1764"/>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w:t>
            </w:r>
            <w:r>
              <w:rPr>
                <w:rFonts w:ascii="Arial" w:cs="Arial" w:eastAsia="Arial" w:hAnsi="Arial"/>
                <w:sz w:val="14"/>
                <w:szCs w:val="14"/>
                <w:color w:val="auto"/>
                <w:w w:val="99"/>
              </w:rPr>
              <w:t>URGSTAHLER</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4"/>
              </w:rPr>
              <w:t>David Burgstahler,</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60"/>
              <w:spacing w:after="0"/>
              <w:rPr>
                <w:sz w:val="20"/>
                <w:szCs w:val="20"/>
                <w:color w:val="auto"/>
              </w:rPr>
            </w:pPr>
            <w:r>
              <w:rPr>
                <w:rFonts w:ascii="Arial" w:cs="Arial" w:eastAsia="Arial" w:hAnsi="Arial"/>
                <w:sz w:val="18"/>
                <w:szCs w:val="18"/>
                <w:color w:val="auto"/>
              </w:rPr>
              <w:t>August 1, 2016</w:t>
            </w:r>
          </w:p>
        </w:tc>
        <w:tc>
          <w:tcPr>
            <w:tcW w:w="1980" w:type="dxa"/>
            <w:vAlign w:val="bottom"/>
          </w:tcPr>
          <w:p>
            <w:pPr>
              <w:spacing w:after="0"/>
              <w:rPr>
                <w:sz w:val="24"/>
                <w:szCs w:val="24"/>
                <w:color w:val="auto"/>
              </w:rPr>
            </w:pPr>
          </w:p>
        </w:tc>
        <w:tc>
          <w:tcPr>
            <w:tcW w:w="1920" w:type="dxa"/>
            <w:vAlign w:val="bottom"/>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780" w:type="dxa"/>
            <w:vAlign w:val="bottom"/>
            <w:gridSpan w:val="2"/>
          </w:tcPr>
          <w:p>
            <w:pPr>
              <w:jc w:val="center"/>
              <w:ind w:right="1784"/>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RIRAM</w:t>
            </w:r>
            <w:r>
              <w:rPr>
                <w:rFonts w:ascii="Arial" w:cs="Arial" w:eastAsia="Arial" w:hAnsi="Arial"/>
                <w:sz w:val="18"/>
                <w:szCs w:val="18"/>
                <w:color w:val="auto"/>
              </w:rPr>
              <w:t xml:space="preserve"> V</w:t>
            </w:r>
            <w:r>
              <w:rPr>
                <w:rFonts w:ascii="Arial" w:cs="Arial" w:eastAsia="Arial" w:hAnsi="Arial"/>
                <w:sz w:val="14"/>
                <w:szCs w:val="14"/>
                <w:color w:val="auto"/>
              </w:rPr>
              <w:t>ENKATARAMAN</w:t>
            </w:r>
          </w:p>
        </w:tc>
      </w:tr>
      <w:tr>
        <w:trPr>
          <w:trHeight w:val="27"/>
        </w:trPr>
        <w:tc>
          <w:tcPr>
            <w:tcW w:w="5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6"/>
              </w:rPr>
              <w:t>Sriram Venkataraman,</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Pr>
          <w:p>
            <w:pPr>
              <w:jc w:val="center"/>
              <w:ind w:right="2044"/>
              <w:spacing w:after="0"/>
              <w:rPr>
                <w:sz w:val="20"/>
                <w:szCs w:val="20"/>
                <w:color w:val="auto"/>
              </w:rPr>
            </w:pPr>
            <w:r>
              <w:rPr>
                <w:rFonts w:ascii="Arial" w:cs="Arial" w:eastAsia="Arial" w:hAnsi="Arial"/>
                <w:sz w:val="14"/>
                <w:szCs w:val="14"/>
                <w:b w:val="1"/>
                <w:bCs w:val="1"/>
                <w:color w:val="auto"/>
                <w:w w:val="93"/>
              </w:rPr>
              <w:t>Director</w:t>
            </w:r>
          </w:p>
        </w:tc>
      </w:tr>
      <w:tr>
        <w:trPr>
          <w:trHeight w:val="741"/>
        </w:trPr>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900" w:type="dxa"/>
            <w:vAlign w:val="bottom"/>
            <w:gridSpan w:val="2"/>
          </w:tcPr>
          <w:p>
            <w:pPr>
              <w:jc w:val="right"/>
              <w:ind w:right="1754"/>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80" w:type="dxa"/>
            <w:vAlign w:val="bottom"/>
          </w:tcPr>
          <w:p>
            <w:pPr>
              <w:ind w:left="2800"/>
              <w:spacing w:after="0"/>
              <w:rPr>
                <w:sz w:val="20"/>
                <w:szCs w:val="20"/>
                <w:color w:val="auto"/>
              </w:rPr>
            </w:pPr>
            <w:r>
              <w:rPr>
                <w:rFonts w:ascii="Arial" w:cs="Arial" w:eastAsia="Arial" w:hAnsi="Arial"/>
                <w:sz w:val="18"/>
                <w:szCs w:val="18"/>
                <w:color w:val="auto"/>
              </w:rPr>
              <w:t>EXHIBITS</w:t>
            </w:r>
          </w:p>
        </w:tc>
      </w:tr>
      <w:tr>
        <w:trPr>
          <w:trHeight w:val="527"/>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(b)</w:t>
            </w:r>
          </w:p>
        </w:tc>
        <w:tc>
          <w:tcPr>
            <w:tcW w:w="162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5"/>
              </w:rPr>
              <w:t>Exhibits</w:t>
            </w:r>
          </w:p>
        </w:tc>
        <w:tc>
          <w:tcPr>
            <w:tcW w:w="8880" w:type="dxa"/>
            <w:vAlign w:val="bottom"/>
          </w:tcPr>
          <w:p>
            <w:pPr>
              <w:spacing w:after="0"/>
              <w:rPr>
                <w:sz w:val="24"/>
                <w:szCs w:val="24"/>
                <w:color w:val="auto"/>
              </w:rPr>
            </w:pPr>
          </w:p>
        </w:tc>
      </w:tr>
      <w:tr>
        <w:trPr>
          <w:trHeight w:val="276"/>
        </w:trPr>
        <w:tc>
          <w:tcPr>
            <w:tcW w:w="1840" w:type="dxa"/>
            <w:vAlign w:val="bottom"/>
            <w:gridSpan w:val="2"/>
          </w:tcPr>
          <w:p>
            <w:pPr>
              <w:spacing w:after="0"/>
              <w:rPr>
                <w:sz w:val="20"/>
                <w:szCs w:val="20"/>
                <w:color w:val="auto"/>
              </w:rPr>
            </w:pPr>
            <w:r>
              <w:rPr>
                <w:rFonts w:ascii="Arial" w:cs="Arial" w:eastAsia="Arial" w:hAnsi="Arial"/>
                <w:sz w:val="18"/>
                <w:szCs w:val="18"/>
                <w:color w:val="auto"/>
              </w:rPr>
              <w:t>2.1</w:t>
            </w:r>
          </w:p>
        </w:tc>
        <w:tc>
          <w:tcPr>
            <w:tcW w:w="9500" w:type="dxa"/>
            <w:vAlign w:val="bottom"/>
            <w:gridSpan w:val="2"/>
          </w:tcPr>
          <w:p>
            <w:pPr>
              <w:spacing w:after="0"/>
              <w:rPr>
                <w:sz w:val="20"/>
                <w:szCs w:val="20"/>
                <w:color w:val="auto"/>
              </w:rPr>
            </w:pPr>
            <w:r>
              <w:rPr>
                <w:rFonts w:ascii="Arial" w:cs="Arial" w:eastAsia="Arial" w:hAnsi="Arial"/>
                <w:sz w:val="18"/>
                <w:szCs w:val="18"/>
                <w:color w:val="auto"/>
                <w:w w:val="92"/>
              </w:rPr>
              <w:t>Stockholders Agreement, dated as of May 22, 2012, among AngioDynamics, Inc. and the stockholders set forth on the signature</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1"/>
              </w:rPr>
              <w:t>pages thereto (incorporated by reference to Exhibit 2.2 of the Company’s current report on Form 8-K filed with the Commission on</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May 25, 2012).</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2.2</w:t>
            </w:r>
          </w:p>
        </w:tc>
        <w:tc>
          <w:tcPr>
            <w:tcW w:w="9500" w:type="dxa"/>
            <w:vAlign w:val="bottom"/>
            <w:gridSpan w:val="2"/>
          </w:tcPr>
          <w:p>
            <w:pPr>
              <w:spacing w:after="0"/>
              <w:rPr>
                <w:sz w:val="20"/>
                <w:szCs w:val="20"/>
                <w:color w:val="auto"/>
              </w:rPr>
            </w:pPr>
            <w:r>
              <w:rPr>
                <w:rFonts w:ascii="Arial" w:cs="Arial" w:eastAsia="Arial" w:hAnsi="Arial"/>
                <w:sz w:val="18"/>
                <w:szCs w:val="18"/>
                <w:color w:val="auto"/>
                <w:w w:val="92"/>
              </w:rPr>
              <w:t>Stock Purchase Agreement, dated as of October 8, 2012, by and among AngioDynamics, Inc., Vortex Medical, Inc. (“Vortex”), the</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0"/>
              </w:rPr>
              <w:t>stockholders of Vortex set forth on the signature pages thereto, the option holders of Vortex set forth on the signature pages thereto</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0"/>
              </w:rPr>
              <w:t>and CHTP Management Services, Inc., as sellers’ representative (incorporated by reference to Exhibit 2.1 of the Company’s current</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report on Form 8-K, filed with the Commission on October 12, 2012).</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3.1.1</w:t>
            </w:r>
          </w:p>
        </w:tc>
        <w:tc>
          <w:tcPr>
            <w:tcW w:w="9500" w:type="dxa"/>
            <w:vAlign w:val="bottom"/>
            <w:gridSpan w:val="2"/>
          </w:tcPr>
          <w:p>
            <w:pPr>
              <w:spacing w:after="0"/>
              <w:rPr>
                <w:sz w:val="20"/>
                <w:szCs w:val="20"/>
                <w:color w:val="auto"/>
              </w:rPr>
            </w:pPr>
            <w:r>
              <w:rPr>
                <w:rFonts w:ascii="Arial" w:cs="Arial" w:eastAsia="Arial" w:hAnsi="Arial"/>
                <w:sz w:val="18"/>
                <w:szCs w:val="18"/>
                <w:color w:val="auto"/>
                <w:w w:val="92"/>
              </w:rPr>
              <w:t>Amended and Restated Certificate of Incorporation (incorporated by reference to Exhibit 3.1 of the Company’s quarterly report on</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Form 10-Q, filed with the Commission on October 7, 2005).</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3.1.2</w:t>
            </w:r>
          </w:p>
        </w:tc>
        <w:tc>
          <w:tcPr>
            <w:tcW w:w="9500" w:type="dxa"/>
            <w:vAlign w:val="bottom"/>
            <w:gridSpan w:val="2"/>
          </w:tcPr>
          <w:p>
            <w:pPr>
              <w:spacing w:after="0"/>
              <w:rPr>
                <w:sz w:val="20"/>
                <w:szCs w:val="20"/>
                <w:color w:val="auto"/>
              </w:rPr>
            </w:pPr>
            <w:r>
              <w:rPr>
                <w:rFonts w:ascii="Arial" w:cs="Arial" w:eastAsia="Arial" w:hAnsi="Arial"/>
                <w:sz w:val="18"/>
                <w:szCs w:val="18"/>
                <w:color w:val="auto"/>
                <w:w w:val="96"/>
              </w:rPr>
              <w:t>Certificate of Amendment to the Amended and Restated Certificate of Incorporation of AngioDynamics, Inc. (incorporated by</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9"/>
              </w:rPr>
              <w:t>reference to Exhibit 3.1.2 of the Company's annual report on Form 10-K, filed with the Commission on August 10, 2015).</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3.2</w:t>
            </w:r>
          </w:p>
        </w:tc>
        <w:tc>
          <w:tcPr>
            <w:tcW w:w="9500" w:type="dxa"/>
            <w:vAlign w:val="bottom"/>
            <w:gridSpan w:val="2"/>
          </w:tcPr>
          <w:p>
            <w:pPr>
              <w:spacing w:after="0"/>
              <w:rPr>
                <w:sz w:val="20"/>
                <w:szCs w:val="20"/>
                <w:color w:val="auto"/>
              </w:rPr>
            </w:pPr>
            <w:r>
              <w:rPr>
                <w:rFonts w:ascii="Arial" w:cs="Arial" w:eastAsia="Arial" w:hAnsi="Arial"/>
                <w:sz w:val="18"/>
                <w:szCs w:val="18"/>
                <w:color w:val="auto"/>
                <w:w w:val="91"/>
              </w:rPr>
              <w:t>Second Amended and Restated By-Laws, effective October 16, 2015 (incorporated by reference to Exhibit 10.1 of the Company’s</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current report on Form 8-K, filed with the Commission on October 21, 2015).</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10.1</w:t>
            </w:r>
          </w:p>
        </w:tc>
        <w:tc>
          <w:tcPr>
            <w:tcW w:w="9500" w:type="dxa"/>
            <w:vAlign w:val="bottom"/>
            <w:gridSpan w:val="2"/>
          </w:tcPr>
          <w:p>
            <w:pPr>
              <w:spacing w:after="0"/>
              <w:rPr>
                <w:sz w:val="20"/>
                <w:szCs w:val="20"/>
                <w:color w:val="auto"/>
              </w:rPr>
            </w:pPr>
            <w:r>
              <w:rPr>
                <w:rFonts w:ascii="Arial" w:cs="Arial" w:eastAsia="Arial" w:hAnsi="Arial"/>
                <w:sz w:val="18"/>
                <w:szCs w:val="18"/>
                <w:color w:val="auto"/>
                <w:w w:val="89"/>
              </w:rPr>
              <w:t>Credit Agreement, dated as of September 19, 2013, by and among AngioDynamics, Inc., the lenders party thereto, JPMorgan Chase</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2"/>
              </w:rPr>
              <w:t>Bank, N.A., as administrative agent, Bank of America, N.A. and Keybank National Association as co-syndication agents, and J.P.</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Morgan Securities LLC, Merrill Lynch, Pierce, Fenner &amp; Smith Incorporated and Keybank National Association as joint</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1"/>
              </w:rPr>
              <w:t>bookrunners and joint lead arrangers (incorporated by reference to Exhibit 10.1 of the Company’s current report on Form 8-K filed</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with the Commission on September 24, 2013).</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10.1.1</w:t>
            </w:r>
          </w:p>
        </w:tc>
        <w:tc>
          <w:tcPr>
            <w:tcW w:w="9500" w:type="dxa"/>
            <w:vAlign w:val="bottom"/>
            <w:gridSpan w:val="2"/>
          </w:tcPr>
          <w:p>
            <w:pPr>
              <w:spacing w:after="0"/>
              <w:rPr>
                <w:sz w:val="20"/>
                <w:szCs w:val="20"/>
                <w:color w:val="auto"/>
              </w:rPr>
            </w:pPr>
            <w:r>
              <w:rPr>
                <w:rFonts w:ascii="Arial" w:cs="Arial" w:eastAsia="Arial" w:hAnsi="Arial"/>
                <w:sz w:val="18"/>
                <w:szCs w:val="18"/>
                <w:color w:val="auto"/>
                <w:w w:val="91"/>
              </w:rPr>
              <w:t>AngioDynamics, Inc. 1997 Stock Option Plan, as amended by the Board and Shareholders on February 27, 2004 (incorporated by</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reference to Exhibit 10.2 of the Company’s registration statement on Form S-1, filed on March 5, 2004).</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10.1.2</w:t>
            </w:r>
          </w:p>
        </w:tc>
        <w:tc>
          <w:tcPr>
            <w:tcW w:w="9500" w:type="dxa"/>
            <w:vAlign w:val="bottom"/>
            <w:gridSpan w:val="2"/>
          </w:tcPr>
          <w:p>
            <w:pPr>
              <w:spacing w:after="0"/>
              <w:rPr>
                <w:sz w:val="20"/>
                <w:szCs w:val="20"/>
                <w:color w:val="auto"/>
              </w:rPr>
            </w:pPr>
            <w:r>
              <w:rPr>
                <w:rFonts w:ascii="Arial" w:cs="Arial" w:eastAsia="Arial" w:hAnsi="Arial"/>
                <w:sz w:val="18"/>
                <w:szCs w:val="18"/>
                <w:color w:val="auto"/>
                <w:w w:val="92"/>
              </w:rPr>
              <w:t>AngioDynamics, Inc. 2004 Stock and Incentive Award Plan (as amended) (incorporated by reference to the Company’s Definitive</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Proxy Statement on Schedule 14A filed with the Commission on September 17, 2014).</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10.1.3</w:t>
            </w:r>
          </w:p>
        </w:tc>
        <w:tc>
          <w:tcPr>
            <w:tcW w:w="9500" w:type="dxa"/>
            <w:vAlign w:val="bottom"/>
            <w:gridSpan w:val="2"/>
          </w:tcPr>
          <w:p>
            <w:pPr>
              <w:spacing w:after="0"/>
              <w:rPr>
                <w:sz w:val="20"/>
                <w:szCs w:val="20"/>
                <w:color w:val="auto"/>
              </w:rPr>
            </w:pPr>
            <w:r>
              <w:rPr>
                <w:rFonts w:ascii="Arial" w:cs="Arial" w:eastAsia="Arial" w:hAnsi="Arial"/>
                <w:sz w:val="18"/>
                <w:szCs w:val="18"/>
                <w:color w:val="auto"/>
                <w:w w:val="92"/>
              </w:rPr>
              <w:t>AngioDynamics 2013 Total Shareholder Return Performance Unit Agreement Program (incorporated by reference to Exhibit 10.2</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with the Commission on November 5, 2013).</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10.1.4</w:t>
            </w:r>
          </w:p>
        </w:tc>
        <w:tc>
          <w:tcPr>
            <w:tcW w:w="9500" w:type="dxa"/>
            <w:vAlign w:val="bottom"/>
            <w:gridSpan w:val="2"/>
          </w:tcPr>
          <w:p>
            <w:pPr>
              <w:spacing w:after="0"/>
              <w:rPr>
                <w:sz w:val="20"/>
                <w:szCs w:val="20"/>
                <w:color w:val="auto"/>
              </w:rPr>
            </w:pPr>
            <w:r>
              <w:rPr>
                <w:rFonts w:ascii="Arial" w:cs="Arial" w:eastAsia="Arial" w:hAnsi="Arial"/>
                <w:sz w:val="18"/>
                <w:szCs w:val="18"/>
                <w:color w:val="auto"/>
                <w:w w:val="91"/>
              </w:rPr>
              <w:t>AngioDynamics 2014 Total Shareholder Return Performance Unit Agreement Program (incorporated by reference to Exhibit 10.1.4</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of the Company's annual report on Form 10-K filed with the Commission on January 12, 2015).</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10.1.5</w:t>
            </w:r>
          </w:p>
        </w:tc>
        <w:tc>
          <w:tcPr>
            <w:tcW w:w="9500" w:type="dxa"/>
            <w:vAlign w:val="bottom"/>
            <w:gridSpan w:val="2"/>
          </w:tcPr>
          <w:p>
            <w:pPr>
              <w:spacing w:after="0"/>
              <w:rPr>
                <w:sz w:val="20"/>
                <w:szCs w:val="20"/>
                <w:color w:val="auto"/>
              </w:rPr>
            </w:pPr>
            <w:r>
              <w:rPr>
                <w:rFonts w:ascii="Arial" w:cs="Arial" w:eastAsia="Arial" w:hAnsi="Arial"/>
                <w:sz w:val="18"/>
                <w:szCs w:val="18"/>
                <w:color w:val="auto"/>
                <w:w w:val="91"/>
              </w:rPr>
              <w:t>AngioDynamics 2015 Total Shareholder Return Performance Unit Agreement Program (incorporated by reference to Exhibit 10.1.5</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of the Company’s annual report on Form 10-K filed with the Commission on August 10, 2015).</w:t>
            </w:r>
          </w:p>
        </w:tc>
      </w:tr>
      <w:tr>
        <w:trPr>
          <w:trHeight w:val="472"/>
        </w:trPr>
        <w:tc>
          <w:tcPr>
            <w:tcW w:w="1840" w:type="dxa"/>
            <w:vAlign w:val="bottom"/>
            <w:gridSpan w:val="2"/>
          </w:tcPr>
          <w:p>
            <w:pPr>
              <w:spacing w:after="0"/>
              <w:rPr>
                <w:sz w:val="20"/>
                <w:szCs w:val="20"/>
                <w:color w:val="auto"/>
              </w:rPr>
            </w:pPr>
            <w:r>
              <w:rPr>
                <w:rFonts w:ascii="Arial" w:cs="Arial" w:eastAsia="Arial" w:hAnsi="Arial"/>
                <w:sz w:val="18"/>
                <w:szCs w:val="18"/>
                <w:color w:val="auto"/>
              </w:rPr>
              <w:t>10.2</w:t>
            </w:r>
          </w:p>
        </w:tc>
        <w:tc>
          <w:tcPr>
            <w:tcW w:w="9500" w:type="dxa"/>
            <w:vAlign w:val="bottom"/>
            <w:gridSpan w:val="2"/>
          </w:tcPr>
          <w:p>
            <w:pPr>
              <w:spacing w:after="0"/>
              <w:rPr>
                <w:sz w:val="20"/>
                <w:szCs w:val="20"/>
                <w:color w:val="auto"/>
              </w:rPr>
            </w:pPr>
            <w:r>
              <w:rPr>
                <w:rFonts w:ascii="Arial" w:cs="Arial" w:eastAsia="Arial" w:hAnsi="Arial"/>
                <w:sz w:val="18"/>
                <w:szCs w:val="18"/>
                <w:color w:val="auto"/>
                <w:w w:val="92"/>
              </w:rPr>
              <w:t>AngioDynamics, Inc. Employee Stock Purchase Plan (as amended) (incorporated by reference to the Company’s Definitive Proxy</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Statement on Schedule 14A filed with the Commission on September 17, 2014).</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10.3</w:t>
            </w:r>
          </w:p>
        </w:tc>
        <w:tc>
          <w:tcPr>
            <w:tcW w:w="9500" w:type="dxa"/>
            <w:vAlign w:val="bottom"/>
            <w:gridSpan w:val="2"/>
          </w:tcPr>
          <w:p>
            <w:pPr>
              <w:spacing w:after="0"/>
              <w:rPr>
                <w:sz w:val="20"/>
                <w:szCs w:val="20"/>
                <w:color w:val="auto"/>
              </w:rPr>
            </w:pPr>
            <w:r>
              <w:rPr>
                <w:rFonts w:ascii="Arial" w:cs="Arial" w:eastAsia="Arial" w:hAnsi="Arial"/>
                <w:sz w:val="18"/>
                <w:szCs w:val="18"/>
                <w:color w:val="auto"/>
              </w:rPr>
              <w:t>Form of Non-Statutory Stock Option Agreement pursuant to the AngioDynamics, Inc. Stock and Incentive Award Plan</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2"/>
              </w:rPr>
              <w:t>(incorporated by reference to Exhibit 10.1 of the Company’s quarterly report on Form 10-Q, filed with the Commission on October</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12, 2004).</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10.4.1</w:t>
            </w:r>
          </w:p>
        </w:tc>
        <w:tc>
          <w:tcPr>
            <w:tcW w:w="9500" w:type="dxa"/>
            <w:vAlign w:val="bottom"/>
            <w:gridSpan w:val="2"/>
          </w:tcPr>
          <w:p>
            <w:pPr>
              <w:spacing w:after="0"/>
              <w:rPr>
                <w:sz w:val="20"/>
                <w:szCs w:val="20"/>
                <w:color w:val="auto"/>
              </w:rPr>
            </w:pPr>
            <w:r>
              <w:rPr>
                <w:rFonts w:ascii="Arial" w:cs="Arial" w:eastAsia="Arial" w:hAnsi="Arial"/>
                <w:sz w:val="18"/>
                <w:szCs w:val="18"/>
                <w:color w:val="auto"/>
                <w:w w:val="93"/>
              </w:rPr>
              <w:t>Form of 2013 Performance Share Award Agreement pursuant to the AngioDynamics, Inc. 2004 Stock and Incentive Award Plan</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4"/>
              </w:rPr>
              <w:t>(incorporated by reference to Exhibit 10.2 of the Company’s current report on Form 8-K, filed with the Commission on May 12,</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2005).</w:t>
            </w:r>
          </w:p>
        </w:tc>
        <w:tc>
          <w:tcPr>
            <w:tcW w:w="8880" w:type="dxa"/>
            <w:vAlign w:val="bottom"/>
          </w:tcPr>
          <w:p>
            <w:pPr>
              <w:spacing w:after="0"/>
              <w:rPr>
                <w:sz w:val="20"/>
                <w:szCs w:val="20"/>
                <w:color w:val="auto"/>
              </w:rPr>
            </w:pP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10.4.2</w:t>
            </w:r>
          </w:p>
        </w:tc>
        <w:tc>
          <w:tcPr>
            <w:tcW w:w="9500" w:type="dxa"/>
            <w:vAlign w:val="bottom"/>
            <w:gridSpan w:val="2"/>
          </w:tcPr>
          <w:p>
            <w:pPr>
              <w:spacing w:after="0"/>
              <w:rPr>
                <w:sz w:val="20"/>
                <w:szCs w:val="20"/>
                <w:color w:val="auto"/>
              </w:rPr>
            </w:pPr>
            <w:r>
              <w:rPr>
                <w:rFonts w:ascii="Arial" w:cs="Arial" w:eastAsia="Arial" w:hAnsi="Arial"/>
                <w:sz w:val="18"/>
                <w:szCs w:val="18"/>
                <w:color w:val="auto"/>
                <w:w w:val="93"/>
              </w:rPr>
              <w:t>Form of 2014 Performance Share Award Agreement pursuant to the AngioDynamics, Inc. 2004 Stock and Incentive Award Plan</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3"/>
              </w:rPr>
              <w:t>(incorporated by reference to Exhibit 10.4.2 of the Company's annual report on Form 10-K filed with the Commission on January</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12, 2015).</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10.4.3</w:t>
            </w:r>
          </w:p>
        </w:tc>
        <w:tc>
          <w:tcPr>
            <w:tcW w:w="9500" w:type="dxa"/>
            <w:vAlign w:val="bottom"/>
            <w:gridSpan w:val="2"/>
          </w:tcPr>
          <w:p>
            <w:pPr>
              <w:spacing w:after="0"/>
              <w:rPr>
                <w:sz w:val="20"/>
                <w:szCs w:val="20"/>
                <w:color w:val="auto"/>
              </w:rPr>
            </w:pPr>
            <w:r>
              <w:rPr>
                <w:rFonts w:ascii="Arial" w:cs="Arial" w:eastAsia="Arial" w:hAnsi="Arial"/>
                <w:sz w:val="18"/>
                <w:szCs w:val="18"/>
                <w:color w:val="auto"/>
                <w:w w:val="93"/>
              </w:rPr>
              <w:t>Form of 2015 Performance Share Award Agreement pursuant to the AngioDyanmics, Inc. 2004 Stock and Incentive Award Plan</w:t>
            </w:r>
          </w:p>
        </w:tc>
      </w:tr>
      <w:tr>
        <w:trPr>
          <w:trHeight w:val="216"/>
        </w:trPr>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3"/>
              </w:rPr>
              <w:t>(incorporated by reference to Exhibit 10.4.3 of the Company’s annual report on Form 10-K filed with the Commission on August</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10, 2015).</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10.5</w:t>
            </w:r>
          </w:p>
        </w:tc>
        <w:tc>
          <w:tcPr>
            <w:tcW w:w="9500" w:type="dxa"/>
            <w:vAlign w:val="bottom"/>
            <w:gridSpan w:val="2"/>
          </w:tcPr>
          <w:p>
            <w:pPr>
              <w:spacing w:after="0"/>
              <w:rPr>
                <w:sz w:val="20"/>
                <w:szCs w:val="20"/>
                <w:color w:val="auto"/>
              </w:rPr>
            </w:pPr>
            <w:r>
              <w:rPr>
                <w:rFonts w:ascii="Arial" w:cs="Arial" w:eastAsia="Arial" w:hAnsi="Arial"/>
                <w:sz w:val="18"/>
                <w:szCs w:val="18"/>
                <w:color w:val="auto"/>
              </w:rPr>
              <w:t>Form of Restricted Stock Award Agreement pursuant to the AngioDynamics, Inc. 2004 Stock and Incentive Award Plan</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(incorporated by reference to the Company’s current report on Form 8-K, filed with the Commission on May 12, 2005).</w:t>
            </w:r>
          </w:p>
        </w:tc>
      </w:tr>
      <w:tr>
        <w:trPr>
          <w:trHeight w:val="256"/>
        </w:trPr>
        <w:tc>
          <w:tcPr>
            <w:tcW w:w="1840" w:type="dxa"/>
            <w:vAlign w:val="bottom"/>
            <w:gridSpan w:val="2"/>
          </w:tcPr>
          <w:p>
            <w:pPr>
              <w:spacing w:after="0"/>
              <w:rPr>
                <w:sz w:val="20"/>
                <w:szCs w:val="20"/>
                <w:color w:val="auto"/>
              </w:rPr>
            </w:pPr>
            <w:r>
              <w:rPr>
                <w:rFonts w:ascii="Arial" w:cs="Arial" w:eastAsia="Arial" w:hAnsi="Arial"/>
                <w:sz w:val="18"/>
                <w:szCs w:val="18"/>
                <w:color w:val="auto"/>
              </w:rPr>
              <w:t>10.6</w:t>
            </w:r>
          </w:p>
        </w:tc>
        <w:tc>
          <w:tcPr>
            <w:tcW w:w="9500" w:type="dxa"/>
            <w:vAlign w:val="bottom"/>
            <w:gridSpan w:val="2"/>
          </w:tcPr>
          <w:p>
            <w:pPr>
              <w:spacing w:after="0"/>
              <w:rPr>
                <w:sz w:val="20"/>
                <w:szCs w:val="20"/>
                <w:color w:val="auto"/>
              </w:rPr>
            </w:pPr>
            <w:r>
              <w:rPr>
                <w:rFonts w:ascii="Arial" w:cs="Arial" w:eastAsia="Arial" w:hAnsi="Arial"/>
                <w:sz w:val="18"/>
                <w:szCs w:val="18"/>
                <w:color w:val="auto"/>
                <w:w w:val="98"/>
              </w:rPr>
              <w:t>Rita Medical Systems, Inc. 1994 Incentive Stock Plan (incorporated by reference to Exhibit 10.2 of Rita Medical Systems</w:t>
            </w:r>
          </w:p>
        </w:tc>
      </w:tr>
      <w:tr>
        <w:trPr>
          <w:trHeight w:val="230"/>
        </w:trPr>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registration statement on Form S-1, filed with the Commission on May 3, 2000)</w:t>
            </w:r>
          </w:p>
        </w:tc>
      </w:tr>
      <w:tr>
        <w:trPr>
          <w:trHeight w:val="486"/>
        </w:trPr>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500" w:type="dxa"/>
            <w:vAlign w:val="bottom"/>
            <w:gridSpan w:val="2"/>
          </w:tcPr>
          <w:p>
            <w:pPr>
              <w:ind w:left="374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340"/>
          </w:cols>
          <w:pgMar w:left="280" w:top="584" w:right="27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10.7</w:t>
            </w:r>
          </w:p>
        </w:tc>
        <w:tc>
          <w:tcPr>
            <w:tcW w:w="10080" w:type="dxa"/>
            <w:vAlign w:val="bottom"/>
          </w:tcPr>
          <w:p>
            <w:pPr>
              <w:ind w:left="660"/>
              <w:spacing w:after="0"/>
              <w:rPr>
                <w:sz w:val="20"/>
                <w:szCs w:val="20"/>
                <w:color w:val="auto"/>
              </w:rPr>
            </w:pPr>
            <w:r>
              <w:rPr>
                <w:rFonts w:ascii="Arial" w:cs="Arial" w:eastAsia="Arial" w:hAnsi="Arial"/>
                <w:sz w:val="18"/>
                <w:szCs w:val="18"/>
                <w:color w:val="auto"/>
                <w:w w:val="98"/>
              </w:rPr>
              <w:t>Horizon Medical Products, Inc. 1998 Stock Incentive Plan (incorporated by reference to Exhibit 10.11 of Horizon Medical</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Products’ registration statement on Form S-1, filed with the Commission on February 13, 1998.</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10.8</w:t>
            </w:r>
          </w:p>
        </w:tc>
        <w:tc>
          <w:tcPr>
            <w:tcW w:w="10080" w:type="dxa"/>
            <w:vAlign w:val="bottom"/>
          </w:tcPr>
          <w:p>
            <w:pPr>
              <w:ind w:left="660"/>
              <w:spacing w:after="0"/>
              <w:rPr>
                <w:sz w:val="20"/>
                <w:szCs w:val="20"/>
                <w:color w:val="auto"/>
              </w:rPr>
            </w:pPr>
            <w:r>
              <w:rPr>
                <w:rFonts w:ascii="Arial" w:cs="Arial" w:eastAsia="Arial" w:hAnsi="Arial"/>
                <w:sz w:val="18"/>
                <w:szCs w:val="18"/>
                <w:color w:val="auto"/>
                <w:w w:val="96"/>
              </w:rPr>
              <w:t>Rita Medical Systems, Inc. 2000 Stock Plan (incorporated by reference to Exhibit 10.3 of Rita Medical Systems registration</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statement on Form S-1/A, filed with the Commission on June 14, 2000).</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10.9</w:t>
            </w:r>
          </w:p>
        </w:tc>
        <w:tc>
          <w:tcPr>
            <w:tcW w:w="10080" w:type="dxa"/>
            <w:vAlign w:val="bottom"/>
          </w:tcPr>
          <w:p>
            <w:pPr>
              <w:ind w:left="660"/>
              <w:spacing w:after="0"/>
              <w:rPr>
                <w:sz w:val="20"/>
                <w:szCs w:val="20"/>
                <w:color w:val="auto"/>
              </w:rPr>
            </w:pPr>
            <w:r>
              <w:rPr>
                <w:rFonts w:ascii="Arial" w:cs="Arial" w:eastAsia="Arial" w:hAnsi="Arial"/>
                <w:sz w:val="18"/>
                <w:szCs w:val="18"/>
                <w:color w:val="auto"/>
                <w:w w:val="91"/>
              </w:rPr>
              <w:t>Rita Medical Systems, Inc. 2000 Directors’ Stock Plan, as amended on June 8, 2005 (incorporated by reference to Exhibit 99.2 of</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Rita Medical System’s registration statement on Form S-8, filed with the Commission on July 8, 2005).</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10.10</w:t>
            </w:r>
          </w:p>
        </w:tc>
        <w:tc>
          <w:tcPr>
            <w:tcW w:w="10080" w:type="dxa"/>
            <w:vAlign w:val="bottom"/>
          </w:tcPr>
          <w:p>
            <w:pPr>
              <w:ind w:left="660"/>
              <w:spacing w:after="0"/>
              <w:rPr>
                <w:sz w:val="20"/>
                <w:szCs w:val="20"/>
                <w:color w:val="auto"/>
              </w:rPr>
            </w:pPr>
            <w:r>
              <w:rPr>
                <w:rFonts w:ascii="Arial" w:cs="Arial" w:eastAsia="Arial" w:hAnsi="Arial"/>
                <w:sz w:val="18"/>
                <w:szCs w:val="18"/>
                <w:color w:val="auto"/>
                <w:w w:val="94"/>
              </w:rPr>
              <w:t>Rita Medical Systems, Inc. 2005 Stock and Incentive Plan (incorporated by reference to Exhibit 99.1 of Rita Medical System’s</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registration statement on Form S-8, filed with the Commission on July 8, 2005).</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10.11</w:t>
            </w:r>
          </w:p>
        </w:tc>
        <w:tc>
          <w:tcPr>
            <w:tcW w:w="10080" w:type="dxa"/>
            <w:vAlign w:val="bottom"/>
          </w:tcPr>
          <w:p>
            <w:pPr>
              <w:ind w:left="660"/>
              <w:spacing w:after="0"/>
              <w:rPr>
                <w:sz w:val="20"/>
                <w:szCs w:val="20"/>
                <w:color w:val="auto"/>
              </w:rPr>
            </w:pPr>
            <w:r>
              <w:rPr>
                <w:rFonts w:ascii="Arial" w:cs="Arial" w:eastAsia="Arial" w:hAnsi="Arial"/>
                <w:sz w:val="18"/>
                <w:szCs w:val="18"/>
                <w:color w:val="auto"/>
                <w:w w:val="92"/>
              </w:rPr>
              <w:t>Form of Indemnification Agreement of AngioDynamics, Inc. (incorporated by reference to Exhibit 10.1 of the Company’s current</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report on Form 8-K, filed with the Commission on May 12, 2006).</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10.11.1</w:t>
            </w:r>
          </w:p>
        </w:tc>
        <w:tc>
          <w:tcPr>
            <w:tcW w:w="10080" w:type="dxa"/>
            <w:vAlign w:val="bottom"/>
          </w:tcPr>
          <w:p>
            <w:pPr>
              <w:ind w:left="660"/>
              <w:spacing w:after="0"/>
              <w:rPr>
                <w:sz w:val="20"/>
                <w:szCs w:val="20"/>
                <w:color w:val="auto"/>
              </w:rPr>
            </w:pPr>
            <w:r>
              <w:rPr>
                <w:rFonts w:ascii="Arial" w:cs="Arial" w:eastAsia="Arial" w:hAnsi="Arial"/>
                <w:sz w:val="18"/>
                <w:szCs w:val="18"/>
                <w:color w:val="auto"/>
                <w:w w:val="91"/>
              </w:rPr>
              <w:t>Employment Agreement, dated April 1, 2016, between AngioDynamics, Inc. and James C. Clemmer (incorporated by reference to</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Exhibit 10.1 of the Company’s current report on Form 8-K, filed with the Commission on April 6, 2016).</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10.12</w:t>
            </w:r>
          </w:p>
        </w:tc>
        <w:tc>
          <w:tcPr>
            <w:tcW w:w="10080" w:type="dxa"/>
            <w:vAlign w:val="bottom"/>
          </w:tcPr>
          <w:p>
            <w:pPr>
              <w:ind w:left="660"/>
              <w:spacing w:after="0"/>
              <w:rPr>
                <w:sz w:val="20"/>
                <w:szCs w:val="20"/>
                <w:color w:val="auto"/>
              </w:rPr>
            </w:pPr>
            <w:r>
              <w:rPr>
                <w:rFonts w:ascii="Arial" w:cs="Arial" w:eastAsia="Arial" w:hAnsi="Arial"/>
                <w:sz w:val="18"/>
                <w:szCs w:val="18"/>
                <w:color w:val="auto"/>
                <w:w w:val="96"/>
              </w:rPr>
              <w:t>Change in Control Agreement, dated April 1, 2016, between AngioDynamics, Inc. and James C. Clemmer (incorporated by</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reference to Exhibit 10.2 of the Company’s current report on Form 8-K, filed with the Commission on April 6, 2016).</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10.12.1</w:t>
            </w:r>
          </w:p>
        </w:tc>
        <w:tc>
          <w:tcPr>
            <w:tcW w:w="10080" w:type="dxa"/>
            <w:vAlign w:val="bottom"/>
          </w:tcPr>
          <w:p>
            <w:pPr>
              <w:ind w:left="660"/>
              <w:spacing w:after="0"/>
              <w:rPr>
                <w:sz w:val="20"/>
                <w:szCs w:val="20"/>
                <w:color w:val="auto"/>
              </w:rPr>
            </w:pPr>
            <w:r>
              <w:rPr>
                <w:rFonts w:ascii="Arial" w:cs="Arial" w:eastAsia="Arial" w:hAnsi="Arial"/>
                <w:sz w:val="18"/>
                <w:szCs w:val="18"/>
                <w:color w:val="auto"/>
                <w:w w:val="91"/>
              </w:rPr>
              <w:t>Form of Severance Agreement of AngioDynamics, Inc. (incorporated by reference to Exhibit 10.1 of the Company’s current report</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on form 8-K, filed with the Commission on October 31, 2007).</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10.13</w:t>
            </w:r>
          </w:p>
        </w:tc>
        <w:tc>
          <w:tcPr>
            <w:tcW w:w="10080" w:type="dxa"/>
            <w:vAlign w:val="bottom"/>
          </w:tcPr>
          <w:p>
            <w:pPr>
              <w:ind w:left="660"/>
              <w:spacing w:after="0"/>
              <w:rPr>
                <w:sz w:val="20"/>
                <w:szCs w:val="20"/>
                <w:color w:val="auto"/>
              </w:rPr>
            </w:pPr>
            <w:r>
              <w:rPr>
                <w:rFonts w:ascii="Arial" w:cs="Arial" w:eastAsia="Arial" w:hAnsi="Arial"/>
                <w:sz w:val="18"/>
                <w:szCs w:val="18"/>
                <w:color w:val="auto"/>
                <w:w w:val="92"/>
              </w:rPr>
              <w:t>Form of Change in Control Agreement (incorporated by reference to Exhibit 10.13 of the Company's annual report on Form 10-K</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filed with the Commission on January 12, 2015).</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10.13.1</w:t>
            </w:r>
          </w:p>
        </w:tc>
        <w:tc>
          <w:tcPr>
            <w:tcW w:w="10080" w:type="dxa"/>
            <w:vAlign w:val="bottom"/>
          </w:tcPr>
          <w:p>
            <w:pPr>
              <w:ind w:left="660"/>
              <w:spacing w:after="0"/>
              <w:rPr>
                <w:sz w:val="20"/>
                <w:szCs w:val="20"/>
                <w:color w:val="auto"/>
              </w:rPr>
            </w:pPr>
            <w:r>
              <w:rPr>
                <w:rFonts w:ascii="Arial" w:cs="Arial" w:eastAsia="Arial" w:hAnsi="Arial"/>
                <w:sz w:val="18"/>
                <w:szCs w:val="18"/>
                <w:color w:val="auto"/>
                <w:w w:val="92"/>
              </w:rPr>
              <w:t>Performance Share Award Agreement, with a grant date of April 4, 2016, between AngioDynamics, Inc. and James C. Clemmer</w:t>
            </w:r>
          </w:p>
        </w:tc>
      </w:tr>
      <w:tr>
        <w:trPr>
          <w:trHeight w:val="216"/>
        </w:trPr>
        <w:tc>
          <w:tcPr>
            <w:tcW w:w="1180" w:type="dxa"/>
            <w:vAlign w:val="bottom"/>
          </w:tcPr>
          <w:p>
            <w:pPr>
              <w:spacing w:after="0"/>
              <w:rPr>
                <w:sz w:val="18"/>
                <w:szCs w:val="18"/>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w w:val="94"/>
              </w:rPr>
              <w:t>(incorporated by reference to Exhibit 10.3 of the Company’s current report on Form 8-K, filed with the Commission on April 6,</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2016).</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10.14</w:t>
            </w:r>
          </w:p>
        </w:tc>
        <w:tc>
          <w:tcPr>
            <w:tcW w:w="10080" w:type="dxa"/>
            <w:vAlign w:val="bottom"/>
          </w:tcPr>
          <w:p>
            <w:pPr>
              <w:ind w:left="660"/>
              <w:spacing w:after="0"/>
              <w:rPr>
                <w:sz w:val="20"/>
                <w:szCs w:val="20"/>
                <w:color w:val="auto"/>
              </w:rPr>
            </w:pPr>
            <w:r>
              <w:rPr>
                <w:rFonts w:ascii="Arial" w:cs="Arial" w:eastAsia="Arial" w:hAnsi="Arial"/>
                <w:sz w:val="18"/>
                <w:szCs w:val="18"/>
                <w:color w:val="auto"/>
                <w:w w:val="95"/>
              </w:rPr>
              <w:t>AngioDynamics, Inc. Total Shareholder Return Performance Share Award Program - Performance Period Ending July 2019</w:t>
            </w:r>
          </w:p>
        </w:tc>
      </w:tr>
      <w:tr>
        <w:trPr>
          <w:trHeight w:val="216"/>
        </w:trPr>
        <w:tc>
          <w:tcPr>
            <w:tcW w:w="1180" w:type="dxa"/>
            <w:vAlign w:val="bottom"/>
          </w:tcPr>
          <w:p>
            <w:pPr>
              <w:spacing w:after="0"/>
              <w:rPr>
                <w:sz w:val="18"/>
                <w:szCs w:val="18"/>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w w:val="94"/>
              </w:rPr>
              <w:t>(incorporated by reference to Exhibit 10.4 of the Company’s current report on Form 8-K, filed with the Commission on April 6,</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2016).</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10.15</w:t>
            </w:r>
          </w:p>
        </w:tc>
        <w:tc>
          <w:tcPr>
            <w:tcW w:w="10080" w:type="dxa"/>
            <w:vAlign w:val="bottom"/>
          </w:tcPr>
          <w:p>
            <w:pPr>
              <w:ind w:left="660"/>
              <w:spacing w:after="0"/>
              <w:rPr>
                <w:sz w:val="20"/>
                <w:szCs w:val="20"/>
                <w:color w:val="auto"/>
              </w:rPr>
            </w:pPr>
            <w:r>
              <w:rPr>
                <w:rFonts w:ascii="Arial" w:cs="Arial" w:eastAsia="Arial" w:hAnsi="Arial"/>
                <w:sz w:val="18"/>
                <w:szCs w:val="18"/>
                <w:color w:val="auto"/>
                <w:w w:val="97"/>
              </w:rPr>
              <w:t>Stock Option Award Agreement, with a grant date of April 4, 2016, between AngioDynamics, Inc. and James C. Clemmer</w:t>
            </w:r>
          </w:p>
        </w:tc>
      </w:tr>
      <w:tr>
        <w:trPr>
          <w:trHeight w:val="216"/>
        </w:trPr>
        <w:tc>
          <w:tcPr>
            <w:tcW w:w="1180" w:type="dxa"/>
            <w:vAlign w:val="bottom"/>
          </w:tcPr>
          <w:p>
            <w:pPr>
              <w:spacing w:after="0"/>
              <w:rPr>
                <w:sz w:val="18"/>
                <w:szCs w:val="18"/>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w w:val="94"/>
              </w:rPr>
              <w:t>(incorporated by reference to Exhibit 10.5 of the Company’s current report on Form 8-K, filed with the Commission on April 6,</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2016).</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10.16</w:t>
            </w:r>
          </w:p>
        </w:tc>
        <w:tc>
          <w:tcPr>
            <w:tcW w:w="10080" w:type="dxa"/>
            <w:vAlign w:val="bottom"/>
          </w:tcPr>
          <w:p>
            <w:pPr>
              <w:ind w:left="660"/>
              <w:spacing w:after="0"/>
              <w:rPr>
                <w:sz w:val="20"/>
                <w:szCs w:val="20"/>
                <w:color w:val="auto"/>
              </w:rPr>
            </w:pPr>
            <w:r>
              <w:rPr>
                <w:rFonts w:ascii="Arial" w:cs="Arial" w:eastAsia="Arial" w:hAnsi="Arial"/>
                <w:sz w:val="18"/>
                <w:szCs w:val="18"/>
                <w:color w:val="auto"/>
                <w:w w:val="91"/>
              </w:rPr>
              <w:t>Restricted Stock Unit Award Agreement, with a grant date of April 4, 2016, between AngioDynamics, Inc. and James C. Clemmer</w:t>
            </w:r>
          </w:p>
        </w:tc>
      </w:tr>
      <w:tr>
        <w:trPr>
          <w:trHeight w:val="216"/>
        </w:trPr>
        <w:tc>
          <w:tcPr>
            <w:tcW w:w="1180" w:type="dxa"/>
            <w:vAlign w:val="bottom"/>
          </w:tcPr>
          <w:p>
            <w:pPr>
              <w:spacing w:after="0"/>
              <w:rPr>
                <w:sz w:val="18"/>
                <w:szCs w:val="18"/>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w w:val="94"/>
              </w:rPr>
              <w:t>(incorporated by reference to Exhibit 10.6 of the Company’s current report on Form 8-K, filed with the Commission on April 6,</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2016).</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10.17</w:t>
            </w:r>
          </w:p>
        </w:tc>
        <w:tc>
          <w:tcPr>
            <w:tcW w:w="10080" w:type="dxa"/>
            <w:vAlign w:val="bottom"/>
          </w:tcPr>
          <w:p>
            <w:pPr>
              <w:ind w:left="660"/>
              <w:spacing w:after="0"/>
              <w:rPr>
                <w:sz w:val="20"/>
                <w:szCs w:val="20"/>
                <w:color w:val="auto"/>
              </w:rPr>
            </w:pPr>
            <w:r>
              <w:rPr>
                <w:rFonts w:ascii="Arial" w:cs="Arial" w:eastAsia="Arial" w:hAnsi="Arial"/>
                <w:sz w:val="18"/>
                <w:szCs w:val="18"/>
                <w:color w:val="auto"/>
                <w:w w:val="97"/>
              </w:rPr>
              <w:t>Separation Agreement and General Release, dated April 22, 2016, between AngioDynamics, Inc. and Joseph M. DeVivo</w:t>
            </w:r>
          </w:p>
        </w:tc>
      </w:tr>
      <w:tr>
        <w:trPr>
          <w:trHeight w:val="216"/>
        </w:trPr>
        <w:tc>
          <w:tcPr>
            <w:tcW w:w="1180" w:type="dxa"/>
            <w:vAlign w:val="bottom"/>
          </w:tcPr>
          <w:p>
            <w:pPr>
              <w:spacing w:after="0"/>
              <w:rPr>
                <w:sz w:val="18"/>
                <w:szCs w:val="18"/>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w w:val="93"/>
              </w:rPr>
              <w:t>(incorporated by reference to Exhibit 10.1 of the Company’s current report on Form 8-K, filed with the Commission on April 27,</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2016).</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10.19</w:t>
            </w:r>
          </w:p>
        </w:tc>
        <w:tc>
          <w:tcPr>
            <w:tcW w:w="10080" w:type="dxa"/>
            <w:vAlign w:val="bottom"/>
          </w:tcPr>
          <w:p>
            <w:pPr>
              <w:ind w:left="660"/>
              <w:spacing w:after="0"/>
              <w:rPr>
                <w:sz w:val="20"/>
                <w:szCs w:val="20"/>
                <w:color w:val="auto"/>
              </w:rPr>
            </w:pPr>
            <w:r>
              <w:rPr>
                <w:rFonts w:ascii="Arial" w:cs="Arial" w:eastAsia="Arial" w:hAnsi="Arial"/>
                <w:sz w:val="18"/>
                <w:szCs w:val="18"/>
                <w:color w:val="auto"/>
                <w:w w:val="92"/>
              </w:rPr>
              <w:t>AngioDynamics, Inc. Fiscal Year 2012 Senior Executive Equity Incentive Program (incorporated by reference to Exhibit 10.30 of</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the Company’s annual report on Form 10-K, filed with the commission on August 12, 2011).</w:t>
            </w: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14</w:t>
            </w:r>
          </w:p>
        </w:tc>
        <w:tc>
          <w:tcPr>
            <w:tcW w:w="10080" w:type="dxa"/>
            <w:vAlign w:val="bottom"/>
          </w:tcPr>
          <w:p>
            <w:pPr>
              <w:ind w:left="660"/>
              <w:spacing w:after="0"/>
              <w:rPr>
                <w:sz w:val="20"/>
                <w:szCs w:val="20"/>
                <w:color w:val="auto"/>
              </w:rPr>
            </w:pPr>
            <w:r>
              <w:rPr>
                <w:rFonts w:ascii="Arial" w:cs="Arial" w:eastAsia="Arial" w:hAnsi="Arial"/>
                <w:sz w:val="18"/>
                <w:szCs w:val="18"/>
                <w:color w:val="auto"/>
                <w:w w:val="92"/>
              </w:rPr>
              <w:t>Code of Ethics (incorporated by reference to Exhibit 14 of the Company’s current report on Form 8-K, filed with the Commission</w:t>
            </w:r>
          </w:p>
        </w:tc>
      </w:tr>
      <w:tr>
        <w:trPr>
          <w:trHeight w:val="230"/>
        </w:trPr>
        <w:tc>
          <w:tcPr>
            <w:tcW w:w="1180" w:type="dxa"/>
            <w:vAlign w:val="bottom"/>
          </w:tcPr>
          <w:p>
            <w:pPr>
              <w:spacing w:after="0"/>
              <w:rPr>
                <w:sz w:val="20"/>
                <w:szCs w:val="20"/>
                <w:color w:val="auto"/>
              </w:rPr>
            </w:pPr>
          </w:p>
        </w:tc>
        <w:tc>
          <w:tcPr>
            <w:tcW w:w="10080" w:type="dxa"/>
            <w:vAlign w:val="bottom"/>
          </w:tcPr>
          <w:p>
            <w:pPr>
              <w:ind w:left="660"/>
              <w:spacing w:after="0"/>
              <w:rPr>
                <w:sz w:val="20"/>
                <w:szCs w:val="20"/>
                <w:color w:val="auto"/>
              </w:rPr>
            </w:pPr>
            <w:r>
              <w:rPr>
                <w:rFonts w:ascii="Arial" w:cs="Arial" w:eastAsia="Arial" w:hAnsi="Arial"/>
                <w:sz w:val="18"/>
                <w:szCs w:val="18"/>
                <w:color w:val="auto"/>
              </w:rPr>
              <w:t>on May 12, 2006).</w:t>
            </w:r>
          </w:p>
        </w:tc>
      </w:tr>
      <w:tr>
        <w:trPr>
          <w:trHeight w:val="702"/>
        </w:trPr>
        <w:tc>
          <w:tcPr>
            <w:tcW w:w="1180" w:type="dxa"/>
            <w:vAlign w:val="bottom"/>
          </w:tcPr>
          <w:p>
            <w:pPr>
              <w:spacing w:after="0"/>
              <w:rPr>
                <w:sz w:val="24"/>
                <w:szCs w:val="24"/>
                <w:color w:val="auto"/>
              </w:rPr>
            </w:pPr>
          </w:p>
        </w:tc>
        <w:tc>
          <w:tcPr>
            <w:tcW w:w="10080" w:type="dxa"/>
            <w:vAlign w:val="bottom"/>
          </w:tcPr>
          <w:p>
            <w:pPr>
              <w:ind w:left="440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260"/>
          </w:cols>
          <w:pgMar w:left="280" w:top="746" w:right="35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9480" w:type="dxa"/>
            <w:vAlign w:val="bottom"/>
          </w:tcPr>
          <w:p>
            <w:pPr>
              <w:ind w:left="580"/>
              <w:spacing w:after="0"/>
              <w:rPr>
                <w:sz w:val="20"/>
                <w:szCs w:val="20"/>
                <w:color w:val="auto"/>
              </w:rPr>
            </w:pPr>
            <w:r>
              <w:rPr>
                <w:rFonts w:ascii="Arial" w:cs="Arial" w:eastAsia="Arial" w:hAnsi="Arial"/>
                <w:sz w:val="18"/>
                <w:szCs w:val="18"/>
                <w:color w:val="auto"/>
              </w:rPr>
              <w:t>Subsidiaries</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23</w:t>
            </w:r>
          </w:p>
        </w:tc>
        <w:tc>
          <w:tcPr>
            <w:tcW w:w="9480" w:type="dxa"/>
            <w:vAlign w:val="bottom"/>
          </w:tcPr>
          <w:p>
            <w:pPr>
              <w:ind w:left="580"/>
              <w:spacing w:after="0"/>
              <w:rPr>
                <w:sz w:val="20"/>
                <w:szCs w:val="20"/>
                <w:color w:val="auto"/>
              </w:rPr>
            </w:pPr>
            <w:r>
              <w:rPr>
                <w:rFonts w:ascii="Arial" w:cs="Arial" w:eastAsia="Arial" w:hAnsi="Arial"/>
                <w:sz w:val="18"/>
                <w:szCs w:val="18"/>
                <w:color w:val="auto"/>
              </w:rPr>
              <w:t>Consent of PricewaterhouseCoopers LLP, an independent registered public accounting firm.</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9480" w:type="dxa"/>
            <w:vAlign w:val="bottom"/>
          </w:tcPr>
          <w:p>
            <w:pPr>
              <w:ind w:left="580"/>
              <w:spacing w:after="0"/>
              <w:rPr>
                <w:sz w:val="20"/>
                <w:szCs w:val="20"/>
                <w:color w:val="auto"/>
              </w:rPr>
            </w:pPr>
            <w:r>
              <w:rPr>
                <w:rFonts w:ascii="Arial" w:cs="Arial" w:eastAsia="Arial" w:hAnsi="Arial"/>
                <w:sz w:val="18"/>
                <w:szCs w:val="18"/>
                <w:color w:val="auto"/>
              </w:rPr>
              <w:t>Certification by the Chief Executive Officer Pursuant to Section 302 of the Sarbanes-Oxley Act of 2002.</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9480" w:type="dxa"/>
            <w:vAlign w:val="bottom"/>
          </w:tcPr>
          <w:p>
            <w:pPr>
              <w:ind w:left="580"/>
              <w:spacing w:after="0"/>
              <w:rPr>
                <w:sz w:val="20"/>
                <w:szCs w:val="20"/>
                <w:color w:val="auto"/>
              </w:rPr>
            </w:pPr>
            <w:r>
              <w:rPr>
                <w:rFonts w:ascii="Arial" w:cs="Arial" w:eastAsia="Arial" w:hAnsi="Arial"/>
                <w:sz w:val="18"/>
                <w:szCs w:val="18"/>
                <w:color w:val="auto"/>
              </w:rPr>
              <w:t>Certification by the Chief Financial Officer Pursuant to Section 302 of the Sarbanes-Oxley Act of 2002.</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9480" w:type="dxa"/>
            <w:vAlign w:val="bottom"/>
          </w:tcPr>
          <w:p>
            <w:pPr>
              <w:ind w:left="580"/>
              <w:spacing w:after="0"/>
              <w:rPr>
                <w:sz w:val="20"/>
                <w:szCs w:val="20"/>
                <w:color w:val="auto"/>
              </w:rPr>
            </w:pPr>
            <w:r>
              <w:rPr>
                <w:rFonts w:ascii="Arial" w:cs="Arial" w:eastAsia="Arial" w:hAnsi="Arial"/>
                <w:sz w:val="18"/>
                <w:szCs w:val="18"/>
                <w:color w:val="auto"/>
                <w:w w:val="91"/>
              </w:rPr>
              <w:t>Certification by the Chief Executive Officer Pursuant to 18 U.S.C. Section 1350, as Adopted Pursuant to Section 906 of the</w:t>
            </w:r>
          </w:p>
        </w:tc>
      </w:tr>
      <w:tr>
        <w:trPr>
          <w:trHeight w:val="230"/>
        </w:trPr>
        <w:tc>
          <w:tcPr>
            <w:tcW w:w="1260" w:type="dxa"/>
            <w:vAlign w:val="bottom"/>
          </w:tcPr>
          <w:p>
            <w:pPr>
              <w:spacing w:after="0"/>
              <w:rPr>
                <w:sz w:val="20"/>
                <w:szCs w:val="20"/>
                <w:color w:val="auto"/>
              </w:rPr>
            </w:pPr>
          </w:p>
        </w:tc>
        <w:tc>
          <w:tcPr>
            <w:tcW w:w="9480" w:type="dxa"/>
            <w:vAlign w:val="bottom"/>
          </w:tcPr>
          <w:p>
            <w:pPr>
              <w:ind w:left="580"/>
              <w:spacing w:after="0"/>
              <w:rPr>
                <w:sz w:val="20"/>
                <w:szCs w:val="20"/>
                <w:color w:val="auto"/>
              </w:rPr>
            </w:pPr>
            <w:r>
              <w:rPr>
                <w:rFonts w:ascii="Arial" w:cs="Arial" w:eastAsia="Arial" w:hAnsi="Arial"/>
                <w:sz w:val="18"/>
                <w:szCs w:val="18"/>
                <w:color w:val="auto"/>
              </w:rPr>
              <w:t>Sarbanes-Oxley Act of 2002.</w:t>
            </w: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9480" w:type="dxa"/>
            <w:vAlign w:val="bottom"/>
          </w:tcPr>
          <w:p>
            <w:pPr>
              <w:ind w:left="580"/>
              <w:spacing w:after="0"/>
              <w:rPr>
                <w:sz w:val="20"/>
                <w:szCs w:val="20"/>
                <w:color w:val="auto"/>
              </w:rPr>
            </w:pPr>
            <w:r>
              <w:rPr>
                <w:rFonts w:ascii="Arial" w:cs="Arial" w:eastAsia="Arial" w:hAnsi="Arial"/>
                <w:sz w:val="18"/>
                <w:szCs w:val="18"/>
                <w:color w:val="auto"/>
                <w:w w:val="91"/>
              </w:rPr>
              <w:t>Certification by the Chief Financial Officer Pursuant to 18 U.S.C. Section 1350, as Adopted Pursuant to Section 906 of the</w:t>
            </w:r>
          </w:p>
        </w:tc>
      </w:tr>
      <w:tr>
        <w:trPr>
          <w:trHeight w:val="230"/>
        </w:trPr>
        <w:tc>
          <w:tcPr>
            <w:tcW w:w="1260" w:type="dxa"/>
            <w:vAlign w:val="bottom"/>
          </w:tcPr>
          <w:p>
            <w:pPr>
              <w:spacing w:after="0"/>
              <w:rPr>
                <w:sz w:val="20"/>
                <w:szCs w:val="20"/>
                <w:color w:val="auto"/>
              </w:rPr>
            </w:pPr>
          </w:p>
        </w:tc>
        <w:tc>
          <w:tcPr>
            <w:tcW w:w="9480" w:type="dxa"/>
            <w:vAlign w:val="bottom"/>
          </w:tcPr>
          <w:p>
            <w:pPr>
              <w:ind w:left="580"/>
              <w:spacing w:after="0"/>
              <w:rPr>
                <w:sz w:val="20"/>
                <w:szCs w:val="20"/>
                <w:color w:val="auto"/>
              </w:rPr>
            </w:pPr>
            <w:r>
              <w:rPr>
                <w:rFonts w:ascii="Arial" w:cs="Arial" w:eastAsia="Arial" w:hAnsi="Arial"/>
                <w:sz w:val="18"/>
                <w:szCs w:val="18"/>
                <w:color w:val="auto"/>
              </w:rPr>
              <w:t>Sarbanes-Oxley Act of 2002.</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9480" w:type="dxa"/>
            <w:vAlign w:val="bottom"/>
          </w:tcPr>
          <w:p>
            <w:pPr>
              <w:ind w:left="580"/>
              <w:spacing w:after="0"/>
              <w:rPr>
                <w:sz w:val="20"/>
                <w:szCs w:val="20"/>
                <w:color w:val="auto"/>
              </w:rPr>
            </w:pPr>
            <w:r>
              <w:rPr>
                <w:rFonts w:ascii="Arial" w:cs="Arial" w:eastAsia="Arial" w:hAnsi="Arial"/>
                <w:sz w:val="18"/>
                <w:szCs w:val="18"/>
                <w:color w:val="auto"/>
              </w:rPr>
              <w:t>XBRL Instance Document</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9480" w:type="dxa"/>
            <w:vAlign w:val="bottom"/>
          </w:tcPr>
          <w:p>
            <w:pPr>
              <w:ind w:left="580"/>
              <w:spacing w:after="0"/>
              <w:rPr>
                <w:sz w:val="20"/>
                <w:szCs w:val="20"/>
                <w:color w:val="auto"/>
              </w:rPr>
            </w:pPr>
            <w:r>
              <w:rPr>
                <w:rFonts w:ascii="Arial" w:cs="Arial" w:eastAsia="Arial" w:hAnsi="Arial"/>
                <w:sz w:val="18"/>
                <w:szCs w:val="18"/>
                <w:color w:val="auto"/>
              </w:rPr>
              <w:t>XBRL Schema Document</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9480" w:type="dxa"/>
            <w:vAlign w:val="bottom"/>
          </w:tcPr>
          <w:p>
            <w:pPr>
              <w:ind w:left="580"/>
              <w:spacing w:after="0"/>
              <w:rPr>
                <w:sz w:val="20"/>
                <w:szCs w:val="20"/>
                <w:color w:val="auto"/>
              </w:rPr>
            </w:pPr>
            <w:r>
              <w:rPr>
                <w:rFonts w:ascii="Arial" w:cs="Arial" w:eastAsia="Arial" w:hAnsi="Arial"/>
                <w:sz w:val="18"/>
                <w:szCs w:val="18"/>
                <w:color w:val="auto"/>
              </w:rPr>
              <w:t>XBRL Calculation Linkbase Documents</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9480" w:type="dxa"/>
            <w:vAlign w:val="bottom"/>
          </w:tcPr>
          <w:p>
            <w:pPr>
              <w:ind w:left="5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9480" w:type="dxa"/>
            <w:vAlign w:val="bottom"/>
          </w:tcPr>
          <w:p>
            <w:pPr>
              <w:ind w:left="580"/>
              <w:spacing w:after="0"/>
              <w:rPr>
                <w:sz w:val="20"/>
                <w:szCs w:val="20"/>
                <w:color w:val="auto"/>
              </w:rPr>
            </w:pPr>
            <w:r>
              <w:rPr>
                <w:rFonts w:ascii="Arial" w:cs="Arial" w:eastAsia="Arial" w:hAnsi="Arial"/>
                <w:sz w:val="18"/>
                <w:szCs w:val="18"/>
                <w:color w:val="auto"/>
              </w:rPr>
              <w:t>XBRL Labels Linkbase Documents</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9480" w:type="dxa"/>
            <w:vAlign w:val="bottom"/>
          </w:tcPr>
          <w:p>
            <w:pPr>
              <w:ind w:left="580"/>
              <w:spacing w:after="0"/>
              <w:rPr>
                <w:sz w:val="20"/>
                <w:szCs w:val="20"/>
                <w:color w:val="auto"/>
              </w:rPr>
            </w:pPr>
            <w:r>
              <w:rPr>
                <w:rFonts w:ascii="Arial" w:cs="Arial" w:eastAsia="Arial" w:hAnsi="Arial"/>
                <w:sz w:val="18"/>
                <w:szCs w:val="18"/>
                <w:color w:val="auto"/>
              </w:rPr>
              <w:t>XBRL Presentation Linkbase Documents</w:t>
            </w:r>
          </w:p>
        </w:tc>
      </w:tr>
      <w:tr>
        <w:trPr>
          <w:trHeight w:val="702"/>
        </w:trPr>
        <w:tc>
          <w:tcPr>
            <w:tcW w:w="1260" w:type="dxa"/>
            <w:vAlign w:val="bottom"/>
          </w:tcPr>
          <w:p>
            <w:pPr>
              <w:spacing w:after="0"/>
              <w:rPr>
                <w:sz w:val="24"/>
                <w:szCs w:val="24"/>
                <w:color w:val="auto"/>
              </w:rPr>
            </w:pPr>
          </w:p>
        </w:tc>
        <w:tc>
          <w:tcPr>
            <w:tcW w:w="9480" w:type="dxa"/>
            <w:vAlign w:val="bottom"/>
          </w:tcPr>
          <w:p>
            <w:pPr>
              <w:ind w:left="4320"/>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0740"/>
          </w:cols>
          <w:pgMar w:left="280" w:top="746" w:right="87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CERTIFICATE OF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ANGIODYNAMICS, INC.</w:t>
      </w:r>
    </w:p>
    <w:p>
      <w:pPr>
        <w:spacing w:after="0" w:line="236"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Pursuant to the provisions of the Delaware General Corporation Law (the “</w:t>
      </w:r>
      <w:r>
        <w:rPr>
          <w:rFonts w:ascii="Arial" w:cs="Arial" w:eastAsia="Arial" w:hAnsi="Arial"/>
          <w:sz w:val="22"/>
          <w:szCs w:val="22"/>
          <w:b w:val="1"/>
          <w:bCs w:val="1"/>
          <w:color w:val="auto"/>
        </w:rPr>
        <w:t>DGCL</w:t>
      </w:r>
      <w:r>
        <w:rPr>
          <w:rFonts w:ascii="Arial" w:cs="Arial" w:eastAsia="Arial" w:hAnsi="Arial"/>
          <w:sz w:val="22"/>
          <w:szCs w:val="22"/>
          <w:color w:val="auto"/>
        </w:rPr>
        <w:t>”), AngioDynamics, Inc., a Delaware corporation (the “</w:t>
      </w:r>
      <w:r>
        <w:rPr>
          <w:rFonts w:ascii="Arial" w:cs="Arial" w:eastAsia="Arial" w:hAnsi="Arial"/>
          <w:sz w:val="22"/>
          <w:szCs w:val="22"/>
          <w:b w:val="1"/>
          <w:bCs w:val="1"/>
          <w:color w:val="auto"/>
        </w:rPr>
        <w:t>Corporation</w:t>
      </w:r>
      <w:r>
        <w:rPr>
          <w:rFonts w:ascii="Arial" w:cs="Arial" w:eastAsia="Arial" w:hAnsi="Arial"/>
          <w:sz w:val="22"/>
          <w:szCs w:val="22"/>
          <w:color w:val="auto"/>
        </w:rPr>
        <w:t>”), hereby certifies as follows:</w:t>
      </w:r>
    </w:p>
    <w:p>
      <w:pPr>
        <w:spacing w:after="0" w:line="203" w:lineRule="exact"/>
        <w:rPr>
          <w:sz w:val="20"/>
          <w:szCs w:val="20"/>
          <w:color w:val="auto"/>
        </w:rPr>
      </w:pPr>
    </w:p>
    <w:p>
      <w:pPr>
        <w:jc w:val="both"/>
        <w:ind w:firstLine="1305"/>
        <w:spacing w:after="0" w:line="256" w:lineRule="auto"/>
        <w:tabs>
          <w:tab w:leader="none" w:pos="1783" w:val="left"/>
        </w:tabs>
        <w:numPr>
          <w:ilvl w:val="0"/>
          <w:numId w:val="23"/>
        </w:numPr>
        <w:rPr>
          <w:rFonts w:ascii="Arial" w:cs="Arial" w:eastAsia="Arial" w:hAnsi="Arial"/>
          <w:sz w:val="22"/>
          <w:szCs w:val="22"/>
          <w:b w:val="1"/>
          <w:bCs w:val="1"/>
          <w:color w:val="auto"/>
        </w:rPr>
      </w:pPr>
      <w:r>
        <w:rPr>
          <w:rFonts w:ascii="Arial" w:cs="Arial" w:eastAsia="Arial" w:hAnsi="Arial"/>
          <w:sz w:val="22"/>
          <w:szCs w:val="22"/>
          <w:color w:val="auto"/>
        </w:rPr>
        <w:t>This Certificate of Amendment (this “</w:t>
      </w:r>
      <w:r>
        <w:rPr>
          <w:rFonts w:ascii="Arial" w:cs="Arial" w:eastAsia="Arial" w:hAnsi="Arial"/>
          <w:sz w:val="22"/>
          <w:szCs w:val="22"/>
          <w:b w:val="1"/>
          <w:bCs w:val="1"/>
          <w:color w:val="auto"/>
        </w:rPr>
        <w:t>Certificate of Amendment</w:t>
      </w:r>
      <w:r>
        <w:rPr>
          <w:rFonts w:ascii="Arial" w:cs="Arial" w:eastAsia="Arial" w:hAnsi="Arial"/>
          <w:sz w:val="22"/>
          <w:szCs w:val="22"/>
          <w:color w:val="auto"/>
        </w:rPr>
        <w:t>”) amends the provisions of the Corporation’s Amended and Restated Certificate of Incorporation filed with the Secretary of State of the State of Delaware on May 3, 2004 (the “</w:t>
      </w:r>
      <w:r>
        <w:rPr>
          <w:rFonts w:ascii="Arial" w:cs="Arial" w:eastAsia="Arial" w:hAnsi="Arial"/>
          <w:sz w:val="22"/>
          <w:szCs w:val="22"/>
          <w:b w:val="1"/>
          <w:bCs w:val="1"/>
          <w:color w:val="auto"/>
        </w:rPr>
        <w:t>Certificate of Incorporation</w:t>
      </w:r>
      <w:r>
        <w:rPr>
          <w:rFonts w:ascii="Arial" w:cs="Arial" w:eastAsia="Arial" w:hAnsi="Arial"/>
          <w:sz w:val="22"/>
          <w:szCs w:val="22"/>
          <w:color w:val="auto"/>
        </w:rPr>
        <w:t>”).</w:t>
      </w:r>
    </w:p>
    <w:p>
      <w:pPr>
        <w:spacing w:after="0" w:line="182" w:lineRule="exact"/>
        <w:rPr>
          <w:rFonts w:ascii="Arial" w:cs="Arial" w:eastAsia="Arial" w:hAnsi="Arial"/>
          <w:sz w:val="22"/>
          <w:szCs w:val="22"/>
          <w:b w:val="1"/>
          <w:bCs w:val="1"/>
          <w:color w:val="auto"/>
        </w:rPr>
      </w:pPr>
    </w:p>
    <w:p>
      <w:pPr>
        <w:ind w:left="1800" w:hanging="495"/>
        <w:spacing w:after="0"/>
        <w:tabs>
          <w:tab w:leader="none" w:pos="18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Article FOURTH of the Certificate of Incorporation is hereby amended and restated in its entirety to read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42"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FOURTH</w:t>
      </w:r>
      <w:r>
        <w:rPr>
          <w:rFonts w:ascii="Arial" w:cs="Arial" w:eastAsia="Arial" w:hAnsi="Arial"/>
          <w:sz w:val="19"/>
          <w:szCs w:val="19"/>
          <w:color w:val="auto"/>
        </w:rPr>
        <w:t>: The total number of shares of stock which the Corporation shall have authority to issue is 80,000,000 shares of capital stock, consisting of (i) 75,000,000 shares of common stock, par value $.01 per share (the “Common Stock”), and (ii) 5,000,000 shares of preferred stock, par value $.01 per share (the “Preferred Stock”).</w:t>
      </w:r>
    </w:p>
    <w:p>
      <w:pPr>
        <w:spacing w:after="0" w:line="174" w:lineRule="exact"/>
        <w:rPr>
          <w:sz w:val="20"/>
          <w:szCs w:val="20"/>
          <w:color w:val="auto"/>
        </w:rPr>
      </w:pPr>
    </w:p>
    <w:p>
      <w:pPr>
        <w:jc w:val="both"/>
        <w:ind w:left="660" w:firstLine="648"/>
        <w:spacing w:after="0" w:line="285" w:lineRule="auto"/>
        <w:rPr>
          <w:sz w:val="20"/>
          <w:szCs w:val="20"/>
          <w:color w:val="auto"/>
        </w:rPr>
      </w:pPr>
      <w:r>
        <w:rPr>
          <w:rFonts w:ascii="Arial" w:cs="Arial" w:eastAsia="Arial" w:hAnsi="Arial"/>
          <w:sz w:val="19"/>
          <w:szCs w:val="19"/>
          <w:color w:val="auto"/>
        </w:rPr>
        <w:t>The Board of Directors is hereby expressly authorized to provide for the issuance of all or any shares of the Preferred Stock in one or more classes or series, and to fix for each such class or series such voting powers, full or limited, or no voting powers, and such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including, without limitation, the authority to provide that any such class or series may be (i) subject to redemption at such time or times and at such price or prices;</w:t>
      </w:r>
    </w:p>
    <w:p>
      <w:pPr>
        <w:spacing w:after="0" w:line="1" w:lineRule="exact"/>
        <w:rPr>
          <w:sz w:val="20"/>
          <w:szCs w:val="20"/>
          <w:color w:val="auto"/>
        </w:rPr>
      </w:pPr>
    </w:p>
    <w:p>
      <w:pPr>
        <w:jc w:val="both"/>
        <w:ind w:left="660" w:hanging="4"/>
        <w:spacing w:after="0" w:line="281" w:lineRule="auto"/>
        <w:tabs>
          <w:tab w:leader="none" w:pos="978" w:val="left"/>
        </w:tabs>
        <w:numPr>
          <w:ilvl w:val="0"/>
          <w:numId w:val="24"/>
        </w:numPr>
        <w:rPr>
          <w:rFonts w:ascii="Arial" w:cs="Arial" w:eastAsia="Arial" w:hAnsi="Arial"/>
          <w:sz w:val="19"/>
          <w:szCs w:val="19"/>
          <w:color w:val="auto"/>
        </w:rPr>
      </w:pPr>
      <w:r>
        <w:rPr>
          <w:rFonts w:ascii="Arial" w:cs="Arial" w:eastAsia="Arial" w:hAnsi="Arial"/>
          <w:sz w:val="19"/>
          <w:szCs w:val="19"/>
          <w:color w:val="auto"/>
        </w:rPr>
        <w:t>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Corporation; or</w:t>
      </w:r>
    </w:p>
    <w:p>
      <w:pPr>
        <w:spacing w:after="0" w:line="2" w:lineRule="exact"/>
        <w:rPr>
          <w:rFonts w:ascii="Arial" w:cs="Arial" w:eastAsia="Arial" w:hAnsi="Arial"/>
          <w:sz w:val="19"/>
          <w:szCs w:val="19"/>
          <w:color w:val="auto"/>
        </w:rPr>
      </w:pPr>
    </w:p>
    <w:p>
      <w:pPr>
        <w:jc w:val="both"/>
        <w:ind w:left="660" w:hanging="4"/>
        <w:spacing w:after="0" w:line="245" w:lineRule="auto"/>
        <w:tabs>
          <w:tab w:leader="none" w:pos="1033" w:val="left"/>
        </w:tabs>
        <w:numPr>
          <w:ilvl w:val="0"/>
          <w:numId w:val="25"/>
        </w:numPr>
        <w:rPr>
          <w:rFonts w:ascii="Arial" w:cs="Arial" w:eastAsia="Arial" w:hAnsi="Arial"/>
          <w:sz w:val="22"/>
          <w:szCs w:val="22"/>
          <w:color w:val="auto"/>
        </w:rPr>
      </w:pPr>
      <w:r>
        <w:rPr>
          <w:rFonts w:ascii="Arial" w:cs="Arial" w:eastAsia="Arial" w:hAnsi="Arial"/>
          <w:sz w:val="22"/>
          <w:szCs w:val="22"/>
          <w:color w:val="auto"/>
        </w:rPr>
        <w:t>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spacing w:after="0" w:line="193" w:lineRule="exact"/>
        <w:rPr>
          <w:rFonts w:ascii="Arial" w:cs="Arial" w:eastAsia="Arial" w:hAnsi="Arial"/>
          <w:sz w:val="22"/>
          <w:szCs w:val="22"/>
          <w:color w:val="auto"/>
        </w:rPr>
      </w:pPr>
    </w:p>
    <w:p>
      <w:pPr>
        <w:ind w:firstLine="1305"/>
        <w:spacing w:after="0" w:line="263" w:lineRule="auto"/>
        <w:tabs>
          <w:tab w:leader="none" w:pos="1783"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amendment to the Certificate of Incorporation was duly adopted in accordance with the provisions of Section 242 of the DGCL.</w:t>
      </w:r>
    </w:p>
    <w:p>
      <w:pPr>
        <w:spacing w:after="0" w:line="174" w:lineRule="exact"/>
        <w:rPr>
          <w:rFonts w:ascii="Arial" w:cs="Arial" w:eastAsia="Arial" w:hAnsi="Arial"/>
          <w:sz w:val="22"/>
          <w:szCs w:val="22"/>
          <w:color w:val="auto"/>
        </w:rPr>
      </w:pPr>
    </w:p>
    <w:p>
      <w:pPr>
        <w:ind w:firstLine="1305"/>
        <w:spacing w:after="0" w:line="263" w:lineRule="auto"/>
        <w:tabs>
          <w:tab w:leader="none" w:pos="1783" w:val="left"/>
        </w:tabs>
        <w:numPr>
          <w:ilvl w:val="1"/>
          <w:numId w:val="25"/>
        </w:numPr>
        <w:rPr>
          <w:rFonts w:ascii="Arial" w:cs="Arial" w:eastAsia="Arial" w:hAnsi="Arial"/>
          <w:sz w:val="22"/>
          <w:szCs w:val="22"/>
          <w:color w:val="auto"/>
        </w:rPr>
      </w:pPr>
      <w:r>
        <w:rPr>
          <w:rFonts w:ascii="Arial" w:cs="Arial" w:eastAsia="Arial" w:hAnsi="Arial"/>
          <w:sz w:val="22"/>
          <w:szCs w:val="22"/>
          <w:color w:val="auto"/>
        </w:rPr>
        <w:t>Except as expressly set forth in this Certificate of Amendment, all other provisions of the Certificate of Incorporation shall remain in full force and effect.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31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Corporation has caused this Certificate of Amendment to be signed on its behalf by the undersigned authorized officer on this 3rd day of December, 2014.</w:t>
      </w: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ANGIODYNAMICS,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/s/Stephen A. Trowbridge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Stephen A. Trowbridge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Senior Vice President and General Counsel</w:t>
      </w:r>
    </w:p>
    <w:p>
      <w:pPr>
        <w:sectPr>
          <w:pgSz w:w="11900" w:h="16838" w:orient="portrait"/>
          <w:cols w:equalWidth="0" w:num="1">
            <w:col w:w="11420"/>
          </w:cols>
          <w:pgMar w:left="240" w:top="6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10.1.5</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Total Shareholder Return Performance Unit Award Program (the “Program”)</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Period July 22, 2015 – July, 2018</w:t>
      </w:r>
    </w:p>
    <w:p>
      <w:pPr>
        <w:spacing w:after="0" w:line="368" w:lineRule="exact"/>
        <w:rPr>
          <w:sz w:val="20"/>
          <w:szCs w:val="20"/>
          <w:color w:val="auto"/>
        </w:rPr>
      </w:pPr>
    </w:p>
    <w:p>
      <w:pPr>
        <w:ind w:left="800" w:hanging="792"/>
        <w:spacing w:after="0"/>
        <w:tabs>
          <w:tab w:leader="none" w:pos="80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Program</w:t>
      </w:r>
    </w:p>
    <w:p>
      <w:pPr>
        <w:spacing w:after="0" w:line="64" w:lineRule="exact"/>
        <w:rPr>
          <w:sz w:val="20"/>
          <w:szCs w:val="20"/>
          <w:color w:val="auto"/>
        </w:rPr>
      </w:pPr>
    </w:p>
    <w:p>
      <w:pPr>
        <w:ind w:right="120"/>
        <w:spacing w:after="0" w:line="301" w:lineRule="auto"/>
        <w:rPr>
          <w:sz w:val="20"/>
          <w:szCs w:val="20"/>
          <w:color w:val="auto"/>
        </w:rPr>
      </w:pPr>
      <w:r>
        <w:rPr>
          <w:rFonts w:ascii="Arial" w:cs="Arial" w:eastAsia="Arial" w:hAnsi="Arial"/>
          <w:sz w:val="22"/>
          <w:szCs w:val="22"/>
          <w:color w:val="auto"/>
        </w:rPr>
        <w:t>The purpose of the Program is to align AngioDynamics’ executive compensation program with the interests of shareholders and to reinforce the concept of pay for performance by comparing the relative Total Shareholder Return (“TSR”) of shares of AngioDynamics’ Common Stock (the “Common Stock”) to the TSR of a pre-defined peer group (the “Peer Group”) of companies over a three-year period beginning on July 22, 2015.</w:t>
      </w:r>
    </w:p>
    <w:p>
      <w:pPr>
        <w:spacing w:after="0" w:line="284" w:lineRule="exact"/>
        <w:rPr>
          <w:sz w:val="20"/>
          <w:szCs w:val="20"/>
          <w:color w:val="auto"/>
        </w:rPr>
      </w:pPr>
    </w:p>
    <w:p>
      <w:pPr>
        <w:ind w:right="80"/>
        <w:spacing w:after="0" w:line="361" w:lineRule="auto"/>
        <w:rPr>
          <w:sz w:val="20"/>
          <w:szCs w:val="20"/>
          <w:color w:val="auto"/>
        </w:rPr>
      </w:pPr>
      <w:r>
        <w:rPr>
          <w:rFonts w:ascii="Arial" w:cs="Arial" w:eastAsia="Arial" w:hAnsi="Arial"/>
          <w:sz w:val="19"/>
          <w:szCs w:val="19"/>
          <w:color w:val="auto"/>
        </w:rPr>
        <w:t>The Program entails the grant of Performance Unit Awards, and the program shall be administered under the AngioDynamics 2004 Stock and Incentive Award Plan, as amended (the “Plan”). Terms not defined in this Program document but defined in the Plan shall have the meaning ascribed to such term in the Plan. The Program is established under section 5.II of the Plan and is intended to qualify for the performance-based compensation exception under Section 162(m) of the Internal Revenue Code (“Code”).</w:t>
      </w:r>
    </w:p>
    <w:p>
      <w:pPr>
        <w:spacing w:after="0" w:line="233"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Eligible Participants</w:t>
      </w:r>
    </w:p>
    <w:p>
      <w:pPr>
        <w:spacing w:after="0" w:line="64" w:lineRule="exact"/>
        <w:rPr>
          <w:sz w:val="20"/>
          <w:szCs w:val="20"/>
          <w:color w:val="auto"/>
        </w:rPr>
      </w:pPr>
    </w:p>
    <w:p>
      <w:pPr>
        <w:ind w:right="60"/>
        <w:spacing w:after="0" w:line="315" w:lineRule="auto"/>
        <w:rPr>
          <w:sz w:val="20"/>
          <w:szCs w:val="20"/>
          <w:color w:val="auto"/>
        </w:rPr>
      </w:pPr>
      <w:r>
        <w:rPr>
          <w:rFonts w:ascii="Arial" w:cs="Arial" w:eastAsia="Arial" w:hAnsi="Arial"/>
          <w:sz w:val="22"/>
          <w:szCs w:val="22"/>
          <w:color w:val="auto"/>
        </w:rPr>
        <w:t>The Program covers members of the Executive Management Team (“EMT”) on the date that awards are granted under the Program as determined and in the amounts established by the Board of Directors (the “Board”).</w:t>
      </w:r>
    </w:p>
    <w:p>
      <w:pPr>
        <w:spacing w:after="0" w:line="241"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The Board may review Program eligibility criteria for Participants in the Program from time to time and may revise such criteria at any time, even within a Program year, with or without notice and within its sole discretion.</w:t>
      </w:r>
    </w:p>
    <w:p>
      <w:pPr>
        <w:spacing w:after="0" w:line="236"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Share Units</w:t>
      </w:r>
    </w:p>
    <w:p>
      <w:pPr>
        <w:spacing w:after="0" w:line="64" w:lineRule="exact"/>
        <w:rPr>
          <w:sz w:val="20"/>
          <w:szCs w:val="20"/>
          <w:color w:val="auto"/>
        </w:rPr>
      </w:pPr>
    </w:p>
    <w:p>
      <w:pPr>
        <w:ind w:right="140"/>
        <w:spacing w:after="0" w:line="298" w:lineRule="auto"/>
        <w:rPr>
          <w:sz w:val="20"/>
          <w:szCs w:val="20"/>
          <w:color w:val="auto"/>
        </w:rPr>
      </w:pPr>
      <w:r>
        <w:rPr>
          <w:rFonts w:ascii="Arial" w:cs="Arial" w:eastAsia="Arial" w:hAnsi="Arial"/>
          <w:sz w:val="22"/>
          <w:szCs w:val="22"/>
          <w:color w:val="auto"/>
        </w:rPr>
        <w:t>Pursuant to the Plan and this Program, the Board may, in its sole discretion, grant Performance Unit Awards to members of the EMT (the “Grant Date”). Each Performance Unit Award shall specify a target number of shares of Common Stock underlying the Performance Unit Award (the “Target Amount”). Shares of Common Stock underlying the Performance Unit Award granted under the Program (the “Performance Unit Awards”) shall be issued only upon satisfaction of both the performance vesting criteria described in this Section III and the payment eligibility criteria described in Section VII. The applicable performance criteria are based on the TSR of AngioDynamics’ Common Stock relative to the TSR of the common stock of the companies in the Peer Group.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75" w:right="239" w:bottom="1440" w:gutter="0" w:footer="0" w:header="0"/>
        </w:sectPr>
      </w:pPr>
    </w:p>
    <w:bookmarkStart w:id="103" w:name="page104"/>
    <w:bookmarkEnd w:id="103"/>
    <w:p>
      <w:pPr>
        <w:jc w:val="both"/>
        <w:ind w:right="20"/>
        <w:spacing w:after="0" w:line="304" w:lineRule="auto"/>
        <w:rPr>
          <w:sz w:val="20"/>
          <w:szCs w:val="20"/>
          <w:color w:val="auto"/>
        </w:rPr>
      </w:pPr>
      <w:r>
        <w:rPr>
          <w:rFonts w:ascii="Arial" w:cs="Arial" w:eastAsia="Arial" w:hAnsi="Arial"/>
          <w:sz w:val="22"/>
          <w:szCs w:val="22"/>
          <w:color w:val="auto"/>
        </w:rPr>
        <w:t>The TSR for AngioDynamics and all other companies in the Peer Group will be measured over a three-year period beginning on July 22, 2015 and ending on the day that is the second trading day following AngioDynamics’ annual earnings announcement for its fiscal year ended May 31, 2018 (the “Performance Period”).</w:t>
      </w:r>
    </w:p>
    <w:p>
      <w:pPr>
        <w:spacing w:after="0" w:line="281" w:lineRule="exact"/>
        <w:rPr>
          <w:sz w:val="20"/>
          <w:szCs w:val="20"/>
          <w:color w:val="auto"/>
        </w:rPr>
      </w:pPr>
    </w:p>
    <w:p>
      <w:pPr>
        <w:ind w:right="360"/>
        <w:spacing w:after="0" w:line="304" w:lineRule="auto"/>
        <w:rPr>
          <w:sz w:val="20"/>
          <w:szCs w:val="20"/>
          <w:color w:val="auto"/>
        </w:rPr>
      </w:pPr>
      <w:r>
        <w:rPr>
          <w:rFonts w:ascii="Arial" w:cs="Arial" w:eastAsia="Arial" w:hAnsi="Arial"/>
          <w:sz w:val="22"/>
          <w:szCs w:val="22"/>
          <w:color w:val="auto"/>
        </w:rPr>
        <w:t>The number of shares of Common Stock that vest under the Performance Unit Award will be in a range of 0% to 200% of the Target Amount of shares of Common Stock pursuant to the Performance Unit Award granted to the Participant based upon AngioDynamics’ TSR percentile ranking relative to the Peer Group as follows:</w:t>
      </w:r>
    </w:p>
    <w:p>
      <w:pPr>
        <w:spacing w:after="0" w:line="377" w:lineRule="exact"/>
        <w:rPr>
          <w:sz w:val="20"/>
          <w:szCs w:val="20"/>
          <w:color w:val="auto"/>
        </w:rPr>
      </w:pPr>
    </w:p>
    <w:tbl>
      <w:tblPr>
        <w:tblLayout w:type="fixed"/>
        <w:tblInd w:w="2070" w:type="dxa"/>
        <w:tblCellMar>
          <w:top w:w="0" w:type="dxa"/>
          <w:left w:w="0" w:type="dxa"/>
          <w:bottom w:w="0" w:type="dxa"/>
          <w:right w:w="0" w:type="dxa"/>
        </w:tblCellMar>
      </w:tblPr>
      <w:tr>
        <w:trPr>
          <w:trHeight w:val="310"/>
        </w:trPr>
        <w:tc>
          <w:tcPr>
            <w:tcW w:w="34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TSR Performance</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Performance Share Units</w:t>
            </w:r>
          </w:p>
        </w:tc>
      </w:tr>
      <w:tr>
        <w:trPr>
          <w:trHeight w:val="291"/>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Percentile Rank</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as a Percent of Target</w:t>
            </w:r>
          </w:p>
        </w:tc>
      </w:tr>
      <w:tr>
        <w:trPr>
          <w:trHeight w:val="291"/>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75th Percentile or above</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1"/>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50th Percentile</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25th Percentile</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Below 25th Percentile</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pacing w:after="0" w:line="330" w:lineRule="exact"/>
        <w:rPr>
          <w:sz w:val="20"/>
          <w:szCs w:val="20"/>
          <w:color w:val="auto"/>
        </w:rPr>
      </w:pPr>
    </w:p>
    <w:p>
      <w:pPr>
        <w:ind w:right="240"/>
        <w:spacing w:after="0" w:line="341" w:lineRule="auto"/>
        <w:rPr>
          <w:sz w:val="20"/>
          <w:szCs w:val="20"/>
          <w:color w:val="auto"/>
        </w:rPr>
      </w:pPr>
      <w:r>
        <w:rPr>
          <w:rFonts w:ascii="Arial" w:cs="Arial" w:eastAsia="Arial" w:hAnsi="Arial"/>
          <w:sz w:val="21"/>
          <w:szCs w:val="21"/>
          <w:color w:val="auto"/>
        </w:rPr>
        <w:t>If the minimum level of performance set forth above is achieved for the Performance Period, the number of shares of Common Stock vesting under the Performance Unit Award will be calculated linearly between each set of data points.</w:t>
      </w:r>
    </w:p>
    <w:p>
      <w:pPr>
        <w:spacing w:after="0" w:line="246" w:lineRule="exact"/>
        <w:rPr>
          <w:sz w:val="20"/>
          <w:szCs w:val="20"/>
          <w:color w:val="auto"/>
        </w:rPr>
      </w:pPr>
    </w:p>
    <w:p>
      <w:pPr>
        <w:jc w:val="both"/>
        <w:ind w:right="40"/>
        <w:spacing w:after="0" w:line="371" w:lineRule="auto"/>
        <w:rPr>
          <w:sz w:val="20"/>
          <w:szCs w:val="20"/>
          <w:color w:val="auto"/>
        </w:rPr>
      </w:pPr>
      <w:r>
        <w:rPr>
          <w:rFonts w:ascii="Arial" w:cs="Arial" w:eastAsia="Arial" w:hAnsi="Arial"/>
          <w:sz w:val="19"/>
          <w:szCs w:val="19"/>
          <w:color w:val="auto"/>
        </w:rPr>
        <w:t>Following the end of the Performance Period, the Board shall determine the number of shares of Common Stock, based upon the total number of shares of Common Stock underlying the Target amount of the Performance Unit Award, that shall become vested pursuant to AngioDynamics’ relative TRS percentile rank during the Performance Period pursuant to the table set forth above.</w:t>
      </w:r>
    </w:p>
    <w:p>
      <w:pPr>
        <w:spacing w:after="0" w:line="229" w:lineRule="exact"/>
        <w:rPr>
          <w:sz w:val="20"/>
          <w:szCs w:val="20"/>
          <w:color w:val="auto"/>
        </w:rPr>
      </w:pPr>
    </w:p>
    <w:p>
      <w:pPr>
        <w:ind w:right="300"/>
        <w:spacing w:after="0" w:line="304" w:lineRule="auto"/>
        <w:rPr>
          <w:sz w:val="20"/>
          <w:szCs w:val="20"/>
          <w:color w:val="auto"/>
        </w:rPr>
      </w:pPr>
      <w:r>
        <w:rPr>
          <w:rFonts w:ascii="Arial" w:cs="Arial" w:eastAsia="Arial" w:hAnsi="Arial"/>
          <w:sz w:val="22"/>
          <w:szCs w:val="22"/>
          <w:color w:val="auto"/>
        </w:rPr>
        <w:t>The Board shall issue a number of shares of Common Stock underlying the Performance Unit Award to the Participant in accordance with this Program and the applicable grant agreement equal to the number of shares of Common Stock, if any, that vested in the Performance Period.</w:t>
      </w:r>
    </w:p>
    <w:p>
      <w:pPr>
        <w:spacing w:after="0" w:line="281" w:lineRule="exact"/>
        <w:rPr>
          <w:sz w:val="20"/>
          <w:szCs w:val="20"/>
          <w:color w:val="auto"/>
        </w:rPr>
      </w:pPr>
    </w:p>
    <w:p>
      <w:pPr>
        <w:ind w:right="360"/>
        <w:spacing w:after="0" w:line="315" w:lineRule="auto"/>
        <w:rPr>
          <w:sz w:val="20"/>
          <w:szCs w:val="20"/>
          <w:color w:val="auto"/>
        </w:rPr>
      </w:pPr>
      <w:r>
        <w:rPr>
          <w:rFonts w:ascii="Arial" w:cs="Arial" w:eastAsia="Arial" w:hAnsi="Arial"/>
          <w:sz w:val="22"/>
          <w:szCs w:val="22"/>
          <w:color w:val="auto"/>
        </w:rPr>
        <w:t>The Board’s determination regarding the Company’s performance to the performance criteria with respect to the Performance Period shall be final and binding.</w:t>
      </w:r>
    </w:p>
    <w:p>
      <w:pPr>
        <w:spacing w:after="0" w:line="268" w:lineRule="exact"/>
        <w:rPr>
          <w:sz w:val="20"/>
          <w:szCs w:val="20"/>
          <w:color w:val="auto"/>
        </w:rPr>
      </w:pPr>
    </w:p>
    <w:p>
      <w:pPr>
        <w:spacing w:after="0" w:line="301" w:lineRule="auto"/>
        <w:rPr>
          <w:sz w:val="20"/>
          <w:szCs w:val="20"/>
          <w:color w:val="auto"/>
        </w:rPr>
      </w:pPr>
      <w:r>
        <w:rPr>
          <w:rFonts w:ascii="Arial" w:cs="Arial" w:eastAsia="Arial" w:hAnsi="Arial"/>
          <w:sz w:val="22"/>
          <w:szCs w:val="22"/>
          <w:color w:val="auto"/>
        </w:rPr>
        <w:t>Shares of Common Stock will be delivered or otherwise made available to the Participant as soon as practicable (and in all events within sixty (60) days) after the end of the Performance Period. Any shares of Common Stock underlying a Performance Unit Award as to which the performance criteria of this Section III have not been satisfied as of the end of the Performance Period will be forfeited in their entirety.</w:t>
      </w: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240" w:top="874" w:right="439" w:bottom="1440" w:gutter="0" w:footer="0" w:header="0"/>
        </w:sectPr>
      </w:pPr>
    </w:p>
    <w:bookmarkStart w:id="104" w:name="page105"/>
    <w:bookmarkEnd w:id="104"/>
    <w:p>
      <w:pPr>
        <w:ind w:left="40"/>
        <w:spacing w:after="0"/>
        <w:tabs>
          <w:tab w:leader="none" w:pos="76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Calculation of Total Shareholder Return and Definitions</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color w:val="auto"/>
        </w:rPr>
        <w:t>The TSR for AngioDynamics and each other company in the Peer Group shall include any cash dividends paid during the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and shall be determined as follows: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Total Shareholder Return for each Performance Cycle </w:t>
      </w:r>
      <w:r>
        <w:rPr>
          <w:rFonts w:ascii="Arial" w:cs="Arial" w:eastAsia="Arial" w:hAnsi="Arial"/>
          <w:sz w:val="22"/>
          <w:szCs w:val="22"/>
          <w:color w:val="auto"/>
        </w:rPr>
        <w:t>=</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(Change in Stock Price + Dividends Paid) / Beginning Stock Price</w:t>
      </w:r>
    </w:p>
    <w:p>
      <w:pPr>
        <w:spacing w:after="0" w:line="362" w:lineRule="exact"/>
        <w:rPr>
          <w:sz w:val="20"/>
          <w:szCs w:val="20"/>
          <w:color w:val="auto"/>
        </w:rPr>
      </w:pPr>
    </w:p>
    <w:p>
      <w:pPr>
        <w:ind w:right="180"/>
        <w:spacing w:after="0" w:line="30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Beginning Stock Price</w:t>
      </w:r>
      <w:r>
        <w:rPr>
          <w:rFonts w:ascii="Arial" w:cs="Arial" w:eastAsia="Arial" w:hAnsi="Arial"/>
          <w:sz w:val="22"/>
          <w:szCs w:val="22"/>
          <w:color w:val="auto"/>
        </w:rPr>
        <w:t xml:space="preserve">” with respect to AngioDynamics means the closing price as quoted on the NASDAQ Global Select Market of one share of the Company’s Common Stock on the beginning date of the Performance Period. “Beginning Stock Price” with respect to each other company in the Peer Group means the daily average closing price as quoted on the New York Stock Exchange or the NASDAQ Global Select Market, as applicable, of one (1) share of common stock for the two calendar months </w:t>
      </w:r>
      <w:r>
        <w:rPr>
          <w:rFonts w:ascii="Arial" w:cs="Arial" w:eastAsia="Arial" w:hAnsi="Arial"/>
          <w:sz w:val="22"/>
          <w:szCs w:val="22"/>
          <w:b w:val="1"/>
          <w:bCs w:val="1"/>
          <w:i w:val="1"/>
          <w:iCs w:val="1"/>
          <w:u w:val="single" w:color="auto"/>
          <w:color w:val="auto"/>
        </w:rPr>
        <w:t>prior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beginning of the Performance Period.</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Stock Price</w:t>
      </w:r>
      <w:r>
        <w:rPr>
          <w:rFonts w:ascii="Arial" w:cs="Arial" w:eastAsia="Arial" w:hAnsi="Arial"/>
          <w:sz w:val="22"/>
          <w:szCs w:val="22"/>
          <w:color w:val="auto"/>
        </w:rPr>
        <w:t>” means the difference between the Beginning Stock Price and the Ending Stock Price.</w:t>
      </w: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Dividends Paid</w:t>
      </w:r>
      <w:r>
        <w:rPr>
          <w:rFonts w:ascii="Arial" w:cs="Arial" w:eastAsia="Arial" w:hAnsi="Arial"/>
          <w:sz w:val="21"/>
          <w:szCs w:val="21"/>
          <w:color w:val="auto"/>
        </w:rPr>
        <w:t>” means the total of all cash dividends paid on one (1) share of stock during the Performance Period.</w:t>
      </w:r>
    </w:p>
    <w:p>
      <w:pPr>
        <w:spacing w:after="0" w:line="380" w:lineRule="exact"/>
        <w:rPr>
          <w:sz w:val="20"/>
          <w:szCs w:val="20"/>
          <w:color w:val="auto"/>
        </w:rPr>
      </w:pPr>
    </w:p>
    <w:p>
      <w:pPr>
        <w:spacing w:after="0" w:line="30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Ending Stock Price</w:t>
      </w:r>
      <w:r>
        <w:rPr>
          <w:rFonts w:ascii="Arial" w:cs="Arial" w:eastAsia="Arial" w:hAnsi="Arial"/>
          <w:sz w:val="22"/>
          <w:szCs w:val="22"/>
          <w:color w:val="auto"/>
        </w:rPr>
        <w:t>” with respect to AngioDynamics means the closing price as quoted on the NASDAQ Global Select Market of one share of the Company’s Common Stock on the ending date of the Performance Period. “Ending Stock Price” with respect to each other company in the Peer Group means the daily average closing price as quoted on the New York Stock Exchange or the NASDAQ Global Select Market, as applicable, of one (1) share of common stock for the last two calendar months of the Performance Period.</w:t>
      </w:r>
    </w:p>
    <w:p>
      <w:pPr>
        <w:spacing w:after="0" w:line="283" w:lineRule="exact"/>
        <w:rPr>
          <w:sz w:val="20"/>
          <w:szCs w:val="20"/>
          <w:color w:val="auto"/>
        </w:rPr>
      </w:pPr>
    </w:p>
    <w:p>
      <w:pPr>
        <w:spacing w:after="0" w:line="301" w:lineRule="auto"/>
        <w:rPr>
          <w:sz w:val="20"/>
          <w:szCs w:val="20"/>
          <w:color w:val="auto"/>
        </w:rPr>
      </w:pPr>
      <w:r>
        <w:rPr>
          <w:rFonts w:ascii="Arial" w:cs="Arial" w:eastAsia="Arial" w:hAnsi="Arial"/>
          <w:sz w:val="22"/>
          <w:szCs w:val="22"/>
          <w:b w:val="1"/>
          <w:bCs w:val="1"/>
          <w:i w:val="1"/>
          <w:iCs w:val="1"/>
          <w:color w:val="auto"/>
        </w:rPr>
        <w:t xml:space="preserve">Example: </w:t>
      </w:r>
      <w:r>
        <w:rPr>
          <w:rFonts w:ascii="Arial" w:cs="Arial" w:eastAsia="Arial" w:hAnsi="Arial"/>
          <w:sz w:val="22"/>
          <w:szCs w:val="22"/>
          <w:color w:val="auto"/>
        </w:rPr>
        <w:t>If the Beginning Stock Price for a company was $25.00 per share, and the company paid $2.50 in dividends over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Performance Period, and the Ending Stock Price was $30.00 per share (thereby making the Change in Stock Price $5.00 ($30.00 minus $25.00)), then the TSR for that company would be thirty percent (30%). The calculation is as follows: </w:t>
      </w:r>
      <w:r>
        <w:rPr>
          <w:rFonts w:ascii="Arial" w:cs="Arial" w:eastAsia="Arial" w:hAnsi="Arial"/>
          <w:sz w:val="22"/>
          <w:szCs w:val="22"/>
          <w:b w:val="1"/>
          <w:bCs w:val="1"/>
          <w:color w:val="auto"/>
        </w:rPr>
        <w:t>0.30</w:t>
      </w:r>
      <w:r>
        <w:rPr>
          <w:rFonts w:ascii="Arial" w:cs="Arial" w:eastAsia="Arial" w:hAnsi="Arial"/>
          <w:sz w:val="22"/>
          <w:szCs w:val="22"/>
          <w:color w:val="auto"/>
        </w:rPr>
        <w:t xml:space="preserve"> = ($5.00 + $2.50) / $25.00</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300" w:right="239" w:bottom="1440" w:gutter="0" w:footer="0" w:header="0"/>
        </w:sectPr>
      </w:pPr>
    </w:p>
    <w:bookmarkStart w:id="105" w:name="page106"/>
    <w:bookmarkEnd w:id="105"/>
    <w:p>
      <w:pPr>
        <w:ind w:left="1040" w:hanging="1005"/>
        <w:spacing w:after="0"/>
        <w:tabs>
          <w:tab w:leader="none" w:pos="10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Calculation of Percentile Performance</w:t>
      </w:r>
    </w:p>
    <w:p>
      <w:pPr>
        <w:spacing w:after="0" w:line="64" w:lineRule="exact"/>
        <w:rPr>
          <w:sz w:val="20"/>
          <w:szCs w:val="20"/>
          <w:color w:val="auto"/>
        </w:rPr>
      </w:pPr>
    </w:p>
    <w:p>
      <w:pPr>
        <w:jc w:val="both"/>
        <w:ind w:right="140"/>
        <w:spacing w:after="0" w:line="304" w:lineRule="auto"/>
        <w:rPr>
          <w:sz w:val="20"/>
          <w:szCs w:val="20"/>
          <w:color w:val="auto"/>
        </w:rPr>
      </w:pPr>
      <w:r>
        <w:rPr>
          <w:rFonts w:ascii="Arial" w:cs="Arial" w:eastAsia="Arial" w:hAnsi="Arial"/>
          <w:sz w:val="22"/>
          <w:szCs w:val="22"/>
          <w:color w:val="auto"/>
        </w:rPr>
        <w:t>Following the calculation of the TSR for the Performance Period for AngioDynamics and each other company in the Peer Group, AngioDynamics and the other companies in the Peer Group will be ranked, in order of maximum to minimum, according to their respective TSR for the Performance Period.</w:t>
      </w:r>
    </w:p>
    <w:p>
      <w:pPr>
        <w:spacing w:after="0" w:line="281" w:lineRule="exact"/>
        <w:rPr>
          <w:sz w:val="20"/>
          <w:szCs w:val="20"/>
          <w:color w:val="auto"/>
        </w:rPr>
      </w:pPr>
    </w:p>
    <w:p>
      <w:pPr>
        <w:ind w:right="200"/>
        <w:spacing w:after="0" w:line="315" w:lineRule="auto"/>
        <w:rPr>
          <w:sz w:val="20"/>
          <w:szCs w:val="20"/>
          <w:color w:val="auto"/>
        </w:rPr>
      </w:pPr>
      <w:r>
        <w:rPr>
          <w:rFonts w:ascii="Arial" w:cs="Arial" w:eastAsia="Arial" w:hAnsi="Arial"/>
          <w:sz w:val="22"/>
          <w:szCs w:val="22"/>
          <w:color w:val="auto"/>
        </w:rPr>
        <w:t>After this ranking, the percentile performance of AngioDynamics as compared to the other companies in the Peer Group shall be determined by the following formula: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00"/>
        <w:spacing w:after="0" w:line="320" w:lineRule="auto"/>
        <w:rPr>
          <w:sz w:val="20"/>
          <w:szCs w:val="20"/>
          <w:color w:val="auto"/>
        </w:rPr>
      </w:pPr>
      <w:r>
        <w:rPr>
          <w:rFonts w:ascii="Arial" w:cs="Arial" w:eastAsia="Arial" w:hAnsi="Arial"/>
          <w:sz w:val="22"/>
          <w:szCs w:val="22"/>
          <w:b w:val="1"/>
          <w:bCs w:val="1"/>
          <w:color w:val="auto"/>
        </w:rPr>
        <w:t xml:space="preserve">“P” </w:t>
      </w:r>
      <w:r>
        <w:rPr>
          <w:rFonts w:ascii="Arial" w:cs="Arial" w:eastAsia="Arial" w:hAnsi="Arial"/>
          <w:sz w:val="22"/>
          <w:szCs w:val="22"/>
          <w:color w:val="auto"/>
        </w:rPr>
        <w:t>represents the percentile performance which will be rounded, if necessary, to the nearest whole percentile by application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standard scientific rounding conventions.</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 </w:t>
      </w:r>
      <w:r>
        <w:rPr>
          <w:rFonts w:ascii="Arial" w:cs="Arial" w:eastAsia="Arial" w:hAnsi="Arial"/>
          <w:sz w:val="22"/>
          <w:szCs w:val="22"/>
          <w:color w:val="auto"/>
        </w:rPr>
        <w:t>represents the number of companies in the Peer Group, including AngioDynamics.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 </w:t>
      </w:r>
      <w:r>
        <w:rPr>
          <w:rFonts w:ascii="Arial" w:cs="Arial" w:eastAsia="Arial" w:hAnsi="Arial"/>
          <w:sz w:val="22"/>
          <w:szCs w:val="22"/>
          <w:color w:val="auto"/>
        </w:rPr>
        <w:t>represents AngioDynamics’ ranking versus the other companies in the Peer Group.</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Example: </w:t>
      </w:r>
      <w:r>
        <w:rPr>
          <w:rFonts w:ascii="Arial" w:cs="Arial" w:eastAsia="Arial" w:hAnsi="Arial"/>
          <w:sz w:val="20"/>
          <w:szCs w:val="20"/>
          <w:color w:val="auto"/>
        </w:rPr>
        <w:t>If AngioDynamics ranked 10</w:t>
      </w:r>
      <w:r>
        <w:rPr>
          <w:rFonts w:ascii="Arial" w:cs="Arial" w:eastAsia="Arial" w:hAnsi="Arial"/>
          <w:sz w:val="26"/>
          <w:szCs w:val="26"/>
          <w:color w:val="auto"/>
          <w:vertAlign w:val="superscript"/>
        </w:rPr>
        <w:t>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out of 56 companies, the performance (“P”) therefore will be in the 84</w:t>
      </w:r>
      <w:r>
        <w:rPr>
          <w:rFonts w:ascii="Arial" w:cs="Arial" w:eastAsia="Arial" w:hAnsi="Arial"/>
          <w:sz w:val="26"/>
          <w:szCs w:val="26"/>
          <w:color w:val="auto"/>
          <w:vertAlign w:val="superscript"/>
        </w:rPr>
        <w:t>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percentile.</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calculation is as follows: </w:t>
      </w:r>
      <w:r>
        <w:rPr>
          <w:rFonts w:ascii="Arial" w:cs="Arial" w:eastAsia="Arial" w:hAnsi="Arial"/>
          <w:sz w:val="22"/>
          <w:szCs w:val="22"/>
          <w:b w:val="1"/>
          <w:bCs w:val="1"/>
          <w:color w:val="auto"/>
        </w:rPr>
        <w:t>0.837</w:t>
      </w:r>
      <w:r>
        <w:rPr>
          <w:rFonts w:ascii="Arial" w:cs="Arial" w:eastAsia="Arial" w:hAnsi="Arial"/>
          <w:sz w:val="22"/>
          <w:szCs w:val="22"/>
          <w:color w:val="auto"/>
        </w:rPr>
        <w:t xml:space="preserve"> = 1 - (10 - 1) / (56 - 1)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Peer Group</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companies in the Peer Group can be found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attached hereto.</w:t>
      </w:r>
    </w:p>
    <w:p>
      <w:pPr>
        <w:spacing w:after="0" w:line="368" w:lineRule="exact"/>
        <w:rPr>
          <w:sz w:val="20"/>
          <w:szCs w:val="20"/>
          <w:color w:val="auto"/>
        </w:rPr>
      </w:pPr>
    </w:p>
    <w:p>
      <w:pPr>
        <w:spacing w:after="0"/>
        <w:rPr>
          <w:sz w:val="20"/>
          <w:szCs w:val="20"/>
          <w:color w:val="auto"/>
        </w:rPr>
      </w:pPr>
      <w:r>
        <w:rPr>
          <w:rFonts w:ascii="Arial" w:cs="Arial" w:eastAsia="Arial" w:hAnsi="Arial"/>
          <w:sz w:val="19"/>
          <w:szCs w:val="19"/>
          <w:color w:val="auto"/>
        </w:rPr>
        <w:t>If, during the Performance Period, two companies in the Peer Group merge, the surviving company shall remain in the Peer Group.</w:t>
      </w:r>
    </w:p>
    <w:p>
      <w:pPr>
        <w:spacing w:after="0" w:line="200" w:lineRule="exact"/>
        <w:rPr>
          <w:sz w:val="20"/>
          <w:szCs w:val="20"/>
          <w:color w:val="auto"/>
        </w:rPr>
      </w:pPr>
    </w:p>
    <w:p>
      <w:pPr>
        <w:spacing w:after="0" w:line="203" w:lineRule="exact"/>
        <w:rPr>
          <w:sz w:val="20"/>
          <w:szCs w:val="20"/>
          <w:color w:val="auto"/>
        </w:rPr>
      </w:pPr>
    </w:p>
    <w:p>
      <w:pPr>
        <w:ind w:right="60"/>
        <w:spacing w:after="0" w:line="304" w:lineRule="auto"/>
        <w:rPr>
          <w:sz w:val="20"/>
          <w:szCs w:val="20"/>
          <w:color w:val="auto"/>
        </w:rPr>
      </w:pPr>
      <w:r>
        <w:rPr>
          <w:rFonts w:ascii="Arial" w:cs="Arial" w:eastAsia="Arial" w:hAnsi="Arial"/>
          <w:sz w:val="22"/>
          <w:szCs w:val="22"/>
          <w:color w:val="auto"/>
        </w:rPr>
        <w:t>If, during the Performance Period, a company in the Peer Group merges with, or is acquired by, a company that is not in the Peer Group, and the company in the Peer Group is the surviving company, then the surviving company shall not be included in the Peer Group.</w:t>
      </w:r>
    </w:p>
    <w:p>
      <w:pPr>
        <w:spacing w:after="0" w:line="281" w:lineRule="exact"/>
        <w:rPr>
          <w:sz w:val="20"/>
          <w:szCs w:val="20"/>
          <w:color w:val="auto"/>
        </w:rPr>
      </w:pPr>
    </w:p>
    <w:p>
      <w:pPr>
        <w:ind w:right="200"/>
        <w:spacing w:after="0" w:line="315" w:lineRule="auto"/>
        <w:rPr>
          <w:sz w:val="20"/>
          <w:szCs w:val="20"/>
          <w:color w:val="auto"/>
        </w:rPr>
      </w:pPr>
      <w:r>
        <w:rPr>
          <w:rFonts w:ascii="Arial" w:cs="Arial" w:eastAsia="Arial" w:hAnsi="Arial"/>
          <w:sz w:val="22"/>
          <w:szCs w:val="22"/>
          <w:color w:val="auto"/>
        </w:rPr>
        <w:t>If, during the Performance Period, a company in the Peer Group merges with, or is acquired by, a company that is not in the Peer Group, and the company in the Peer Group is not the surviving</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40"/>
          </w:cols>
          <w:pgMar w:left="240" w:top="990" w:right="319" w:bottom="1440" w:gutter="0" w:footer="0" w:header="0"/>
        </w:sectPr>
      </w:pPr>
    </w:p>
    <w:bookmarkStart w:id="106" w:name="page107"/>
    <w:bookmarkEnd w:id="106"/>
    <w:p>
      <w:pPr>
        <w:ind w:right="560"/>
        <w:spacing w:after="0" w:line="315" w:lineRule="auto"/>
        <w:rPr>
          <w:sz w:val="20"/>
          <w:szCs w:val="20"/>
          <w:color w:val="auto"/>
        </w:rPr>
      </w:pPr>
      <w:r>
        <w:rPr>
          <w:rFonts w:ascii="Arial" w:cs="Arial" w:eastAsia="Arial" w:hAnsi="Arial"/>
          <w:sz w:val="22"/>
          <w:szCs w:val="22"/>
          <w:color w:val="auto"/>
        </w:rPr>
        <w:t>company or the surviving company is no longer publicly traded, then the surviving company shall not be included in the Peer Group.</w:t>
      </w:r>
    </w:p>
    <w:p>
      <w:pPr>
        <w:spacing w:after="0" w:line="268" w:lineRule="exact"/>
        <w:rPr>
          <w:sz w:val="20"/>
          <w:szCs w:val="20"/>
          <w:color w:val="auto"/>
        </w:rPr>
      </w:pPr>
    </w:p>
    <w:p>
      <w:pPr>
        <w:ind w:right="40"/>
        <w:spacing w:after="0" w:line="315" w:lineRule="auto"/>
        <w:rPr>
          <w:sz w:val="20"/>
          <w:szCs w:val="20"/>
          <w:color w:val="auto"/>
        </w:rPr>
      </w:pPr>
      <w:r>
        <w:rPr>
          <w:rFonts w:ascii="Arial" w:cs="Arial" w:eastAsia="Arial" w:hAnsi="Arial"/>
          <w:sz w:val="22"/>
          <w:szCs w:val="22"/>
          <w:color w:val="auto"/>
        </w:rPr>
        <w:t>If, during the Performance Period, a company in the Peer Group sells all or substantially all of its assets, such company shall not be included in the Peer Group.</w:t>
      </w:r>
    </w:p>
    <w:p>
      <w:pPr>
        <w:spacing w:after="0" w:line="268" w:lineRule="exact"/>
        <w:rPr>
          <w:sz w:val="20"/>
          <w:szCs w:val="20"/>
          <w:color w:val="auto"/>
        </w:rPr>
      </w:pPr>
    </w:p>
    <w:p>
      <w:pPr>
        <w:jc w:val="both"/>
        <w:ind w:right="400"/>
        <w:spacing w:after="0" w:line="371" w:lineRule="auto"/>
        <w:rPr>
          <w:sz w:val="20"/>
          <w:szCs w:val="20"/>
          <w:color w:val="auto"/>
        </w:rPr>
      </w:pPr>
      <w:r>
        <w:rPr>
          <w:rFonts w:ascii="Arial" w:cs="Arial" w:eastAsia="Arial" w:hAnsi="Arial"/>
          <w:sz w:val="19"/>
          <w:szCs w:val="19"/>
          <w:color w:val="auto"/>
        </w:rPr>
        <w:t>If, during the Performance Period, a company in the Peer Group splits-off or spins-off or consummates any other extraordinary reorganization transaction, and such spin-off, split-off or reorganization comprises more than 20% of the assets of the company prior to such spin-off, split-off or reorganization, such company shall not be included in the Peer Group.</w:t>
      </w:r>
    </w:p>
    <w:p>
      <w:pPr>
        <w:spacing w:after="0" w:line="229" w:lineRule="exact"/>
        <w:rPr>
          <w:sz w:val="20"/>
          <w:szCs w:val="20"/>
          <w:color w:val="auto"/>
        </w:rPr>
      </w:pPr>
    </w:p>
    <w:p>
      <w:pPr>
        <w:ind w:right="40"/>
        <w:spacing w:after="0" w:line="299" w:lineRule="auto"/>
        <w:rPr>
          <w:sz w:val="20"/>
          <w:szCs w:val="20"/>
          <w:color w:val="auto"/>
        </w:rPr>
      </w:pPr>
      <w:r>
        <w:rPr>
          <w:rFonts w:ascii="Arial" w:cs="Arial" w:eastAsia="Arial" w:hAnsi="Arial"/>
          <w:sz w:val="22"/>
          <w:szCs w:val="22"/>
          <w:color w:val="auto"/>
        </w:rPr>
        <w:t>If, during the Performance Period, a company in the Peer Group files for bankruptcy or otherwise ceases to be traded or quoted on any national exchange, such Company shall remain in the Peer Group. If no public stock price information is available for such company after it files for bankruptcy or otherwise ceases to be traded or quoted on a national securities exchange, the TSR for such company shall equal a total loss of equity (or -100%) during the Performance Period for which no stock price information is available.</w:t>
      </w:r>
    </w:p>
    <w:p>
      <w:pPr>
        <w:spacing w:after="0" w:line="288" w:lineRule="exact"/>
        <w:rPr>
          <w:sz w:val="20"/>
          <w:szCs w:val="20"/>
          <w:color w:val="auto"/>
        </w:rPr>
      </w:pPr>
    </w:p>
    <w:p>
      <w:pPr>
        <w:spacing w:after="0" w:line="315" w:lineRule="auto"/>
        <w:rPr>
          <w:sz w:val="20"/>
          <w:szCs w:val="20"/>
          <w:color w:val="auto"/>
        </w:rPr>
      </w:pPr>
      <w:r>
        <w:rPr>
          <w:rFonts w:ascii="Arial" w:cs="Arial" w:eastAsia="Arial" w:hAnsi="Arial"/>
          <w:sz w:val="22"/>
          <w:szCs w:val="22"/>
          <w:color w:val="auto"/>
        </w:rPr>
        <w:t>The triggering event for determining whether a company shall be excluded from the Peer Group pursuant to this Section VI shall be the first official announcement of an SEC reportable event.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color w:val="auto"/>
        </w:rPr>
        <w:t>Payment Eligibility Criteria</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auto"/>
        </w:rPr>
        <w:t>Except as set forth below with respect to a Change in Control or termination of employment due to Retirement, death, or Disability,</w:t>
      </w:r>
    </w:p>
    <w:p>
      <w:pPr>
        <w:spacing w:after="0" w:line="92"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no shares of Common Stock underlying the Performance Unit Award shall issue prior to the end of the Performance Period and</w:t>
      </w:r>
    </w:p>
    <w:p>
      <w:pPr>
        <w:spacing w:after="0" w:line="92" w:lineRule="exact"/>
        <w:rPr>
          <w:rFonts w:ascii="Arial" w:cs="Arial" w:eastAsia="Arial" w:hAnsi="Arial"/>
          <w:sz w:val="19"/>
          <w:szCs w:val="19"/>
          <w:color w:val="auto"/>
        </w:rPr>
      </w:pPr>
    </w:p>
    <w:p>
      <w:pPr>
        <w:ind w:right="80" w:firstLine="8"/>
        <w:spacing w:after="0" w:line="402" w:lineRule="auto"/>
        <w:tabs>
          <w:tab w:leader="none" w:pos="318"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participant must be employed by the Company (as defined below) through the end of the Performance Period to be eligible to receive shares of Common Stock that have vested under the Performance Unit Award pursuant to Section III of this Program.</w:t>
      </w:r>
    </w:p>
    <w:p>
      <w:pPr>
        <w:spacing w:after="0" w:line="200" w:lineRule="exact"/>
        <w:rPr>
          <w:sz w:val="20"/>
          <w:szCs w:val="20"/>
          <w:color w:val="auto"/>
        </w:rPr>
      </w:pPr>
    </w:p>
    <w:p>
      <w:pPr>
        <w:ind w:right="100"/>
        <w:spacing w:after="0" w:line="299" w:lineRule="auto"/>
        <w:rPr>
          <w:sz w:val="20"/>
          <w:szCs w:val="20"/>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If the Participant’s employment with AngioDynamics or its subsidiaries or affiliates is terminated due to death on or after the Grant Date, but prior to the end of the Performance Period, the Performance Unit Award shall remain eligible to vest following the end date of the Performance Period according to the vesting provisions set forth in Section III of this Program and the Participant shall receive a pro-rated portion of the Common Stock underlying the Performance Unit Award that would otherwise vest based upon the provisions set forth in Section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874" w:right="259" w:bottom="1440" w:gutter="0" w:footer="0" w:header="0"/>
        </w:sectPr>
      </w:pPr>
    </w:p>
    <w:bookmarkStart w:id="107" w:name="page108"/>
    <w:bookmarkEnd w:id="107"/>
    <w:p>
      <w:pPr>
        <w:ind w:firstLine="8"/>
        <w:spacing w:after="0" w:line="347" w:lineRule="auto"/>
        <w:tabs>
          <w:tab w:leader="none" w:pos="270" w:val="left"/>
        </w:tabs>
        <w:numPr>
          <w:ilvl w:val="0"/>
          <w:numId w:val="31"/>
        </w:numPr>
        <w:rPr>
          <w:rFonts w:ascii="Arial" w:cs="Arial" w:eastAsia="Arial" w:hAnsi="Arial"/>
          <w:sz w:val="19"/>
          <w:szCs w:val="19"/>
          <w:color w:val="auto"/>
        </w:rPr>
      </w:pPr>
      <w:r>
        <w:rPr>
          <w:rFonts w:ascii="Arial" w:cs="Arial" w:eastAsia="Arial" w:hAnsi="Arial"/>
          <w:sz w:val="19"/>
          <w:szCs w:val="19"/>
          <w:color w:val="auto"/>
        </w:rPr>
        <w:t>of this Program on the end date of the Performance Period, with the pro-rata portion based on the Participant’s whole months of service with the Company during the Performance Period prior to the date of such termination; provided that a partial month of employment will be considered a whole “month of service” for purposes of this Program only if the Participant was employed by AngioDynamics for at least fifteen (15) days during such month. Any portion of the Performance Unit Award that remains unvested on the end date of the Performance Period (after giving effect to such pro-ration) shall be considered to have terminated on such date. The Participant may, from time to time, name any beneficiary or beneficiaries (who may be named contingently or successively) to whom any benefit granted to the Participant under this Program is to be paid in case of his or her death before he or she receives any or all such benefit. Each such designation shall revoke all prior designations by the Participant, shall be in a form prescribed by AngioDynamics,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pacing w:after="0" w:line="253" w:lineRule="exact"/>
        <w:rPr>
          <w:sz w:val="20"/>
          <w:szCs w:val="20"/>
          <w:color w:val="auto"/>
        </w:rPr>
      </w:pPr>
    </w:p>
    <w:p>
      <w:pPr>
        <w:ind w:right="100"/>
        <w:spacing w:after="0" w:line="348" w:lineRule="auto"/>
        <w:rPr>
          <w:sz w:val="20"/>
          <w:szCs w:val="20"/>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If the Participant’s employment with AngioDynamics or its subsidiaries or affiliates is terminated due to Retirement or Disability on or after the Grant Date, but prior to the end of the Performance Period, the Performance Unit Award shall remain eligible to vest pursuant to Section III of this Program on the end date of the Performance Period and the Participant shall receive a pro-rated portion of the Common Stock underlying the Performance Unit Award that would otherwise vest pursuant to Section III of this Program based on performance during the Performance Period, with the pro-rata portion based on the Participant’s whole months of service with AngioDynamics during the Performance Period prior to the date of such termination; provided that a partial month of employment will be considered a whole “month of service” for purposes of this Agreement only if the Participant was employed by AngioDynamics for at least fifteen (15) days during such month. Any portion of the Performance Unit Award that remains unvested on the end date of the Performance Period (after giving effect to such pro-ration) shall be considered to have terminated on such date.</w:t>
      </w:r>
    </w:p>
    <w:p>
      <w:pPr>
        <w:spacing w:after="0" w:line="249" w:lineRule="exact"/>
        <w:rPr>
          <w:sz w:val="20"/>
          <w:szCs w:val="20"/>
          <w:color w:val="auto"/>
        </w:rPr>
      </w:pPr>
    </w:p>
    <w:p>
      <w:pPr>
        <w:ind w:right="80"/>
        <w:spacing w:after="0" w:line="301" w:lineRule="auto"/>
        <w:rPr>
          <w:sz w:val="20"/>
          <w:szCs w:val="20"/>
          <w:color w:val="auto"/>
        </w:rPr>
      </w:pPr>
      <w:r>
        <w:rPr>
          <w:rFonts w:ascii="Arial" w:cs="Arial" w:eastAsia="Arial" w:hAnsi="Arial"/>
          <w:sz w:val="22"/>
          <w:szCs w:val="22"/>
          <w:u w:val="single" w:color="auto"/>
          <w:color w:val="auto"/>
        </w:rPr>
        <w:t>Other Termination of Employment -- Eligibility Conditions</w:t>
      </w:r>
      <w:r>
        <w:rPr>
          <w:rFonts w:ascii="Arial" w:cs="Arial" w:eastAsia="Arial" w:hAnsi="Arial"/>
          <w:sz w:val="22"/>
          <w:szCs w:val="22"/>
          <w:color w:val="auto"/>
        </w:rPr>
        <w:t>. If the Participant’s employment with AngioDynamics or any and of its subsidiaries or affiliates is terminated or the Participant separates from AngioDynamics or its affiliates or subsidiaries for any reason other than death, Retirement or Disability, the Performance Unit Award shall terminate and no shares of Common Stock shall be issued.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74" w:right="239" w:bottom="1440" w:gutter="0" w:footer="0" w:header="0"/>
        </w:sectPr>
      </w:pPr>
    </w:p>
    <w:bookmarkStart w:id="108" w:name="page109"/>
    <w:bookmarkEnd w:id="108"/>
    <w:p>
      <w:pPr>
        <w:ind w:right="20"/>
        <w:spacing w:after="0" w:line="345" w:lineRule="auto"/>
        <w:rPr>
          <w:sz w:val="20"/>
          <w:szCs w:val="20"/>
          <w:color w:val="auto"/>
        </w:rPr>
      </w:pPr>
      <w:r>
        <w:rPr>
          <w:rFonts w:ascii="Arial" w:cs="Arial" w:eastAsia="Arial" w:hAnsi="Arial"/>
          <w:sz w:val="19"/>
          <w:szCs w:val="19"/>
          <w:u w:val="single" w:color="auto"/>
          <w:color w:val="auto"/>
        </w:rPr>
        <w:t>Change in Control of the Company</w:t>
      </w:r>
      <w:r>
        <w:rPr>
          <w:rFonts w:ascii="Arial" w:cs="Arial" w:eastAsia="Arial" w:hAnsi="Arial"/>
          <w:sz w:val="19"/>
          <w:szCs w:val="19"/>
          <w:color w:val="auto"/>
        </w:rPr>
        <w:t>. Notwithstanding anything to the contrary in this Agreement, in the event of a Change in Control (as defined in this Program) of AngioDynamics on or after the Grant Date, but prior to the end of the Performance Period and prior to the Participant’s termination of employment for any reason, the Participant shall immediately vest in 100% of the Target Amount of shares of Common Stock subject to the Performance Unit Award. Notwithstanding anything to the contrary in this Agreement, in the event the Participant’s employment with AngioDynamics or any of its subsidiaries or affiliates terminates due to one of the reasons expressly covered above (except as described in “Other Termination of Employment” set forth above) and a Change in Control of AngioDynamics occurs subsequent to such a termination of employment (but during the Performance Period), the pro-rata vesting provided for in such sections shall be based on the Target Amount of shares of Common Stock subject to the Performance Unit Award. Any shares of Common Stock subject to the Performance Unit Award that become vested pursuant to this section of the Program shall be issued to the Participant upon or as soon as practicable (and in all events within thirty (30) days) after the effective date of the Change in Control of AngioDynamics (or, if so provided by the Board, immediately prior to the Change in Control). In the event a Change in Control of AngioDynamics occurs following the last day of the Performance Period, prior to the Participant’s termination of employment for any reason, and prior to the date all vested shares of Common Stock underlying the Performance Unit Award are issued pursuant to this Program, any shares of Common Stock subject to the Performance Unit Award that became vested pursuant to this paragraph of the Program shall be issued to the Participant upon or as soon as practicable (and in all events within thirty (30) days) after the effective date of the Change in Control of AngioDynamics (or, if so provided by the Board, immediately prior to the Change in Control).</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purposes of this Program, Change in Control shall mean shall mean that any of the following events has occurred:</w:t>
      </w:r>
    </w:p>
    <w:p>
      <w:pPr>
        <w:spacing w:after="0" w:line="123" w:lineRule="exact"/>
        <w:rPr>
          <w:sz w:val="20"/>
          <w:szCs w:val="20"/>
          <w:color w:val="auto"/>
        </w:rPr>
      </w:pPr>
    </w:p>
    <w:p>
      <w:pPr>
        <w:jc w:val="both"/>
        <w:ind w:left="660" w:hanging="4"/>
        <w:spacing w:after="0" w:line="312" w:lineRule="auto"/>
        <w:tabs>
          <w:tab w:leader="none" w:pos="1156"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Company representing more than 50% of the combined voting power of the Company's then outstanding securities, excluding any Person who becomes such a Beneficial Owner in connection with a transaction described in clause (A) of paragraph (iii) below; or</w:t>
      </w:r>
    </w:p>
    <w:p>
      <w:pPr>
        <w:spacing w:after="0" w:line="133" w:lineRule="exact"/>
        <w:rPr>
          <w:rFonts w:ascii="Arial" w:cs="Arial" w:eastAsia="Arial" w:hAnsi="Arial"/>
          <w:sz w:val="19"/>
          <w:szCs w:val="19"/>
          <w:color w:val="auto"/>
        </w:rPr>
      </w:pPr>
    </w:p>
    <w:p>
      <w:pPr>
        <w:jc w:val="both"/>
        <w:ind w:left="660" w:hanging="4"/>
        <w:spacing w:after="0" w:line="261" w:lineRule="auto"/>
        <w:tabs>
          <w:tab w:leader="none" w:pos="1325"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serving on the Board: individuals who, at the beginning of any period of two consecutive years or less (not including any period prior to the date of this Agreement),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74" w:right="239" w:bottom="1440" w:gutter="0" w:footer="0" w:header="0"/>
        </w:sectPr>
      </w:pPr>
    </w:p>
    <w:bookmarkStart w:id="109" w:name="page110"/>
    <w:bookmarkEnd w:id="109"/>
    <w:p>
      <w:pPr>
        <w:jc w:val="both"/>
        <w:ind w:left="660"/>
        <w:spacing w:after="0" w:line="253" w:lineRule="auto"/>
        <w:rPr>
          <w:sz w:val="20"/>
          <w:szCs w:val="20"/>
          <w:color w:val="auto"/>
        </w:rPr>
      </w:pPr>
      <w:r>
        <w:rPr>
          <w:rFonts w:ascii="Arial" w:cs="Arial" w:eastAsia="Arial" w:hAnsi="Arial"/>
          <w:sz w:val="22"/>
          <w:szCs w:val="22"/>
          <w:color w:val="auto"/>
        </w:rPr>
        <w:t>recommended by a vote of at least two-thirds (2/3) of the directors then still in office who either were directors at the beginning of such period or whose appointment, election or nomination for election was previously so approved or recommended; or</w:t>
      </w:r>
    </w:p>
    <w:p>
      <w:pPr>
        <w:spacing w:after="0" w:line="186" w:lineRule="exact"/>
        <w:rPr>
          <w:sz w:val="20"/>
          <w:szCs w:val="20"/>
          <w:color w:val="auto"/>
        </w:rPr>
      </w:pPr>
    </w:p>
    <w:p>
      <w:pPr>
        <w:jc w:val="both"/>
        <w:ind w:left="660" w:hanging="4"/>
        <w:spacing w:after="0" w:line="258" w:lineRule="auto"/>
        <w:tabs>
          <w:tab w:leader="none" w:pos="1273"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at least 60%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more than 50% of the combined voting power of the Company's then outstanding securities; or</w:t>
      </w:r>
    </w:p>
    <w:p>
      <w:pPr>
        <w:spacing w:after="0" w:line="186" w:lineRule="exact"/>
        <w:rPr>
          <w:rFonts w:ascii="Arial" w:cs="Arial" w:eastAsia="Arial" w:hAnsi="Arial"/>
          <w:sz w:val="21"/>
          <w:szCs w:val="21"/>
          <w:color w:val="auto"/>
        </w:rPr>
      </w:pPr>
    </w:p>
    <w:p>
      <w:pPr>
        <w:jc w:val="both"/>
        <w:ind w:left="660" w:hanging="4"/>
        <w:spacing w:after="0" w:line="297" w:lineRule="auto"/>
        <w:tabs>
          <w:tab w:leader="none" w:pos="1313"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shareholders of the Company in substantially the same proportions as their ownership of the Company immediately prior to such sale.</w:t>
      </w: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22"/>
          <w:szCs w:val="22"/>
          <w:b w:val="1"/>
          <w:bCs w:val="1"/>
          <w:color w:val="auto"/>
        </w:rPr>
        <w:t>Termination, Suspension or Modification and Interpretation of the Program</w:t>
      </w:r>
    </w:p>
    <w:p>
      <w:pPr>
        <w:spacing w:after="0" w:line="64" w:lineRule="exact"/>
        <w:rPr>
          <w:sz w:val="20"/>
          <w:szCs w:val="20"/>
          <w:color w:val="auto"/>
        </w:rPr>
      </w:pPr>
    </w:p>
    <w:p>
      <w:pPr>
        <w:spacing w:after="0" w:line="298" w:lineRule="auto"/>
        <w:rPr>
          <w:sz w:val="20"/>
          <w:szCs w:val="20"/>
          <w:color w:val="auto"/>
        </w:rPr>
      </w:pPr>
      <w:r>
        <w:rPr>
          <w:rFonts w:ascii="Arial" w:cs="Arial" w:eastAsia="Arial" w:hAnsi="Arial"/>
          <w:sz w:val="22"/>
          <w:szCs w:val="22"/>
          <w:color w:val="auto"/>
        </w:rPr>
        <w:t>The Board has sole authority over administration and interpretation of the Program and retains the right to exercise discretion as it sees fit, except that, the Board shall have no discretion to increase the number of shares of Common Stock in which a Participant may vest above the amount described in Section III. The Board may terminate, suspend or modify and if suspended, may reinstate with or without modification all or part of the Program at any time, with or without notice to the Participant. The Board reserves the exclusive right to determine eligibility to participate in this Program and to interpret all applicable terms and conditions, including eligibility criteria.</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IX. Other</w:t>
      </w:r>
    </w:p>
    <w:p>
      <w:pPr>
        <w:spacing w:after="0" w:line="64" w:lineRule="exact"/>
        <w:rPr>
          <w:sz w:val="20"/>
          <w:szCs w:val="20"/>
          <w:color w:val="auto"/>
        </w:rPr>
      </w:pPr>
    </w:p>
    <w:p>
      <w:pPr>
        <w:ind w:right="580"/>
        <w:spacing w:after="0" w:line="315" w:lineRule="auto"/>
        <w:rPr>
          <w:sz w:val="20"/>
          <w:szCs w:val="20"/>
          <w:color w:val="auto"/>
        </w:rPr>
      </w:pPr>
      <w:r>
        <w:rPr>
          <w:rFonts w:ascii="Arial" w:cs="Arial" w:eastAsia="Arial" w:hAnsi="Arial"/>
          <w:sz w:val="22"/>
          <w:szCs w:val="22"/>
          <w:color w:val="auto"/>
        </w:rPr>
        <w:t>This document sets forth the terms of the Program and is not intended to be a contract or employment agreement between the Participant and AngioDynamics, its subsidiaries or affiliates.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955" w:right="239" w:bottom="1440" w:gutter="0" w:footer="0" w:header="0"/>
        </w:sectPr>
      </w:pPr>
    </w:p>
    <w:bookmarkStart w:id="110" w:name="page111"/>
    <w:bookmarkEnd w:id="110"/>
    <w:p>
      <w:pPr>
        <w:ind w:right="180"/>
        <w:spacing w:after="0" w:line="304" w:lineRule="auto"/>
        <w:rPr>
          <w:sz w:val="20"/>
          <w:szCs w:val="20"/>
          <w:color w:val="auto"/>
        </w:rPr>
      </w:pPr>
      <w:r>
        <w:rPr>
          <w:rFonts w:ascii="Arial" w:cs="Arial" w:eastAsia="Arial" w:hAnsi="Arial"/>
          <w:sz w:val="22"/>
          <w:szCs w:val="22"/>
          <w:color w:val="auto"/>
        </w:rPr>
        <w:t>As applicable, it is understood that both the Participant and AngioDynamics have the right to terminate the Participant’s employment with the company at any time, with or without cause and with or without notice, in acknowledgement of the fact that their employment relationship is “at will.”</w:t>
      </w:r>
    </w:p>
    <w:p>
      <w:pPr>
        <w:spacing w:after="0" w:line="281" w:lineRule="exact"/>
        <w:rPr>
          <w:sz w:val="20"/>
          <w:szCs w:val="20"/>
          <w:color w:val="auto"/>
        </w:rPr>
      </w:pPr>
    </w:p>
    <w:p>
      <w:pPr>
        <w:spacing w:after="0" w:line="312" w:lineRule="auto"/>
        <w:rPr>
          <w:sz w:val="20"/>
          <w:szCs w:val="20"/>
          <w:color w:val="auto"/>
        </w:rPr>
      </w:pPr>
      <w:r>
        <w:rPr>
          <w:rFonts w:ascii="Arial" w:cs="Arial" w:eastAsia="Arial" w:hAnsi="Arial"/>
          <w:sz w:val="21"/>
          <w:szCs w:val="21"/>
          <w:color w:val="auto"/>
        </w:rPr>
        <w:t>To the extent section 409A of the Code (“Section 409A”) applies to any Performance Unit Award under this Program, the Performance Unit Award shall be interpreted in a manner consistent with Section 409A. Where Section 409A applies, in the case of any payment made on termination of employment, a termination of employment shall not be deemed to have occurred unless such termination is also a “separation from service” within the meaning of Section 409A and, for purposes of any such provision, references to a “termination,” “termination of employment,” or like terms shall mean “separation from service.” Where Section 409A applies, in the case of a payment made upon a Change in Control, a Change in Control shall not be deemed to have occurred unless there is a change in the ownership or effective control of AngioDynamics, or in the ownership of a substantial portion of the assets of AngioDynamics, as defined in Section 409A. Where required by Section 409A in the case of a specified employee (as determined under Section 409A), payments on termination shall be made on the first business day of the seventh month following termination.</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874" w:right="2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53"/>
        </w:trPr>
        <w:tc>
          <w:tcPr>
            <w:tcW w:w="4140" w:type="dxa"/>
            <w:vAlign w:val="bottom"/>
          </w:tcPr>
          <w:p>
            <w:pPr>
              <w:spacing w:after="0"/>
              <w:rPr>
                <w:sz w:val="21"/>
                <w:szCs w:val="21"/>
                <w:color w:val="auto"/>
              </w:rPr>
            </w:pPr>
          </w:p>
        </w:tc>
        <w:tc>
          <w:tcPr>
            <w:tcW w:w="4980" w:type="dxa"/>
            <w:vAlign w:val="bottom"/>
            <w:gridSpan w:val="3"/>
          </w:tcPr>
          <w:p>
            <w:pPr>
              <w:ind w:left="460"/>
              <w:spacing w:after="0"/>
              <w:rPr>
                <w:sz w:val="20"/>
                <w:szCs w:val="20"/>
                <w:color w:val="auto"/>
              </w:rPr>
            </w:pPr>
            <w:r>
              <w:rPr>
                <w:rFonts w:ascii="Arial" w:cs="Arial" w:eastAsia="Arial" w:hAnsi="Arial"/>
                <w:sz w:val="22"/>
                <w:szCs w:val="22"/>
                <w:color w:val="auto"/>
              </w:rPr>
              <w:t>APPENDIX A</w:t>
            </w:r>
          </w:p>
        </w:tc>
      </w:tr>
      <w:tr>
        <w:trPr>
          <w:trHeight w:val="773"/>
        </w:trPr>
        <w:tc>
          <w:tcPr>
            <w:tcW w:w="4140" w:type="dxa"/>
            <w:vAlign w:val="bottom"/>
          </w:tcPr>
          <w:p>
            <w:pPr>
              <w:spacing w:after="0"/>
              <w:rPr>
                <w:sz w:val="20"/>
                <w:szCs w:val="20"/>
                <w:color w:val="auto"/>
              </w:rPr>
            </w:pPr>
            <w:r>
              <w:rPr>
                <w:rFonts w:ascii="Arial" w:cs="Arial" w:eastAsia="Arial" w:hAnsi="Arial"/>
                <w:sz w:val="22"/>
                <w:szCs w:val="22"/>
                <w:color w:val="auto"/>
              </w:rPr>
              <w:t>Abaxis Inc.</w:t>
            </w:r>
          </w:p>
        </w:tc>
        <w:tc>
          <w:tcPr>
            <w:tcW w:w="4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Lakeland Industries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Abiomed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Lemaitre Vascular,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Accuray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AlphaTec Holdings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Masimo Corporation</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Articure,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Merit Medical Systems,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Atrion Corporation</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w w:val="96"/>
              </w:rPr>
              <w:t>Mine Safety Appliances Company</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C.R. Bard,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Natus Medical Incorporated</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Becton, Dickinson &amp; Company</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NuVasive,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Boston Scientific Corporation</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NxStage Medical,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Cantel Medical Corp.</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Resmed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Conmed Corporation</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CryoLife,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RTI Surgical,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Cutera,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Solta Medical,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Cyberonics,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w w:val="89"/>
              </w:rPr>
              <w:t>Span-America Medical Systems,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Cynosure,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Spectranetics Corporation</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Dexcom,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St. Jude Medical,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Digirad Corp</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Steris Corporation</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Edwards Lifesciences Corporation</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Stryker Corporation</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Endologix,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Exactech,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Synergetics USA,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Haemonetics Corporation</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Teleflex Incorporated</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ICU Medical,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Thoratec Corporation</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Insulet Corporation</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Varian Medical Systems,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Integra Lifesciences Holdings Corporation</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Vascular Solutions,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Intricon Corporation</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Intuitive Surgical, Inc.</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Wright Medical Group, Inc.</w:t>
            </w:r>
          </w:p>
        </w:tc>
      </w:tr>
      <w:tr>
        <w:trPr>
          <w:trHeight w:val="297"/>
        </w:trPr>
        <w:tc>
          <w:tcPr>
            <w:tcW w:w="4140" w:type="dxa"/>
            <w:vAlign w:val="bottom"/>
          </w:tcPr>
          <w:p>
            <w:pPr>
              <w:spacing w:after="0"/>
              <w:rPr>
                <w:sz w:val="20"/>
                <w:szCs w:val="20"/>
                <w:color w:val="auto"/>
              </w:rPr>
            </w:pPr>
            <w:r>
              <w:rPr>
                <w:rFonts w:ascii="Arial" w:cs="Arial" w:eastAsia="Arial" w:hAnsi="Arial"/>
                <w:sz w:val="22"/>
                <w:szCs w:val="22"/>
                <w:color w:val="auto"/>
              </w:rPr>
              <w:t>Invacare Corporation</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Arial" w:cs="Arial" w:eastAsia="Arial" w:hAnsi="Arial"/>
                <w:sz w:val="22"/>
                <w:szCs w:val="22"/>
                <w:color w:val="auto"/>
              </w:rPr>
              <w:t>Zimmer Holdings, Inc.</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739"/>
          </w:cols>
          <w:pgMar w:left="720" w:top="845"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10.4.3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PERFORMANCE UNIT AWARD AGREEMENT</w:t>
      </w:r>
    </w:p>
    <w:p>
      <w:pPr>
        <w:spacing w:after="0" w:line="27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1"/>
          <w:szCs w:val="21"/>
          <w:color w:val="auto"/>
        </w:rPr>
        <w:t>This Performance Unit Award Agreement (this “Agreement”), dated as of the 22nd day of July, 2015 (the “Grant Date”), is between AngioDynamics, Inc., a Delaware corporation (the “Company”), and the (“Participant”), an employee of the Company or any of its affiliates or subsidiaries and whose name appears on the signature page hereto. All capitalized terms not otherwise defined herein shall have the meaning ascribed thereto in either the AngioDynamics 2004 Stock and Incentive Award Plan, as amended (the “Plan”) or in the Total Shareholder Return Performance Unit Award Program (the “Program”) for the period beginning July 22, 2015 and ending on the date that is the second trading day following the Company’s annual earnings announcement for the fiscal year ending May 31, 2018 (the “Performance Period”).</w:t>
      </w:r>
    </w:p>
    <w:p>
      <w:pPr>
        <w:spacing w:after="0" w:line="273" w:lineRule="exact"/>
        <w:rPr>
          <w:sz w:val="20"/>
          <w:szCs w:val="20"/>
          <w:color w:val="auto"/>
        </w:rPr>
      </w:pPr>
    </w:p>
    <w:p>
      <w:pPr>
        <w:jc w:val="both"/>
        <w:ind w:firstLine="656"/>
        <w:spacing w:after="0" w:line="356" w:lineRule="auto"/>
        <w:tabs>
          <w:tab w:leader="none" w:pos="90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Grant and Acceptance of Award</w:t>
      </w:r>
      <w:r>
        <w:rPr>
          <w:rFonts w:ascii="Arial" w:cs="Arial" w:eastAsia="Arial" w:hAnsi="Arial"/>
          <w:sz w:val="19"/>
          <w:szCs w:val="19"/>
          <w:color w:val="auto"/>
        </w:rPr>
        <w:t>. Effective as of the Grant Date, the Company hereby grants to the Participant a Performance Unit Award (the “Performance Unit Award”), subject to the terms and conditions set forth in this Agreement, the Program and the Plan, with respect to [TARGET AMOUNT] (the “Target Amount”) shares of the Company’s common stock, par value $0.01 per share (the “Common Stock”). The grant of this Performance Unit Award shall not confer any right to the Participant (or any other participant) to be granted any Performance Unit Awards in the future under the Program.</w:t>
      </w:r>
    </w:p>
    <w:p>
      <w:pPr>
        <w:spacing w:after="0" w:line="243" w:lineRule="exact"/>
        <w:rPr>
          <w:rFonts w:ascii="Arial" w:cs="Arial" w:eastAsia="Arial" w:hAnsi="Arial"/>
          <w:sz w:val="19"/>
          <w:szCs w:val="19"/>
          <w:color w:val="auto"/>
        </w:rPr>
      </w:pPr>
    </w:p>
    <w:p>
      <w:pPr>
        <w:jc w:val="both"/>
        <w:ind w:firstLine="656"/>
        <w:spacing w:after="0" w:line="361" w:lineRule="auto"/>
        <w:tabs>
          <w:tab w:leader="none" w:pos="864"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Eligibility Conditions upon Performance Unit Award</w:t>
      </w:r>
      <w:r>
        <w:rPr>
          <w:rFonts w:ascii="Arial" w:cs="Arial" w:eastAsia="Arial" w:hAnsi="Arial"/>
          <w:sz w:val="19"/>
          <w:szCs w:val="19"/>
          <w:color w:val="auto"/>
        </w:rPr>
        <w:t>. The Participant hereby acknowledges the vesting of any shares of Common Stock underlying the Performance Unit Award is subject to certain eligibility, performance and other conditions set forth herein. All shares of Common Stock vested pursuant to the terms of this Agreement, the Program and the Plan shall be issued to the Participant as soon as practicable (and in all events within sixty (60) days) after the end of the Performance Period.</w:t>
      </w:r>
    </w:p>
    <w:p>
      <w:pPr>
        <w:spacing w:after="0" w:line="238" w:lineRule="exact"/>
        <w:rPr>
          <w:rFonts w:ascii="Arial" w:cs="Arial" w:eastAsia="Arial" w:hAnsi="Arial"/>
          <w:sz w:val="19"/>
          <w:szCs w:val="19"/>
          <w:color w:val="auto"/>
        </w:rPr>
      </w:pPr>
    </w:p>
    <w:p>
      <w:pPr>
        <w:jc w:val="both"/>
        <w:ind w:firstLine="656"/>
        <w:spacing w:after="0" w:line="353" w:lineRule="auto"/>
        <w:tabs>
          <w:tab w:leader="none" w:pos="91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Satisfaction of Performance-Based Conditions</w:t>
      </w:r>
      <w:r>
        <w:rPr>
          <w:rFonts w:ascii="Arial" w:cs="Arial" w:eastAsia="Arial" w:hAnsi="Arial"/>
          <w:sz w:val="19"/>
          <w:szCs w:val="19"/>
          <w:color w:val="auto"/>
        </w:rPr>
        <w:t xml:space="preserve">. Subject to the eligibility conditions described in Section 7 of this Agreement, except as otherwise provided in Sections 5, 6 and 8 of this Agreement, and the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during the Performance Period, shares of Common Stock subject to the Performance Unit Award will vest pursuant to the terms and in accordance with the conditions set forth in the Program. Except as set forth in Sections 5, 6 and 8 of this Agreement, no shares of Common Stock in settlement of vested shares of Common Stock underlying the Performance Unit Award shall be issued to the Participant prior to the end of the Performance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391" w:right="239" w:bottom="1440" w:gutter="0" w:footer="0" w:header="0"/>
        </w:sectPr>
      </w:pPr>
    </w:p>
    <w:bookmarkStart w:id="113" w:name="page114"/>
    <w:bookmarkEnd w:id="113"/>
    <w:p>
      <w:pPr>
        <w:jc w:val="both"/>
        <w:ind w:firstLine="656"/>
        <w:spacing w:after="0" w:line="316" w:lineRule="auto"/>
        <w:tabs>
          <w:tab w:leader="none" w:pos="864"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Participant’s Rights in Common Stock</w:t>
      </w:r>
      <w:r>
        <w:rPr>
          <w:rFonts w:ascii="Arial" w:cs="Arial" w:eastAsia="Arial" w:hAnsi="Arial"/>
          <w:sz w:val="21"/>
          <w:szCs w:val="21"/>
          <w:color w:val="auto"/>
        </w:rPr>
        <w:t>. The shares of Common Stock, if and when issued hereunder, shall be registered in the name of the Participant and evidenced in the manner as the Company may determine. During the period prior to the issuance of Stock (including any Vesting Date according to the Vesting Schedule), the Participant will have no rights of a stockholder of the Company with respect to the Common Stock underlying the Performance Unit Award, including no right to receive dividends or vote the shares of Common Stock underlying each Performance Unit Award.</w:t>
      </w:r>
    </w:p>
    <w:p>
      <w:pPr>
        <w:spacing w:after="0" w:line="273" w:lineRule="exact"/>
        <w:rPr>
          <w:rFonts w:ascii="Arial" w:cs="Arial" w:eastAsia="Arial" w:hAnsi="Arial"/>
          <w:sz w:val="21"/>
          <w:szCs w:val="21"/>
          <w:color w:val="auto"/>
        </w:rPr>
      </w:pPr>
    </w:p>
    <w:p>
      <w:pPr>
        <w:jc w:val="both"/>
        <w:ind w:firstLine="656"/>
        <w:spacing w:after="0" w:line="346" w:lineRule="auto"/>
        <w:tabs>
          <w:tab w:leader="none" w:pos="864"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xml:space="preserve">. In the event that the Participant’s employment with the Company or its subsidiaries or affiliates is terminated due to death on or after the Grant Date, but prior to the end of the Performance Period, the Performance Unit Award shall remain eligible to vest following the end date of the Performance Period (subject to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and the Participant shall receive a pro-rated portion of the Common Stock underlying the Performance Unit Award that would otherwise vest based on performance on the Vesting Date, with the pro-rata portion based on the Participant’s whole months of service with the Company during the Performance Period prior to the date of such termination; provided that a partial month of employment will be considered a whole “month of service” for purposes of this Agreement only if the Participant was employed by the Company for at least fifteen (15) days during such month. Any portion of the Performance Unit Award that remains unvested on the Vesting Date (after giving effect to such pro-ration) shall be considered to have terminated on the Vesting Date. The Participant may, from time to time, name any beneficiary or beneficiaries (who may be named contingently or successively) to whom any benefit under this Agreement is to be paid in case of his or her death before he or she receives any or all such benefit. Each such designation shall revoke all prior designations by the Participant, shall be in a form prescribed by the Company,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pacing w:after="0" w:line="200" w:lineRule="exact"/>
        <w:rPr>
          <w:rFonts w:ascii="Arial" w:cs="Arial" w:eastAsia="Arial" w:hAnsi="Arial"/>
          <w:sz w:val="19"/>
          <w:szCs w:val="19"/>
          <w:color w:val="auto"/>
        </w:rPr>
      </w:pPr>
    </w:p>
    <w:p>
      <w:pPr>
        <w:spacing w:after="0" w:line="360" w:lineRule="exact"/>
        <w:rPr>
          <w:rFonts w:ascii="Arial" w:cs="Arial" w:eastAsia="Arial" w:hAnsi="Arial"/>
          <w:sz w:val="19"/>
          <w:szCs w:val="19"/>
          <w:color w:val="auto"/>
        </w:rPr>
      </w:pPr>
    </w:p>
    <w:p>
      <w:pPr>
        <w:jc w:val="both"/>
        <w:ind w:firstLine="656"/>
        <w:spacing w:after="0" w:line="351" w:lineRule="auto"/>
        <w:tabs>
          <w:tab w:leader="none" w:pos="864"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xml:space="preserve">. In the event that the Participant’s employment with the Company or its subsidiaries or affiliates is terminated due to Retirement or Disability on or after the Grant Date, but prior to the end of the Performance Period, the Performance Unit Award shall remain eligible to vest following the end date of the Performance Period (subject to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and the Participant shall receive a pro-rated portion of the Common Stock underlying the Performance Unit Award that would otherwise vest based on performance on the Vesting Date, with the pro-rata portion based on the Participant’s whole months of service with the Company during the Performance Period prior to the date of such termination; provided that a partial month of employment will be considered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402" w:right="23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whole “month of service” for purposes of this Agreement only if the Participant was employed by the Company for at least fifteen</w:t>
      </w:r>
    </w:p>
    <w:p>
      <w:pPr>
        <w:spacing w:after="0" w:line="92" w:lineRule="exact"/>
        <w:rPr>
          <w:sz w:val="20"/>
          <w:szCs w:val="20"/>
          <w:color w:val="auto"/>
        </w:rPr>
      </w:pPr>
    </w:p>
    <w:p>
      <w:pPr>
        <w:ind w:firstLine="8"/>
        <w:spacing w:after="0" w:line="315" w:lineRule="auto"/>
        <w:tabs>
          <w:tab w:leader="none" w:pos="422" w:val="left"/>
        </w:tabs>
        <w:numPr>
          <w:ilvl w:val="0"/>
          <w:numId w:val="36"/>
        </w:numPr>
        <w:rPr>
          <w:rFonts w:ascii="Arial" w:cs="Arial" w:eastAsia="Arial" w:hAnsi="Arial"/>
          <w:sz w:val="22"/>
          <w:szCs w:val="22"/>
          <w:color w:val="auto"/>
        </w:rPr>
      </w:pPr>
      <w:r>
        <w:rPr>
          <w:rFonts w:ascii="Arial" w:cs="Arial" w:eastAsia="Arial" w:hAnsi="Arial"/>
          <w:sz w:val="22"/>
          <w:szCs w:val="22"/>
          <w:color w:val="auto"/>
        </w:rPr>
        <w:t>days during such month. Any portion of the Performance Unit Award that remains unvested on the Vesting Date (after giving effect to such pro-ration) shall be considered to have terminated on the Vesting Date.</w:t>
      </w:r>
    </w:p>
    <w:p>
      <w:pPr>
        <w:spacing w:after="0" w:line="267" w:lineRule="exact"/>
        <w:rPr>
          <w:rFonts w:ascii="Arial" w:cs="Arial" w:eastAsia="Arial" w:hAnsi="Arial"/>
          <w:sz w:val="22"/>
          <w:szCs w:val="22"/>
          <w:color w:val="auto"/>
        </w:rPr>
      </w:pPr>
    </w:p>
    <w:p>
      <w:pPr>
        <w:jc w:val="both"/>
        <w:ind w:firstLine="656"/>
        <w:spacing w:after="0" w:line="298" w:lineRule="auto"/>
        <w:tabs>
          <w:tab w:leader="none" w:pos="878"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Other Termination of Employment -- Eligibility Conditions</w:t>
      </w:r>
      <w:r>
        <w:rPr>
          <w:rFonts w:ascii="Arial" w:cs="Arial" w:eastAsia="Arial" w:hAnsi="Arial"/>
          <w:sz w:val="22"/>
          <w:szCs w:val="22"/>
          <w:color w:val="auto"/>
        </w:rPr>
        <w:t>. If the Participant’s employment with the Company and its affiliates or subsidiaries is terminated or the Participant separates from the Company and its affiliates or subsidiaries for any reason other than death, Retirement or Disability, the Performance Unit Award shall terminate and no shares of Common Stock shall be issued. Except as set forth in Sections 5, 6 and 8, eligibility to be issued shares of Common Stock underlying the Performance Unit Award is conditioned on the Participant’s continuous employment with the Company through the last day of the Performance Period.</w:t>
      </w:r>
    </w:p>
    <w:p>
      <w:pPr>
        <w:spacing w:after="0" w:line="289" w:lineRule="exact"/>
        <w:rPr>
          <w:rFonts w:ascii="Arial" w:cs="Arial" w:eastAsia="Arial" w:hAnsi="Arial"/>
          <w:sz w:val="22"/>
          <w:szCs w:val="22"/>
          <w:color w:val="auto"/>
        </w:rPr>
      </w:pPr>
    </w:p>
    <w:p>
      <w:pPr>
        <w:jc w:val="both"/>
        <w:ind w:firstLine="656"/>
        <w:spacing w:after="0" w:line="345" w:lineRule="auto"/>
        <w:tabs>
          <w:tab w:leader="none" w:pos="864"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Change in Control of the Company</w:t>
      </w:r>
      <w:r>
        <w:rPr>
          <w:rFonts w:ascii="Arial" w:cs="Arial" w:eastAsia="Arial" w:hAnsi="Arial"/>
          <w:sz w:val="19"/>
          <w:szCs w:val="19"/>
          <w:color w:val="auto"/>
        </w:rPr>
        <w:t>. Notwithstanding anything to the contrary in this Agreement, in the event of a Change in Control (as defined in the Program) of the Company on or after the Grant Date, but prior to the end of the Performance Period and prior to the Participant’s termination of employment for any reason, the Participant shall immediately vest in 100% of the Target Amount of shares of Common Stock subject to the Performance Unit Award. Notwithstanding anything to the contrary in this Agreement, in the event the Participant’s employment with the Company or any Subsidiary terminates due to one of the reasons expressly covered by Section 5 or Section 6 of this Agreement and a Change in Control of the Company occurs subsequent to such a termination of employment (but during the Performance Period), the pro-rata vesting provided for in such sections shall be based on the Target Amount of shares of Common Stock subject to the Performance Unit Award. Any shares of Common Stock subject to the Performance Unit Award that become vested pursuant to this Section 8 shall be issued to the Participant upon or as soon as practicable (and in all events within thirty (30) days) after the effective date of the Change in Control of the Company (or, if so provided by the Board of Directors, immediately prior to the Change in Control). In the event a Change in Control of the Company occurs following the last day of the Performance Period, prior to the Participant’s termination of employment for any reason, and prior to the date all vested shares of Common Stock underlying the Performance Unit Award are issued pursuant to Section 2 above, any shares of Common Stock subject to the Performance Unit Award that became vested pursuant to the terms of this Agreement and the Program shall be issued to the Participant upon or as soon as practicable (and in all events within thirty (30) days) after the effective date of the Change in Control of the Company (or, if so provided by the Company’s Board of Directors, immediately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402" w:right="239" w:bottom="1440" w:gutter="0" w:footer="0" w:header="0"/>
        </w:sectPr>
      </w:pPr>
    </w:p>
    <w:bookmarkStart w:id="115" w:name="page116"/>
    <w:bookmarkEnd w:id="115"/>
    <w:p>
      <w:pPr>
        <w:ind w:firstLine="656"/>
        <w:spacing w:after="0" w:line="315" w:lineRule="auto"/>
        <w:tabs>
          <w:tab w:leader="none" w:pos="864"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Consideration for Stock</w:t>
      </w:r>
      <w:r>
        <w:rPr>
          <w:rFonts w:ascii="Arial" w:cs="Arial" w:eastAsia="Arial" w:hAnsi="Arial"/>
          <w:sz w:val="22"/>
          <w:szCs w:val="22"/>
          <w:color w:val="auto"/>
        </w:rPr>
        <w:t>. The shares of Common Stock underlying the Performance Unit Award that are issued pursuant to this Agreement and the Program will be issued for no cash consideration.</w:t>
      </w:r>
    </w:p>
    <w:p>
      <w:pPr>
        <w:spacing w:after="0" w:line="267" w:lineRule="exact"/>
        <w:rPr>
          <w:rFonts w:ascii="Arial" w:cs="Arial" w:eastAsia="Arial" w:hAnsi="Arial"/>
          <w:sz w:val="22"/>
          <w:szCs w:val="22"/>
          <w:color w:val="auto"/>
        </w:rPr>
      </w:pPr>
    </w:p>
    <w:p>
      <w:pPr>
        <w:jc w:val="both"/>
        <w:ind w:firstLine="656"/>
        <w:spacing w:after="0" w:line="298" w:lineRule="auto"/>
        <w:tabs>
          <w:tab w:leader="none" w:pos="1026"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Issuance of Stock</w:t>
      </w:r>
      <w:r>
        <w:rPr>
          <w:rFonts w:ascii="Arial" w:cs="Arial" w:eastAsia="Arial" w:hAnsi="Arial"/>
          <w:sz w:val="22"/>
          <w:szCs w:val="22"/>
          <w:color w:val="auto"/>
        </w:rPr>
        <w:t>. The Company shall not be obligated to issue any shares of Common Stock underlying the Performance Unit Award that become vested pursuant to the terms of this Agreement and the Program until (i) all federal and state laws and regulations as the Company may deem applicable have been complied with; (ii) the shares have been listed or authorized for listing upon official notice to the Nasdaq Global Select Market or have otherwise been accorded trading privileges; and (iii) all other legal matters in connection with the issuance and delivery of the shares have been approved by the Company’s legal department.</w:t>
      </w:r>
    </w:p>
    <w:p>
      <w:pPr>
        <w:spacing w:after="0" w:line="289" w:lineRule="exact"/>
        <w:rPr>
          <w:rFonts w:ascii="Arial" w:cs="Arial" w:eastAsia="Arial" w:hAnsi="Arial"/>
          <w:sz w:val="22"/>
          <w:szCs w:val="22"/>
          <w:color w:val="auto"/>
        </w:rPr>
      </w:pPr>
    </w:p>
    <w:p>
      <w:pPr>
        <w:jc w:val="both"/>
        <w:ind w:firstLine="656"/>
        <w:spacing w:after="0" w:line="344" w:lineRule="auto"/>
        <w:tabs>
          <w:tab w:leader="none" w:pos="964"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acknowledges that he or she shall be responsible for the payment of any taxes of any kind required by any national, state or local law to be paid with respect to the Performance Unit Award or the shares of Common Stock to be awarded hereunder, including, without limitation, the payment of any applicable withholding, income, social and similar taxes or obligations. The Participant further acknowledges that the Company (1) makes no representations or undertakings regarding the treatment of any tax-related matters in connection with any aspect of this Agreement, including the grant of this Performance Unit Award, the vesting of any shares of Common Stock underlying this Performance Unit Award, the issuance of shares of Common Stock hereunder, the subsequent sale of any shares of Common Stock acquired hereunder and the receipt of any dividends; and (2) does not commit and is under no obligation to structure the terms of the grant or any aspect of the Performance Unit Award to reduce or eliminate the Participant’s liability for tax-related matters or achieve any particular tax result. Further, if the Participant becomes subject to tax and/or social security contributions in more than one jurisdiction between the Date of Grant and the date of any relevant taxable, tax and/or social security contribution withholding event, as applicable, the Participant acknowledges that the Company may be required to withhold or account for tax-related matters in more than one jurisdiction. Prior to any relevant taxable, tax and/or social security contribution withholding event, the Participant shall pay or make adequate arrangements satisfactory to the Company to satisfy all tax-related matters. In this regard, the Participant authorizes the Company, at its sole discretion, to satisfy the obligations with respect to tax-related matters by one or a combination of the following: (i) withholding from the Participant’s wages or other cash compensation paid to him or her by the Company; or (ii) withholding from the proceeds of the sale of shares of Common Stock acquired hereunder, either through a voluntary sale or through a mandatory sale arranged by the Company (on the Participant’s behalf pursuant to this authorization); or (iii) withholding in shares of Common Stock to be issued hereunder. To avoid negative accounting treatment, the Company will withhold or account for tax-related matters by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402" w:right="239" w:bottom="1440" w:gutter="0" w:footer="0" w:header="0"/>
        </w:sectPr>
      </w:pPr>
    </w:p>
    <w:bookmarkStart w:id="116" w:name="page117"/>
    <w:bookmarkEnd w:id="116"/>
    <w:p>
      <w:pPr>
        <w:jc w:val="both"/>
        <w:spacing w:after="0" w:line="348" w:lineRule="auto"/>
        <w:rPr>
          <w:sz w:val="20"/>
          <w:szCs w:val="20"/>
          <w:color w:val="auto"/>
        </w:rPr>
      </w:pPr>
      <w:r>
        <w:rPr>
          <w:rFonts w:ascii="Arial" w:cs="Arial" w:eastAsia="Arial" w:hAnsi="Arial"/>
          <w:sz w:val="19"/>
          <w:szCs w:val="19"/>
          <w:color w:val="auto"/>
        </w:rPr>
        <w:t>considering applicable minimum statutory withholding amounts or other applicable withholding rates. If the obligation for tax-related matters is satisfied by withholding in shares of Common Stock, for tax purposes, the Participant will be deemed to have been issued the full number of shares of Common Stock subject to the vested portion of this Performance Unit Award, notwithstanding that a number of the shares of Common Stock is held back solely for the purpose of paying the tax-related matters due as a result of any aspect of the Participant’s participation in the Program. Finally, the Participant shall pay to the Company any amount of tax-related matters that the Company may be required to withhold or account for as a result of Participant’s participation in the Program that cannot be satisfied by the means described in this Section 11. The Company may refuse to issue or deliver shares of Common Stock or the proceeds of the sale of shares of Common Stock to the Participant if the Participant fails to comply with Participant’s obligation in connection with any tax-related matters.</w:t>
      </w:r>
    </w:p>
    <w:p>
      <w:pPr>
        <w:spacing w:after="0" w:line="255" w:lineRule="exact"/>
        <w:rPr>
          <w:sz w:val="20"/>
          <w:szCs w:val="20"/>
          <w:color w:val="auto"/>
        </w:rPr>
      </w:pPr>
    </w:p>
    <w:p>
      <w:pPr>
        <w:jc w:val="both"/>
        <w:ind w:firstLine="656"/>
        <w:spacing w:after="0" w:line="345" w:lineRule="auto"/>
        <w:tabs>
          <w:tab w:leader="none" w:pos="1013"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This Agreement is intended to comply with the requirements of Section 409A. Accordingly, all provisions herein shall be construed and interpreted to comply with Section 409A. This Agreement may be amended at any time, without the consent of any party, to avoid the application of Section 409A in a particular circumstance or that is necessary or desirable to satisfy any of the requirements under Section 409A, but the Company shall not be under any obligation to make any such amendment. Nothing in the Agreement shall provide a basis for any person to take action against the Company or any of its subsidiaries or affiliate based on matters covered by Section 409A, including the tax treatment of any amount paid or Performance Unit Award granted under this Agreement, and neither the Company nor any of its subsidiaries or affiliates shall under any circumstances have any liability to any participant or his or her estate or any other party for any taxes, penalties or interest due on amounts paid or payable under the this Agreement, including taxes, penalties or interest imposed under Section 409A. Notwithstanding any provision to the contrary in this Agreement, if shares of Common Stock or other amounts become issuable or distributable under this Agreement by reason of the Participant’s Separation from Service and the Participant is a “specified employee,” within the meaning of Section 409A, at the time of such Separation from Service, the shares of Common Stock shall not be issued or distributed to the Participant prior to the earlier of (i) the first day of the seventh (7th) month following the date of the Participant’s Separation from Service or (ii) the date of the Participant’s death, if such delayed commencement is otherwise required in order to avoid a prohibited distribution under Section 409A(a)(2). Upon the expiration of the applicable Section 409A(a)(2) deferral period, all shares of Common Stock underlying the Performance Unit Award issued pursuant to this Agreement or other amounts deferred pursuant to this Section 12 shall be issued or distributed in a lump sum to the Participant. For purposes of this Agreement, “Separation from Service” means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402" w:right="239" w:bottom="1440" w:gutter="0" w:footer="0" w:header="0"/>
        </w:sectPr>
      </w:pPr>
    </w:p>
    <w:bookmarkStart w:id="117" w:name="page118"/>
    <w:bookmarkEnd w:id="117"/>
    <w:p>
      <w:pPr>
        <w:ind w:right="20"/>
        <w:spacing w:after="0" w:line="315" w:lineRule="auto"/>
        <w:rPr>
          <w:sz w:val="20"/>
          <w:szCs w:val="20"/>
          <w:color w:val="auto"/>
        </w:rPr>
      </w:pPr>
      <w:r>
        <w:rPr>
          <w:rFonts w:ascii="Arial" w:cs="Arial" w:eastAsia="Arial" w:hAnsi="Arial"/>
          <w:sz w:val="22"/>
          <w:szCs w:val="22"/>
          <w:color w:val="auto"/>
        </w:rPr>
        <w:t>the Participant’s separation from service as determined in accordance with Section 409A and the applicable standards of the Treasury Regulations issued thereunder.</w:t>
      </w:r>
    </w:p>
    <w:p>
      <w:pPr>
        <w:spacing w:after="0" w:line="268" w:lineRule="exact"/>
        <w:rPr>
          <w:sz w:val="20"/>
          <w:szCs w:val="20"/>
          <w:color w:val="auto"/>
        </w:rPr>
      </w:pPr>
    </w:p>
    <w:p>
      <w:pPr>
        <w:jc w:val="both"/>
        <w:ind w:firstLine="656"/>
        <w:spacing w:after="0" w:line="361" w:lineRule="auto"/>
        <w:tabs>
          <w:tab w:leader="none" w:pos="98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Recapitalization</w:t>
      </w:r>
      <w:r>
        <w:rPr>
          <w:rFonts w:ascii="Arial" w:cs="Arial" w:eastAsia="Arial" w:hAnsi="Arial"/>
          <w:sz w:val="19"/>
          <w:szCs w:val="19"/>
          <w:color w:val="auto"/>
        </w:rPr>
        <w:t>. In the event there is any change in the Company’s Common Stock through the declaration of stock dividends or through recapitalization resulting in stock split-ups or through merger, consolidation, exchange of shares of Common Stock, or otherwise, the number and class of shares of Common Stock subject to this Performance Unit Award shall be equitably adjusted by the Company, in the manner determined in its sole discretion, to prevent dilution or enlargement of rights.</w:t>
      </w:r>
    </w:p>
    <w:p>
      <w:pPr>
        <w:spacing w:after="0" w:line="238" w:lineRule="exact"/>
        <w:rPr>
          <w:rFonts w:ascii="Arial" w:cs="Arial" w:eastAsia="Arial" w:hAnsi="Arial"/>
          <w:sz w:val="19"/>
          <w:szCs w:val="19"/>
          <w:color w:val="auto"/>
        </w:rPr>
      </w:pPr>
    </w:p>
    <w:p>
      <w:pPr>
        <w:ind w:right="20" w:firstLine="656"/>
        <w:spacing w:after="0" w:line="315" w:lineRule="auto"/>
        <w:tabs>
          <w:tab w:leader="none" w:pos="972"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Investment Intent</w:t>
      </w:r>
      <w:r>
        <w:rPr>
          <w:rFonts w:ascii="Arial" w:cs="Arial" w:eastAsia="Arial" w:hAnsi="Arial"/>
          <w:sz w:val="22"/>
          <w:szCs w:val="22"/>
          <w:color w:val="auto"/>
        </w:rPr>
        <w:t>. The Participant acknowledges that the acquisition of shares of Common Stock to be issued hereunder is for investment purposes without a view to distribution thereof.</w:t>
      </w:r>
    </w:p>
    <w:p>
      <w:pPr>
        <w:spacing w:after="0" w:line="267" w:lineRule="exact"/>
        <w:rPr>
          <w:rFonts w:ascii="Arial" w:cs="Arial" w:eastAsia="Arial" w:hAnsi="Arial"/>
          <w:sz w:val="22"/>
          <w:szCs w:val="22"/>
          <w:color w:val="auto"/>
        </w:rPr>
      </w:pPr>
    </w:p>
    <w:p>
      <w:pPr>
        <w:jc w:val="both"/>
        <w:ind w:firstLine="656"/>
        <w:spacing w:after="0" w:line="348" w:lineRule="auto"/>
        <w:tabs>
          <w:tab w:leader="none" w:pos="102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Limits on Transferability; Restrictions on Shares; Legend on Certificate</w:t>
      </w:r>
      <w:r>
        <w:rPr>
          <w:rFonts w:ascii="Arial" w:cs="Arial" w:eastAsia="Arial" w:hAnsi="Arial"/>
          <w:sz w:val="19"/>
          <w:szCs w:val="19"/>
          <w:color w:val="auto"/>
        </w:rPr>
        <w:t>. Until the eligibility conditions of this Performance Unit Award have been satisfied and shares of Common Stock have been issued in accordance with the terms of this Agreement or by action of the Company’s Board of Directors, this Performance Unit Award is not transferable and shall not be sold, transferred, assigned, pledged, gifted, hypothecated or otherwise disposed of or encumbered by the Participant. Transfers of shares of Common Stock by the Participant are subject to the Company’s Insider Trading Policy and applicable securities laws. Shares of Common Stock issued to the Participant in certificate form or to the Participant’s book entry account upon satisfaction of the vesting and other conditions of this Performance Unit Award may be restricted from transfer or sale by the Company and evidenced by stop-transfer instructions upon the Participant’s book entry account or restricted legend(s) affixed to certificates in the form as the Company or its counsel may require with respect to any applicable restrictions on sale or transfer.</w:t>
      </w:r>
    </w:p>
    <w:p>
      <w:pPr>
        <w:spacing w:after="0" w:line="254" w:lineRule="exact"/>
        <w:rPr>
          <w:rFonts w:ascii="Arial" w:cs="Arial" w:eastAsia="Arial" w:hAnsi="Arial"/>
          <w:sz w:val="19"/>
          <w:szCs w:val="19"/>
          <w:color w:val="auto"/>
        </w:rPr>
      </w:pPr>
    </w:p>
    <w:p>
      <w:pPr>
        <w:jc w:val="both"/>
        <w:ind w:firstLine="656"/>
        <w:spacing w:after="0" w:line="353" w:lineRule="auto"/>
        <w:tabs>
          <w:tab w:leader="none" w:pos="98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Award Subject to the Plan and the Program</w:t>
      </w:r>
      <w:r>
        <w:rPr>
          <w:rFonts w:ascii="Arial" w:cs="Arial" w:eastAsia="Arial" w:hAnsi="Arial"/>
          <w:sz w:val="19"/>
          <w:szCs w:val="19"/>
          <w:color w:val="auto"/>
        </w:rPr>
        <w:t>. The Performance Unit Award made pursuant to this Agreement is made subject to the Plan and the Program. The terms and provisions of the Plan and the Program, as each may be amended from time to time are hereby incorporated herein by reference. In the event of a conflict between any term or provision contained in this Agreement and a term or provision of the Plan or the Program, the applicable terms and conditions of the Plan or Program will govern and prevail. However, no amendment of the Plan or the Program after the date hereof may adversely alter or impair the issuance of the Common Stock underlying the Performance Unit Award to be made pursuant to this Agreement.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402" w:right="239" w:bottom="1440" w:gutter="0" w:footer="0" w:header="0"/>
        </w:sectPr>
      </w:pPr>
    </w:p>
    <w:bookmarkStart w:id="118" w:name="page119"/>
    <w:bookmarkEnd w:id="118"/>
    <w:p>
      <w:pPr>
        <w:spacing w:after="0" w:line="45" w:lineRule="exact"/>
        <w:rPr>
          <w:sz w:val="20"/>
          <w:szCs w:val="20"/>
          <w:color w:val="auto"/>
        </w:rPr>
      </w:pPr>
    </w:p>
    <w:p>
      <w:pPr>
        <w:jc w:val="both"/>
        <w:ind w:firstLine="656"/>
        <w:spacing w:after="0" w:line="304" w:lineRule="auto"/>
        <w:tabs>
          <w:tab w:leader="none" w:pos="97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No Rights to Continued Employment</w:t>
      </w:r>
      <w:r>
        <w:rPr>
          <w:rFonts w:ascii="Arial" w:cs="Arial" w:eastAsia="Arial" w:hAnsi="Arial"/>
          <w:sz w:val="22"/>
          <w:szCs w:val="22"/>
          <w:color w:val="auto"/>
        </w:rPr>
        <w:t>. This Agreement shall not confer upon the Participant any right to continuation of employment with the Company, its subsidiaries or affiliates, nor shall this Agreement interfere in any way with the Company’s right to terminate the Participant’s employment at any time with or without cause.</w:t>
      </w:r>
    </w:p>
    <w:p>
      <w:pPr>
        <w:spacing w:after="0" w:line="281" w:lineRule="exact"/>
        <w:rPr>
          <w:rFonts w:ascii="Arial" w:cs="Arial" w:eastAsia="Arial" w:hAnsi="Arial"/>
          <w:sz w:val="22"/>
          <w:szCs w:val="22"/>
          <w:color w:val="auto"/>
        </w:rPr>
      </w:pPr>
    </w:p>
    <w:p>
      <w:pPr>
        <w:jc w:val="both"/>
        <w:ind w:firstLine="656"/>
        <w:spacing w:after="0" w:line="319" w:lineRule="auto"/>
        <w:tabs>
          <w:tab w:leader="none" w:pos="999"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Legal Notices</w:t>
      </w:r>
      <w:r>
        <w:rPr>
          <w:rFonts w:ascii="Arial" w:cs="Arial" w:eastAsia="Arial" w:hAnsi="Arial"/>
          <w:sz w:val="21"/>
          <w:szCs w:val="21"/>
          <w:color w:val="auto"/>
        </w:rPr>
        <w:t>. Any legal notice necessary under this Agreement shall be addressed to the Company in care of its General Counsel at the principal executive offices of the Company and to the Participant at the address appearing in the personnel records of the Company for such Participant or to either party at such other address as either party may designate in writing to the other. Any such notice shall be deemed effective upon receipt thereof by the addressee.</w:t>
      </w:r>
    </w:p>
    <w:p>
      <w:pPr>
        <w:spacing w:after="0" w:line="269" w:lineRule="exact"/>
        <w:rPr>
          <w:rFonts w:ascii="Arial" w:cs="Arial" w:eastAsia="Arial" w:hAnsi="Arial"/>
          <w:sz w:val="21"/>
          <w:szCs w:val="21"/>
          <w:color w:val="auto"/>
        </w:rPr>
      </w:pPr>
    </w:p>
    <w:p>
      <w:pPr>
        <w:jc w:val="both"/>
        <w:ind w:firstLine="656"/>
        <w:spacing w:after="0" w:line="315" w:lineRule="auto"/>
        <w:tabs>
          <w:tab w:leader="none" w:pos="986"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interpretation, performance and enforcement of this Agreement shall be governed by the laws of the State of New York (without regard to the conflict of laws principles thereof) and applicable federal laws. For purposes of litigating any dispute that arises directly or indirectly from the relationship of the parties evidenced by this Agreement, the parties hereby submit and consent to the exclusive jurisdiction of the State of New York and agree that such litigation shall be conducted only in the State of New York, or the federal courts for the United States for the Northern District of New York, and no other courts, where this Performance Unit Award is made and/or to be performed.</w:t>
      </w:r>
    </w:p>
    <w:p>
      <w:pPr>
        <w:spacing w:after="0" w:line="272" w:lineRule="exact"/>
        <w:rPr>
          <w:rFonts w:ascii="Arial" w:cs="Arial" w:eastAsia="Arial" w:hAnsi="Arial"/>
          <w:sz w:val="21"/>
          <w:szCs w:val="21"/>
          <w:color w:val="auto"/>
        </w:rPr>
      </w:pPr>
    </w:p>
    <w:p>
      <w:pPr>
        <w:ind w:firstLine="656"/>
        <w:spacing w:after="0" w:line="315" w:lineRule="auto"/>
        <w:tabs>
          <w:tab w:leader="none" w:pos="999"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convenience only and shall not affect the meaning or interpretation of this Agreement.</w:t>
      </w:r>
    </w:p>
    <w:p>
      <w:pPr>
        <w:spacing w:after="0" w:line="267" w:lineRule="exact"/>
        <w:rPr>
          <w:rFonts w:ascii="Arial" w:cs="Arial" w:eastAsia="Arial" w:hAnsi="Arial"/>
          <w:sz w:val="22"/>
          <w:szCs w:val="22"/>
          <w:color w:val="auto"/>
        </w:rPr>
      </w:pPr>
    </w:p>
    <w:p>
      <w:pPr>
        <w:ind w:firstLine="656"/>
        <w:spacing w:after="0" w:line="315" w:lineRule="auto"/>
        <w:tabs>
          <w:tab w:leader="none" w:pos="97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be deemed to be one and the same instrument.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being signed as of the Grant Date.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AngioDynamics, Inc.</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______________________________</w:t>
      </w:r>
    </w:p>
    <w:p>
      <w:pPr>
        <w:spacing w:after="0" w:line="220"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APPENDIX A</w:t>
      </w:r>
    </w:p>
    <w:p>
      <w:pPr>
        <w:spacing w:after="0" w:line="27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Company Performance Levels</w:t>
      </w:r>
    </w:p>
    <w:p>
      <w:pPr>
        <w:spacing w:after="0" w:line="166" w:lineRule="exact"/>
        <w:rPr>
          <w:sz w:val="20"/>
          <w:szCs w:val="20"/>
          <w:color w:val="auto"/>
        </w:rPr>
      </w:pPr>
    </w:p>
    <w:p>
      <w:pPr>
        <w:ind w:right="380"/>
        <w:spacing w:after="0" w:line="315" w:lineRule="auto"/>
        <w:rPr>
          <w:sz w:val="20"/>
          <w:szCs w:val="20"/>
          <w:color w:val="auto"/>
        </w:rPr>
      </w:pPr>
      <w:r>
        <w:rPr>
          <w:rFonts w:ascii="Arial" w:cs="Arial" w:eastAsia="Arial" w:hAnsi="Arial"/>
          <w:sz w:val="22"/>
          <w:szCs w:val="22"/>
          <w:color w:val="auto"/>
        </w:rPr>
        <w:t>The Performance Share Units will pay out in shares of Common Stock in a range of 0% to 200% of the number of Performance Share Units as follows:</w:t>
      </w:r>
    </w:p>
    <w:p>
      <w:pPr>
        <w:spacing w:after="0" w:line="161" w:lineRule="exact"/>
        <w:rPr>
          <w:sz w:val="20"/>
          <w:szCs w:val="20"/>
          <w:color w:val="auto"/>
        </w:rPr>
      </w:pPr>
    </w:p>
    <w:tbl>
      <w:tblPr>
        <w:tblLayout w:type="fixed"/>
        <w:tblInd w:w="2070" w:type="dxa"/>
        <w:tblCellMar>
          <w:top w:w="0" w:type="dxa"/>
          <w:left w:w="0" w:type="dxa"/>
          <w:bottom w:w="0" w:type="dxa"/>
          <w:right w:w="0" w:type="dxa"/>
        </w:tblCellMar>
      </w:tblPr>
      <w:tr>
        <w:trPr>
          <w:trHeight w:val="310"/>
        </w:trPr>
        <w:tc>
          <w:tcPr>
            <w:tcW w:w="34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TSR Performance</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Performance Share Units</w:t>
            </w:r>
          </w:p>
        </w:tc>
      </w:tr>
      <w:tr>
        <w:trPr>
          <w:trHeight w:val="291"/>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Percentile Rank</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as a Percent of Target</w:t>
            </w:r>
          </w:p>
        </w:tc>
      </w:tr>
      <w:tr>
        <w:trPr>
          <w:trHeight w:val="291"/>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75th Percentile or above</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1"/>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50th Percentile</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25th Percentile</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-8255</wp:posOffset>
            </wp:positionV>
            <wp:extent cx="889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1905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-8255</wp:posOffset>
            </wp:positionV>
            <wp:extent cx="889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19050"/>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-8255</wp:posOffset>
            </wp:positionV>
            <wp:extent cx="889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19050"/>
                    </a:xfrm>
                    <a:prstGeom prst="rect">
                      <a:avLst/>
                    </a:prstGeom>
                    <a:noFill/>
                  </pic:spPr>
                </pic:pic>
              </a:graphicData>
            </a:graphic>
          </wp:anchor>
        </w:drawing>
      </w:r>
    </w:p>
    <w:p>
      <w:pPr>
        <w:sectPr>
          <w:pgSz w:w="11900" w:h="16884" w:orient="portrait"/>
          <w:cols w:equalWidth="0" w:num="1">
            <w:col w:w="11420"/>
          </w:cols>
          <w:pgMar w:left="240" w:top="402" w:right="239" w:bottom="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70"/>
        </w:trPr>
        <w:tc>
          <w:tcPr>
            <w:tcW w:w="1740" w:type="dxa"/>
            <w:vAlign w:val="bottom"/>
            <w:tcBorders>
              <w:right w:val="single" w:sz="8" w:color="auto"/>
            </w:tcBorders>
          </w:tcPr>
          <w:p>
            <w:pPr>
              <w:spacing w:after="0"/>
              <w:rPr>
                <w:sz w:val="23"/>
                <w:szCs w:val="23"/>
                <w:color w:val="auto"/>
              </w:rPr>
            </w:pPr>
          </w:p>
        </w:tc>
        <w:tc>
          <w:tcPr>
            <w:tcW w:w="344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22"/>
                <w:szCs w:val="22"/>
                <w:color w:val="auto"/>
              </w:rPr>
              <w:t>Below 25th Percentile</w:t>
            </w:r>
          </w:p>
        </w:tc>
        <w:tc>
          <w:tcPr>
            <w:tcW w:w="3860" w:type="dxa"/>
            <w:vAlign w:val="bottom"/>
            <w:tcBorders>
              <w:bottom w:val="single" w:sz="8" w:color="auto"/>
              <w:right w:val="single" w:sz="8" w:color="auto"/>
            </w:tcBorders>
          </w:tcPr>
          <w:p>
            <w:pPr>
              <w:ind w:left="1800"/>
              <w:spacing w:after="0"/>
              <w:rPr>
                <w:sz w:val="20"/>
                <w:szCs w:val="20"/>
                <w:color w:val="auto"/>
              </w:rPr>
            </w:pPr>
            <w:r>
              <w:rPr>
                <w:rFonts w:ascii="Arial" w:cs="Arial" w:eastAsia="Arial" w:hAnsi="Arial"/>
                <w:sz w:val="22"/>
                <w:szCs w:val="22"/>
                <w:color w:val="auto"/>
              </w:rPr>
              <w:t>0%</w:t>
            </w:r>
          </w:p>
        </w:tc>
        <w:tc>
          <w:tcPr>
            <w:tcW w:w="220" w:type="dxa"/>
            <w:vAlign w:val="bottom"/>
          </w:tcPr>
          <w:p>
            <w:pPr>
              <w:spacing w:after="0"/>
              <w:rPr>
                <w:sz w:val="23"/>
                <w:szCs w:val="23"/>
                <w:color w:val="auto"/>
              </w:rPr>
            </w:pPr>
          </w:p>
        </w:tc>
      </w:tr>
      <w:tr>
        <w:trPr>
          <w:trHeight w:val="268"/>
        </w:trPr>
        <w:tc>
          <w:tcPr>
            <w:tcW w:w="1740" w:type="dxa"/>
            <w:vAlign w:val="bottom"/>
          </w:tcPr>
          <w:p>
            <w:pPr>
              <w:spacing w:after="0"/>
              <w:rPr>
                <w:sz w:val="20"/>
                <w:szCs w:val="20"/>
                <w:color w:val="auto"/>
              </w:rPr>
            </w:pPr>
            <w:r>
              <w:rPr>
                <w:rFonts w:ascii="Arial" w:cs="Arial" w:eastAsia="Arial" w:hAnsi="Arial"/>
                <w:sz w:val="22"/>
                <w:szCs w:val="22"/>
                <w:color w:val="auto"/>
                <w:w w:val="93"/>
              </w:rPr>
              <w:t>II. The Peer Group</w:t>
            </w:r>
          </w:p>
        </w:tc>
        <w:tc>
          <w:tcPr>
            <w:tcW w:w="7300" w:type="dxa"/>
            <w:vAlign w:val="bottom"/>
            <w:gridSpan w:val="2"/>
          </w:tcPr>
          <w:p>
            <w:pPr>
              <w:ind w:left="20"/>
              <w:spacing w:after="0"/>
              <w:rPr>
                <w:sz w:val="20"/>
                <w:szCs w:val="20"/>
                <w:color w:val="auto"/>
              </w:rPr>
            </w:pPr>
            <w:r>
              <w:rPr>
                <w:rFonts w:ascii="Arial" w:cs="Arial" w:eastAsia="Arial" w:hAnsi="Arial"/>
                <w:sz w:val="22"/>
                <w:szCs w:val="22"/>
                <w:color w:val="auto"/>
                <w:w w:val="97"/>
              </w:rPr>
              <w:t>(as defined in the Program) with respect to this Agreement is set forth below.</w:t>
            </w:r>
          </w:p>
        </w:tc>
        <w:tc>
          <w:tcPr>
            <w:tcW w:w="220" w:type="dxa"/>
            <w:vAlign w:val="bottom"/>
          </w:tcPr>
          <w:p>
            <w:pPr>
              <w:spacing w:after="0"/>
              <w:rPr>
                <w:sz w:val="23"/>
                <w:szCs w:val="23"/>
                <w:color w:val="auto"/>
              </w:rPr>
            </w:pPr>
          </w:p>
        </w:tc>
      </w:tr>
      <w:tr>
        <w:trPr>
          <w:trHeight w:val="3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Abaxis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Lakeland Industries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Abiomed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Lemaitre Vascular,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Accuray Inc.</w:t>
            </w: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AlphaTec Holdings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Masimo Corporation</w:t>
            </w:r>
          </w:p>
        </w:tc>
      </w:tr>
      <w:tr>
        <w:trPr>
          <w:trHeight w:val="621"/>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Articure,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Merit Medical Systems,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Atrion Corporation</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w w:val="96"/>
              </w:rPr>
              <w:t>Mine Safety Appliances Company</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C.R. Bard,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Natus Medical Incorporated</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Becton, Dickinson &amp; Company</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NuVasive,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Boston Scientific Corporation</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NxStage Medical,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Cantel Medical Corp.</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Resmed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Conmed Corporation</w:t>
            </w: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CryoLife,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RTI Surgical,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Cutera,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Solta Medical,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Cyberonics,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w w:val="89"/>
              </w:rPr>
              <w:t>Span-America Medical Systems,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Cynosure,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Spectranetics Corporation</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Dexcom,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St. Jude Medical,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Digirad Corp</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Steris Corporation</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Edwards Lifesciences Corporation</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Stryker Corporation</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Endologix, Inc.</w:t>
            </w: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Exactech,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Synergetics USA,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Haemonetics Corporation</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Teleflex Incorporated</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ICU Medical,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Thoratec Corporation</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Insulet Corporation</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Varian Medical Systems,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Integra Lifesciences Holdings Corporation</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Vascular Solutions,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Intricon Corporation</w:t>
            </w:r>
          </w:p>
        </w:tc>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Intuitive Surgical, Inc.</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Wright Medical Group, Inc.</w:t>
            </w:r>
          </w:p>
        </w:tc>
      </w:tr>
      <w:tr>
        <w:trPr>
          <w:trHeight w:val="297"/>
        </w:trPr>
        <w:tc>
          <w:tcPr>
            <w:tcW w:w="5180" w:type="dxa"/>
            <w:vAlign w:val="bottom"/>
            <w:gridSpan w:val="2"/>
          </w:tcPr>
          <w:p>
            <w:pPr>
              <w:ind w:left="140"/>
              <w:spacing w:after="0"/>
              <w:rPr>
                <w:sz w:val="20"/>
                <w:szCs w:val="20"/>
                <w:color w:val="auto"/>
              </w:rPr>
            </w:pPr>
            <w:r>
              <w:rPr>
                <w:rFonts w:ascii="Arial" w:cs="Arial" w:eastAsia="Arial" w:hAnsi="Arial"/>
                <w:sz w:val="22"/>
                <w:szCs w:val="22"/>
                <w:color w:val="auto"/>
              </w:rPr>
              <w:t>Invacare Corporation</w:t>
            </w:r>
          </w:p>
        </w:tc>
        <w:tc>
          <w:tcPr>
            <w:tcW w:w="4080" w:type="dxa"/>
            <w:vAlign w:val="bottom"/>
            <w:gridSpan w:val="2"/>
          </w:tcPr>
          <w:p>
            <w:pPr>
              <w:ind w:left="860"/>
              <w:spacing w:after="0"/>
              <w:rPr>
                <w:sz w:val="20"/>
                <w:szCs w:val="20"/>
                <w:color w:val="auto"/>
              </w:rPr>
            </w:pPr>
            <w:r>
              <w:rPr>
                <w:rFonts w:ascii="Arial" w:cs="Arial" w:eastAsia="Arial" w:hAnsi="Arial"/>
                <w:sz w:val="22"/>
                <w:szCs w:val="22"/>
                <w:color w:val="auto"/>
              </w:rPr>
              <w:t>Zimmer Holdings, Inc.</w:t>
            </w:r>
          </w:p>
        </w:tc>
      </w:tr>
      <w:tr>
        <w:trPr>
          <w:trHeight w:val="797"/>
        </w:trPr>
        <w:tc>
          <w:tcPr>
            <w:tcW w:w="17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860" w:type="dxa"/>
            <w:vAlign w:val="bottom"/>
          </w:tcPr>
          <w:p>
            <w:pPr>
              <w:ind w:left="140"/>
              <w:spacing w:after="0"/>
              <w:rPr>
                <w:sz w:val="20"/>
                <w:szCs w:val="20"/>
                <w:color w:val="auto"/>
              </w:rPr>
            </w:pPr>
            <w:r>
              <w:rPr>
                <w:rFonts w:ascii="Arial" w:cs="Arial" w:eastAsia="Arial" w:hAnsi="Arial"/>
                <w:sz w:val="22"/>
                <w:szCs w:val="22"/>
                <w:color w:val="auto"/>
              </w:rPr>
              <w:t>7</w:t>
            </w:r>
          </w:p>
        </w:tc>
        <w:tc>
          <w:tcPr>
            <w:tcW w:w="220" w:type="dxa"/>
            <w:vAlign w:val="bottom"/>
          </w:tcPr>
          <w:p>
            <w:pPr>
              <w:spacing w:after="0"/>
              <w:rPr>
                <w:sz w:val="24"/>
                <w:szCs w:val="24"/>
                <w:color w:val="auto"/>
              </w:rPr>
            </w:pPr>
          </w:p>
        </w:tc>
      </w:tr>
    </w:tbl>
    <w:p>
      <w:pPr>
        <w:sectPr>
          <w:pgSz w:w="11900" w:h="16838" w:orient="portrait"/>
          <w:cols w:equalWidth="0" w:num="1">
            <w:col w:w="9879"/>
          </w:cols>
          <w:pgMar w:left="580" w:top="140"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Subsidiaries of AngioDynamics, Inc.</w:t>
      </w:r>
    </w:p>
    <w:p>
      <w:pPr>
        <w:sectPr>
          <w:pgSz w:w="11900" w:h="16838" w:orient="portrait"/>
          <w:cols w:equalWidth="0" w:num="1">
            <w:col w:w="11380"/>
          </w:cols>
          <w:pgMar w:left="28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102870</wp:posOffset>
            </wp:positionV>
            <wp:extent cx="36963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Vortex Medical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Holding Company,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Navilyst Medical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Navilyst Medical,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AngioDynamics UK Limited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AngioDynamics Netherlands B. V.</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RITA Medical Systems, LLC</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AngioDynamics Netherlands B. V.</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Clinical Devices, B. 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AngioDynamics Canada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117475</wp:posOffset>
            </wp:positionV>
            <wp:extent cx="3404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British Columbia</w:t>
      </w:r>
    </w:p>
    <w:p>
      <w:pPr>
        <w:sectPr>
          <w:pgSz w:w="11900" w:h="16838" w:orient="portrait"/>
          <w:cols w:equalWidth="0" w:num="2">
            <w:col w:w="5320" w:space="720"/>
            <w:col w:w="5340"/>
          </w:cols>
          <w:pgMar w:left="280" w:top="283" w:right="239" w:bottom="1440" w:gutter="0" w:footer="0" w:header="0"/>
          <w:type w:val="continuous"/>
        </w:sectPr>
      </w:pPr>
    </w:p>
    <w:bookmarkStart w:id="121" w:name="page122"/>
    <w:bookmarkEnd w:id="121"/>
    <w:p>
      <w:pPr>
        <w:jc w:val="center"/>
        <w:ind w:right="-5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3 (No. 333-190642) and on Form S-8 (No 333-120057, No. 333-138456, No. 333-140627, No. 333-161355, No. 333-162844, No. 333-170619, No. 333-190640 and No. 333-203441) of AngioDynamics, Inc. of our report dated August 1, 2016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p>
      <w:pPr>
        <w:sectPr>
          <w:pgSz w:w="11900" w:h="16838" w:orient="portrait"/>
          <w:cols w:equalWidth="0" w:num="1">
            <w:col w:w="11360"/>
          </w:cols>
          <w:pgMar w:left="240" w:top="557" w:right="2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360" w:lineRule="exact"/>
        <w:rPr>
          <w:sz w:val="20"/>
          <w:szCs w:val="20"/>
          <w:color w:val="auto"/>
        </w:rPr>
      </w:pPr>
    </w:p>
    <w:p>
      <w:pPr>
        <w:ind w:left="720" w:hanging="577"/>
        <w:spacing w:after="0"/>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AngioDynamics, Inc.;</w:t>
      </w:r>
    </w:p>
    <w:p>
      <w:pPr>
        <w:spacing w:after="0" w:line="373" w:lineRule="exact"/>
        <w:rPr>
          <w:rFonts w:ascii="Arial" w:cs="Arial" w:eastAsia="Arial" w:hAnsi="Arial"/>
          <w:sz w:val="18"/>
          <w:szCs w:val="18"/>
          <w:color w:val="auto"/>
        </w:rPr>
      </w:pPr>
    </w:p>
    <w:p>
      <w:pPr>
        <w:jc w:val="both"/>
        <w:ind w:left="720" w:right="240" w:hanging="577"/>
        <w:spacing w:after="0" w:line="264" w:lineRule="auto"/>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9" w:lineRule="exact"/>
        <w:rPr>
          <w:rFonts w:ascii="Arial" w:cs="Arial" w:eastAsia="Arial" w:hAnsi="Arial"/>
          <w:sz w:val="18"/>
          <w:szCs w:val="18"/>
          <w:color w:val="auto"/>
        </w:rPr>
      </w:pPr>
    </w:p>
    <w:p>
      <w:pPr>
        <w:ind w:left="720" w:right="200" w:hanging="577"/>
        <w:spacing w:after="0" w:line="308" w:lineRule="auto"/>
        <w:tabs>
          <w:tab w:leader="none" w:pos="7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5" w:lineRule="exact"/>
        <w:rPr>
          <w:rFonts w:ascii="Arial" w:cs="Arial" w:eastAsia="Arial" w:hAnsi="Arial"/>
          <w:sz w:val="17"/>
          <w:szCs w:val="17"/>
          <w:color w:val="auto"/>
        </w:rPr>
      </w:pPr>
    </w:p>
    <w:p>
      <w:pPr>
        <w:ind w:left="720" w:right="240" w:hanging="577"/>
        <w:spacing w:after="0" w:line="264" w:lineRule="auto"/>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820" w:right="380" w:hanging="812"/>
        <w:spacing w:after="0" w:line="29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820" w:right="80" w:hanging="812"/>
        <w:spacing w:after="0" w:line="29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820" w:right="880" w:hanging="812"/>
        <w:spacing w:after="0" w:line="334" w:lineRule="auto"/>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20" w:right="100" w:hanging="812"/>
        <w:spacing w:after="0" w:line="311"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5" w:lineRule="exact"/>
        <w:rPr>
          <w:rFonts w:ascii="Arial" w:cs="Arial" w:eastAsia="Arial" w:hAnsi="Arial"/>
          <w:sz w:val="18"/>
          <w:szCs w:val="18"/>
          <w:color w:val="auto"/>
        </w:rPr>
      </w:pPr>
    </w:p>
    <w:p>
      <w:pPr>
        <w:ind w:left="720" w:right="120" w:hanging="577"/>
        <w:spacing w:after="0" w:line="298" w:lineRule="auto"/>
        <w:tabs>
          <w:tab w:leader="none" w:pos="7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820" w:right="300" w:hanging="812"/>
        <w:spacing w:after="0" w:line="297"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right="240" w:hanging="812"/>
        <w:spacing w:after="0" w:line="324"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200" w:lineRule="exact"/>
        <w:rPr>
          <w:sz w:val="20"/>
          <w:szCs w:val="20"/>
          <w:color w:val="auto"/>
        </w:rPr>
      </w:pPr>
    </w:p>
    <w:p>
      <w:pPr>
        <w:spacing w:after="0" w:line="309" w:lineRule="exact"/>
        <w:rPr>
          <w:sz w:val="20"/>
          <w:szCs w:val="20"/>
          <w:color w:val="auto"/>
        </w:rPr>
      </w:pPr>
    </w:p>
    <w:p>
      <w:pPr>
        <w:ind w:left="240" w:hanging="97"/>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 / JAMES C. CLEMMER</w:t>
      </w:r>
    </w:p>
    <w:p>
      <w:pPr>
        <w:spacing w:after="0" w:line="90" w:lineRule="exact"/>
        <w:rPr>
          <w:rFonts w:ascii="Arial" w:cs="Arial" w:eastAsia="Arial" w:hAnsi="Arial"/>
          <w:sz w:val="18"/>
          <w:szCs w:val="18"/>
          <w:color w:val="auto"/>
        </w:rPr>
      </w:pPr>
    </w:p>
    <w:p>
      <w:pPr>
        <w:ind w:left="140" w:right="9120"/>
        <w:spacing w:after="0" w:line="456" w:lineRule="auto"/>
        <w:rPr>
          <w:rFonts w:ascii="Arial" w:cs="Arial" w:eastAsia="Arial" w:hAnsi="Arial"/>
          <w:sz w:val="18"/>
          <w:szCs w:val="18"/>
          <w:color w:val="auto"/>
        </w:rPr>
      </w:pPr>
      <w:r>
        <w:rPr>
          <w:rFonts w:ascii="Arial" w:cs="Arial" w:eastAsia="Arial" w:hAnsi="Arial"/>
          <w:sz w:val="15"/>
          <w:szCs w:val="15"/>
          <w:color w:val="auto"/>
        </w:rPr>
        <w:t>James C. Clemmer, 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-432435</wp:posOffset>
            </wp:positionV>
            <wp:extent cx="72123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Peter Kish, certify that:</w:t>
      </w:r>
    </w:p>
    <w:p>
      <w:pPr>
        <w:spacing w:after="0" w:line="360" w:lineRule="exact"/>
        <w:rPr>
          <w:sz w:val="20"/>
          <w:szCs w:val="20"/>
          <w:color w:val="auto"/>
        </w:rPr>
      </w:pPr>
    </w:p>
    <w:p>
      <w:pPr>
        <w:ind w:left="720" w:hanging="577"/>
        <w:spacing w:after="0"/>
        <w:tabs>
          <w:tab w:leader="none" w:pos="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AngioDynamics, Inc.;</w:t>
      </w:r>
    </w:p>
    <w:p>
      <w:pPr>
        <w:spacing w:after="0" w:line="373" w:lineRule="exact"/>
        <w:rPr>
          <w:rFonts w:ascii="Arial" w:cs="Arial" w:eastAsia="Arial" w:hAnsi="Arial"/>
          <w:sz w:val="18"/>
          <w:szCs w:val="18"/>
          <w:color w:val="auto"/>
        </w:rPr>
      </w:pPr>
    </w:p>
    <w:p>
      <w:pPr>
        <w:jc w:val="both"/>
        <w:ind w:left="720" w:right="240" w:hanging="577"/>
        <w:spacing w:after="0" w:line="264" w:lineRule="auto"/>
        <w:tabs>
          <w:tab w:leader="none" w:pos="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9" w:lineRule="exact"/>
        <w:rPr>
          <w:rFonts w:ascii="Arial" w:cs="Arial" w:eastAsia="Arial" w:hAnsi="Arial"/>
          <w:sz w:val="18"/>
          <w:szCs w:val="18"/>
          <w:color w:val="auto"/>
        </w:rPr>
      </w:pPr>
    </w:p>
    <w:p>
      <w:pPr>
        <w:ind w:left="720" w:right="200" w:hanging="577"/>
        <w:spacing w:after="0" w:line="308" w:lineRule="auto"/>
        <w:tabs>
          <w:tab w:leader="none" w:pos="7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5" w:lineRule="exact"/>
        <w:rPr>
          <w:rFonts w:ascii="Arial" w:cs="Arial" w:eastAsia="Arial" w:hAnsi="Arial"/>
          <w:sz w:val="17"/>
          <w:szCs w:val="17"/>
          <w:color w:val="auto"/>
        </w:rPr>
      </w:pPr>
    </w:p>
    <w:p>
      <w:pPr>
        <w:ind w:left="720" w:right="240" w:hanging="577"/>
        <w:spacing w:after="0" w:line="264" w:lineRule="auto"/>
        <w:tabs>
          <w:tab w:leader="none" w:pos="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820" w:right="380" w:hanging="812"/>
        <w:spacing w:after="0" w:line="29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820" w:right="80" w:hanging="812"/>
        <w:spacing w:after="0" w:line="29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820" w:right="880" w:hanging="812"/>
        <w:spacing w:after="0" w:line="334" w:lineRule="auto"/>
        <w:tabs>
          <w:tab w:leader="none" w:pos="8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20" w:right="100" w:hanging="812"/>
        <w:spacing w:after="0" w:line="311"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5" w:lineRule="exact"/>
        <w:rPr>
          <w:rFonts w:ascii="Arial" w:cs="Arial" w:eastAsia="Arial" w:hAnsi="Arial"/>
          <w:sz w:val="18"/>
          <w:szCs w:val="18"/>
          <w:color w:val="auto"/>
        </w:rPr>
      </w:pPr>
    </w:p>
    <w:p>
      <w:pPr>
        <w:ind w:left="720" w:right="120" w:hanging="577"/>
        <w:spacing w:after="0" w:line="298" w:lineRule="auto"/>
        <w:tabs>
          <w:tab w:leader="none" w:pos="7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820" w:right="300" w:hanging="812"/>
        <w:spacing w:after="0" w:line="29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right="240" w:hanging="812"/>
        <w:spacing w:after="0" w:line="324"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 w:right="9920" w:firstLine="3"/>
        <w:spacing w:after="0" w:line="328" w:lineRule="auto"/>
        <w:tabs>
          <w:tab w:leader="none" w:pos="2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 / PETER KISH Peter Kish,</w:t>
      </w:r>
    </w:p>
    <w:p>
      <w:pPr>
        <w:spacing w:after="0" w:line="1"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Interim—Chief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-147320</wp:posOffset>
            </wp:positionV>
            <wp:extent cx="716915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-327660</wp:posOffset>
            </wp:positionV>
            <wp:extent cx="71691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jc w:val="center"/>
        <w:spacing w:after="0" w:line="311"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360" w:lineRule="exact"/>
        <w:rPr>
          <w:sz w:val="20"/>
          <w:szCs w:val="20"/>
          <w:color w:val="auto"/>
        </w:rPr>
      </w:pPr>
    </w:p>
    <w:p>
      <w:pPr>
        <w:ind w:left="720" w:right="400" w:hanging="577"/>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May 31, 2016 (the “Report”) fully complies with the requirements of Section 13(a) or 15(d) of the Securities Exchange Act of 1934 (15 U.S.C. 78m or 78o(d)); and</w:t>
      </w:r>
    </w:p>
    <w:p>
      <w:pPr>
        <w:spacing w:after="0" w:line="319" w:lineRule="exact"/>
        <w:rPr>
          <w:rFonts w:ascii="Arial" w:cs="Arial" w:eastAsia="Arial" w:hAnsi="Arial"/>
          <w:sz w:val="18"/>
          <w:szCs w:val="18"/>
          <w:color w:val="auto"/>
        </w:rPr>
      </w:pPr>
    </w:p>
    <w:p>
      <w:pPr>
        <w:ind w:right="320" w:firstLine="143"/>
        <w:spacing w:after="0" w:line="528" w:lineRule="auto"/>
        <w:tabs>
          <w:tab w:leader="none" w:pos="70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 2016</w:t>
      </w:r>
    </w:p>
    <w:p>
      <w:pPr>
        <w:spacing w:after="0" w:line="34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2123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James C. Clemmer, President,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32.2</w:t>
      </w:r>
    </w:p>
    <w:p>
      <w:pPr>
        <w:spacing w:after="0" w:line="216" w:lineRule="exact"/>
        <w:rPr>
          <w:sz w:val="20"/>
          <w:szCs w:val="20"/>
          <w:color w:val="auto"/>
        </w:rPr>
      </w:pPr>
    </w:p>
    <w:p>
      <w:pPr>
        <w:jc w:val="center"/>
        <w:spacing w:after="0" w:line="311"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27" w:lineRule="exact"/>
        <w:rPr>
          <w:sz w:val="20"/>
          <w:szCs w:val="20"/>
          <w:color w:val="auto"/>
        </w:rPr>
      </w:pPr>
    </w:p>
    <w:p>
      <w:pPr>
        <w:ind w:right="240"/>
        <w:spacing w:after="0" w:line="324" w:lineRule="auto"/>
        <w:rPr>
          <w:sz w:val="20"/>
          <w:szCs w:val="20"/>
          <w:color w:val="auto"/>
        </w:rPr>
      </w:pPr>
      <w:r>
        <w:rPr>
          <w:rFonts w:ascii="Arial" w:cs="Arial" w:eastAsia="Arial" w:hAnsi="Arial"/>
          <w:sz w:val="18"/>
          <w:szCs w:val="18"/>
          <w:color w:val="auto"/>
        </w:rPr>
        <w:t>I, Peter Kish, Interim Chief Financial Officer of ANGIODYNAMICS, Inc. (the “Company”), certify, pursuant to Section 906 of the Sarbanes-Oxley Act of 2002, 18 U.S.C. Section 1350, that, to the best of my knowledge:</w:t>
      </w:r>
    </w:p>
    <w:p>
      <w:pPr>
        <w:spacing w:after="0" w:line="265" w:lineRule="exact"/>
        <w:rPr>
          <w:sz w:val="20"/>
          <w:szCs w:val="20"/>
          <w:color w:val="auto"/>
        </w:rPr>
      </w:pPr>
    </w:p>
    <w:p>
      <w:pPr>
        <w:ind w:left="720" w:right="400" w:hanging="577"/>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May 31, 2016 (the “Report”) fully complies with the requirements of Section 13(a) or 15(d) of the Securities Exchange Act of 1934 (15 U.S.C. 78m or 78o(d)); and</w:t>
      </w:r>
    </w:p>
    <w:p>
      <w:pPr>
        <w:spacing w:after="0" w:line="319" w:lineRule="exact"/>
        <w:rPr>
          <w:rFonts w:ascii="Arial" w:cs="Arial" w:eastAsia="Arial" w:hAnsi="Arial"/>
          <w:sz w:val="18"/>
          <w:szCs w:val="18"/>
          <w:color w:val="auto"/>
        </w:rPr>
      </w:pPr>
    </w:p>
    <w:p>
      <w:pPr>
        <w:ind w:right="320" w:firstLine="143"/>
        <w:spacing w:after="0" w:line="481" w:lineRule="auto"/>
        <w:tabs>
          <w:tab w:leader="none" w:pos="7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 2016</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Peter 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2123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Peter Kish,</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Interim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x"/>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Roman"/>
      <w:start w:val="3"/>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lowerLetter"/>
      <w:start w:val="2"/>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lowerRoman"/>
      <w:start w:val="2"/>
    </w:lvl>
    <w:lvl w:ilvl="1">
      <w:lvlJc w:val="left"/>
      <w:lvlText w:val="%2"/>
      <w:numFmt w:val="decimal"/>
      <w:start w:val="1"/>
    </w:lvl>
  </w:abstractNum>
  <w:abstractNum w:abstractNumId="24">
    <w:nsid w:val="7724C67E"/>
    <w:multiLevelType w:val="hybridMultilevel"/>
    <w:lvl w:ilvl="0">
      <w:lvlJc w:val="left"/>
      <w:lvlText w:val="(%1)"/>
      <w:numFmt w:val="lowerRoman"/>
      <w:start w:val="4"/>
    </w:lvl>
    <w:lvl w:ilvl="1">
      <w:lvlJc w:val="left"/>
      <w:lvlText w:val="%2."/>
      <w:numFmt w:val="decimal"/>
      <w:start w:val="3"/>
    </w:lvl>
  </w:abstractNum>
  <w:abstractNum w:abstractNumId="25">
    <w:nsid w:val="5C482A97"/>
    <w:multiLevelType w:val="hybridMultilevel"/>
    <w:lvl w:ilvl="0">
      <w:lvlJc w:val="left"/>
      <w:lvlText w:val="%1."/>
      <w:numFmt w:val="upperLetter"/>
      <w:start w:val="9"/>
    </w:lvl>
  </w:abstractNum>
  <w:abstractNum w:abstractNumId="26">
    <w:nsid w:val="2463B9EA"/>
    <w:multiLevelType w:val="hybridMultilevel"/>
    <w:lvl w:ilvl="0">
      <w:lvlJc w:val="left"/>
      <w:lvlText w:val="%1."/>
      <w:numFmt w:val="upperLetter"/>
      <w:start w:val="35"/>
    </w:lvl>
  </w:abstractNum>
  <w:abstractNum w:abstractNumId="27">
    <w:nsid w:val="5E884ADC"/>
    <w:multiLevelType w:val="hybridMultilevel"/>
    <w:lvl w:ilvl="0">
      <w:lvlJc w:val="left"/>
      <w:lvlText w:val="%1."/>
      <w:numFmt w:val="upperLetter"/>
      <w:start w:val="61"/>
    </w:lvl>
  </w:abstractNum>
  <w:abstractNum w:abstractNumId="28">
    <w:nsid w:val="51EAD36B"/>
    <w:multiLevelType w:val="hybridMultilevel"/>
    <w:lvl w:ilvl="0">
      <w:lvlJc w:val="left"/>
      <w:lvlText w:val="%1."/>
      <w:numFmt w:val="upperLetter"/>
      <w:start w:val="22"/>
    </w:lvl>
  </w:abstractNum>
  <w:abstractNum w:abstractNumId="29">
    <w:nsid w:val="2D517796"/>
    <w:multiLevelType w:val="hybridMultilevel"/>
    <w:lvl w:ilvl="0">
      <w:lvlJc w:val="left"/>
      <w:lvlText w:val="(%1)"/>
      <w:numFmt w:val="lowerRoman"/>
      <w:start w:val="1"/>
    </w:lvl>
  </w:abstractNum>
  <w:abstractNum w:abstractNumId="30">
    <w:nsid w:val="580BD78F"/>
    <w:multiLevelType w:val="hybridMultilevel"/>
    <w:lvl w:ilvl="0">
      <w:lvlJc w:val="left"/>
      <w:lvlText w:val="%1"/>
      <w:numFmt w:val="upperLetter"/>
      <w:start w:val="61"/>
    </w:lvl>
  </w:abstractNum>
  <w:abstractNum w:abstractNumId="31">
    <w:nsid w:val="153EA438"/>
    <w:multiLevelType w:val="hybridMultilevel"/>
    <w:lvl w:ilvl="0">
      <w:lvlJc w:val="left"/>
      <w:lvlText w:val="(%1)"/>
      <w:numFmt w:val="lowerRoman"/>
      <w:start w:val="1"/>
    </w:lvl>
  </w:abstractNum>
  <w:abstractNum w:abstractNumId="32">
    <w:nsid w:val="3855585C"/>
    <w:multiLevelType w:val="hybridMultilevel"/>
    <w:lvl w:ilvl="0">
      <w:lvlJc w:val="left"/>
      <w:lvlText w:val="(%1)"/>
      <w:numFmt w:val="lowerRoman"/>
      <w:start w:val="3"/>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4"/>
    </w:lvl>
  </w:abstractNum>
  <w:abstractNum w:abstractNumId="35">
    <w:nsid w:val="2A487CB0"/>
    <w:multiLevelType w:val="hybridMultilevel"/>
    <w:lvl w:ilvl="0">
      <w:lvlJc w:val="left"/>
      <w:lvlText w:val="(%1)"/>
      <w:numFmt w:val="decimal"/>
      <w:start w:val="15"/>
    </w:lvl>
    <w:lvl w:ilvl="1">
      <w:lvlJc w:val="left"/>
      <w:lvlText w:val="%2."/>
      <w:numFmt w:val="decimal"/>
      <w:start w:val="7"/>
    </w:lvl>
  </w:abstractNum>
  <w:abstractNum w:abstractNumId="36">
    <w:nsid w:val="1D4ED43B"/>
    <w:multiLevelType w:val="hybridMultilevel"/>
    <w:lvl w:ilvl="0">
      <w:lvlJc w:val="left"/>
      <w:lvlText w:val="%1."/>
      <w:numFmt w:val="decimal"/>
      <w:start w:val="9"/>
    </w:lvl>
  </w:abstractNum>
  <w:abstractNum w:abstractNumId="37">
    <w:nsid w:val="725A06FB"/>
    <w:multiLevelType w:val="hybridMultilevel"/>
    <w:lvl w:ilvl="0">
      <w:lvlJc w:val="left"/>
      <w:lvlText w:val="%1."/>
      <w:numFmt w:val="decimal"/>
      <w:start w:val="12"/>
    </w:lvl>
  </w:abstractNum>
  <w:abstractNum w:abstractNumId="38">
    <w:nsid w:val="2CD89A32"/>
    <w:multiLevelType w:val="hybridMultilevel"/>
    <w:lvl w:ilvl="0">
      <w:lvlJc w:val="left"/>
      <w:lvlText w:val="%1."/>
      <w:numFmt w:val="decimal"/>
      <w:start w:val="13"/>
    </w:lvl>
  </w:abstractNum>
  <w:abstractNum w:abstractNumId="39">
    <w:nsid w:val="57E4CCAF"/>
    <w:multiLevelType w:val="hybridMultilevel"/>
    <w:lvl w:ilvl="0">
      <w:lvlJc w:val="left"/>
      <w:lvlText w:val="%1."/>
      <w:numFmt w:val="decimal"/>
      <w:start w:val="17"/>
    </w:lvl>
  </w:abstractNum>
  <w:abstractNum w:abstractNumId="40">
    <w:nsid w:val="7A6D8D3C"/>
    <w:multiLevelType w:val="hybridMultilevel"/>
    <w:lvl w:ilvl="0">
      <w:lvlJc w:val="left"/>
      <w:lvlText w:val="%1"/>
      <w:numFmt w:val="lowerLetter"/>
      <w:start w:val="1"/>
    </w:lvl>
    <w:lvl w:ilvl="1">
      <w:lvlJc w:val="left"/>
      <w:lvlText w:val="%2."/>
      <w:numFmt w:val="decimal"/>
      <w:start w:val="1"/>
    </w:lvl>
  </w:abstractNum>
  <w:abstractNum w:abstractNumId="41">
    <w:nsid w:val="4B588F54"/>
    <w:multiLevelType w:val="hybridMultilevel"/>
    <w:lvl w:ilvl="0">
      <w:lvlJc w:val="left"/>
      <w:lvlText w:val="(%1)"/>
      <w:numFmt w:val="lowerLetter"/>
      <w:start w:val="1"/>
    </w:lvl>
    <w:lvl w:ilvl="1">
      <w:lvlJc w:val="left"/>
      <w:lvlText w:val="%2."/>
      <w:numFmt w:val="decimal"/>
      <w:start w:val="5"/>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Letter"/>
      <w:start w:val="1"/>
    </w:lvl>
    <w:lvl w:ilvl="1">
      <w:lvlJc w:val="left"/>
      <w:lvlText w:val="%2."/>
      <w:numFmt w:val="decimal"/>
      <w:start w:val="1"/>
    </w:lvl>
  </w:abstractNum>
  <w:abstractNum w:abstractNumId="45">
    <w:nsid w:val="7644A45C"/>
    <w:multiLevelType w:val="hybridMultilevel"/>
    <w:lvl w:ilvl="0">
      <w:lvlJc w:val="left"/>
      <w:lvlText w:val="(%1)"/>
      <w:numFmt w:val="lowerLetter"/>
      <w:start w:val="1"/>
    </w:lvl>
    <w:lvl w:ilvl="1">
      <w:lvlJc w:val="left"/>
      <w:lvlText w:val="%2."/>
      <w:numFmt w:val="decimal"/>
      <w:start w:val="5"/>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2019-12-29T11:27:41Z</dcterms:created>
  <dcterms:modified xsi:type="dcterms:W3CDTF">2019-12-29T11:27:41Z</dcterms:modified>
</cp:coreProperties>
</file>