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518795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433070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UNITED STATES</w:t>
      </w:r>
    </w:p>
    <w:p>
      <w:pPr>
        <w:spacing w:after="0" w:line="57"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SECURITIES AND EXCHANGE COMMISSION</w:t>
      </w:r>
    </w:p>
    <w:p>
      <w:pPr>
        <w:spacing w:after="0" w:line="10"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165735</wp:posOffset>
            </wp:positionV>
            <wp:extent cx="31470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190500</wp:posOffset>
            </wp:positionV>
            <wp:extent cx="31470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720" w:right="2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November 30, 2016</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378" w:lineRule="exact"/>
        <w:rPr>
          <w:sz w:val="24"/>
          <w:szCs w:val="24"/>
          <w:color w:val="auto"/>
        </w:rPr>
      </w:pPr>
    </w:p>
    <w:p>
      <w:pPr>
        <w:ind w:left="72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9"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374650</wp:posOffset>
            </wp:positionV>
            <wp:extent cx="31470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AngioDynamics,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167640</wp:posOffset>
            </wp:positionV>
            <wp:extent cx="31470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tbl>
      <w:tblPr>
        <w:tblLayout w:type="fixed"/>
        <w:tblInd w:w="1500" w:type="dxa"/>
        <w:tblCellMar>
          <w:top w:w="0" w:type="dxa"/>
          <w:left w:w="0" w:type="dxa"/>
          <w:bottom w:w="0" w:type="dxa"/>
          <w:right w:w="0" w:type="dxa"/>
        </w:tblCellMar>
      </w:tblPr>
      <w:tr>
        <w:trPr>
          <w:trHeight w:val="234"/>
        </w:trPr>
        <w:tc>
          <w:tcPr>
            <w:tcW w:w="4620" w:type="dxa"/>
            <w:vAlign w:val="bottom"/>
          </w:tcPr>
          <w:p>
            <w:pPr>
              <w:jc w:val="center"/>
              <w:ind w:right="1921"/>
              <w:spacing w:after="0"/>
              <w:rPr>
                <w:sz w:val="20"/>
                <w:szCs w:val="20"/>
                <w:color w:val="auto"/>
              </w:rPr>
            </w:pPr>
            <w:r>
              <w:rPr>
                <w:rFonts w:ascii="Arial" w:cs="Arial" w:eastAsia="Arial" w:hAnsi="Arial"/>
                <w:sz w:val="18"/>
                <w:szCs w:val="18"/>
                <w:b w:val="1"/>
                <w:bCs w:val="1"/>
                <w:color w:val="auto"/>
                <w:w w:val="93"/>
              </w:rPr>
              <w:t>Delaware</w:t>
            </w:r>
          </w:p>
        </w:tc>
        <w:tc>
          <w:tcPr>
            <w:tcW w:w="3120" w:type="dxa"/>
            <w:vAlign w:val="bottom"/>
          </w:tcPr>
          <w:p>
            <w:pPr>
              <w:jc w:val="right"/>
              <w:ind w:right="41"/>
              <w:spacing w:after="0"/>
              <w:rPr>
                <w:sz w:val="20"/>
                <w:szCs w:val="20"/>
                <w:color w:val="auto"/>
              </w:rPr>
            </w:pPr>
            <w:r>
              <w:rPr>
                <w:rFonts w:ascii="Arial" w:cs="Arial" w:eastAsia="Arial" w:hAnsi="Arial"/>
                <w:sz w:val="18"/>
                <w:szCs w:val="18"/>
                <w:b w:val="1"/>
                <w:bCs w:val="1"/>
                <w:color w:val="auto"/>
              </w:rPr>
              <w:t>11-3146460</w:t>
            </w:r>
          </w:p>
        </w:tc>
      </w:tr>
      <w:tr>
        <w:trPr>
          <w:trHeight w:val="180"/>
        </w:trPr>
        <w:tc>
          <w:tcPr>
            <w:tcW w:w="4620" w:type="dxa"/>
            <w:vAlign w:val="bottom"/>
          </w:tcPr>
          <w:p>
            <w:pPr>
              <w:jc w:val="center"/>
              <w:ind w:right="1921"/>
              <w:spacing w:after="0"/>
              <w:rPr>
                <w:sz w:val="20"/>
                <w:szCs w:val="20"/>
                <w:color w:val="auto"/>
              </w:rPr>
            </w:pPr>
            <w:r>
              <w:rPr>
                <w:rFonts w:ascii="Arial" w:cs="Arial" w:eastAsia="Arial" w:hAnsi="Arial"/>
                <w:sz w:val="14"/>
                <w:szCs w:val="14"/>
                <w:b w:val="1"/>
                <w:bCs w:val="1"/>
                <w:color w:val="auto"/>
                <w:w w:val="92"/>
              </w:rPr>
              <w:t>(State or other jurisdiction of</w:t>
            </w:r>
          </w:p>
        </w:tc>
        <w:tc>
          <w:tcPr>
            <w:tcW w:w="3120" w:type="dxa"/>
            <w:vAlign w:val="bottom"/>
          </w:tcPr>
          <w:p>
            <w:pPr>
              <w:jc w:val="center"/>
              <w:ind w:left="19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620" w:type="dxa"/>
            <w:vAlign w:val="bottom"/>
          </w:tcPr>
          <w:p>
            <w:pPr>
              <w:jc w:val="center"/>
              <w:ind w:right="1921"/>
              <w:spacing w:after="0"/>
              <w:rPr>
                <w:sz w:val="20"/>
                <w:szCs w:val="20"/>
                <w:color w:val="auto"/>
              </w:rPr>
            </w:pPr>
            <w:r>
              <w:rPr>
                <w:rFonts w:ascii="Arial" w:cs="Arial" w:eastAsia="Arial" w:hAnsi="Arial"/>
                <w:sz w:val="14"/>
                <w:szCs w:val="14"/>
                <w:b w:val="1"/>
                <w:bCs w:val="1"/>
                <w:color w:val="auto"/>
                <w:w w:val="93"/>
              </w:rPr>
              <w:t>incorporation or organization)</w:t>
            </w:r>
          </w:p>
        </w:tc>
        <w:tc>
          <w:tcPr>
            <w:tcW w:w="3120" w:type="dxa"/>
            <w:vAlign w:val="bottom"/>
          </w:tcPr>
          <w:p>
            <w:pPr>
              <w:jc w:val="center"/>
              <w:ind w:left="1921"/>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4620" w:type="dxa"/>
            <w:vAlign w:val="bottom"/>
          </w:tcPr>
          <w:p>
            <w:pPr>
              <w:jc w:val="center"/>
              <w:ind w:right="1921"/>
              <w:spacing w:after="0"/>
              <w:rPr>
                <w:sz w:val="20"/>
                <w:szCs w:val="20"/>
                <w:color w:val="auto"/>
              </w:rPr>
            </w:pPr>
            <w:r>
              <w:rPr>
                <w:rFonts w:ascii="Arial" w:cs="Arial" w:eastAsia="Arial" w:hAnsi="Arial"/>
                <w:sz w:val="18"/>
                <w:szCs w:val="18"/>
                <w:b w:val="1"/>
                <w:bCs w:val="1"/>
                <w:color w:val="auto"/>
                <w:w w:val="92"/>
              </w:rPr>
              <w:t>14 Plaza Drive Latham, New York</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12110</w:t>
            </w:r>
          </w:p>
        </w:tc>
      </w:tr>
      <w:tr>
        <w:trPr>
          <w:trHeight w:val="218"/>
        </w:trPr>
        <w:tc>
          <w:tcPr>
            <w:tcW w:w="4620" w:type="dxa"/>
            <w:vAlign w:val="bottom"/>
          </w:tcPr>
          <w:p>
            <w:pPr>
              <w:jc w:val="center"/>
              <w:ind w:right="19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20" w:type="dxa"/>
            <w:vAlign w:val="bottom"/>
          </w:tcPr>
          <w:p>
            <w:pPr>
              <w:jc w:val="center"/>
              <w:ind w:left="1941"/>
              <w:spacing w:after="0"/>
              <w:rPr>
                <w:sz w:val="20"/>
                <w:szCs w:val="20"/>
                <w:color w:val="auto"/>
              </w:rPr>
            </w:pPr>
            <w:r>
              <w:rPr>
                <w:rFonts w:ascii="Arial" w:cs="Arial" w:eastAsia="Arial" w:hAnsi="Arial"/>
                <w:sz w:val="14"/>
                <w:szCs w:val="14"/>
                <w:b w:val="1"/>
                <w:bCs w:val="1"/>
                <w:color w:val="auto"/>
                <w:w w:val="95"/>
              </w:rPr>
              <w:t>(Zip Code)</w:t>
            </w:r>
          </w:p>
        </w:tc>
      </w:tr>
    </w:tbl>
    <w:p>
      <w:pPr>
        <w:spacing w:after="0" w:line="27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(518) 795-1400</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4" w:lineRule="exact"/>
        <w:rPr>
          <w:sz w:val="24"/>
          <w:szCs w:val="24"/>
          <w:color w:val="auto"/>
        </w:rPr>
      </w:pPr>
    </w:p>
    <w:tbl>
      <w:tblPr>
        <w:tblLayout w:type="fixed"/>
        <w:tblInd w:w="1560" w:type="dxa"/>
        <w:tblCellMar>
          <w:top w:w="0" w:type="dxa"/>
          <w:left w:w="0" w:type="dxa"/>
          <w:bottom w:w="0" w:type="dxa"/>
          <w:right w:w="0" w:type="dxa"/>
        </w:tblCellMar>
      </w:tblPr>
      <w:tr>
        <w:trPr>
          <w:trHeight w:val="186"/>
        </w:trPr>
        <w:tc>
          <w:tcPr>
            <w:tcW w:w="4140" w:type="dxa"/>
            <w:vAlign w:val="bottom"/>
          </w:tcPr>
          <w:p>
            <w:pPr>
              <w:jc w:val="center"/>
              <w:ind w:right="1536"/>
              <w:spacing w:after="0"/>
              <w:rPr>
                <w:sz w:val="20"/>
                <w:szCs w:val="20"/>
                <w:color w:val="auto"/>
              </w:rPr>
            </w:pPr>
            <w:r>
              <w:rPr>
                <w:rFonts w:ascii="Arial" w:cs="Arial" w:eastAsia="Arial" w:hAnsi="Arial"/>
                <w:sz w:val="14"/>
                <w:szCs w:val="14"/>
                <w:b w:val="1"/>
                <w:bCs w:val="1"/>
                <w:color w:val="auto"/>
                <w:w w:val="89"/>
              </w:rPr>
              <w:t>Title of each class</w:t>
            </w:r>
          </w:p>
        </w:tc>
        <w:tc>
          <w:tcPr>
            <w:tcW w:w="4320" w:type="dxa"/>
            <w:vAlign w:val="bottom"/>
          </w:tcPr>
          <w:p>
            <w:pPr>
              <w:jc w:val="center"/>
              <w:ind w:left="1556"/>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5"/>
        </w:trPr>
        <w:tc>
          <w:tcPr>
            <w:tcW w:w="4140" w:type="dxa"/>
            <w:vAlign w:val="bottom"/>
          </w:tcPr>
          <w:p>
            <w:pPr>
              <w:jc w:val="center"/>
              <w:ind w:right="1556"/>
              <w:spacing w:after="0"/>
              <w:rPr>
                <w:sz w:val="20"/>
                <w:szCs w:val="20"/>
                <w:color w:val="auto"/>
              </w:rPr>
            </w:pPr>
            <w:r>
              <w:rPr>
                <w:rFonts w:ascii="Arial" w:cs="Arial" w:eastAsia="Arial" w:hAnsi="Arial"/>
                <w:sz w:val="18"/>
                <w:szCs w:val="18"/>
                <w:b w:val="1"/>
                <w:bCs w:val="1"/>
                <w:color w:val="auto"/>
                <w:w w:val="90"/>
              </w:rPr>
              <w:t>Common stock, par value $.01</w:t>
            </w:r>
          </w:p>
        </w:tc>
        <w:tc>
          <w:tcPr>
            <w:tcW w:w="4320" w:type="dxa"/>
            <w:vAlign w:val="bottom"/>
          </w:tcPr>
          <w:p>
            <w:pPr>
              <w:jc w:val="center"/>
              <w:ind w:left="1556"/>
              <w:spacing w:after="0"/>
              <w:rPr>
                <w:sz w:val="20"/>
                <w:szCs w:val="20"/>
                <w:color w:val="auto"/>
              </w:rPr>
            </w:pPr>
            <w:r>
              <w:rPr>
                <w:rFonts w:ascii="Arial" w:cs="Arial" w:eastAsia="Arial" w:hAnsi="Arial"/>
                <w:sz w:val="18"/>
                <w:szCs w:val="18"/>
                <w:b w:val="1"/>
                <w:bCs w:val="1"/>
                <w:color w:val="auto"/>
                <w:w w:val="93"/>
              </w:rPr>
              <w:t>NASDAQ Global Select Market</w:t>
            </w:r>
          </w:p>
        </w:tc>
      </w:tr>
      <w:tr>
        <w:trPr>
          <w:trHeight w:val="270"/>
        </w:trPr>
        <w:tc>
          <w:tcPr>
            <w:tcW w:w="4140" w:type="dxa"/>
            <w:vAlign w:val="bottom"/>
          </w:tcPr>
          <w:p>
            <w:pPr>
              <w:jc w:val="center"/>
              <w:ind w:right="1556"/>
              <w:spacing w:after="0"/>
              <w:rPr>
                <w:sz w:val="20"/>
                <w:szCs w:val="20"/>
                <w:color w:val="auto"/>
              </w:rPr>
            </w:pPr>
            <w:r>
              <w:rPr>
                <w:rFonts w:ascii="Arial" w:cs="Arial" w:eastAsia="Arial" w:hAnsi="Arial"/>
                <w:sz w:val="18"/>
                <w:szCs w:val="18"/>
                <w:b w:val="1"/>
                <w:bCs w:val="1"/>
                <w:color w:val="auto"/>
                <w:w w:val="88"/>
              </w:rPr>
              <w:t>Preferred Stock Purchase Rights</w:t>
            </w:r>
          </w:p>
        </w:tc>
        <w:tc>
          <w:tcPr>
            <w:tcW w:w="4320" w:type="dxa"/>
            <w:vAlign w:val="bottom"/>
          </w:tcPr>
          <w:p>
            <w:pPr>
              <w:jc w:val="center"/>
              <w:ind w:left="1556"/>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(Title of Class)</w:t>
      </w:r>
    </w:p>
    <w:p>
      <w:pPr>
        <w:sectPr>
          <w:pgSz w:w="11900" w:h="16838" w:orient="portrait"/>
          <w:cols w:equalWidth="0" w:num="1">
            <w:col w:w="11240"/>
          </w:cols>
          <w:pgMar w:left="240" w:top="229" w:right="419" w:bottom="1440" w:gutter="0" w:footer="0" w:header="0"/>
        </w:sectPr>
      </w:pPr>
    </w:p>
    <w:bookmarkStart w:id="1" w:name="page2"/>
    <w:bookmarkEnd w:id="1"/>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344170</wp:posOffset>
            </wp:positionV>
            <wp:extent cx="31470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 x</w:t>
      </w:r>
    </w:p>
    <w:p>
      <w:pPr>
        <w:spacing w:after="0" w:line="193" w:lineRule="exact"/>
        <w:rPr>
          <w:sz w:val="20"/>
          <w:szCs w:val="20"/>
          <w:color w:val="auto"/>
        </w:rPr>
      </w:pPr>
    </w:p>
    <w:p>
      <w:pPr>
        <w:sectPr>
          <w:pgSz w:w="11900" w:h="16838" w:orient="portrait"/>
          <w:cols w:equalWidth="0" w:num="4">
            <w:col w:w="8900" w:space="160"/>
            <w:col w:w="260" w:space="100"/>
            <w:col w:w="160" w:space="180"/>
            <w:col w:w="1660"/>
          </w:cols>
          <w:pgMar w:left="240" w:top="121" w:right="239" w:bottom="1440" w:gutter="0" w:footer="0" w:header="0"/>
          <w:type w:val="continuous"/>
        </w:sectPr>
      </w:pP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15(d) of the Act.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0"/>
          <w:szCs w:val="20"/>
          <w:color w:val="auto"/>
        </w:rPr>
      </w:pPr>
    </w:p>
    <w:p>
      <w:pPr>
        <w:sectPr>
          <w:pgSz w:w="11900" w:h="16838" w:orient="portrait"/>
          <w:cols w:equalWidth="0" w:num="4">
            <w:col w:w="8460" w:space="180"/>
            <w:col w:w="260" w:space="100"/>
            <w:col w:w="160" w:space="180"/>
            <w:col w:w="2080"/>
          </w:cols>
          <w:pgMar w:left="240" w:top="121" w:right="239" w:bottom="1440" w:gutter="0" w:footer="0" w:header="0"/>
          <w:type w:val="continuous"/>
        </w:sectPr>
      </w:pP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0"/>
          <w:szCs w:val="20"/>
          <w:color w:val="auto"/>
        </w:rPr>
      </w:pPr>
    </w:p>
    <w:p>
      <w:pPr>
        <w:ind w:right="2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2" w:lineRule="exact"/>
        <w:rPr>
          <w:sz w:val="20"/>
          <w:szCs w:val="20"/>
          <w:color w:val="auto"/>
        </w:rPr>
      </w:pPr>
    </w:p>
    <w:p>
      <w:pPr>
        <w:ind w:right="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1" w:right="239" w:bottom="1440" w:gutter="0" w:footer="0" w:header="0"/>
          <w:type w:val="continuous"/>
        </w:sectPr>
      </w:pP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52" w:lineRule="exact"/>
        <w:rPr>
          <w:sz w:val="20"/>
          <w:szCs w:val="20"/>
          <w:color w:val="auto"/>
        </w:rPr>
      </w:pPr>
    </w:p>
    <w:p>
      <w:pPr>
        <w:sectPr>
          <w:pgSz w:w="11900" w:h="16838" w:orient="portrait"/>
          <w:cols w:equalWidth="0" w:num="4">
            <w:col w:w="1660" w:space="560"/>
            <w:col w:w="5440" w:space="720"/>
            <w:col w:w="2000" w:space="720"/>
            <w:col w:w="320"/>
          </w:cols>
          <w:pgMar w:left="240" w:top="121" w:right="239" w:bottom="1440" w:gutter="0" w:footer="0" w:header="0"/>
          <w:type w:val="continuous"/>
        </w:sectPr>
      </w:pPr>
    </w:p>
    <w:p>
      <w:pPr>
        <w:spacing w:after="0" w:line="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36" w:lineRule="exact"/>
        <w:rPr>
          <w:sz w:val="20"/>
          <w:szCs w:val="20"/>
          <w:color w:val="auto"/>
        </w:rPr>
      </w:pPr>
    </w:p>
    <w:p>
      <w:pPr>
        <w:sectPr>
          <w:pgSz w:w="11900" w:h="16838" w:orient="portrait"/>
          <w:cols w:equalWidth="0" w:num="4">
            <w:col w:w="1560" w:space="660"/>
            <w:col w:w="5440" w:space="720"/>
            <w:col w:w="2000" w:space="720"/>
            <w:col w:w="320"/>
          </w:cols>
          <w:pgMar w:left="240" w:top="121" w:right="239" w:bottom="1440" w:gutter="0" w:footer="0" w:header="0"/>
          <w:type w:val="continuous"/>
        </w:sectPr>
      </w:pPr>
    </w:p>
    <w:p>
      <w:pPr>
        <w:spacing w:after="0" w:line="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0"/>
          <w:szCs w:val="20"/>
          <w:color w:val="auto"/>
        </w:rPr>
      </w:pPr>
    </w:p>
    <w:p>
      <w:pPr>
        <w:sectPr>
          <w:pgSz w:w="11900" w:h="16838" w:orient="portrait"/>
          <w:cols w:equalWidth="0" w:num="4">
            <w:col w:w="8620" w:space="180"/>
            <w:col w:w="260" w:space="80"/>
            <w:col w:w="160" w:space="180"/>
            <w:col w:w="1940"/>
          </w:cols>
          <w:pgMar w:left="240" w:top="121" w:right="239" w:bottom="1440" w:gutter="0" w:footer="0" w:header="0"/>
          <w:type w:val="continuous"/>
        </w:sectPr>
      </w:pPr>
    </w:p>
    <w:p>
      <w:pPr>
        <w:spacing w:after="0" w:line="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0"/>
              </w:rPr>
              <w:t>Class</w:t>
            </w:r>
          </w:p>
        </w:tc>
        <w:tc>
          <w:tcPr>
            <w:tcW w:w="2840" w:type="dxa"/>
            <w:vAlign w:val="bottom"/>
          </w:tcPr>
          <w:p>
            <w:pPr>
              <w:spacing w:after="0"/>
              <w:rPr>
                <w:sz w:val="14"/>
                <w:szCs w:val="14"/>
                <w:color w:val="auto"/>
              </w:rPr>
            </w:pPr>
          </w:p>
        </w:tc>
        <w:tc>
          <w:tcPr>
            <w:tcW w:w="5600" w:type="dxa"/>
            <w:vAlign w:val="bottom"/>
            <w:gridSpan w:val="3"/>
          </w:tcPr>
          <w:p>
            <w:pPr>
              <w:jc w:val="center"/>
              <w:ind w:left="59"/>
              <w:spacing w:after="0"/>
              <w:rPr>
                <w:sz w:val="20"/>
                <w:szCs w:val="20"/>
                <w:color w:val="auto"/>
              </w:rPr>
            </w:pPr>
            <w:r>
              <w:rPr>
                <w:rFonts w:ascii="Arial" w:cs="Arial" w:eastAsia="Arial" w:hAnsi="Arial"/>
                <w:sz w:val="14"/>
                <w:szCs w:val="14"/>
                <w:b w:val="1"/>
                <w:bCs w:val="1"/>
                <w:color w:val="auto"/>
                <w:w w:val="92"/>
              </w:rPr>
              <w:t>Outstanding as of January 3, 2017</w:t>
            </w:r>
          </w:p>
        </w:tc>
      </w:tr>
      <w:tr>
        <w:trPr>
          <w:trHeight w:val="20"/>
        </w:trPr>
        <w:tc>
          <w:tcPr>
            <w:tcW w:w="2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64"/>
        </w:trPr>
        <w:tc>
          <w:tcPr>
            <w:tcW w:w="58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Common Stock, par value $.01</w:t>
            </w:r>
          </w:p>
        </w:tc>
        <w:tc>
          <w:tcPr>
            <w:tcW w:w="39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37,146,923</w:t>
            </w:r>
          </w:p>
        </w:tc>
        <w:tc>
          <w:tcPr>
            <w:tcW w:w="1680" w:type="dxa"/>
            <w:vAlign w:val="bottom"/>
          </w:tcPr>
          <w:p>
            <w:pPr>
              <w:spacing w:after="0"/>
              <w:rPr>
                <w:sz w:val="22"/>
                <w:szCs w:val="22"/>
                <w:color w:val="auto"/>
              </w:rPr>
            </w:pPr>
          </w:p>
        </w:tc>
      </w:tr>
      <w:tr>
        <w:trPr>
          <w:trHeight w:val="459"/>
        </w:trPr>
        <w:tc>
          <w:tcPr>
            <w:tcW w:w="2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r>
        <w:trPr>
          <w:trHeight w:val="115"/>
        </w:trPr>
        <w:tc>
          <w:tcPr>
            <w:tcW w:w="26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21" w:right="239" w:bottom="1440" w:gutter="0" w:footer="0" w:header="0"/>
          <w:type w:val="continuous"/>
        </w:sectPr>
      </w:pPr>
    </w:p>
    <w:bookmarkStart w:id="2" w:name="page3"/>
    <w:bookmarkEnd w:id="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9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Page</w:t>
            </w:r>
          </w:p>
        </w:tc>
      </w:tr>
      <w:tr>
        <w:trPr>
          <w:trHeight w:val="189"/>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80" w:type="dxa"/>
            <w:vAlign w:val="bottom"/>
            <w:tcBorders>
              <w:bottom w:val="single" w:sz="8" w:color="0000EE"/>
            </w:tcBorders>
            <w:gridSpan w:val="9"/>
          </w:tcPr>
          <w:p>
            <w:pPr>
              <w:jc w:val="center"/>
              <w:spacing w:after="0" w:line="189" w:lineRule="exact"/>
              <w:rPr>
                <w:rFonts w:ascii="Arial" w:cs="Arial" w:eastAsia="Arial" w:hAnsi="Arial"/>
                <w:sz w:val="18"/>
                <w:szCs w:val="18"/>
                <w:b w:val="1"/>
                <w:bCs w:val="1"/>
                <w:color w:val="0000EE"/>
                <w:w w:val="95"/>
              </w:rPr>
            </w:pPr>
            <w:hyperlink w:anchor="page4">
              <w:r>
                <w:rPr>
                  <w:rFonts w:ascii="Arial" w:cs="Arial" w:eastAsia="Arial" w:hAnsi="Arial"/>
                  <w:sz w:val="18"/>
                  <w:szCs w:val="18"/>
                  <w:b w:val="1"/>
                  <w:bCs w:val="1"/>
                  <w:color w:val="0000EE"/>
                  <w:w w:val="95"/>
                </w:rPr>
                <w:t>Part I: Financial Information</w:t>
              </w:r>
            </w:hyperlink>
          </w:p>
        </w:tc>
        <w:tc>
          <w:tcPr>
            <w:tcW w:w="3600" w:type="dxa"/>
            <w:vAlign w:val="bottom"/>
            <w:gridSpan w:val="3"/>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440" w:type="dxa"/>
            <w:vAlign w:val="bottom"/>
            <w:gridSpan w:val="21"/>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Statements</w:t>
              </w:r>
            </w:hyperlink>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Condensed Statements of Income (Loss)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596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Condensed Statements of Comprehensive Income (Loss) (unaudited)</w:t>
              </w:r>
            </w:hyperlink>
          </w:p>
        </w:tc>
        <w:tc>
          <w:tcPr>
            <w:tcW w:w="3480" w:type="dxa"/>
            <w:vAlign w:val="bottom"/>
            <w:gridSpan w:val="2"/>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Condensed Balance Sheets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Condensed Statements of Cash Flows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52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Condensed Statement of Stockholders’ Equity (unaudited)</w:t>
              </w:r>
            </w:hyperlink>
          </w:p>
        </w:tc>
        <w:tc>
          <w:tcPr>
            <w:tcW w:w="4240" w:type="dxa"/>
            <w:vAlign w:val="bottom"/>
            <w:gridSpan w:val="5"/>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Consolidated Condensed Financial Statements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440" w:type="dxa"/>
            <w:vAlign w:val="bottom"/>
            <w:gridSpan w:val="21"/>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Management’s Discussion and Analysis of Financial Condition and Results of Operations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23</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20"/>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Quantitative and Qualitative Disclosures About Market Risk</w:t>
              </w:r>
            </w:hyperlink>
          </w:p>
        </w:tc>
        <w:tc>
          <w:tcPr>
            <w:tcW w:w="2620" w:type="dxa"/>
            <w:vAlign w:val="bottom"/>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3"/>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Controls and Procedures</w:t>
              </w:r>
            </w:hyperlink>
          </w:p>
        </w:tc>
        <w:tc>
          <w:tcPr>
            <w:tcW w:w="4780" w:type="dxa"/>
            <w:vAlign w:val="bottom"/>
            <w:gridSpan w:val="8"/>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r>
      <w:tr>
        <w:trPr>
          <w:trHeight w:val="372"/>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Borders>
              <w:bottom w:val="single" w:sz="8" w:color="0000EE"/>
            </w:tcBorders>
            <w:gridSpan w:val="7"/>
          </w:tcPr>
          <w:p>
            <w:pPr>
              <w:jc w:val="center"/>
              <w:spacing w:after="0"/>
              <w:rPr>
                <w:rFonts w:ascii="Arial" w:cs="Arial" w:eastAsia="Arial" w:hAnsi="Arial"/>
                <w:sz w:val="18"/>
                <w:szCs w:val="18"/>
                <w:b w:val="1"/>
                <w:bCs w:val="1"/>
                <w:color w:val="0000EE"/>
                <w:w w:val="97"/>
              </w:rPr>
            </w:pPr>
            <w:hyperlink w:anchor="page32">
              <w:r>
                <w:rPr>
                  <w:rFonts w:ascii="Arial" w:cs="Arial" w:eastAsia="Arial" w:hAnsi="Arial"/>
                  <w:sz w:val="18"/>
                  <w:szCs w:val="18"/>
                  <w:b w:val="1"/>
                  <w:bCs w:val="1"/>
                  <w:color w:val="0000EE"/>
                  <w:w w:val="97"/>
                </w:rPr>
                <w:t>Part II: Other Information</w:t>
              </w:r>
            </w:hyperlink>
          </w:p>
        </w:tc>
        <w:tc>
          <w:tcPr>
            <w:tcW w:w="3700" w:type="dxa"/>
            <w:vAlign w:val="bottom"/>
            <w:gridSpan w:val="4"/>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3"/>
          </w:tcPr>
          <w:p>
            <w:pPr>
              <w:spacing w:after="0"/>
              <w:rPr>
                <w:rFonts w:ascii="Arial" w:cs="Arial" w:eastAsia="Arial" w:hAnsi="Arial"/>
                <w:sz w:val="18"/>
                <w:szCs w:val="18"/>
                <w:b w:val="1"/>
                <w:bCs w:val="1"/>
                <w:color w:val="0000EE"/>
                <w:w w:val="86"/>
              </w:rPr>
            </w:pPr>
            <w:hyperlink w:anchor="page33">
              <w:r>
                <w:rPr>
                  <w:rFonts w:ascii="Arial" w:cs="Arial" w:eastAsia="Arial" w:hAnsi="Arial"/>
                  <w:sz w:val="18"/>
                  <w:szCs w:val="18"/>
                  <w:b w:val="1"/>
                  <w:bCs w:val="1"/>
                  <w:color w:val="0000EE"/>
                  <w:w w:val="86"/>
                </w:rPr>
                <w:t>Legal Proceedings</w:t>
              </w:r>
            </w:hyperlink>
          </w:p>
        </w:tc>
        <w:tc>
          <w:tcPr>
            <w:tcW w:w="8040" w:type="dxa"/>
            <w:vAlign w:val="bottom"/>
            <w:gridSpan w:val="18"/>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3"/>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Risk Factors</w:t>
              </w:r>
            </w:hyperlink>
          </w:p>
        </w:tc>
        <w:tc>
          <w:tcPr>
            <w:tcW w:w="8040" w:type="dxa"/>
            <w:vAlign w:val="bottom"/>
            <w:gridSpan w:val="18"/>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440" w:type="dxa"/>
            <w:vAlign w:val="bottom"/>
            <w:gridSpan w:val="21"/>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Unregistered Sales of Equity Securities and Use of Proceeds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60" w:type="dxa"/>
            <w:vAlign w:val="bottom"/>
            <w:gridSpan w:val="12"/>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Defaults on Senior Securities</w:t>
              </w:r>
            </w:hyperlink>
          </w:p>
        </w:tc>
        <w:tc>
          <w:tcPr>
            <w:tcW w:w="4880" w:type="dxa"/>
            <w:vAlign w:val="bottom"/>
            <w:gridSpan w:val="9"/>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24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840" w:type="dxa"/>
            <w:vAlign w:val="bottom"/>
            <w:gridSpan w:val="6"/>
          </w:tcPr>
          <w:p>
            <w:pPr>
              <w:spacing w:after="0"/>
              <w:rPr>
                <w:rFonts w:ascii="Arial" w:cs="Arial" w:eastAsia="Arial" w:hAnsi="Arial"/>
                <w:sz w:val="18"/>
                <w:szCs w:val="18"/>
                <w:b w:val="1"/>
                <w:bCs w:val="1"/>
                <w:color w:val="0000EE"/>
                <w:w w:val="87"/>
              </w:rPr>
            </w:pPr>
            <w:hyperlink w:anchor="page37">
              <w:r>
                <w:rPr>
                  <w:rFonts w:ascii="Arial" w:cs="Arial" w:eastAsia="Arial" w:hAnsi="Arial"/>
                  <w:sz w:val="18"/>
                  <w:szCs w:val="18"/>
                  <w:b w:val="1"/>
                  <w:bCs w:val="1"/>
                  <w:color w:val="0000EE"/>
                  <w:w w:val="87"/>
                </w:rPr>
                <w:t>Mine Safety Disclosures</w:t>
              </w:r>
            </w:hyperlink>
          </w:p>
        </w:tc>
        <w:tc>
          <w:tcPr>
            <w:tcW w:w="360" w:type="dxa"/>
            <w:vAlign w:val="bottom"/>
            <w:gridSpan w:val="2"/>
          </w:tcPr>
          <w:p>
            <w:pPr>
              <w:spacing w:after="0"/>
              <w:rPr>
                <w:sz w:val="24"/>
                <w:szCs w:val="24"/>
                <w:color w:val="auto"/>
              </w:rPr>
            </w:pPr>
          </w:p>
        </w:tc>
        <w:tc>
          <w:tcPr>
            <w:tcW w:w="7240" w:type="dxa"/>
            <w:vAlign w:val="bottom"/>
            <w:gridSpan w:val="1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600" w:type="dxa"/>
            <w:vAlign w:val="bottom"/>
            <w:gridSpan w:val="1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4"/>
          </w:tcPr>
          <w:p>
            <w:pPr>
              <w:spacing w:after="0"/>
              <w:rPr>
                <w:rFonts w:ascii="Arial" w:cs="Arial" w:eastAsia="Arial" w:hAnsi="Arial"/>
                <w:sz w:val="18"/>
                <w:szCs w:val="18"/>
                <w:b w:val="1"/>
                <w:bCs w:val="1"/>
                <w:color w:val="0000EE"/>
                <w:w w:val="93"/>
              </w:rPr>
            </w:pPr>
            <w:hyperlink w:anchor="page37">
              <w:r>
                <w:rPr>
                  <w:rFonts w:ascii="Arial" w:cs="Arial" w:eastAsia="Arial" w:hAnsi="Arial"/>
                  <w:sz w:val="18"/>
                  <w:szCs w:val="18"/>
                  <w:b w:val="1"/>
                  <w:bCs w:val="1"/>
                  <w:color w:val="0000EE"/>
                  <w:w w:val="93"/>
                </w:rPr>
                <w:t>Other Information</w:t>
              </w:r>
            </w:hyperlink>
          </w:p>
        </w:tc>
        <w:tc>
          <w:tcPr>
            <w:tcW w:w="400" w:type="dxa"/>
            <w:vAlign w:val="bottom"/>
            <w:gridSpan w:val="2"/>
          </w:tcPr>
          <w:p>
            <w:pPr>
              <w:spacing w:after="0"/>
              <w:rPr>
                <w:sz w:val="24"/>
                <w:szCs w:val="24"/>
                <w:color w:val="auto"/>
              </w:rPr>
            </w:pPr>
          </w:p>
        </w:tc>
        <w:tc>
          <w:tcPr>
            <w:tcW w:w="7600" w:type="dxa"/>
            <w:vAlign w:val="bottom"/>
            <w:gridSpan w:val="15"/>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000" w:type="dxa"/>
            <w:vAlign w:val="bottom"/>
            <w:gridSpan w:val="1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Pr>
          <w:p>
            <w:pPr>
              <w:spacing w:after="0"/>
              <w:rPr>
                <w:rFonts w:ascii="Arial" w:cs="Arial" w:eastAsia="Arial" w:hAnsi="Arial"/>
                <w:sz w:val="18"/>
                <w:szCs w:val="18"/>
                <w:b w:val="1"/>
                <w:bCs w:val="1"/>
                <w:color w:val="0000EE"/>
                <w:w w:val="88"/>
              </w:rPr>
            </w:pPr>
            <w:hyperlink w:anchor="page38">
              <w:r>
                <w:rPr>
                  <w:rFonts w:ascii="Arial" w:cs="Arial" w:eastAsia="Arial" w:hAnsi="Arial"/>
                  <w:sz w:val="18"/>
                  <w:szCs w:val="18"/>
                  <w:b w:val="1"/>
                  <w:bCs w:val="1"/>
                  <w:color w:val="0000EE"/>
                  <w:w w:val="88"/>
                </w:rPr>
                <w:t>Exhibits</w:t>
              </w:r>
            </w:hyperlink>
          </w:p>
        </w:tc>
        <w:tc>
          <w:tcPr>
            <w:tcW w:w="800" w:type="dxa"/>
            <w:vAlign w:val="bottom"/>
            <w:gridSpan w:val="3"/>
          </w:tcPr>
          <w:p>
            <w:pPr>
              <w:spacing w:after="0"/>
              <w:rPr>
                <w:sz w:val="24"/>
                <w:szCs w:val="24"/>
                <w:color w:val="auto"/>
              </w:rPr>
            </w:pPr>
          </w:p>
        </w:tc>
        <w:tc>
          <w:tcPr>
            <w:tcW w:w="8000" w:type="dxa"/>
            <w:vAlign w:val="bottom"/>
            <w:gridSpan w:val="17"/>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507"/>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140" w:type="dxa"/>
            <w:vAlign w:val="bottom"/>
            <w:gridSpan w:val="13"/>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data)</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Nov 30, 2016</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2015</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2016</w:t>
            </w:r>
          </w:p>
        </w:tc>
        <w:tc>
          <w:tcPr>
            <w:tcW w:w="160" w:type="dxa"/>
            <w:vAlign w:val="bottom"/>
          </w:tcPr>
          <w:p>
            <w:pPr>
              <w:spacing w:after="0"/>
              <w:rPr>
                <w:sz w:val="22"/>
                <w:szCs w:val="22"/>
                <w:color w:val="auto"/>
              </w:rPr>
            </w:pPr>
          </w:p>
        </w:tc>
        <w:tc>
          <w:tcPr>
            <w:tcW w:w="980" w:type="dxa"/>
            <w:vAlign w:val="bottom"/>
          </w:tcPr>
          <w:p>
            <w:pPr>
              <w:jc w:val="right"/>
              <w:ind w:right="91"/>
              <w:spacing w:after="0"/>
              <w:rPr>
                <w:sz w:val="20"/>
                <w:szCs w:val="20"/>
                <w:color w:val="auto"/>
              </w:rPr>
            </w:pPr>
            <w:r>
              <w:rPr>
                <w:rFonts w:ascii="Arial" w:cs="Arial" w:eastAsia="Arial" w:hAnsi="Arial"/>
                <w:sz w:val="14"/>
                <w:szCs w:val="14"/>
                <w:color w:val="auto"/>
                <w:w w:val="93"/>
              </w:rPr>
              <w:t>Nov 30, 2015</w:t>
            </w:r>
          </w:p>
        </w:tc>
        <w:tc>
          <w:tcPr>
            <w:tcW w:w="0" w:type="dxa"/>
            <w:vAlign w:val="bottom"/>
          </w:tcPr>
          <w:p>
            <w:pPr>
              <w:spacing w:after="0"/>
              <w:rPr>
                <w:sz w:val="1"/>
                <w:szCs w:val="1"/>
                <w:color w:val="auto"/>
              </w:rPr>
            </w:pPr>
          </w:p>
        </w:tc>
      </w:tr>
      <w:tr>
        <w:trPr>
          <w:trHeight w:val="250"/>
        </w:trPr>
        <w:tc>
          <w:tcPr>
            <w:tcW w:w="65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89,029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89,284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177,127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173,037</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Cost of sales (exclusive of intangible amortization)</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44,019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43,400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87,085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83,782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45,010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45,884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90,042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89,255</w:t>
            </w:r>
          </w:p>
        </w:tc>
        <w:tc>
          <w:tcPr>
            <w:tcW w:w="0" w:type="dxa"/>
            <w:vAlign w:val="bottom"/>
          </w:tcPr>
          <w:p>
            <w:pPr>
              <w:spacing w:after="0"/>
              <w:rPr>
                <w:sz w:val="1"/>
                <w:szCs w:val="1"/>
                <w:color w:val="auto"/>
              </w:rPr>
            </w:pPr>
          </w:p>
        </w:tc>
      </w:tr>
      <w:tr>
        <w:trPr>
          <w:trHeight w:val="22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12,308</w:t>
            </w: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19,524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21,378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39,012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42,578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15,996</w:t>
            </w: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4,483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8,526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8,898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Change in fair value of contingent consideration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Acquisition, restructuring and other items, net</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7,861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3,913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10,278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6,056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Medical device excise tax</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37"/>
        </w:trPr>
        <w:tc>
          <w:tcPr>
            <w:tcW w:w="654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29,422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45,319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70,882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88,478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2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Other (expenses) income:</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expense</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37"/>
        </w:trPr>
        <w:tc>
          <w:tcPr>
            <w:tcW w:w="6540" w:type="dxa"/>
            <w:vAlign w:val="bottom"/>
            <w:gridSpan w:val="2"/>
          </w:tcPr>
          <w:p>
            <w:pPr>
              <w:ind w:left="720"/>
              <w:spacing w:after="0"/>
              <w:rPr>
                <w:sz w:val="20"/>
                <w:szCs w:val="20"/>
                <w:color w:val="auto"/>
              </w:rPr>
            </w:pPr>
            <w:r>
              <w:rPr>
                <w:rFonts w:ascii="Arial" w:cs="Arial" w:eastAsia="Arial" w:hAnsi="Arial"/>
                <w:sz w:val="18"/>
                <w:szCs w:val="18"/>
                <w:color w:val="auto"/>
              </w:rPr>
              <w:t>Total other expenses, net</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Income (loss) before income tax expense (benefit)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Income (loss)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gridSpan w:val="2"/>
            <w:vMerge w:val="restart"/>
          </w:tcPr>
          <w:p>
            <w:pPr>
              <w:ind w:left="380"/>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4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Basic weighted average shares outstanding</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36,051</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37,146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36,140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37,000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36,051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color w:val="auto"/>
              </w:rPr>
              <w:t>Six Months Ended</w:t>
            </w:r>
          </w:p>
        </w:tc>
      </w:tr>
      <w:tr>
        <w:trPr>
          <w:trHeight w:val="264"/>
        </w:trPr>
        <w:tc>
          <w:tcPr>
            <w:tcW w:w="5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color w:val="auto"/>
              </w:rPr>
              <w:t>Nov 30, 2016</w:t>
            </w:r>
          </w:p>
        </w:tc>
        <w:tc>
          <w:tcPr>
            <w:tcW w:w="240" w:type="dxa"/>
            <w:vAlign w:val="bottom"/>
          </w:tcPr>
          <w:p>
            <w:pPr>
              <w:spacing w:after="0"/>
              <w:rPr>
                <w:sz w:val="22"/>
                <w:szCs w:val="22"/>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Nov 30, 2015</w:t>
            </w:r>
          </w:p>
        </w:tc>
        <w:tc>
          <w:tcPr>
            <w:tcW w:w="240" w:type="dxa"/>
            <w:vAlign w:val="bottom"/>
          </w:tcPr>
          <w:p>
            <w:pPr>
              <w:spacing w:after="0"/>
              <w:rPr>
                <w:sz w:val="22"/>
                <w:szCs w:val="22"/>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Nov 30, 2016</w:t>
            </w:r>
          </w:p>
        </w:tc>
        <w:tc>
          <w:tcPr>
            <w:tcW w:w="240" w:type="dxa"/>
            <w:vAlign w:val="bottom"/>
          </w:tcPr>
          <w:p>
            <w:pPr>
              <w:spacing w:after="0"/>
              <w:rPr>
                <w:sz w:val="22"/>
                <w:szCs w:val="22"/>
                <w:color w:val="auto"/>
              </w:rPr>
            </w:pPr>
          </w:p>
        </w:tc>
        <w:tc>
          <w:tcPr>
            <w:tcW w:w="1240" w:type="dxa"/>
            <w:vAlign w:val="bottom"/>
          </w:tcPr>
          <w:p>
            <w:pPr>
              <w:jc w:val="right"/>
              <w:ind w:right="252"/>
              <w:spacing w:after="0"/>
              <w:rPr>
                <w:sz w:val="20"/>
                <w:szCs w:val="20"/>
                <w:color w:val="auto"/>
              </w:rPr>
            </w:pPr>
            <w:r>
              <w:rPr>
                <w:rFonts w:ascii="Arial" w:cs="Arial" w:eastAsia="Arial" w:hAnsi="Arial"/>
                <w:sz w:val="14"/>
                <w:szCs w:val="14"/>
                <w:color w:val="auto"/>
              </w:rPr>
              <w:t>Nov 30, 2015</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comprehensive income (loss), before tax:</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Unrealized gain on interest rate swap</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Unrealized gain (loss) on marketable securities</w:t>
            </w:r>
          </w:p>
        </w:tc>
        <w:tc>
          <w:tcPr>
            <w:tcW w:w="2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currency translation (loss)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Other comprehensive (loss), before tax</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5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 (expense) benefit related to items of other</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Other comprehensive (loss), net of tax</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13,169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color w:val="auto"/>
              </w:rPr>
              <w:t>Nov 30, 2016</w:t>
            </w:r>
          </w:p>
        </w:tc>
        <w:tc>
          <w:tcPr>
            <w:tcW w:w="18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w w:val="96"/>
              </w:rPr>
              <w:t>May 31, 2016</w:t>
            </w:r>
          </w:p>
        </w:tc>
        <w:tc>
          <w:tcPr>
            <w:tcW w:w="0" w:type="dxa"/>
            <w:vAlign w:val="bottom"/>
          </w:tcPr>
          <w:p>
            <w:pPr>
              <w:spacing w:after="0"/>
              <w:rPr>
                <w:sz w:val="1"/>
                <w:szCs w:val="1"/>
                <w:color w:val="auto"/>
              </w:rPr>
            </w:pPr>
          </w:p>
        </w:tc>
      </w:tr>
      <w:tr>
        <w:trPr>
          <w:trHeight w:val="33"/>
        </w:trPr>
        <w:tc>
          <w:tcPr>
            <w:tcW w:w="8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32,333</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1,653</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allowances of $3,170 and $4,372 respectively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52,867</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56,667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55,370</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Prepaid expenses and other</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3,453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3,243</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147,802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146,254</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47,116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48,284</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3,827</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154,439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166,577</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361,252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361,252</w:t>
            </w:r>
          </w:p>
        </w:tc>
        <w:tc>
          <w:tcPr>
            <w:tcW w:w="0" w:type="dxa"/>
            <w:vAlign w:val="bottom"/>
          </w:tcPr>
          <w:p>
            <w:pPr>
              <w:spacing w:after="0"/>
              <w:rPr>
                <w:sz w:val="1"/>
                <w:szCs w:val="1"/>
                <w:color w:val="auto"/>
              </w:rPr>
            </w:pPr>
          </w:p>
        </w:tc>
      </w:tr>
      <w:tr>
        <w:trPr>
          <w:trHeight w:val="223"/>
        </w:trPr>
        <w:tc>
          <w:tcPr>
            <w:tcW w:w="87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712,170</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726,194</w:t>
            </w:r>
          </w:p>
        </w:tc>
        <w:tc>
          <w:tcPr>
            <w:tcW w:w="0" w:type="dxa"/>
            <w:vAlign w:val="bottom"/>
          </w:tcPr>
          <w:p>
            <w:pPr>
              <w:spacing w:after="0"/>
              <w:rPr>
                <w:sz w:val="1"/>
                <w:szCs w:val="1"/>
                <w:color w:val="auto"/>
              </w:rPr>
            </w:pPr>
          </w:p>
        </w:tc>
      </w:tr>
      <w:tr>
        <w:trPr>
          <w:trHeight w:val="67"/>
        </w:trPr>
        <w:tc>
          <w:tcPr>
            <w:tcW w:w="87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15,616</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20,908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21,896</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16,250</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contingent consideration</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12,919</w:t>
            </w:r>
          </w:p>
        </w:tc>
        <w:tc>
          <w:tcPr>
            <w:tcW w:w="0" w:type="dxa"/>
            <w:vAlign w:val="bottom"/>
          </w:tcPr>
          <w:p>
            <w:pPr>
              <w:spacing w:after="0"/>
              <w:rPr>
                <w:sz w:val="1"/>
                <w:szCs w:val="1"/>
                <w:color w:val="auto"/>
              </w:rPr>
            </w:pPr>
          </w:p>
        </w:tc>
      </w:tr>
      <w:tr>
        <w:trPr>
          <w:trHeight w:val="223"/>
        </w:trPr>
        <w:tc>
          <w:tcPr>
            <w:tcW w:w="87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50,752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66,727</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110,163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104,291</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23,750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21,684</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25,356</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908</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188,821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218,966</w:t>
            </w:r>
          </w:p>
        </w:tc>
        <w:tc>
          <w:tcPr>
            <w:tcW w:w="0" w:type="dxa"/>
            <w:vAlign w:val="bottom"/>
          </w:tcPr>
          <w:p>
            <w:pPr>
              <w:spacing w:after="0"/>
              <w:rPr>
                <w:sz w:val="1"/>
                <w:szCs w:val="1"/>
                <w:color w:val="auto"/>
              </w:rPr>
            </w:pPr>
          </w:p>
        </w:tc>
      </w:tr>
      <w:tr>
        <w:trPr>
          <w:trHeight w:val="223"/>
        </w:trPr>
        <w:tc>
          <w:tcPr>
            <w:tcW w:w="8700" w:type="dxa"/>
            <w:vAlign w:val="bottom"/>
          </w:tcPr>
          <w:p>
            <w:pPr>
              <w:ind w:left="40"/>
              <w:spacing w:after="0"/>
              <w:rPr>
                <w:sz w:val="20"/>
                <w:szCs w:val="20"/>
                <w:color w:val="auto"/>
              </w:rPr>
            </w:pPr>
            <w:r>
              <w:rPr>
                <w:rFonts w:ascii="Arial" w:cs="Arial" w:eastAsia="Arial" w:hAnsi="Arial"/>
                <w:sz w:val="18"/>
                <w:szCs w:val="18"/>
                <w:color w:val="auto"/>
              </w:rPr>
              <w:t>Commitments and contingencies (Footnote N)</w:t>
            </w: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w w:val="98"/>
              </w:rPr>
              <w:t>Preferred stock, par value $.01 per share, 5,000,000 shares authorized; no shares issued and outstanding</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Common stock, par value $.01 per share, 75,000,000 shares authorized; 37,146,923 and 36,420,403 shares issued</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and 36,504,618 and 36,278,098 shares outstanding at November 30, 2016 and May 31, 2016,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535,558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525,775</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(16,015)</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w w:val="96"/>
              </w:rPr>
              <w:t>Treasury stock, 642,305 shares and 142,305 at November 30, 2016 and May 31, 2016, respectively, at cost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(9,944)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(2,104)</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0" w:type="dxa"/>
            <w:vAlign w:val="bottom"/>
          </w:tcPr>
          <w:p>
            <w:pPr>
              <w:spacing w:after="0"/>
              <w:rPr>
                <w:sz w:val="1"/>
                <w:szCs w:val="1"/>
                <w:color w:val="auto"/>
              </w:rPr>
            </w:pPr>
          </w:p>
        </w:tc>
      </w:tr>
      <w:tr>
        <w:trPr>
          <w:trHeight w:val="223"/>
        </w:trPr>
        <w:tc>
          <w:tcPr>
            <w:tcW w:w="870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523,349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507,228</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712,170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726,194</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960" w:type="dxa"/>
            <w:vAlign w:val="bottom"/>
            <w:gridSpan w:val="3"/>
          </w:tcPr>
          <w:p>
            <w:pPr>
              <w:ind w:left="2160"/>
              <w:spacing w:after="0"/>
              <w:rPr>
                <w:sz w:val="20"/>
                <w:szCs w:val="20"/>
                <w:color w:val="auto"/>
              </w:rPr>
            </w:pPr>
            <w:r>
              <w:rPr>
                <w:rFonts w:ascii="Arial" w:cs="Arial" w:eastAsia="Arial" w:hAnsi="Arial"/>
                <w:sz w:val="18"/>
                <w:szCs w:val="18"/>
                <w:color w:val="auto"/>
                <w:w w:val="97"/>
              </w:rPr>
              <w:t>The accompanying notes are an integral part of these consolidated condensed financial statements.</w:t>
            </w:r>
          </w:p>
        </w:tc>
        <w:tc>
          <w:tcPr>
            <w:tcW w:w="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8700" w:type="dxa"/>
            <w:vAlign w:val="bottom"/>
          </w:tcPr>
          <w:p>
            <w:pPr>
              <w:ind w:left="566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color w:val="auto"/>
              </w:rPr>
              <w:t>Nov 30, 2016</w:t>
            </w:r>
          </w:p>
        </w:tc>
        <w:tc>
          <w:tcPr>
            <w:tcW w:w="200" w:type="dxa"/>
            <w:vAlign w:val="bottom"/>
          </w:tcPr>
          <w:p>
            <w:pPr>
              <w:spacing w:after="0"/>
              <w:rPr>
                <w:sz w:val="22"/>
                <w:szCs w:val="22"/>
                <w:color w:val="auto"/>
              </w:rPr>
            </w:pPr>
          </w:p>
        </w:tc>
        <w:tc>
          <w:tcPr>
            <w:tcW w:w="1160" w:type="dxa"/>
            <w:vAlign w:val="bottom"/>
          </w:tcPr>
          <w:p>
            <w:pPr>
              <w:jc w:val="right"/>
              <w:ind w:right="191"/>
              <w:spacing w:after="0"/>
              <w:rPr>
                <w:sz w:val="20"/>
                <w:szCs w:val="20"/>
                <w:color w:val="auto"/>
              </w:rPr>
            </w:pPr>
            <w:r>
              <w:rPr>
                <w:rFonts w:ascii="Arial" w:cs="Arial" w:eastAsia="Arial" w:hAnsi="Arial"/>
                <w:sz w:val="14"/>
                <w:szCs w:val="14"/>
                <w:color w:val="auto"/>
              </w:rPr>
              <w:t>Nov 30, 2015</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15,034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12,286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14,310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 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Change in fair value of contingent consideration</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Bad debt expense</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Fixed and intangible asset impairments and disposals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43"/>
        </w:trPr>
        <w:tc>
          <w:tcPr>
            <w:tcW w:w="8580" w:type="dxa"/>
            <w:vAlign w:val="bottom"/>
          </w:tcPr>
          <w:p>
            <w:pPr>
              <w:ind w:left="660"/>
              <w:spacing w:after="0"/>
              <w:rPr>
                <w:sz w:val="20"/>
                <w:szCs w:val="20"/>
                <w:color w:val="auto"/>
              </w:rPr>
            </w:pPr>
            <w:r>
              <w:rPr>
                <w:rFonts w:ascii="Arial" w:cs="Arial" w:eastAsia="Arial" w:hAnsi="Arial"/>
                <w:sz w:val="18"/>
                <w:szCs w:val="18"/>
                <w:color w:val="auto"/>
              </w:rPr>
              <w:t>Write-off of other assets</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2,685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3"/>
        </w:trPr>
        <w:tc>
          <w:tcPr>
            <w:tcW w:w="858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 net of acquisitions:</w:t>
            </w: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4,908</w:t>
            </w:r>
          </w:p>
        </w:tc>
        <w:tc>
          <w:tcPr>
            <w:tcW w:w="0" w:type="dxa"/>
            <w:vAlign w:val="bottom"/>
          </w:tcPr>
          <w:p>
            <w:pPr>
              <w:spacing w:after="0"/>
              <w:rPr>
                <w:sz w:val="1"/>
                <w:szCs w:val="1"/>
                <w:color w:val="auto"/>
              </w:rPr>
            </w:pP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Prepaid expenses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Accounts payable, accrued and other liabilities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22,387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14,278</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Proceeds from sale or maturity of marketable securities</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and borrowings on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116,471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Repayment of long-term debt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(121,410)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financing costs on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Payment of contingent consideration previously established in purchase accounting</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6,404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(12,370)</w:t>
            </w:r>
          </w:p>
        </w:tc>
        <w:tc>
          <w:tcPr>
            <w:tcW w:w="0" w:type="dxa"/>
            <w:vAlign w:val="bottom"/>
          </w:tcPr>
          <w:p>
            <w:pPr>
              <w:spacing w:after="0"/>
              <w:rPr>
                <w:sz w:val="1"/>
                <w:szCs w:val="1"/>
                <w:color w:val="auto"/>
              </w:rPr>
            </w:pPr>
          </w:p>
        </w:tc>
      </w:tr>
      <w:tr>
        <w:trPr>
          <w:trHeight w:val="237"/>
        </w:trPr>
        <w:tc>
          <w:tcPr>
            <w:tcW w:w="8580" w:type="dxa"/>
            <w:vAlign w:val="bottom"/>
          </w:tcPr>
          <w:p>
            <w:pPr>
              <w:ind w:left="1140"/>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Increase in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32,333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18,391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Cash and cash equivalents at end of period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35,664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18,996</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8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Contractual obligations for acquisition of fixed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8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Contractual obligations for deferred financing fees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600" w:type="dxa"/>
            <w:vAlign w:val="bottom"/>
            <w:gridSpan w:val="3"/>
            <w:vMerge w:val="restart"/>
          </w:tcPr>
          <w:p>
            <w:pPr>
              <w:jc w:val="right"/>
              <w:ind w:right="16"/>
              <w:spacing w:after="0"/>
              <w:rPr>
                <w:sz w:val="20"/>
                <w:szCs w:val="20"/>
                <w:color w:val="auto"/>
              </w:rPr>
            </w:pPr>
            <w:r>
              <w:rPr>
                <w:rFonts w:ascii="Arial" w:cs="Arial" w:eastAsia="Arial" w:hAnsi="Arial"/>
                <w:sz w:val="14"/>
                <w:szCs w:val="14"/>
                <w:color w:val="auto"/>
              </w:rPr>
              <w:t>Common Stock</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7"/>
              </w:rPr>
              <w:t>Additional</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Accumulated</w:t>
            </w:r>
          </w:p>
        </w:tc>
        <w:tc>
          <w:tcPr>
            <w:tcW w:w="2040" w:type="dxa"/>
            <w:vAlign w:val="bottom"/>
            <w:gridSpan w:val="5"/>
            <w:vMerge w:val="restart"/>
          </w:tcPr>
          <w:p>
            <w:pPr>
              <w:ind w:left="540"/>
              <w:spacing w:after="0"/>
              <w:rPr>
                <w:sz w:val="20"/>
                <w:szCs w:val="20"/>
                <w:color w:val="auto"/>
              </w:rPr>
            </w:pPr>
            <w:r>
              <w:rPr>
                <w:rFonts w:ascii="Arial" w:cs="Arial" w:eastAsia="Arial" w:hAnsi="Arial"/>
                <w:sz w:val="14"/>
                <w:szCs w:val="14"/>
                <w:color w:val="auto"/>
              </w:rPr>
              <w:t>Treasury Stock</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42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1" w:lineRule="exact"/>
              <w:rPr>
                <w:sz w:val="20"/>
                <w:szCs w:val="20"/>
                <w:color w:val="auto"/>
              </w:rPr>
            </w:pPr>
            <w:r>
              <w:rPr>
                <w:rFonts w:ascii="Arial" w:cs="Arial" w:eastAsia="Arial" w:hAnsi="Arial"/>
                <w:sz w:val="14"/>
                <w:szCs w:val="14"/>
                <w:color w:val="auto"/>
                <w:w w:val="96"/>
              </w:rPr>
              <w:t>Accumulated</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1" w:lineRule="exact"/>
              <w:rPr>
                <w:sz w:val="20"/>
                <w:szCs w:val="20"/>
                <w:color w:val="auto"/>
              </w:rPr>
            </w:pPr>
            <w:r>
              <w:rPr>
                <w:rFonts w:ascii="Arial" w:cs="Arial" w:eastAsia="Arial" w:hAnsi="Arial"/>
                <w:sz w:val="14"/>
                <w:szCs w:val="14"/>
                <w:color w:val="auto"/>
                <w:w w:val="93"/>
              </w:rPr>
              <w:t>other</w:t>
            </w:r>
          </w:p>
        </w:tc>
        <w:tc>
          <w:tcPr>
            <w:tcW w:w="204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2420" w:type="dxa"/>
            <w:vAlign w:val="bottom"/>
          </w:tcPr>
          <w:p>
            <w:pPr>
              <w:spacing w:after="0"/>
              <w:rPr>
                <w:sz w:val="4"/>
                <w:szCs w:val="4"/>
                <w:color w:val="auto"/>
              </w:rPr>
            </w:pPr>
          </w:p>
        </w:tc>
        <w:tc>
          <w:tcPr>
            <w:tcW w:w="12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2"/>
          </w:tcPr>
          <w:p>
            <w:pPr>
              <w:jc w:val="center"/>
              <w:ind w:right="260"/>
              <w:spacing w:after="0" w:line="49" w:lineRule="exact"/>
              <w:rPr>
                <w:sz w:val="20"/>
                <w:szCs w:val="20"/>
                <w:color w:val="auto"/>
              </w:rPr>
            </w:pPr>
            <w:r>
              <w:rPr>
                <w:rFonts w:ascii="Arial" w:cs="Arial" w:eastAsia="Arial" w:hAnsi="Arial"/>
                <w:sz w:val="5"/>
                <w:szCs w:val="5"/>
                <w:color w:val="auto"/>
              </w:rPr>
              <w:t>paid in</w:t>
            </w:r>
          </w:p>
        </w:tc>
        <w:tc>
          <w:tcPr>
            <w:tcW w:w="160" w:type="dxa"/>
            <w:vAlign w:val="bottom"/>
          </w:tcPr>
          <w:p>
            <w:pPr>
              <w:spacing w:after="0"/>
              <w:rPr>
                <w:sz w:val="4"/>
                <w:szCs w:val="4"/>
                <w:color w:val="auto"/>
              </w:rPr>
            </w:pPr>
          </w:p>
        </w:tc>
        <w:tc>
          <w:tcPr>
            <w:tcW w:w="1080" w:type="dxa"/>
            <w:vAlign w:val="bottom"/>
            <w:gridSpan w:val="2"/>
            <w:vMerge w:val="restart"/>
          </w:tcPr>
          <w:p>
            <w:pPr>
              <w:jc w:val="center"/>
              <w:ind w:right="260"/>
              <w:spacing w:after="0" w:line="130" w:lineRule="exact"/>
              <w:rPr>
                <w:sz w:val="20"/>
                <w:szCs w:val="20"/>
                <w:color w:val="auto"/>
              </w:rPr>
            </w:pPr>
            <w:r>
              <w:rPr>
                <w:rFonts w:ascii="Arial" w:cs="Arial" w:eastAsia="Arial" w:hAnsi="Arial"/>
                <w:sz w:val="14"/>
                <w:szCs w:val="14"/>
                <w:color w:val="auto"/>
              </w:rPr>
              <w:t>deficit</w:t>
            </w: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line="130" w:lineRule="exact"/>
              <w:rPr>
                <w:sz w:val="20"/>
                <w:szCs w:val="20"/>
                <w:color w:val="auto"/>
              </w:rPr>
            </w:pPr>
            <w:r>
              <w:rPr>
                <w:rFonts w:ascii="Arial" w:cs="Arial" w:eastAsia="Arial" w:hAnsi="Arial"/>
                <w:sz w:val="14"/>
                <w:szCs w:val="14"/>
                <w:color w:val="auto"/>
                <w:w w:val="90"/>
              </w:rPr>
              <w:t>comprehensive</w:t>
            </w:r>
          </w:p>
        </w:tc>
        <w:tc>
          <w:tcPr>
            <w:tcW w:w="10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8"/>
              </w:rPr>
              <w:t>capital</w:t>
            </w: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420" w:type="dxa"/>
            <w:vAlign w:val="bottom"/>
          </w:tcPr>
          <w:p>
            <w:pPr>
              <w:spacing w:after="0"/>
              <w:rPr>
                <w:sz w:val="8"/>
                <w:szCs w:val="8"/>
                <w:color w:val="auto"/>
              </w:rPr>
            </w:pPr>
          </w:p>
        </w:tc>
        <w:tc>
          <w:tcPr>
            <w:tcW w:w="1380" w:type="dxa"/>
            <w:vAlign w:val="bottom"/>
            <w:gridSpan w:val="2"/>
            <w:vMerge w:val="restart"/>
          </w:tcPr>
          <w:p>
            <w:pPr>
              <w:ind w:left="440"/>
              <w:spacing w:after="0"/>
              <w:rPr>
                <w:sz w:val="20"/>
                <w:szCs w:val="20"/>
                <w:color w:val="auto"/>
              </w:rPr>
            </w:pPr>
            <w:r>
              <w:rPr>
                <w:rFonts w:ascii="Arial" w:cs="Arial" w:eastAsia="Arial" w:hAnsi="Arial"/>
                <w:sz w:val="14"/>
                <w:szCs w:val="14"/>
                <w:color w:val="auto"/>
              </w:rPr>
              <w:t>Shares</w:t>
            </w:r>
          </w:p>
        </w:tc>
        <w:tc>
          <w:tcPr>
            <w:tcW w:w="820" w:type="dxa"/>
            <w:vAlign w:val="bottom"/>
            <w:gridSpan w:val="3"/>
            <w:vMerge w:val="restart"/>
          </w:tcPr>
          <w:p>
            <w:pPr>
              <w:ind w:left="12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88"/>
              </w:rPr>
              <w:t>loss</w:t>
            </w:r>
          </w:p>
        </w:tc>
        <w:tc>
          <w:tcPr>
            <w:tcW w:w="1120" w:type="dxa"/>
            <w:vAlign w:val="bottom"/>
            <w:gridSpan w:val="2"/>
            <w:vMerge w:val="restart"/>
          </w:tcPr>
          <w:p>
            <w:pPr>
              <w:ind w:left="32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8"/>
                <w:szCs w:val="8"/>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8"/>
                <w:szCs w:val="8"/>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87"/>
        </w:trPr>
        <w:tc>
          <w:tcPr>
            <w:tcW w:w="242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Balance at May 31, 2016</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36,420,403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525,775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507,228</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15,034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15,034</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Exercise of stock options</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481,219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6,128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6,132</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Issuance/Cancellation of</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142,415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Issuance/Cancellation of</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23,405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performance share units</w:t>
            </w: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Purchases of common stock</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79,481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41"/>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under ESPP</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Stock based compensation</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3,385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Common stock repurchased</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(7,840)</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shd w:val="clear" w:color="auto" w:fill="CCEEFF"/>
              </w:rPr>
              <w:t>Other comprehensive income,</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of tax</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color w:val="auto"/>
                <w:w w:val="95"/>
              </w:rPr>
              <w:t>Balance at November 30, 2016</w:t>
            </w: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37,146,923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41"/>
              <w:spacing w:after="0"/>
              <w:rPr>
                <w:sz w:val="20"/>
                <w:szCs w:val="20"/>
                <w:color w:val="auto"/>
              </w:rPr>
            </w:pPr>
            <w:r>
              <w:rPr>
                <w:rFonts w:ascii="Arial" w:cs="Arial" w:eastAsia="Arial" w:hAnsi="Arial"/>
                <w:sz w:val="18"/>
                <w:szCs w:val="18"/>
                <w:color w:val="auto"/>
              </w:rPr>
              <w:t>535,558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(642,305)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(9,944)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523,349</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CONSOLIDATED CONDENSED FINANCIAL STATEMENTS</w:t>
      </w:r>
    </w:p>
    <w:p>
      <w:pPr>
        <w:spacing w:after="0" w:line="121"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consolidated condensed balance sheet as of November 30, 2016, the consolidated condensed statement of stockholders’ equity and consolidated condensed statement of cash flows for the six months ended November 30, 2016 and the consolidated condensed statements of income (loss) and consolidated condensed statements of comprehensive income (loss) for the three and six months ended November 30, 2016 and November 30, 2015 have been prepared by us and are unaudited. The consolidated condensed balance sheet as of May 31, 2016 was derived from audited consolidated financial statements but does not include all disclosures required by accounting principles generally accepted in the United States of America. In the opinion of management, all adjustments (consisting of normal recurring adjustments) necessary to state fairly the financial position, changes in stockholders’ equity and comprehensive income, results of operations and cash flows as of and for the period ended November 30, 2016 (and for all periods presented) have been made.</w:t>
      </w:r>
    </w:p>
    <w:p>
      <w:pPr>
        <w:spacing w:after="0" w:line="192"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The unaudited interim consolidated condensed financial statements for the three and six months ended November 30, 2016 and November 30, 2015 include the accounts of AngioDynamics, Inc. and its wholly owned subsidiaries, collectively, the “Company”. All intercompany balances and transactions have been eliminated.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During the second quarter of fiscal year 2017, the Company made the decision to discontinue their investment in the TiLo product that was acquired in August 2013 as part of the Clinical Devices acquisition. This decision resulted in the write-off of the acquired In-process research and development (IPR&amp;D) of $3.6 million along with a $3.1 million gain from the reduction in the fair value of contingent consideration liability associated with future milestones that will no longer be met.</w:t>
      </w:r>
    </w:p>
    <w:p>
      <w:pPr>
        <w:spacing w:after="0" w:line="187"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During the second quarter of fiscal year 2017, the Company revised the sales forecasts for the AngioVac product as a result of reviews performed by executive management across all products. The adjustments to the sales forecasts resulted in a $13.4 million gain from the reduction in the fair value of the contingent liability that is based on projected sales volume over the contractual earn out period.</w:t>
      </w:r>
    </w:p>
    <w:p>
      <w:pPr>
        <w:spacing w:after="0" w:line="181"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During the second quarter of fiscal year 2017, the Company decided to terminate its agreements with EmboMedics. The termination of these agreements resulted in a write-off of the initial $2 million investment in EmboMedics (See note C).</w:t>
      </w:r>
    </w:p>
    <w:p>
      <w:pPr>
        <w:spacing w:after="0" w:line="170"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During the second quarter of fiscal year 2017, the Board of Directors approved a share repurchase program (the “Repurchase Program”) under which they authorized the Company the option to repurchase up to $25.0 million of its outstanding common stock during the twenty-four months period ending November 6, 2018. During the second quarter of fiscal year 2017, the Company repurchased 500,000 shares of common stock in the open market at an aggregate cost of $7.8 million under the Repurchase Program.</w:t>
      </w:r>
    </w:p>
    <w:p>
      <w:pPr>
        <w:spacing w:after="0" w:line="18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During the second quarter of fiscal year 2017, the Company entered into a new credit facility ("The Facility") which provides for a $100 million senior secured term loan facility and a $150 million senior secured revolving credit facility along with up to a $20 million sublimit for letters of credit and a $5 million limit for swing line loans. With the proceeds from the new credit facility, the existing credit facility that was entered into in September 2013 was paid down in full.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121" w:right="31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INVENTORIES</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Inventories are stated at lower of cost (using the first-in, first-out method) or market. As of November 30, 2016 and May 31, 2016, inventories consisted of the following: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Nov 30, 2016</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5"/>
              </w:rPr>
              <w:t>May 31, 2016</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44"/>
        </w:trPr>
        <w:tc>
          <w:tcPr>
            <w:tcW w:w="83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4"/>
                <w:szCs w:val="14"/>
                <w:color w:val="auto"/>
              </w:rPr>
              <w:t>(in thousands)</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21,669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11,113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10,700</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23,001</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56,667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55,370</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OTHER ASSETS</w:t>
      </w:r>
    </w:p>
    <w:p>
      <w:pPr>
        <w:spacing w:after="0" w:line="229"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On March 2, 2015, the Company filed an 8-K stating that it executed a non-binding letter of intent to enter into a strategic relationship with privately-held EmboMedics Inc., which develops injectable and resorbable embolic microspheres. On April 9, 2015, the Company entered into a License, Distribution, Manufacturing and Purchase Option Agreement with EmboMedics Inc, subject to certain approvals by EmboMedics shareholders. Under the terms of the agreement, AngioDynamics received an exclusive worldwide license to market and sell, upon regulatory clearances, EmboMedics’ microsphere technology. AngioDynamics has the ability to determine the manufacturing of the products.</w:t>
      </w:r>
    </w:p>
    <w:p>
      <w:pPr>
        <w:spacing w:after="0" w:line="173" w:lineRule="exact"/>
        <w:rPr>
          <w:sz w:val="20"/>
          <w:szCs w:val="20"/>
          <w:color w:val="auto"/>
        </w:rPr>
      </w:pPr>
    </w:p>
    <w:p>
      <w:pPr>
        <w:ind w:right="180" w:firstLine="486"/>
        <w:spacing w:after="0" w:line="302" w:lineRule="auto"/>
        <w:rPr>
          <w:sz w:val="20"/>
          <w:szCs w:val="20"/>
          <w:color w:val="auto"/>
        </w:rPr>
      </w:pPr>
      <w:r>
        <w:rPr>
          <w:rFonts w:ascii="Arial" w:cs="Arial" w:eastAsia="Arial" w:hAnsi="Arial"/>
          <w:sz w:val="16"/>
          <w:szCs w:val="16"/>
          <w:color w:val="auto"/>
        </w:rPr>
        <w:t>On December 7, 2015, AngioDynamics made an initial $2.0 million purchase of non-transferable warrants in a subsidiary of EmboMedics which become exercisable upon a change of control of EmboMedics. The Company does not have significant influence, or control of the subsidiary. This initial investment was recorded at cost and the Company reviewed for impairment at each balance sheet date. The warrants are not exercisable at the original issue date or the balance sheet date as they only become exercisable upon a change of control, termination of the agreement or delivery of an offer notice.</w:t>
      </w:r>
    </w:p>
    <w:p>
      <w:pPr>
        <w:spacing w:after="0" w:line="15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the second quarter of fiscal year 2017, the Company decided to terminate its agreements with EmboMedics. The termination of these agreements resulted in a write-off of the initial $2 million investment in EmboMedics and is included in "Acquisition, restructuring and other items, net" on the Consolidated Condensed Statements of Income (loss).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GOODWILL AND INTANGIBLE ASSETS</w:t>
      </w:r>
    </w:p>
    <w:p>
      <w:pPr>
        <w:spacing w:after="0" w:line="121"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Intangible assets other than goodwill are amortized over their estimated useful lives, which range between one and eighteen years, on either a straight-line basis or proportionately to the benefit being realized. The weighted average useful life at November 30, 2016 is 12.9 years. We periodically review the estimated useful lives of our intangible assets and review such assets or asset groups for impairment, based on estimated future cash flows, whenever events or changes in circumstances indicate that the carrying value of the assets or asset groups may not be recoverable. If an intangible asset or asset group is considered to be impaired, the amount of the impairment will equal the excess of the carrying value over the fair value of the asset.</w:t>
      </w:r>
    </w:p>
    <w:p>
      <w:pPr>
        <w:spacing w:after="0" w:line="5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We consider our business to be a single operating segment entity, and a single reporting unit engaged in the development, manufacture and sale on a global basis of medical devices for vascular access, peripheral vascular disease, oncology and surgery.</w:t>
      </w:r>
    </w:p>
    <w:p>
      <w:pPr>
        <w:spacing w:after="0" w:line="62" w:lineRule="exact"/>
        <w:rPr>
          <w:sz w:val="20"/>
          <w:szCs w:val="20"/>
          <w:color w:val="auto"/>
        </w:rPr>
      </w:pPr>
    </w:p>
    <w:p>
      <w:pPr>
        <w:jc w:val="both"/>
        <w:ind w:right="380" w:firstLine="432"/>
        <w:spacing w:after="0" w:line="312" w:lineRule="auto"/>
        <w:rPr>
          <w:sz w:val="20"/>
          <w:szCs w:val="20"/>
          <w:color w:val="auto"/>
        </w:rPr>
      </w:pPr>
      <w:r>
        <w:rPr>
          <w:rFonts w:ascii="Arial" w:cs="Arial" w:eastAsia="Arial" w:hAnsi="Arial"/>
          <w:sz w:val="16"/>
          <w:szCs w:val="16"/>
          <w:color w:val="auto"/>
        </w:rPr>
        <w:t>Goodwill is not amortized, but rather, is tested for impairment annually or more frequently if impairment indicators arise. Goodwill represents the excess of the purchase price over the fair value of the net tangible and identifiable intangible assets acquired in each business combination. Goodwill and intangible assets have been recorded at either incurred or allocated costs based on respective fair market values at the date of acquisition.</w:t>
      </w:r>
    </w:p>
    <w:p>
      <w:pPr>
        <w:spacing w:after="0" w:line="3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For goodwill, the impairment test requires a comparison of the estimated fair value of the reporting unit to which the goodwill is assigned to the sum of the carrying value of the assets and liabilities of that unit. If the sum of the carrying value of the assets and liabilities of a reporting unit exceeds the fair value of the reporting unit, the carrying value of the reporting unit’s goodwill is reduced to its implied fair value through an adjustment to the goodwill balance, resulting in an impairment charge.</w:t>
      </w:r>
    </w:p>
    <w:p>
      <w:pPr>
        <w:spacing w:after="0" w:line="79"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We last completed our annual goodwill impairment test as of December 31, 2015. At December 31, 2015, our reporting unit is the same as our one reportable segment. Our assessment of goodwill impairment indicated that the fair value of our reporting unit exceeded its carrying value and therefore goodwill was not impaired.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40" w:firstLine="432"/>
        <w:spacing w:after="0" w:line="329" w:lineRule="auto"/>
        <w:rPr>
          <w:sz w:val="20"/>
          <w:szCs w:val="20"/>
          <w:color w:val="auto"/>
        </w:rPr>
      </w:pPr>
      <w:r>
        <w:rPr>
          <w:rFonts w:ascii="Arial" w:cs="Arial" w:eastAsia="Arial" w:hAnsi="Arial"/>
          <w:sz w:val="17"/>
          <w:szCs w:val="17"/>
          <w:color w:val="auto"/>
        </w:rPr>
        <w:t>Even though we determined that there was no goodwill impairment as of December 31, 2015, the future occurrence of a potential indicator of impairment, such as a significant adverse change in legal, regulatory, business or economic conditions or a more-likely-than-not expectation that the reporting unit or a significant portion of the reporting unit will be sold or disposed of, would require an interim assessment for the reporting unit prior to the next required annual assessment as of December 31, 2016. We continued to assess for potential impairment through November 30, 2016 and noted no events that would be considered a triggering event. There were no adjustments to goodwill for the six months ended November 30, 2016.</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November 30, 2016 and May 31, 2016, intangible assets 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color w:val="auto"/>
                <w:w w:val="92"/>
              </w:rPr>
              <w:t>November 30, 2016</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7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Gross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8"/>
                <w:szCs w:val="18"/>
                <w:color w:val="auto"/>
                <w:w w:val="93"/>
              </w:rPr>
              <w:t>carrying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w w:val="92"/>
              </w:rPr>
              <w:t>Net carrying</w:t>
            </w:r>
          </w:p>
        </w:tc>
        <w:tc>
          <w:tcPr>
            <w:tcW w:w="100" w:type="dxa"/>
            <w:vAlign w:val="bottom"/>
          </w:tcPr>
          <w:p>
            <w:pPr>
              <w:spacing w:after="0"/>
              <w:rPr>
                <w:sz w:val="18"/>
                <w:szCs w:val="18"/>
                <w:color w:val="auto"/>
              </w:rPr>
            </w:pPr>
          </w:p>
        </w:tc>
      </w:tr>
      <w:tr>
        <w:trPr>
          <w:trHeight w:val="230"/>
        </w:trPr>
        <w:tc>
          <w:tcPr>
            <w:tcW w:w="7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8"/>
                <w:szCs w:val="18"/>
                <w:color w:val="auto"/>
                <w:w w:val="92"/>
              </w:rPr>
              <w:t>value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amortization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r>
      <w:tr>
        <w:trPr>
          <w:trHeight w:val="27"/>
        </w:trPr>
        <w:tc>
          <w:tcPr>
            <w:tcW w:w="70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4"/>
        </w:trPr>
        <w:tc>
          <w:tcPr>
            <w:tcW w:w="7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color w:val="auto"/>
                <w:w w:val="92"/>
              </w:rPr>
              <w:t>(in thousands)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6"/>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technologies</w:t>
            </w:r>
          </w:p>
        </w:tc>
        <w:tc>
          <w:tcPr>
            <w:tcW w:w="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148,374</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(55,888)</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92,486</w:t>
            </w:r>
          </w:p>
        </w:tc>
        <w:tc>
          <w:tcPr>
            <w:tcW w:w="100" w:type="dxa"/>
            <w:vAlign w:val="bottom"/>
          </w:tcPr>
          <w:p>
            <w:pPr>
              <w:spacing w:after="0"/>
              <w:rPr>
                <w:sz w:val="22"/>
                <w:szCs w:val="22"/>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88,328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(49,120)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39,208</w:t>
            </w:r>
          </w:p>
        </w:tc>
        <w:tc>
          <w:tcPr>
            <w:tcW w:w="10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28,400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20,766</w:t>
            </w:r>
          </w:p>
        </w:tc>
        <w:tc>
          <w:tcPr>
            <w:tcW w:w="100" w:type="dxa"/>
            <w:vAlign w:val="bottom"/>
          </w:tcPr>
          <w:p>
            <w:pPr>
              <w:spacing w:after="0"/>
              <w:rPr>
                <w:sz w:val="21"/>
                <w:szCs w:val="2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Licenses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5,037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(4,171)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Distributor relationships</w:t>
            </w: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2,150</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23"/>
                <w:szCs w:val="23"/>
                <w:color w:val="auto"/>
              </w:rPr>
            </w:pPr>
          </w:p>
        </w:tc>
      </w:tr>
      <w:tr>
        <w:trPr>
          <w:trHeight w:val="237"/>
        </w:trPr>
        <w:tc>
          <w:tcPr>
            <w:tcW w:w="704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272,289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(117,850)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154,439</w:t>
            </w:r>
          </w:p>
        </w:tc>
        <w:tc>
          <w:tcPr>
            <w:tcW w:w="100" w:type="dxa"/>
            <w:vAlign w:val="bottom"/>
          </w:tcPr>
          <w:p>
            <w:pPr>
              <w:spacing w:after="0"/>
              <w:rPr>
                <w:sz w:val="20"/>
                <w:szCs w:val="20"/>
                <w:color w:val="auto"/>
              </w:rPr>
            </w:pPr>
          </w:p>
        </w:tc>
      </w:tr>
      <w:tr>
        <w:trPr>
          <w:trHeight w:val="27"/>
        </w:trPr>
        <w:tc>
          <w:tcPr>
            <w:tcW w:w="70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70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12"/>
        </w:trPr>
        <w:tc>
          <w:tcPr>
            <w:tcW w:w="7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color w:val="auto"/>
                <w:w w:val="94"/>
              </w:rPr>
              <w:t>May 31, 2016</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28"/>
        </w:trPr>
        <w:tc>
          <w:tcPr>
            <w:tcW w:w="7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color w:val="auto"/>
                <w:w w:val="87"/>
              </w:rPr>
              <w:t>Gross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8"/>
                <w:szCs w:val="18"/>
                <w:color w:val="auto"/>
                <w:w w:val="93"/>
              </w:rPr>
              <w:t>carrying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Net carrying</w:t>
            </w:r>
          </w:p>
        </w:tc>
        <w:tc>
          <w:tcPr>
            <w:tcW w:w="100" w:type="dxa"/>
            <w:vAlign w:val="bottom"/>
          </w:tcPr>
          <w:p>
            <w:pPr>
              <w:spacing w:after="0"/>
              <w:rPr>
                <w:sz w:val="18"/>
                <w:szCs w:val="18"/>
                <w:color w:val="auto"/>
              </w:rPr>
            </w:pPr>
          </w:p>
        </w:tc>
      </w:tr>
      <w:tr>
        <w:trPr>
          <w:trHeight w:val="230"/>
        </w:trPr>
        <w:tc>
          <w:tcPr>
            <w:tcW w:w="7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8"/>
                <w:szCs w:val="18"/>
                <w:color w:val="auto"/>
                <w:w w:val="92"/>
              </w:rPr>
              <w:t>value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amortization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7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4"/>
                <w:szCs w:val="14"/>
                <w:color w:val="auto"/>
                <w:w w:val="92"/>
              </w:rPr>
              <w:t>(in thousands)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6"/>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technologies</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148,387</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(51,313)</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97,074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88,389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(47,133)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41,256</w:t>
            </w:r>
          </w:p>
        </w:tc>
        <w:tc>
          <w:tcPr>
            <w:tcW w:w="10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28,470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(6,242)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22,228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In process R&amp;D acquired</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3,600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Licenses</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(6,716)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Distributor relationships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(946)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1"/>
                <w:szCs w:val="2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69"/>
        </w:trPr>
        <w:tc>
          <w:tcPr>
            <w:tcW w:w="70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278,927</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(112,350)</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166,577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Amortization expense for the three months ended November 30, 2016 and November 30, 2015 was $4.3 million and $4.5 million,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six months ended November 30, 2016 and November 30, 2015 was $8.5 million and $8.9 million, respectively.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Expected future amortization expense related to the intangible assets is as follows: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0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9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5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2017</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2018</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16,744</w:t>
            </w:r>
          </w:p>
        </w:tc>
      </w:tr>
      <w:tr>
        <w:trPr>
          <w:trHeight w:val="27"/>
        </w:trPr>
        <w:tc>
          <w:tcPr>
            <w:tcW w:w="9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9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16,138</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2020</w:t>
            </w:r>
          </w:p>
        </w:tc>
        <w:tc>
          <w:tcPr>
            <w:tcW w:w="9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14,556</w:t>
            </w:r>
          </w:p>
        </w:tc>
      </w:tr>
      <w:tr>
        <w:trPr>
          <w:trHeight w:val="27"/>
        </w:trPr>
        <w:tc>
          <w:tcPr>
            <w:tcW w:w="9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9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13,604</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2022 and thereafter</w:t>
            </w:r>
          </w:p>
        </w:tc>
        <w:tc>
          <w:tcPr>
            <w:tcW w:w="9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84,576</w:t>
            </w:r>
          </w:p>
        </w:tc>
      </w:tr>
      <w:tr>
        <w:trPr>
          <w:trHeight w:val="27"/>
        </w:trPr>
        <w:tc>
          <w:tcPr>
            <w:tcW w:w="9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154,439</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ACCRUED LIABILITIES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November 30, 2016 and May 31, 2016, accrued liabilities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Nov 30, 2016</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98"/>
              </w:rPr>
              <w:t>May 31, 2016</w:t>
            </w:r>
          </w:p>
        </w:tc>
      </w:tr>
      <w:tr>
        <w:trPr>
          <w:trHeight w:val="250"/>
        </w:trPr>
        <w:tc>
          <w:tcPr>
            <w:tcW w:w="89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color w:val="auto"/>
              </w:rPr>
              <w:t>(in thousands)</w:t>
            </w: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related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9,414</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Royalties</w:t>
            </w: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2,769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2,489</w:t>
            </w: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severance</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1,524</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Sales and franchise taxes</w:t>
            </w: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565</w:t>
            </w: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Outside services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2,063</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4,298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5,841</w:t>
            </w:r>
          </w:p>
        </w:tc>
      </w:tr>
      <w:tr>
        <w:trPr>
          <w:trHeight w:val="27"/>
        </w:trPr>
        <w:tc>
          <w:tcPr>
            <w:tcW w:w="8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21,896</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LONG TERM DEBT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November 7, 2016, the Company entered into a Credit Agreement (the “Credit Agreement”) with the lenders party thereto, JPMorgan Chase Bank, N.A., as administrative agent, Bank of America, N.A. and Keybank National Association as co-syndication agents, and JPMorgan Chase Bank, N.A., Merrill Lynch, Pierce, Fenner &amp; Smith Incorporated and Keybank National Association as joint bookrunners and joint lead arrangers.</w:t>
      </w:r>
    </w:p>
    <w:p>
      <w:pPr>
        <w:spacing w:after="0" w:line="166"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The Credit Agreement provides for a $100 million senior secured term loan facility (“Term Loan”) and a $150 million senior secured revolving credit facility, which includes up to a $20 million sublimit for letters of credit and a $5 million sublimit for swingline loans (the “Revolving Facility”, and together with the Term Loan, the “Facilities”).</w:t>
      </w:r>
    </w:p>
    <w:p>
      <w:pPr>
        <w:spacing w:after="0" w:line="181" w:lineRule="exact"/>
        <w:rPr>
          <w:sz w:val="20"/>
          <w:szCs w:val="20"/>
          <w:color w:val="auto"/>
        </w:rPr>
      </w:pPr>
    </w:p>
    <w:p>
      <w:pPr>
        <w:jc w:val="both"/>
        <w:ind w:right="360" w:firstLine="432"/>
        <w:spacing w:after="0" w:line="264" w:lineRule="auto"/>
        <w:rPr>
          <w:sz w:val="20"/>
          <w:szCs w:val="20"/>
          <w:color w:val="auto"/>
        </w:rPr>
      </w:pPr>
      <w:r>
        <w:rPr>
          <w:rFonts w:ascii="Arial" w:cs="Arial" w:eastAsia="Arial" w:hAnsi="Arial"/>
          <w:sz w:val="18"/>
          <w:szCs w:val="18"/>
          <w:color w:val="auto"/>
        </w:rPr>
        <w:t>On November 7, 2016, the Company borrowed $100 million under the Term Loan and approximately $16.5 million under the Revolving Facility to repay the balance of $116.5 million under the former credit agreement. As of November 30, 2016 and May 31, 2016 the carrying value of long-term debt approximates its fair market value.</w:t>
      </w:r>
    </w:p>
    <w:p>
      <w:pPr>
        <w:spacing w:after="0" w:line="18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proceeds of the Revolving Facility may be used for general corporate purposes of the Company and its subsidiaries. The Facilities have a five years maturity. Interest on both the Term Loan and Revolving Facility are based on a base rate or Eurodollar rate plus an applicable margin which increases as our total leverage ratio increases, with the base rate and Eurodollar rate having ranges of 0.50% to 1.25% and 1.5% to 2.25% respectively. In case of default, the interest rate may be increased by 2.0%. The Revolving Facility carries a commitment fee of 0.2% to 0.35% per annum on the unused portion. The interest rate at November 30, 2016 was 2.39%.</w:t>
      </w:r>
    </w:p>
    <w:p>
      <w:pPr>
        <w:spacing w:after="0" w:line="188"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Our obligations under the Facilities are unconditionally guaranteed, jointly and severally, by our material direct and indirect domestic subsidiaries (the “Guarantors”). All obligations of the Company and the Guarantors under the Facilities are secured by first priority security interests in substantially all of the assets of the Company and the Guarantors.</w:t>
      </w:r>
    </w:p>
    <w:p>
      <w:pPr>
        <w:spacing w:after="0" w:line="181"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Credit Agreement includes customary representations, warranties and covenants, and acceleration, indemnity and events of default provisions, including, among other things, two quarterly financial covenants as follows:</w:t>
      </w:r>
    </w:p>
    <w:p>
      <w:pPr>
        <w:spacing w:after="0" w:line="197" w:lineRule="exact"/>
        <w:rPr>
          <w:sz w:val="20"/>
          <w:szCs w:val="20"/>
          <w:color w:val="auto"/>
        </w:rPr>
      </w:pPr>
    </w:p>
    <w:p>
      <w:pPr>
        <w:ind w:left="660" w:right="280" w:firstLine="428"/>
        <w:spacing w:after="0" w:line="324" w:lineRule="auto"/>
        <w:tabs>
          <w:tab w:leader="none" w:pos="1371" w:val="left"/>
        </w:tabs>
        <w:numPr>
          <w:ilvl w:val="1"/>
          <w:numId w:val="3"/>
        </w:numPr>
        <w:rPr>
          <w:rFonts w:ascii="Arial" w:cs="Arial" w:eastAsia="Arial" w:hAnsi="Arial"/>
          <w:sz w:val="18"/>
          <w:szCs w:val="18"/>
          <w:color w:val="auto"/>
        </w:rPr>
      </w:pPr>
      <w:r>
        <w:rPr>
          <w:rFonts w:ascii="Arial" w:cs="Arial" w:eastAsia="Arial" w:hAnsi="Arial"/>
          <w:sz w:val="18"/>
          <w:szCs w:val="18"/>
          <w:color w:val="auto"/>
        </w:rPr>
        <w:t>maximum leverage ratio of consolidated total indebtedness* to consolidated adjusted EBITDA* of not greater than 3.50 to 1.00 (during certain periods following material acquisitions shall be increased to 3.75 to 1.00).</w:t>
      </w:r>
    </w:p>
    <w:p>
      <w:pPr>
        <w:spacing w:after="0" w:line="170" w:lineRule="exact"/>
        <w:rPr>
          <w:rFonts w:ascii="Arial" w:cs="Arial" w:eastAsia="Arial" w:hAnsi="Arial"/>
          <w:sz w:val="18"/>
          <w:szCs w:val="18"/>
          <w:color w:val="auto"/>
        </w:rPr>
      </w:pPr>
    </w:p>
    <w:p>
      <w:pPr>
        <w:ind w:left="660" w:right="280" w:firstLine="428"/>
        <w:spacing w:after="0" w:line="395" w:lineRule="auto"/>
        <w:tabs>
          <w:tab w:leader="none" w:pos="1416" w:val="left"/>
        </w:tabs>
        <w:numPr>
          <w:ilvl w:val="1"/>
          <w:numId w:val="3"/>
        </w:numPr>
        <w:rPr>
          <w:rFonts w:ascii="Arial" w:cs="Arial" w:eastAsia="Arial" w:hAnsi="Arial"/>
          <w:sz w:val="16"/>
          <w:szCs w:val="16"/>
          <w:color w:val="auto"/>
        </w:rPr>
      </w:pPr>
      <w:r>
        <w:rPr>
          <w:rFonts w:ascii="Arial" w:cs="Arial" w:eastAsia="Arial" w:hAnsi="Arial"/>
          <w:sz w:val="16"/>
          <w:szCs w:val="16"/>
          <w:color w:val="auto"/>
        </w:rPr>
        <w:t>fixed charge coverage ratio of consolidated adjusted EBITDA minus consolidated capital expenditures to consolidated interest expense paid or payable in cash plus scheduled principal payments in respect of indebtedness under the Credit Agreement of not less than 1.25 to 1.00.</w:t>
      </w:r>
    </w:p>
    <w:p>
      <w:pPr>
        <w:spacing w:after="0" w:line="9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4"/>
          <w:szCs w:val="14"/>
          <w:color w:val="auto"/>
        </w:rPr>
        <w:t>* The definitions of consolidated total indebtedness and adjusted EBITDA are maintained in our credit agreement included as an exhibit to our Form 8-k filed on November 10, 2016.</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both covenants as of November 30, 2016.</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maturities of principal obligations under the credit agreement are as follows, as of November 30, 2016:</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5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2017</w:t>
            </w:r>
          </w:p>
        </w:tc>
        <w:tc>
          <w:tcPr>
            <w:tcW w:w="6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2018</w:t>
            </w:r>
          </w:p>
        </w:tc>
        <w:tc>
          <w:tcPr>
            <w:tcW w:w="5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2020</w:t>
            </w:r>
          </w:p>
        </w:tc>
        <w:tc>
          <w:tcPr>
            <w:tcW w:w="5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11,250</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2022</w:t>
            </w:r>
          </w:p>
        </w:tc>
        <w:tc>
          <w:tcPr>
            <w:tcW w:w="5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68,750</w:t>
            </w:r>
          </w:p>
        </w:tc>
        <w:tc>
          <w:tcPr>
            <w:tcW w:w="0" w:type="dxa"/>
            <w:vAlign w:val="bottom"/>
          </w:tcPr>
          <w:p>
            <w:pPr>
              <w:spacing w:after="0"/>
              <w:rPr>
                <w:sz w:val="1"/>
                <w:szCs w:val="1"/>
                <w:color w:val="auto"/>
              </w:rPr>
            </w:pPr>
          </w:p>
        </w:tc>
      </w:tr>
      <w:tr>
        <w:trPr>
          <w:trHeight w:val="27"/>
        </w:trPr>
        <w:tc>
          <w:tcPr>
            <w:tcW w:w="4260" w:type="dxa"/>
            <w:vAlign w:val="bottom"/>
            <w:tcBorders>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term loan</w:t>
            </w:r>
          </w:p>
        </w:tc>
        <w:tc>
          <w:tcPr>
            <w:tcW w:w="5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Revolving facility</w:t>
            </w:r>
          </w:p>
        </w:tc>
        <w:tc>
          <w:tcPr>
            <w:tcW w:w="5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16,471</w:t>
            </w:r>
          </w:p>
        </w:tc>
        <w:tc>
          <w:tcPr>
            <w:tcW w:w="0" w:type="dxa"/>
            <w:vAlign w:val="bottom"/>
          </w:tcPr>
          <w:p>
            <w:pPr>
              <w:spacing w:after="0"/>
              <w:rPr>
                <w:sz w:val="1"/>
                <w:szCs w:val="1"/>
                <w:color w:val="auto"/>
              </w:rPr>
            </w:pPr>
          </w:p>
        </w:tc>
      </w:tr>
      <w:tr>
        <w:trPr>
          <w:trHeight w:val="27"/>
        </w:trPr>
        <w:tc>
          <w:tcPr>
            <w:tcW w:w="4260" w:type="dxa"/>
            <w:vAlign w:val="bottom"/>
            <w:tcBorders>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debt</w:t>
            </w:r>
          </w:p>
        </w:tc>
        <w:tc>
          <w:tcPr>
            <w:tcW w:w="5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116,471</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Less: Unamortized debt issuance costs</w:t>
            </w:r>
          </w:p>
        </w:tc>
        <w:tc>
          <w:tcPr>
            <w:tcW w:w="5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7"/>
        </w:trPr>
        <w:tc>
          <w:tcPr>
            <w:tcW w:w="4260" w:type="dxa"/>
            <w:vAlign w:val="bottom"/>
            <w:tcBorders>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5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115,163</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Less: Current portion of long-term debt</w:t>
            </w:r>
          </w:p>
        </w:tc>
        <w:tc>
          <w:tcPr>
            <w:tcW w:w="5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4260" w:type="dxa"/>
            <w:vAlign w:val="bottom"/>
            <w:tcBorders>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long-term debt, net</w:t>
            </w:r>
          </w:p>
        </w:tc>
        <w:tc>
          <w:tcPr>
            <w:tcW w:w="6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110,163</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bottom w:val="single" w:sz="8" w:color="CCEEFF"/>
            </w:tcBorders>
            <w:vMerge w:val="restart"/>
          </w:tcPr>
          <w:p>
            <w:pPr>
              <w:jc w:val="right"/>
              <w:ind w:right="4330"/>
              <w:spacing w:after="0"/>
              <w:rPr>
                <w:sz w:val="20"/>
                <w:szCs w:val="20"/>
                <w:color w:val="auto"/>
              </w:rPr>
            </w:pPr>
            <w:r>
              <w:rPr>
                <w:rFonts w:ascii="Arial" w:cs="Arial" w:eastAsia="Arial" w:hAnsi="Arial"/>
                <w:sz w:val="18"/>
                <w:szCs w:val="18"/>
                <w:color w:val="auto"/>
              </w:rPr>
              <w:t>12</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4260" w:type="dxa"/>
            <w:vAlign w:val="bottom"/>
          </w:tcPr>
          <w:p>
            <w:pPr>
              <w:spacing w:after="0"/>
              <w:rPr>
                <w:sz w:val="24"/>
                <w:szCs w:val="24"/>
                <w:color w:val="auto"/>
              </w:rPr>
            </w:pPr>
          </w:p>
        </w:tc>
        <w:tc>
          <w:tcPr>
            <w:tcW w:w="59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2" w:right="29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INCOME TAXES</w:t>
      </w:r>
    </w:p>
    <w:p>
      <w:pPr>
        <w:spacing w:after="0" w:line="37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 provides for income taxes at the end of each interim period based on the estimated effective tax rate for the full fiscal year adjusted for any discrete events, which are recorded in the period that they occur. The estimated annual effective tax rate prior to discrete items was 47.3% in the second quarter of fiscal 2017, as compared to 50.2% for the same period in fiscal 2016. The Company’s effective tax rate differs from the U.S. statutory rate primarily due to impact of the deferred tax liability related to indefinite lived intangibles, foreign taxes and state taxes.</w:t>
      </w:r>
    </w:p>
    <w:p>
      <w:pPr>
        <w:spacing w:after="0" w:line="63"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A valuation allowance is established if it is more likely than not that all, or a portion of the deferred tax asset will not be realized. The Company has established that it is more likely than not that some, or all of their deferred tax assets will not be recognized in future years. Consequently, the Company continues to maintain a full U.S. valuation allowance on its net deferred tax assets. Management will continue to reevaluate the positive and negative evidence at each reporting period and if future results as projected in the U.S. and our tax planning strategies are favorable, the valuation allowance may be removed, which could have a favorable material impact on our results of operations in the period in which it is recorded.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SHARE-BASED COMPENSATION</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have two stock-based compensation plans that provide for the issuance of up to approximately 9.5 million shares of common stock. The 2004 Stock and Incentive Award Plan (the "2004 Plan") provides for the grant of incentive options to our employees and for the grant of non-statutory stock options, restricted stock, stock appreciation rights, performance units, performance shares and other incentive awards to our employees, directors and other service providers. We also have an employee stock purchase plan.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three months ended November 30, 2016 and November 30, 2015, share-based payment expense was $1.7 million and $1.2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the six months ended November 30, 2016 and November 30, 2015, share-based payment expense was $3.4 million and $2.9 million, respectively.</w:t>
      </w:r>
    </w:p>
    <w:p>
      <w:pPr>
        <w:spacing w:after="0" w:line="222"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the three months ended November 30, 2016 and November 30, 2015, the company granted stock options and restricted stock units under the 2004 Plan to certain employees and members of the Board of Directors. Stock option awards are valued using the Black-Scholes option-pricing model and then amortized on a straight-line basis over the requisite service period of the award. Restricted stock unit awards are valued based on the closing trading value of our shares on the date of grant and then amortized on a straight-line basis over the requisite service period of the award.</w:t>
      </w:r>
    </w:p>
    <w:p>
      <w:pPr>
        <w:spacing w:after="0" w:line="17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 the first quarter of fiscal year 2017, the company granted performance share awards under the 2004 Plan to certain employees. The awards may be earned by achieving relative performance levels over the three year requisite service period. The performance criteria are based on the total shareholder return ("TSR") of the company's common stock relative to the TSR of the common stock of a pre-defined industry peer-group. The fair value of these awards are based on the closing trading value of our shares on the date of grant and use a Monte Carlo simulation model.</w:t>
      </w:r>
    </w:p>
    <w:p>
      <w:pPr>
        <w:spacing w:after="0" w:line="17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As of November 30, 2016, there were $16.5 million of unrecognized compensation expenses related to share-based payment arrangements. These costs are expected to be recognized over a weighted-average period of approximately four years. The Company has sufficient shares to satisfy expected share-based payment arrangements.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EQUITY</w:t>
      </w:r>
    </w:p>
    <w:p>
      <w:pPr>
        <w:spacing w:after="0" w:line="337" w:lineRule="exact"/>
        <w:rPr>
          <w:sz w:val="20"/>
          <w:szCs w:val="20"/>
          <w:color w:val="auto"/>
        </w:rPr>
      </w:pPr>
    </w:p>
    <w:p>
      <w:pPr>
        <w:ind w:right="340" w:firstLine="432"/>
        <w:spacing w:after="0" w:line="302" w:lineRule="auto"/>
        <w:rPr>
          <w:sz w:val="20"/>
          <w:szCs w:val="20"/>
          <w:color w:val="auto"/>
        </w:rPr>
      </w:pPr>
      <w:r>
        <w:rPr>
          <w:rFonts w:ascii="Arial" w:cs="Arial" w:eastAsia="Arial" w:hAnsi="Arial"/>
          <w:sz w:val="16"/>
          <w:szCs w:val="16"/>
          <w:color w:val="auto"/>
        </w:rPr>
        <w:t>On November 6, 2016 the Board of Directors approved a share repurchase program (the "Repurchase Program") under which they authorized the Company the option to repurchase up to $25.0 million of its outstanding common stock during the twenty-four month period ending November 6, 2018. During the second quarter of fiscal year 2017, the Company repurchased 500,000 shares of common stock in the open market at an aggregate cost of $7.8 million under the Repurchase Program. As of November 30, 2016, $17.2 million remained available for repurchase under the Repurchase Program.</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EARNINGS PER SHARE</w:t>
      </w:r>
    </w:p>
    <w:p>
      <w:pPr>
        <w:spacing w:after="0" w:line="12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Basic earnings per share are based on the weighted average number of common shares outstanding without consideration of potential common stock. Diluted earnings per share include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diluted loss per share as the impact would be anti-dilutive.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reconciles basic to diluted weighted-average shares outstanding for the three and six months ended November 30, 2016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2015 (in thousands):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554"/>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264"/>
        </w:trPr>
        <w:tc>
          <w:tcPr>
            <w:tcW w:w="498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Nov 30, 2016</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Nov 30, 2015</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Nov 30, 2016</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Nov 30, 2015</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7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36,807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36,140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36,606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36,051</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700" w:type="dxa"/>
            <w:vAlign w:val="bottom"/>
            <w:gridSpan w:val="2"/>
          </w:tcPr>
          <w:p>
            <w:pPr>
              <w:jc w:val="right"/>
              <w:ind w:right="48"/>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7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37,146</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36,140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37,000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36,051</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Securities excluded as their inclusion would be anti-dilutive</w:t>
            </w:r>
          </w:p>
        </w:tc>
        <w:tc>
          <w:tcPr>
            <w:tcW w:w="27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980</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3,161</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3,161</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vMerge w:val="restart"/>
          </w:tcPr>
          <w:p>
            <w:pPr>
              <w:jc w:val="right"/>
              <w:ind w:right="630"/>
              <w:spacing w:after="0"/>
              <w:rPr>
                <w:sz w:val="20"/>
                <w:szCs w:val="20"/>
                <w:color w:val="auto"/>
              </w:rPr>
            </w:pPr>
            <w:r>
              <w:rPr>
                <w:rFonts w:ascii="Arial" w:cs="Arial" w:eastAsia="Arial" w:hAnsi="Arial"/>
                <w:sz w:val="18"/>
                <w:szCs w:val="18"/>
                <w:color w:val="auto"/>
              </w:rPr>
              <w:t>14</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98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SEGMENT AND GEOGRAPHIC INFORMATION</w:t>
      </w:r>
    </w:p>
    <w:p>
      <w:pPr>
        <w:spacing w:after="0" w:line="229"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We consider our business to be a single operating segment entity engaged in the development, manufacture and sale of medical devices for vascular access, peripheral vascular disease, oncology and surgery on a global basis. Our chief operating decision maker (CEO) evaluates the various global product portfolios on a net sales basis. Executives reporting to the CEO include those responsible for commercial operations, manufacturing operations, regulatory and quality and certain corporate functions. The CEO evaluates profitability, investment and cash flow metrics on a consolidated worldwide basis due to shared infrastructure and resources.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net sales by product category (in thousands of dollars):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color w:val="auto"/>
              </w:rPr>
              <w:t>Six Months Ended</w:t>
            </w:r>
          </w:p>
        </w:tc>
      </w:tr>
      <w:tr>
        <w:trPr>
          <w:trHeight w:val="264"/>
        </w:trPr>
        <w:tc>
          <w:tcPr>
            <w:tcW w:w="6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Nov 30, 2016</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2015</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2016</w:t>
            </w:r>
          </w:p>
        </w:tc>
        <w:tc>
          <w:tcPr>
            <w:tcW w:w="160" w:type="dxa"/>
            <w:vAlign w:val="bottom"/>
          </w:tcPr>
          <w:p>
            <w:pPr>
              <w:spacing w:after="0"/>
              <w:rPr>
                <w:sz w:val="22"/>
                <w:szCs w:val="22"/>
                <w:color w:val="auto"/>
              </w:rPr>
            </w:pPr>
          </w:p>
        </w:tc>
        <w:tc>
          <w:tcPr>
            <w:tcW w:w="980" w:type="dxa"/>
            <w:vAlign w:val="bottom"/>
          </w:tcPr>
          <w:p>
            <w:pPr>
              <w:jc w:val="right"/>
              <w:ind w:right="93"/>
              <w:spacing w:after="0"/>
              <w:rPr>
                <w:sz w:val="20"/>
                <w:szCs w:val="20"/>
                <w:color w:val="auto"/>
              </w:rPr>
            </w:pPr>
            <w:r>
              <w:rPr>
                <w:rFonts w:ascii="Arial" w:cs="Arial" w:eastAsia="Arial" w:hAnsi="Arial"/>
                <w:sz w:val="14"/>
                <w:szCs w:val="14"/>
                <w:color w:val="auto"/>
                <w:w w:val="93"/>
              </w:rPr>
              <w:t>Nov 30, 2015</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Peripheral Vascular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52,895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51,055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104,304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98,161</w:t>
            </w: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Vascular Access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23,553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48,558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49,665</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Oncology/Surgery</w:t>
            </w:r>
          </w:p>
        </w:tc>
        <w:tc>
          <w:tcPr>
            <w:tcW w:w="16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11,780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12,471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22,844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23,805</w:t>
            </w: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Supply Agreement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1,406</w:t>
            </w:r>
          </w:p>
        </w:tc>
      </w:tr>
      <w:tr>
        <w:trPr>
          <w:trHeight w:val="237"/>
        </w:trPr>
        <w:tc>
          <w:tcPr>
            <w:tcW w:w="6520" w:type="dxa"/>
            <w:vAlign w:val="bottom"/>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89,029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89,284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177,127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173,037</w:t>
            </w:r>
          </w:p>
        </w:tc>
      </w:tr>
      <w:tr>
        <w:trPr>
          <w:trHeight w:val="27"/>
        </w:trPr>
        <w:tc>
          <w:tcPr>
            <w:tcW w:w="6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presents net sales by geographic area based on external customer location (in thousands of dollars):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264"/>
        </w:trPr>
        <w:tc>
          <w:tcPr>
            <w:tcW w:w="368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Nov 30, 2016</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2015</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2016</w:t>
            </w:r>
          </w:p>
        </w:tc>
        <w:tc>
          <w:tcPr>
            <w:tcW w:w="160" w:type="dxa"/>
            <w:vAlign w:val="bottom"/>
          </w:tcPr>
          <w:p>
            <w:pPr>
              <w:spacing w:after="0"/>
              <w:rPr>
                <w:sz w:val="22"/>
                <w:szCs w:val="22"/>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color w:val="auto"/>
                <w:w w:val="93"/>
              </w:rPr>
              <w:t>Nov 30, 2015</w:t>
            </w:r>
          </w:p>
        </w:tc>
        <w:tc>
          <w:tcPr>
            <w:tcW w:w="0" w:type="dxa"/>
            <w:vAlign w:val="bottom"/>
          </w:tcPr>
          <w:p>
            <w:pPr>
              <w:spacing w:after="0"/>
              <w:rPr>
                <w:sz w:val="1"/>
                <w:szCs w:val="1"/>
                <w:color w:val="auto"/>
              </w:rPr>
            </w:pPr>
          </w:p>
        </w:tc>
      </w:tr>
      <w:tr>
        <w:trPr>
          <w:trHeight w:val="250"/>
        </w:trPr>
        <w:tc>
          <w:tcPr>
            <w:tcW w:w="3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3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70,782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70,653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142,535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139,022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2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17,446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33,171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32,609</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Supply Agreement</w:t>
            </w:r>
          </w:p>
        </w:tc>
        <w:tc>
          <w:tcPr>
            <w:tcW w:w="2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3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89,029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89,284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177,127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173,037</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bottom w:val="single" w:sz="8" w:color="CCEEFF"/>
            </w:tcBorders>
            <w:vMerge w:val="restart"/>
          </w:tcPr>
          <w:p>
            <w:pPr>
              <w:jc w:val="right"/>
              <w:ind w:right="630"/>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8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FAIR VALUE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On a recurring basis, we measure certain financial assets and financial liabilities at fair value based upon quoted market prices, where available. Where quoted market prices or other observable inputs are not available, we apply valuation techniques to estimate fair value. FASB ASC Topic 820,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Value Measurements and Disclosures, </w:t>
      </w:r>
      <w:r>
        <w:rPr>
          <w:rFonts w:ascii="Arial" w:cs="Arial" w:eastAsia="Arial" w:hAnsi="Arial"/>
          <w:sz w:val="18"/>
          <w:szCs w:val="18"/>
          <w:color w:val="auto"/>
        </w:rPr>
        <w:t>establishes a three-level valuation hierarchy for disclosure of fair value measurements. The categorization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financial liabilities within the valuation hierarchy is based upon the lowest level of input that is significant to the measurement of fair value. The three levels of the hierarchy are defined as follows:</w:t>
      </w:r>
    </w:p>
    <w:p>
      <w:pPr>
        <w:spacing w:after="0" w:line="18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27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Our financial instruments include cash and cash equivalents, accounts receivable, marketable securities, accounts payable and contingent consideration. The carrying amount of cash and cash equivalents, accounts receivable, and accounts payable approximates fair value due to the immediate or short-term maturities. Our recurring fair value measurements using significant unobservable inputs (Level 3) relate to our marketable securities, which are comprised of auction rate securities, and our contingent consideration liabilities.</w:t>
      </w:r>
    </w:p>
    <w:p>
      <w:pPr>
        <w:spacing w:after="0" w:line="18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 as of November 30, 2016 and May 31, 2016 (in thousands of dollars):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0"/>
              </w:rPr>
              <w:t>Fair Value at</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20" w:type="dxa"/>
            <w:vAlign w:val="bottom"/>
            <w:gridSpan w:val="6"/>
          </w:tcPr>
          <w:p>
            <w:pPr>
              <w:ind w:left="140"/>
              <w:spacing w:after="0"/>
              <w:rPr>
                <w:sz w:val="20"/>
                <w:szCs w:val="20"/>
                <w:color w:val="auto"/>
              </w:rPr>
            </w:pPr>
            <w:r>
              <w:rPr>
                <w:rFonts w:ascii="Arial" w:cs="Arial" w:eastAsia="Arial" w:hAnsi="Arial"/>
                <w:sz w:val="18"/>
                <w:szCs w:val="18"/>
                <w:color w:val="auto"/>
                <w:w w:val="92"/>
              </w:rPr>
              <w:t>Fair Value Measurements using</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1"/>
              </w:rPr>
              <w:t>November 30,</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00" w:type="dxa"/>
            <w:vAlign w:val="bottom"/>
            <w:gridSpan w:val="4"/>
          </w:tcPr>
          <w:p>
            <w:pPr>
              <w:jc w:val="center"/>
              <w:spacing w:after="0"/>
              <w:rPr>
                <w:sz w:val="20"/>
                <w:szCs w:val="20"/>
                <w:color w:val="auto"/>
              </w:rPr>
            </w:pPr>
            <w:r>
              <w:rPr>
                <w:rFonts w:ascii="Arial" w:cs="Arial" w:eastAsia="Arial" w:hAnsi="Arial"/>
                <w:sz w:val="18"/>
                <w:szCs w:val="18"/>
                <w:color w:val="auto"/>
                <w:w w:val="88"/>
              </w:rPr>
              <w:t>inputs considered as:</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160" w:type="dxa"/>
            <w:vAlign w:val="bottom"/>
          </w:tcPr>
          <w:p>
            <w:pPr>
              <w:spacing w:after="0"/>
              <w:rPr>
                <w:sz w:val="22"/>
                <w:szCs w:val="22"/>
                <w:color w:val="auto"/>
              </w:rPr>
            </w:pPr>
          </w:p>
        </w:tc>
        <w:tc>
          <w:tcPr>
            <w:tcW w:w="1080" w:type="dxa"/>
            <w:vAlign w:val="bottom"/>
          </w:tcPr>
          <w:p>
            <w:pPr>
              <w:jc w:val="right"/>
              <w:ind w:right="34"/>
              <w:spacing w:after="0"/>
              <w:rPr>
                <w:sz w:val="20"/>
                <w:szCs w:val="20"/>
                <w:color w:val="auto"/>
              </w:rPr>
            </w:pPr>
            <w:r>
              <w:rPr>
                <w:rFonts w:ascii="Arial" w:cs="Arial" w:eastAsia="Arial" w:hAnsi="Arial"/>
                <w:sz w:val="14"/>
                <w:szCs w:val="14"/>
                <w:color w:val="auto"/>
              </w:rPr>
              <w:t>Level 1</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color w:val="auto"/>
                <w:w w:val="97"/>
              </w:rPr>
              <w:t>Level 2</w:t>
            </w:r>
          </w:p>
        </w:tc>
        <w:tc>
          <w:tcPr>
            <w:tcW w:w="400" w:type="dxa"/>
            <w:vAlign w:val="bottom"/>
          </w:tcPr>
          <w:p>
            <w:pPr>
              <w:spacing w:after="0"/>
              <w:rPr>
                <w:sz w:val="22"/>
                <w:szCs w:val="22"/>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color w:val="auto"/>
              </w:rPr>
              <w:t>Level 3</w:t>
            </w: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obligations</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Financial Assets</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Financial Liabilities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for acquisition earn out</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12,513</w:t>
            </w:r>
          </w:p>
        </w:tc>
        <w:tc>
          <w:tcPr>
            <w:tcW w:w="0" w:type="dxa"/>
            <w:vAlign w:val="bottom"/>
          </w:tcPr>
          <w:p>
            <w:pPr>
              <w:spacing w:after="0"/>
              <w:rPr>
                <w:sz w:val="1"/>
                <w:szCs w:val="1"/>
                <w:color w:val="auto"/>
              </w:rPr>
            </w:pPr>
          </w:p>
        </w:tc>
      </w:tr>
      <w:tr>
        <w:trPr>
          <w:trHeight w:val="237"/>
        </w:trPr>
        <w:tc>
          <w:tcPr>
            <w:tcW w:w="5160" w:type="dxa"/>
            <w:vAlign w:val="bottom"/>
          </w:tcPr>
          <w:p>
            <w:pPr>
              <w:ind w:left="1140"/>
              <w:spacing w:after="0"/>
              <w:rPr>
                <w:sz w:val="20"/>
                <w:szCs w:val="20"/>
                <w:color w:val="auto"/>
              </w:rPr>
            </w:pPr>
            <w:r>
              <w:rPr>
                <w:rFonts w:ascii="Arial" w:cs="Arial" w:eastAsia="Arial" w:hAnsi="Arial"/>
                <w:sz w:val="18"/>
                <w:szCs w:val="18"/>
                <w:color w:val="auto"/>
              </w:rPr>
              <w:t>Total Financial Liabilities</w:t>
            </w:r>
          </w:p>
        </w:tc>
        <w:tc>
          <w:tcPr>
            <w:tcW w:w="108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12,513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12,513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5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2"/>
              </w:rPr>
              <w:t>Fair Value at May</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20" w:type="dxa"/>
            <w:vAlign w:val="bottom"/>
            <w:gridSpan w:val="6"/>
          </w:tcPr>
          <w:p>
            <w:pPr>
              <w:ind w:left="140"/>
              <w:spacing w:after="0"/>
              <w:rPr>
                <w:sz w:val="20"/>
                <w:szCs w:val="20"/>
                <w:color w:val="auto"/>
              </w:rPr>
            </w:pPr>
            <w:r>
              <w:rPr>
                <w:rFonts w:ascii="Arial" w:cs="Arial" w:eastAsia="Arial" w:hAnsi="Arial"/>
                <w:sz w:val="18"/>
                <w:szCs w:val="18"/>
                <w:color w:val="auto"/>
                <w:w w:val="92"/>
              </w:rPr>
              <w:t>Fair Value Measurements using</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87"/>
              </w:rPr>
              <w:t>31,</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00" w:type="dxa"/>
            <w:vAlign w:val="bottom"/>
            <w:gridSpan w:val="4"/>
          </w:tcPr>
          <w:p>
            <w:pPr>
              <w:jc w:val="center"/>
              <w:spacing w:after="0"/>
              <w:rPr>
                <w:sz w:val="20"/>
                <w:szCs w:val="20"/>
                <w:color w:val="auto"/>
              </w:rPr>
            </w:pPr>
            <w:r>
              <w:rPr>
                <w:rFonts w:ascii="Arial" w:cs="Arial" w:eastAsia="Arial" w:hAnsi="Arial"/>
                <w:sz w:val="18"/>
                <w:szCs w:val="18"/>
                <w:color w:val="auto"/>
                <w:w w:val="88"/>
              </w:rPr>
              <w:t>inputs considered as:</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160" w:type="dxa"/>
            <w:vAlign w:val="bottom"/>
          </w:tcPr>
          <w:p>
            <w:pPr>
              <w:spacing w:after="0"/>
              <w:rPr>
                <w:sz w:val="22"/>
                <w:szCs w:val="22"/>
                <w:color w:val="auto"/>
              </w:rPr>
            </w:pPr>
          </w:p>
        </w:tc>
        <w:tc>
          <w:tcPr>
            <w:tcW w:w="1080" w:type="dxa"/>
            <w:vAlign w:val="bottom"/>
          </w:tcPr>
          <w:p>
            <w:pPr>
              <w:jc w:val="right"/>
              <w:ind w:right="34"/>
              <w:spacing w:after="0"/>
              <w:rPr>
                <w:sz w:val="20"/>
                <w:szCs w:val="20"/>
                <w:color w:val="auto"/>
              </w:rPr>
            </w:pPr>
            <w:r>
              <w:rPr>
                <w:rFonts w:ascii="Arial" w:cs="Arial" w:eastAsia="Arial" w:hAnsi="Arial"/>
                <w:sz w:val="14"/>
                <w:szCs w:val="14"/>
                <w:color w:val="auto"/>
              </w:rPr>
              <w:t>Level 1</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color w:val="auto"/>
                <w:w w:val="97"/>
              </w:rPr>
              <w:t>Level 2</w:t>
            </w:r>
          </w:p>
        </w:tc>
        <w:tc>
          <w:tcPr>
            <w:tcW w:w="400" w:type="dxa"/>
            <w:vAlign w:val="bottom"/>
          </w:tcPr>
          <w:p>
            <w:pPr>
              <w:spacing w:after="0"/>
              <w:rPr>
                <w:sz w:val="22"/>
                <w:szCs w:val="22"/>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color w:val="auto"/>
              </w:rPr>
              <w:t>Level 3</w:t>
            </w: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obligations</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Financial Assets</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Financial Liabilities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for acquisition earn out</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38,275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38,275</w:t>
            </w:r>
          </w:p>
        </w:tc>
        <w:tc>
          <w:tcPr>
            <w:tcW w:w="0" w:type="dxa"/>
            <w:vAlign w:val="bottom"/>
          </w:tcPr>
          <w:p>
            <w:pPr>
              <w:spacing w:after="0"/>
              <w:rPr>
                <w:sz w:val="1"/>
                <w:szCs w:val="1"/>
                <w:color w:val="auto"/>
              </w:rPr>
            </w:pPr>
          </w:p>
        </w:tc>
      </w:tr>
      <w:tr>
        <w:trPr>
          <w:trHeight w:val="237"/>
        </w:trPr>
        <w:tc>
          <w:tcPr>
            <w:tcW w:w="5160" w:type="dxa"/>
            <w:vAlign w:val="bottom"/>
          </w:tcPr>
          <w:p>
            <w:pPr>
              <w:ind w:left="1140"/>
              <w:spacing w:after="0"/>
              <w:rPr>
                <w:sz w:val="20"/>
                <w:szCs w:val="20"/>
                <w:color w:val="auto"/>
              </w:rPr>
            </w:pPr>
            <w:r>
              <w:rPr>
                <w:rFonts w:ascii="Arial" w:cs="Arial" w:eastAsia="Arial" w:hAnsi="Arial"/>
                <w:sz w:val="18"/>
                <w:szCs w:val="18"/>
                <w:color w:val="auto"/>
              </w:rPr>
              <w:t>Total Financial Liabilities</w:t>
            </w:r>
          </w:p>
        </w:tc>
        <w:tc>
          <w:tcPr>
            <w:tcW w:w="108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38,275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38,275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2 and 3 for the three and six months ended November 30, 2016.</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The table below presents the changes in fair value components of Level 3 instruments in the three and six months ended November 30, 2016 (in thousands of dollars):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60" w:type="dxa"/>
            <w:vAlign w:val="bottom"/>
            <w:tcBorders>
              <w:bottom w:val="single" w:sz="8" w:color="auto"/>
            </w:tcBorders>
            <w:gridSpan w:val="8"/>
          </w:tcPr>
          <w:p>
            <w:pPr>
              <w:jc w:val="right"/>
              <w:ind w:right="1754"/>
              <w:spacing w:after="0"/>
              <w:rPr>
                <w:sz w:val="20"/>
                <w:szCs w:val="20"/>
                <w:color w:val="auto"/>
              </w:rPr>
            </w:pPr>
            <w:r>
              <w:rPr>
                <w:rFonts w:ascii="Arial" w:cs="Arial" w:eastAsia="Arial" w:hAnsi="Arial"/>
                <w:sz w:val="14"/>
                <w:szCs w:val="14"/>
                <w:color w:val="auto"/>
              </w:rPr>
              <w:t>Three Months Ended</w:t>
            </w:r>
          </w:p>
        </w:tc>
        <w:tc>
          <w:tcPr>
            <w:tcW w:w="520" w:type="dxa"/>
            <w:vAlign w:val="bottom"/>
          </w:tcPr>
          <w:p>
            <w:pPr>
              <w:spacing w:after="0"/>
              <w:rPr>
                <w:sz w:val="16"/>
                <w:szCs w:val="16"/>
                <w:color w:val="auto"/>
              </w:rPr>
            </w:pPr>
          </w:p>
        </w:tc>
      </w:tr>
      <w:tr>
        <w:trPr>
          <w:trHeight w:val="264"/>
        </w:trPr>
        <w:tc>
          <w:tcPr>
            <w:tcW w:w="6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color w:val="auto"/>
                <w:w w:val="94"/>
              </w:rPr>
              <w:t>Financial Assets</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center"/>
              <w:ind w:right="474"/>
              <w:spacing w:after="0"/>
              <w:rPr>
                <w:sz w:val="20"/>
                <w:szCs w:val="20"/>
                <w:color w:val="auto"/>
              </w:rPr>
            </w:pPr>
            <w:r>
              <w:rPr>
                <w:rFonts w:ascii="Arial" w:cs="Arial" w:eastAsia="Arial" w:hAnsi="Arial"/>
                <w:sz w:val="14"/>
                <w:szCs w:val="14"/>
                <w:color w:val="auto"/>
                <w:w w:val="98"/>
              </w:rPr>
              <w:t>Financial Liabilities</w:t>
            </w:r>
          </w:p>
        </w:tc>
        <w:tc>
          <w:tcPr>
            <w:tcW w:w="520" w:type="dxa"/>
            <w:vAlign w:val="bottom"/>
          </w:tcPr>
          <w:p>
            <w:pPr>
              <w:spacing w:after="0"/>
              <w:rPr>
                <w:sz w:val="22"/>
                <w:szCs w:val="22"/>
                <w:color w:val="auto"/>
              </w:rPr>
            </w:pPr>
          </w:p>
        </w:tc>
      </w:tr>
      <w:tr>
        <w:trPr>
          <w:trHeight w:val="228"/>
        </w:trPr>
        <w:tc>
          <w:tcPr>
            <w:tcW w:w="6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2300" w:type="dxa"/>
            <w:vAlign w:val="bottom"/>
            <w:gridSpan w:val="3"/>
          </w:tcPr>
          <w:p>
            <w:pPr>
              <w:jc w:val="center"/>
              <w:ind w:left="10"/>
              <w:spacing w:after="0"/>
              <w:rPr>
                <w:sz w:val="20"/>
                <w:szCs w:val="20"/>
                <w:color w:val="auto"/>
              </w:rPr>
            </w:pPr>
            <w:r>
              <w:rPr>
                <w:rFonts w:ascii="Arial" w:cs="Arial" w:eastAsia="Arial" w:hAnsi="Arial"/>
                <w:sz w:val="18"/>
                <w:szCs w:val="18"/>
                <w:color w:val="auto"/>
                <w:w w:val="89"/>
              </w:rPr>
              <w:t>Fair Value Measurements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40" w:type="dxa"/>
            <w:vAlign w:val="bottom"/>
            <w:gridSpan w:val="5"/>
          </w:tcPr>
          <w:p>
            <w:pPr>
              <w:jc w:val="center"/>
              <w:ind w:right="710"/>
              <w:spacing w:after="0"/>
              <w:rPr>
                <w:sz w:val="20"/>
                <w:szCs w:val="20"/>
                <w:color w:val="auto"/>
              </w:rPr>
            </w:pPr>
            <w:r>
              <w:rPr>
                <w:rFonts w:ascii="Arial" w:cs="Arial" w:eastAsia="Arial" w:hAnsi="Arial"/>
                <w:sz w:val="18"/>
                <w:szCs w:val="18"/>
                <w:color w:val="auto"/>
                <w:w w:val="89"/>
              </w:rPr>
              <w:t>Fair Value Measurements</w:t>
            </w:r>
          </w:p>
        </w:tc>
      </w:tr>
      <w:tr>
        <w:trPr>
          <w:trHeight w:val="216"/>
        </w:trPr>
        <w:tc>
          <w:tcPr>
            <w:tcW w:w="6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jc w:val="center"/>
              <w:ind w:right="255"/>
              <w:spacing w:after="0"/>
              <w:rPr>
                <w:sz w:val="20"/>
                <w:szCs w:val="20"/>
                <w:color w:val="auto"/>
              </w:rPr>
            </w:pPr>
            <w:r>
              <w:rPr>
                <w:rFonts w:ascii="Arial" w:cs="Arial" w:eastAsia="Arial" w:hAnsi="Arial"/>
                <w:sz w:val="18"/>
                <w:szCs w:val="18"/>
                <w:color w:val="auto"/>
                <w:w w:val="95"/>
              </w:rPr>
              <w:t>Using Significant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jc w:val="center"/>
              <w:ind w:right="990"/>
              <w:spacing w:after="0"/>
              <w:rPr>
                <w:sz w:val="20"/>
                <w:szCs w:val="20"/>
                <w:color w:val="auto"/>
              </w:rPr>
            </w:pPr>
            <w:r>
              <w:rPr>
                <w:rFonts w:ascii="Arial" w:cs="Arial" w:eastAsia="Arial" w:hAnsi="Arial"/>
                <w:sz w:val="18"/>
                <w:szCs w:val="18"/>
                <w:color w:val="auto"/>
                <w:w w:val="95"/>
              </w:rPr>
              <w:t>Using Significant</w:t>
            </w:r>
          </w:p>
        </w:tc>
      </w:tr>
      <w:tr>
        <w:trPr>
          <w:trHeight w:val="212"/>
        </w:trPr>
        <w:tc>
          <w:tcPr>
            <w:tcW w:w="6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jc w:val="center"/>
              <w:ind w:right="255"/>
              <w:spacing w:after="0"/>
              <w:rPr>
                <w:sz w:val="20"/>
                <w:szCs w:val="20"/>
                <w:color w:val="auto"/>
              </w:rPr>
            </w:pPr>
            <w:r>
              <w:rPr>
                <w:rFonts w:ascii="Arial" w:cs="Arial" w:eastAsia="Arial" w:hAnsi="Arial"/>
                <w:sz w:val="18"/>
                <w:szCs w:val="18"/>
                <w:color w:val="auto"/>
                <w:w w:val="89"/>
              </w:rPr>
              <w:t>Unobservable Inputs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3"/>
          </w:tcPr>
          <w:p>
            <w:pPr>
              <w:jc w:val="center"/>
              <w:ind w:right="870"/>
              <w:spacing w:after="0"/>
              <w:rPr>
                <w:sz w:val="20"/>
                <w:szCs w:val="20"/>
                <w:color w:val="auto"/>
              </w:rPr>
            </w:pPr>
            <w:r>
              <w:rPr>
                <w:rFonts w:ascii="Arial" w:cs="Arial" w:eastAsia="Arial" w:hAnsi="Arial"/>
                <w:sz w:val="18"/>
                <w:szCs w:val="18"/>
                <w:color w:val="auto"/>
                <w:w w:val="89"/>
              </w:rPr>
              <w:t>Unobservable Inputs</w:t>
            </w:r>
          </w:p>
        </w:tc>
      </w:tr>
      <w:tr>
        <w:trPr>
          <w:trHeight w:val="188"/>
        </w:trPr>
        <w:tc>
          <w:tcPr>
            <w:tcW w:w="6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jc w:val="center"/>
              <w:ind w:right="255"/>
              <w:spacing w:after="0"/>
              <w:rPr>
                <w:sz w:val="20"/>
                <w:szCs w:val="20"/>
                <w:color w:val="auto"/>
              </w:rPr>
            </w:pPr>
            <w:r>
              <w:rPr>
                <w:rFonts w:ascii="Arial" w:cs="Arial" w:eastAsia="Arial" w:hAnsi="Arial"/>
                <w:sz w:val="14"/>
                <w:szCs w:val="14"/>
                <w:color w:val="auto"/>
                <w:w w:val="95"/>
              </w:rPr>
              <w:t>(Level 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2"/>
          </w:tcPr>
          <w:p>
            <w:pPr>
              <w:jc w:val="center"/>
              <w:ind w:right="990"/>
              <w:spacing w:after="0"/>
              <w:rPr>
                <w:sz w:val="20"/>
                <w:szCs w:val="20"/>
                <w:color w:val="auto"/>
              </w:rPr>
            </w:pPr>
            <w:r>
              <w:rPr>
                <w:rFonts w:ascii="Arial" w:cs="Arial" w:eastAsia="Arial" w:hAnsi="Arial"/>
                <w:sz w:val="14"/>
                <w:szCs w:val="14"/>
                <w:color w:val="auto"/>
                <w:w w:val="95"/>
              </w:rPr>
              <w:t>(Level 3)</w:t>
            </w:r>
          </w:p>
        </w:tc>
      </w:tr>
      <w:tr>
        <w:trPr>
          <w:trHeight w:val="256"/>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August 31, 2016</w:t>
            </w: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36,618</w:t>
            </w:r>
          </w:p>
        </w:tc>
        <w:tc>
          <w:tcPr>
            <w:tcW w:w="520" w:type="dxa"/>
            <w:vAlign w:val="bottom"/>
          </w:tcPr>
          <w:p>
            <w:pPr>
              <w:spacing w:after="0"/>
              <w:rPr>
                <w:sz w:val="22"/>
                <w:szCs w:val="22"/>
                <w:color w:val="auto"/>
              </w:rPr>
            </w:pP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Total gains or losses (realized/unrealized):</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5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Change in present value of 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(15,951)</w:t>
            </w:r>
          </w:p>
        </w:tc>
        <w:tc>
          <w:tcPr>
            <w:tcW w:w="52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rPr>
              <w:t>Included in other comprehensive income (loss)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r>
      <w:tr>
        <w:trPr>
          <w:trHeight w:val="27"/>
        </w:trPr>
        <w:tc>
          <w:tcPr>
            <w:tcW w:w="60" w:type="dxa"/>
            <w:vAlign w:val="bottom"/>
          </w:tcPr>
          <w:p>
            <w:pPr>
              <w:spacing w:after="0"/>
              <w:rPr>
                <w:sz w:val="2"/>
                <w:szCs w:val="2"/>
                <w:color w:val="auto"/>
              </w:rPr>
            </w:pPr>
          </w:p>
        </w:tc>
        <w:tc>
          <w:tcPr>
            <w:tcW w:w="5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Currency gain (loss) from remeasurement</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52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rPr>
              <w:t>Proceeds from sale or maturity of marketable securities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r>
      <w:tr>
        <w:trPr>
          <w:trHeight w:val="27"/>
        </w:trPr>
        <w:tc>
          <w:tcPr>
            <w:tcW w:w="60" w:type="dxa"/>
            <w:vAlign w:val="bottom"/>
          </w:tcPr>
          <w:p>
            <w:pPr>
              <w:spacing w:after="0"/>
              <w:rPr>
                <w:sz w:val="2"/>
                <w:szCs w:val="2"/>
                <w:color w:val="auto"/>
              </w:rPr>
            </w:pPr>
          </w:p>
        </w:tc>
        <w:tc>
          <w:tcPr>
            <w:tcW w:w="5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60" w:type="dxa"/>
            <w:vAlign w:val="bottom"/>
            <w:tcBorders>
              <w:bottom w:val="single" w:sz="8" w:color="CCEEFF"/>
            </w:tcBorders>
            <w:shd w:val="clear" w:color="auto" w:fill="CCEEFF"/>
          </w:tcPr>
          <w:p>
            <w:pPr>
              <w:spacing w:after="0"/>
              <w:rPr>
                <w:sz w:val="23"/>
                <w:szCs w:val="23"/>
                <w:color w:val="auto"/>
              </w:rPr>
            </w:pPr>
          </w:p>
        </w:tc>
        <w:tc>
          <w:tcPr>
            <w:tcW w:w="59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Contingent consideration payments</w:t>
            </w: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520" w:type="dxa"/>
            <w:vAlign w:val="bottom"/>
          </w:tcPr>
          <w:p>
            <w:pPr>
              <w:spacing w:after="0"/>
              <w:rPr>
                <w:sz w:val="23"/>
                <w:szCs w:val="23"/>
                <w:color w:val="auto"/>
              </w:rPr>
            </w:pPr>
          </w:p>
        </w:tc>
      </w:tr>
      <w:tr>
        <w:trPr>
          <w:trHeight w:val="237"/>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Balance, November 30, 2016</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12,513</w:t>
            </w:r>
          </w:p>
        </w:tc>
        <w:tc>
          <w:tcPr>
            <w:tcW w:w="52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5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520" w:type="dxa"/>
            <w:vAlign w:val="bottom"/>
          </w:tcPr>
          <w:p>
            <w:pPr>
              <w:spacing w:after="0"/>
              <w:rPr>
                <w:sz w:val="2"/>
                <w:szCs w:val="2"/>
                <w:color w:val="auto"/>
              </w:rPr>
            </w:pPr>
          </w:p>
        </w:tc>
      </w:tr>
      <w:tr>
        <w:trPr>
          <w:trHeight w:val="20"/>
        </w:trPr>
        <w:tc>
          <w:tcPr>
            <w:tcW w:w="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596"/>
        </w:trPr>
        <w:tc>
          <w:tcPr>
            <w:tcW w:w="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8"/>
          </w:tcPr>
          <w:p>
            <w:pPr>
              <w:jc w:val="right"/>
              <w:ind w:right="1910"/>
              <w:spacing w:after="0"/>
              <w:rPr>
                <w:sz w:val="20"/>
                <w:szCs w:val="20"/>
                <w:color w:val="auto"/>
              </w:rPr>
            </w:pPr>
            <w:r>
              <w:rPr>
                <w:rFonts w:ascii="Arial" w:cs="Arial" w:eastAsia="Arial" w:hAnsi="Arial"/>
                <w:sz w:val="14"/>
                <w:szCs w:val="14"/>
                <w:color w:val="auto"/>
                <w:w w:val="96"/>
              </w:rPr>
              <w:t>Six Months Ended</w:t>
            </w:r>
          </w:p>
        </w:tc>
      </w:tr>
      <w:tr>
        <w:trPr>
          <w:trHeight w:val="264"/>
        </w:trPr>
        <w:tc>
          <w:tcPr>
            <w:tcW w:w="6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center"/>
              <w:ind w:left="315"/>
              <w:spacing w:after="0"/>
              <w:rPr>
                <w:sz w:val="20"/>
                <w:szCs w:val="20"/>
                <w:color w:val="auto"/>
              </w:rPr>
            </w:pPr>
            <w:r>
              <w:rPr>
                <w:rFonts w:ascii="Arial" w:cs="Arial" w:eastAsia="Arial" w:hAnsi="Arial"/>
                <w:sz w:val="14"/>
                <w:szCs w:val="14"/>
                <w:color w:val="auto"/>
                <w:w w:val="92"/>
              </w:rPr>
              <w:t>Financial Assets</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4"/>
                <w:szCs w:val="14"/>
                <w:color w:val="auto"/>
                <w:w w:val="97"/>
              </w:rPr>
              <w:t>Financial Liabilities</w:t>
            </w:r>
          </w:p>
        </w:tc>
      </w:tr>
      <w:tr>
        <w:trPr>
          <w:trHeight w:val="228"/>
        </w:trPr>
        <w:tc>
          <w:tcPr>
            <w:tcW w:w="6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gridSpan w:val="4"/>
          </w:tcPr>
          <w:p>
            <w:pPr>
              <w:jc w:val="center"/>
              <w:spacing w:after="0"/>
              <w:rPr>
                <w:sz w:val="20"/>
                <w:szCs w:val="20"/>
                <w:color w:val="auto"/>
              </w:rPr>
            </w:pPr>
            <w:r>
              <w:rPr>
                <w:rFonts w:ascii="Arial" w:cs="Arial" w:eastAsia="Arial" w:hAnsi="Arial"/>
                <w:sz w:val="18"/>
                <w:szCs w:val="18"/>
                <w:color w:val="auto"/>
                <w:w w:val="88"/>
              </w:rPr>
              <w:t>Fair Value Measurements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gridSpan w:val="2"/>
          </w:tcPr>
          <w:p>
            <w:pPr>
              <w:jc w:val="center"/>
              <w:ind w:right="50"/>
              <w:spacing w:after="0"/>
              <w:rPr>
                <w:sz w:val="20"/>
                <w:szCs w:val="20"/>
                <w:color w:val="auto"/>
              </w:rPr>
            </w:pPr>
            <w:r>
              <w:rPr>
                <w:rFonts w:ascii="Arial" w:cs="Arial" w:eastAsia="Arial" w:hAnsi="Arial"/>
                <w:sz w:val="18"/>
                <w:szCs w:val="18"/>
                <w:color w:val="auto"/>
                <w:w w:val="88"/>
              </w:rPr>
              <w:t>Fair Value Measurements</w:t>
            </w:r>
          </w:p>
        </w:tc>
      </w:tr>
      <w:tr>
        <w:trPr>
          <w:trHeight w:val="216"/>
        </w:trPr>
        <w:tc>
          <w:tcPr>
            <w:tcW w:w="6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jc w:val="center"/>
              <w:ind w:left="315"/>
              <w:spacing w:after="0"/>
              <w:rPr>
                <w:sz w:val="20"/>
                <w:szCs w:val="20"/>
                <w:color w:val="auto"/>
              </w:rPr>
            </w:pPr>
            <w:r>
              <w:rPr>
                <w:rFonts w:ascii="Arial" w:cs="Arial" w:eastAsia="Arial" w:hAnsi="Arial"/>
                <w:sz w:val="18"/>
                <w:szCs w:val="18"/>
                <w:color w:val="auto"/>
                <w:w w:val="93"/>
              </w:rPr>
              <w:t>Using Significant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jc w:val="center"/>
              <w:ind w:right="50"/>
              <w:spacing w:after="0"/>
              <w:rPr>
                <w:sz w:val="20"/>
                <w:szCs w:val="20"/>
                <w:color w:val="auto"/>
              </w:rPr>
            </w:pPr>
            <w:r>
              <w:rPr>
                <w:rFonts w:ascii="Arial" w:cs="Arial" w:eastAsia="Arial" w:hAnsi="Arial"/>
                <w:sz w:val="18"/>
                <w:szCs w:val="18"/>
                <w:color w:val="auto"/>
                <w:w w:val="93"/>
              </w:rPr>
              <w:t>Using Significant</w:t>
            </w:r>
          </w:p>
        </w:tc>
      </w:tr>
      <w:tr>
        <w:trPr>
          <w:trHeight w:val="212"/>
        </w:trPr>
        <w:tc>
          <w:tcPr>
            <w:tcW w:w="6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4"/>
          </w:tcPr>
          <w:p>
            <w:pPr>
              <w:jc w:val="center"/>
              <w:spacing w:after="0"/>
              <w:rPr>
                <w:sz w:val="20"/>
                <w:szCs w:val="20"/>
                <w:color w:val="auto"/>
              </w:rPr>
            </w:pPr>
            <w:r>
              <w:rPr>
                <w:rFonts w:ascii="Arial" w:cs="Arial" w:eastAsia="Arial" w:hAnsi="Arial"/>
                <w:sz w:val="18"/>
                <w:szCs w:val="18"/>
                <w:color w:val="auto"/>
                <w:w w:val="90"/>
              </w:rPr>
              <w:t>Unobservable Inputs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jc w:val="center"/>
              <w:ind w:right="50"/>
              <w:spacing w:after="0"/>
              <w:rPr>
                <w:sz w:val="20"/>
                <w:szCs w:val="20"/>
                <w:color w:val="auto"/>
              </w:rPr>
            </w:pPr>
            <w:r>
              <w:rPr>
                <w:rFonts w:ascii="Arial" w:cs="Arial" w:eastAsia="Arial" w:hAnsi="Arial"/>
                <w:sz w:val="18"/>
                <w:szCs w:val="18"/>
                <w:color w:val="auto"/>
                <w:w w:val="90"/>
              </w:rPr>
              <w:t>Unobservable Inputs</w:t>
            </w:r>
          </w:p>
        </w:tc>
      </w:tr>
      <w:tr>
        <w:trPr>
          <w:trHeight w:val="188"/>
        </w:trPr>
        <w:tc>
          <w:tcPr>
            <w:tcW w:w="6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jc w:val="center"/>
              <w:ind w:left="315"/>
              <w:spacing w:after="0"/>
              <w:rPr>
                <w:sz w:val="20"/>
                <w:szCs w:val="20"/>
                <w:color w:val="auto"/>
              </w:rPr>
            </w:pPr>
            <w:r>
              <w:rPr>
                <w:rFonts w:ascii="Arial" w:cs="Arial" w:eastAsia="Arial" w:hAnsi="Arial"/>
                <w:sz w:val="14"/>
                <w:szCs w:val="14"/>
                <w:color w:val="auto"/>
                <w:w w:val="99"/>
              </w:rPr>
              <w:t>(Level 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2"/>
          </w:tcPr>
          <w:p>
            <w:pPr>
              <w:jc w:val="center"/>
              <w:ind w:right="50"/>
              <w:spacing w:after="0"/>
              <w:rPr>
                <w:sz w:val="20"/>
                <w:szCs w:val="20"/>
                <w:color w:val="auto"/>
              </w:rPr>
            </w:pPr>
            <w:r>
              <w:rPr>
                <w:rFonts w:ascii="Arial" w:cs="Arial" w:eastAsia="Arial" w:hAnsi="Arial"/>
                <w:sz w:val="14"/>
                <w:szCs w:val="14"/>
                <w:color w:val="auto"/>
                <w:w w:val="99"/>
              </w:rPr>
              <w:t>(Level 3)</w:t>
            </w:r>
          </w:p>
        </w:tc>
      </w:tr>
      <w:tr>
        <w:trPr>
          <w:trHeight w:val="256"/>
        </w:trPr>
        <w:tc>
          <w:tcPr>
            <w:tcW w:w="60" w:type="dxa"/>
            <w:vAlign w:val="bottom"/>
          </w:tcPr>
          <w:p>
            <w:pPr>
              <w:spacing w:after="0"/>
              <w:rPr>
                <w:sz w:val="22"/>
                <w:szCs w:val="22"/>
                <w:color w:val="auto"/>
              </w:rPr>
            </w:pPr>
          </w:p>
        </w:tc>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May 31, 2016</w:t>
            </w: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1,653</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38,275</w:t>
            </w:r>
          </w:p>
        </w:tc>
      </w:tr>
      <w:tr>
        <w:trPr>
          <w:trHeight w:val="243"/>
        </w:trPr>
        <w:tc>
          <w:tcPr>
            <w:tcW w:w="60" w:type="dxa"/>
            <w:vAlign w:val="bottom"/>
          </w:tcPr>
          <w:p>
            <w:pPr>
              <w:spacing w:after="0"/>
              <w:rPr>
                <w:sz w:val="21"/>
                <w:szCs w:val="21"/>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Total gains or losses (realized/unrealized):</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5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present value of 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(15,508)</w:t>
            </w:r>
          </w:p>
        </w:tc>
      </w:tr>
      <w:tr>
        <w:trPr>
          <w:trHeight w:val="243"/>
        </w:trPr>
        <w:tc>
          <w:tcPr>
            <w:tcW w:w="60" w:type="dxa"/>
            <w:vAlign w:val="bottom"/>
          </w:tcPr>
          <w:p>
            <w:pPr>
              <w:spacing w:after="0"/>
              <w:rPr>
                <w:sz w:val="21"/>
                <w:szCs w:val="21"/>
                <w:color w:val="auto"/>
              </w:rPr>
            </w:pPr>
          </w:p>
        </w:tc>
        <w:tc>
          <w:tcPr>
            <w:tcW w:w="5900" w:type="dxa"/>
            <w:vAlign w:val="bottom"/>
          </w:tcPr>
          <w:p>
            <w:pPr>
              <w:ind w:left="380"/>
              <w:spacing w:after="0"/>
              <w:rPr>
                <w:sz w:val="20"/>
                <w:szCs w:val="20"/>
                <w:color w:val="auto"/>
              </w:rPr>
            </w:pPr>
            <w:r>
              <w:rPr>
                <w:rFonts w:ascii="Arial" w:cs="Arial" w:eastAsia="Arial" w:hAnsi="Arial"/>
                <w:sz w:val="18"/>
                <w:szCs w:val="18"/>
                <w:color w:val="auto"/>
              </w:rPr>
              <w:t>Currency gain (loss) from remeasurement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(154)</w:t>
            </w:r>
          </w:p>
        </w:tc>
      </w:tr>
      <w:tr>
        <w:trPr>
          <w:trHeight w:val="27"/>
        </w:trPr>
        <w:tc>
          <w:tcPr>
            <w:tcW w:w="60" w:type="dxa"/>
            <w:vAlign w:val="bottom"/>
          </w:tcPr>
          <w:p>
            <w:pPr>
              <w:spacing w:after="0"/>
              <w:rPr>
                <w:sz w:val="2"/>
                <w:szCs w:val="2"/>
                <w:color w:val="auto"/>
              </w:rPr>
            </w:pPr>
          </w:p>
        </w:tc>
        <w:tc>
          <w:tcPr>
            <w:tcW w:w="5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or maturity of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0" w:type="dxa"/>
            <w:vAlign w:val="bottom"/>
          </w:tcPr>
          <w:p>
            <w:pPr>
              <w:spacing w:after="0"/>
              <w:rPr>
                <w:sz w:val="21"/>
                <w:szCs w:val="21"/>
                <w:color w:val="auto"/>
              </w:rPr>
            </w:pPr>
          </w:p>
        </w:tc>
        <w:tc>
          <w:tcPr>
            <w:tcW w:w="5900" w:type="dxa"/>
            <w:vAlign w:val="bottom"/>
          </w:tcPr>
          <w:p>
            <w:pPr>
              <w:ind w:left="380"/>
              <w:spacing w:after="0"/>
              <w:rPr>
                <w:sz w:val="20"/>
                <w:szCs w:val="20"/>
                <w:color w:val="auto"/>
              </w:rPr>
            </w:pPr>
            <w:r>
              <w:rPr>
                <w:rFonts w:ascii="Arial" w:cs="Arial" w:eastAsia="Arial" w:hAnsi="Arial"/>
                <w:sz w:val="18"/>
                <w:szCs w:val="18"/>
                <w:color w:val="auto"/>
              </w:rPr>
              <w:t>Contingent consideration payments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(10,100)</w:t>
            </w:r>
          </w:p>
        </w:tc>
      </w:tr>
      <w:tr>
        <w:trPr>
          <w:trHeight w:val="27"/>
        </w:trPr>
        <w:tc>
          <w:tcPr>
            <w:tcW w:w="60" w:type="dxa"/>
            <w:vAlign w:val="bottom"/>
          </w:tcPr>
          <w:p>
            <w:pPr>
              <w:spacing w:after="0"/>
              <w:rPr>
                <w:sz w:val="2"/>
                <w:szCs w:val="2"/>
                <w:color w:val="auto"/>
              </w:rPr>
            </w:pPr>
          </w:p>
        </w:tc>
        <w:tc>
          <w:tcPr>
            <w:tcW w:w="59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2"/>
          </w:tcPr>
          <w:p>
            <w:pPr>
              <w:spacing w:after="0"/>
              <w:rPr>
                <w:sz w:val="2"/>
                <w:szCs w:val="2"/>
                <w:color w:val="auto"/>
              </w:rPr>
            </w:pPr>
          </w:p>
        </w:tc>
      </w:tr>
      <w:tr>
        <w:trPr>
          <w:trHeight w:val="269"/>
        </w:trPr>
        <w:tc>
          <w:tcPr>
            <w:tcW w:w="60" w:type="dxa"/>
            <w:vAlign w:val="bottom"/>
          </w:tcPr>
          <w:p>
            <w:pPr>
              <w:spacing w:after="0"/>
              <w:rPr>
                <w:sz w:val="22"/>
                <w:szCs w:val="22"/>
                <w:color w:val="auto"/>
              </w:rPr>
            </w:pPr>
          </w:p>
        </w:tc>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November 30, 2016</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1,203</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12,513</w:t>
            </w:r>
          </w:p>
        </w:tc>
      </w:tr>
      <w:tr>
        <w:trPr>
          <w:trHeight w:val="20"/>
        </w:trPr>
        <w:tc>
          <w:tcPr>
            <w:tcW w:w="60" w:type="dxa"/>
            <w:vAlign w:val="bottom"/>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During the second quarter of fiscal year 2017, the Company made the decision to discontinue their investment in the TiLo product that was acquired in August 2013 as part of the Clinical Devices acquisition. This decision resulted in the write-off of the acquired In-process research and development (IPR&amp;D) of $3.6 million along with a $3.1 million gain from the reduction in the fair value of contingent consideration liability associated with future milestones that will no longer be met. In addition, the Company revised the sales forecasts for the AngioVac product as a result of reviews performed by executive management across all products. The adjustments to the sales forecasts resulted in a $13.4 million gain from the reduction in the fair value of the contingent liability that is based on projected sales volume over the contractual earn out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 for Acquisition Earn Outs</w:t>
      </w:r>
    </w:p>
    <w:p>
      <w:pPr>
        <w:spacing w:after="0" w:line="12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Some of our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income.</w:t>
      </w:r>
    </w:p>
    <w:p>
      <w:pPr>
        <w:spacing w:after="0" w:line="85"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We measure the initial liability and remeasure the liability on a recurring basis using Level 3 inputs as defined under authoritative guidance for fair value measurements and is determined using a discounted cash flow model applied to projected net sales, using probabilities of achieving projected net sales and projected payment dates. Projected net sales are based on our internal projections and extensive analysis of the target market and the sales potential. Increases or decreases in any valuation inputs in isolation may result in a significantly lower or higher fair value measurement in the future. At November 30, 2016, the revenue based payments are being calculated based on our current sales forecast which is at the minimums for contingent payments.</w:t>
      </w:r>
    </w:p>
    <w:p>
      <w:pPr>
        <w:sectPr>
          <w:pgSz w:w="11900" w:h="16838" w:orient="portrait"/>
          <w:cols w:equalWidth="0" w:num="1">
            <w:col w:w="11380"/>
          </w:cols>
          <w:pgMar w:left="240" w:top="122" w:right="279" w:bottom="1440" w:gutter="0" w:footer="0" w:header="0"/>
        </w:sectPr>
      </w:pP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380"/>
          </w:cols>
          <w:pgMar w:left="240" w:top="122" w:right="27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recurring Level 3 fair value measurements of the contingent consideration liabilities include the following significant unobservable inputs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2016 (in thousands of dollars):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 at</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Valuation</w:t>
            </w: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Nov 30, 2016</w:t>
            </w:r>
          </w:p>
        </w:tc>
        <w:tc>
          <w:tcPr>
            <w:tcW w:w="120" w:type="dxa"/>
            <w:vAlign w:val="bottom"/>
            <w:vMerge w:val="restart"/>
          </w:tcPr>
          <w:p>
            <w:pPr>
              <w:spacing w:after="0"/>
              <w:rPr>
                <w:sz w:val="2"/>
                <w:szCs w:val="2"/>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Technique</w:t>
            </w:r>
          </w:p>
        </w:tc>
        <w:tc>
          <w:tcPr>
            <w:tcW w:w="120" w:type="dxa"/>
            <w:vAlign w:val="bottom"/>
            <w:vMerge w:val="restart"/>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20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Unobservable Input</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based payments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12,513</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3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Probability of achieving sales</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Projected fiscal year of payment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2017 - 2019</w:t>
            </w:r>
          </w:p>
        </w:tc>
        <w:tc>
          <w:tcPr>
            <w:tcW w:w="0" w:type="dxa"/>
            <w:vAlign w:val="bottom"/>
          </w:tcPr>
          <w:p>
            <w:pPr>
              <w:spacing w:after="0"/>
              <w:rPr>
                <w:sz w:val="1"/>
                <w:szCs w:val="1"/>
                <w:color w:val="auto"/>
              </w:rPr>
            </w:pPr>
          </w:p>
        </w:tc>
      </w:tr>
      <w:tr>
        <w:trPr>
          <w:trHeight w:val="27"/>
        </w:trPr>
        <w:tc>
          <w:tcPr>
            <w:tcW w:w="28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432"/>
        <w:spacing w:after="0" w:line="286" w:lineRule="auto"/>
        <w:rPr>
          <w:sz w:val="20"/>
          <w:szCs w:val="20"/>
          <w:color w:val="auto"/>
        </w:rPr>
      </w:pPr>
      <w:r>
        <w:rPr>
          <w:rFonts w:ascii="Arial" w:cs="Arial" w:eastAsia="Arial" w:hAnsi="Arial"/>
          <w:sz w:val="17"/>
          <w:szCs w:val="17"/>
          <w:color w:val="auto"/>
        </w:rPr>
        <w:t>At November 30, 2016, the estimated potential amount of undiscounted future contingent consideration that we expect to pay as a result of all completed acquisitions is approximately $13.1 million. The milestones, including sales projections, associated with the contingent consideration must be reached in future periods ranging from fiscal years 2017 to 2019 in order for the associated consideration to be paid.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MARKETABLE SECURITIES</w:t>
      </w:r>
    </w:p>
    <w:p>
      <w:pPr>
        <w:spacing w:after="0" w:line="121"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Marketable securities, which can be government agency bonds, auction rate investments or corporate commercial paper, are classified as “available-for-sale securities” and are reported at fair value, with unrealized gains and losses excluded from operations and reported as accumulated other comprehensive income (loss), net of the related tax effects, in stockholders’ equity. Cost is determined using the specific identification method. We hold an investment in an auction rate security that is high credit quality and generally achieved with municipal bond insurance. Sell orders for any security traded through an auction process could exceed bids and, in such cases, the auction fails and we may be unable to liquidate our position in the security in the near term. We have not participated in any recent auctions. As of November 30, 2016 and May 31, 2016, we had $1.2 million and $1.7 million, respectively, in investments in one auction rate security. The authorities are current in their interest payments on the security. The auction rate security will mature in 2029.</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November 30, 2016 and May 31, 2016, marketable securities consisted of the following (in thousands of dollars):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Amortized</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Unrealized</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51"/>
        </w:trPr>
        <w:tc>
          <w:tcPr>
            <w:tcW w:w="6520" w:type="dxa"/>
            <w:vAlign w:val="bottom"/>
          </w:tcPr>
          <w:p>
            <w:pPr>
              <w:ind w:left="40"/>
              <w:spacing w:after="0"/>
              <w:rPr>
                <w:sz w:val="20"/>
                <w:szCs w:val="20"/>
                <w:color w:val="auto"/>
              </w:rPr>
            </w:pPr>
            <w:r>
              <w:rPr>
                <w:rFonts w:ascii="Arial" w:cs="Arial" w:eastAsia="Arial" w:hAnsi="Arial"/>
                <w:sz w:val="18"/>
                <w:szCs w:val="18"/>
                <w:color w:val="auto"/>
              </w:rPr>
              <w:t>As of November 30, 2016</w:t>
            </w:r>
          </w:p>
        </w:tc>
        <w:tc>
          <w:tcPr>
            <w:tcW w:w="16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cost</w:t>
            </w:r>
          </w:p>
        </w:tc>
        <w:tc>
          <w:tcPr>
            <w:tcW w:w="180" w:type="dxa"/>
            <w:vAlign w:val="bottom"/>
          </w:tcPr>
          <w:p>
            <w:pPr>
              <w:spacing w:after="0"/>
              <w:rPr>
                <w:sz w:val="21"/>
                <w:szCs w:val="21"/>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Losses</w:t>
            </w:r>
          </w:p>
        </w:tc>
        <w:tc>
          <w:tcPr>
            <w:tcW w:w="14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4"/>
                <w:szCs w:val="14"/>
                <w:color w:val="auto"/>
                <w:w w:val="90"/>
              </w:rPr>
              <w:t>Fair Value</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Government agency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1,203</w:t>
            </w:r>
          </w:p>
        </w:tc>
      </w:tr>
      <w:tr>
        <w:trPr>
          <w:trHeight w:val="27"/>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1,203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601"/>
        </w:trPr>
        <w:tc>
          <w:tcPr>
            <w:tcW w:w="6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Amortized</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Unrealized</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51"/>
        </w:trPr>
        <w:tc>
          <w:tcPr>
            <w:tcW w:w="6520" w:type="dxa"/>
            <w:vAlign w:val="bottom"/>
          </w:tcPr>
          <w:p>
            <w:pPr>
              <w:ind w:left="40"/>
              <w:spacing w:after="0"/>
              <w:rPr>
                <w:sz w:val="20"/>
                <w:szCs w:val="20"/>
                <w:color w:val="auto"/>
              </w:rPr>
            </w:pPr>
            <w:r>
              <w:rPr>
                <w:rFonts w:ascii="Arial" w:cs="Arial" w:eastAsia="Arial" w:hAnsi="Arial"/>
                <w:sz w:val="18"/>
                <w:szCs w:val="18"/>
                <w:color w:val="auto"/>
              </w:rPr>
              <w:t>As of May 31, 2016</w:t>
            </w:r>
          </w:p>
        </w:tc>
        <w:tc>
          <w:tcPr>
            <w:tcW w:w="16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cost</w:t>
            </w:r>
          </w:p>
        </w:tc>
        <w:tc>
          <w:tcPr>
            <w:tcW w:w="180" w:type="dxa"/>
            <w:vAlign w:val="bottom"/>
          </w:tcPr>
          <w:p>
            <w:pPr>
              <w:spacing w:after="0"/>
              <w:rPr>
                <w:sz w:val="21"/>
                <w:szCs w:val="21"/>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Losses</w:t>
            </w:r>
          </w:p>
        </w:tc>
        <w:tc>
          <w:tcPr>
            <w:tcW w:w="14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4"/>
                <w:szCs w:val="14"/>
                <w:color w:val="auto"/>
                <w:w w:val="90"/>
              </w:rPr>
              <w:t>Fair Value</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Government agency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1,653</w:t>
            </w:r>
          </w:p>
        </w:tc>
      </w:tr>
      <w:tr>
        <w:trPr>
          <w:trHeight w:val="27"/>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1,653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98"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Company is involved in various legal proceedings, including commercial, intellectual property, product liability, regulatory and environmental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v. biolitec</w:t>
      </w:r>
    </w:p>
    <w:p>
      <w:pPr>
        <w:spacing w:after="0" w:line="225" w:lineRule="exact"/>
        <w:rPr>
          <w:sz w:val="20"/>
          <w:szCs w:val="20"/>
          <w:color w:val="auto"/>
        </w:rPr>
      </w:pPr>
    </w:p>
    <w:p>
      <w:pPr>
        <w:ind w:firstLine="878"/>
        <w:spacing w:after="0" w:line="272" w:lineRule="auto"/>
        <w:rPr>
          <w:sz w:val="20"/>
          <w:szCs w:val="20"/>
          <w:color w:val="auto"/>
        </w:rPr>
      </w:pPr>
      <w:r>
        <w:rPr>
          <w:rFonts w:ascii="Arial" w:cs="Arial" w:eastAsia="Arial" w:hAnsi="Arial"/>
          <w:sz w:val="17"/>
          <w:szCs w:val="17"/>
          <w:color w:val="auto"/>
        </w:rPr>
        <w:t>On January 2, 2008, we commenced an action in the United States District Court for the Northern District of New York entitled AngioDynamics, Inc. v. biolitec, Inc. In this action, we sought judgment against biolitec for defense and indemnification in two lawsuits which we previously settled. Our claims arise out of a Supply and Distribution Agreement (“SDA”) entered into with biolitec on April 1, 2002. On September 27, 2011, the U.S. District Court granted key portions of our motion for summary judgment in our legal case against biolitec. The Court also dismissed biolitec’s counterclaims against us. The court denied one portion of our summary judgment motion, which sought to recover additional costs from biolitec, leaving this for adjudication at trial. On November 8, 2012, the Court granted partial judgment to us in the amount of $23.2 million. Biolitec appealed this judgment. On August 23, 2013, the U.S. Court of Appeals for the Second Circuit dismissed biolitec’s appeal.</w:t>
      </w:r>
    </w:p>
    <w:p>
      <w:pPr>
        <w:spacing w:after="0" w:line="178" w:lineRule="exact"/>
        <w:rPr>
          <w:sz w:val="20"/>
          <w:szCs w:val="20"/>
          <w:color w:val="auto"/>
        </w:rPr>
      </w:pPr>
    </w:p>
    <w:p>
      <w:pPr>
        <w:ind w:firstLine="878"/>
        <w:spacing w:after="0" w:line="286" w:lineRule="auto"/>
        <w:rPr>
          <w:sz w:val="20"/>
          <w:szCs w:val="20"/>
          <w:color w:val="auto"/>
        </w:rPr>
      </w:pPr>
      <w:r>
        <w:rPr>
          <w:rFonts w:ascii="Arial" w:cs="Arial" w:eastAsia="Arial" w:hAnsi="Arial"/>
          <w:sz w:val="16"/>
          <w:szCs w:val="16"/>
          <w:color w:val="auto"/>
        </w:rPr>
        <w:t>In October 2009, we commenced an action in the United States District Court for the District of Massachusetts entitled AngioDynamics, Inc. v. biolitec AG and Wolfgang Neuberger. The Complaint in this action was amended in March 2010. This action seeks to recover against biolitec, Inc.’s parent entities and CEO for tortiously interfering with biolitec, Inc.’s contractual obligation to defend and indemnify us, and also seeks to pierce the corporate veil of biolitec, Inc. and to invalidate certain alleged fraudulent transfers in order to hold biolitec, Inc.’s parent entities jointly and severally liable for the alleged breach of the SDA. On September 13, 2012, the Massachusetts Court granted our request for a preliminary injunction prohibiting the downstream merger of biolitec AG with its Austrian subsidiary. On April 1, 2013, the U.S. Court of Appeals for the First Circuit affirmed the preliminary injunction. On January 14, 2014, the District Court entered judgment in our favor as to liability. On March 18, 2014, the District Court entered judgment in our favor against Biolitec AG, Biomed Technology Holdings, Ltd., and Wolfgang Neuberger, jointly and severally, in the amount of $74.9 million. On March 11, 2015, the U.S. Court of Appeals for the First Circuit affirmed the judgment. The defendants petitioned to the U.S. Supreme Court for a writ of certiorari. The Supreme Court denied the petition on November 30, 2015. The defendants have also filed an appeal with the U.S. Court of Appeals for the First Circuit regarding civil contempt sanctions imposed by the Massachusetts District Court as a result of defendants’ completion of the downstream merger in violation of the Court’s injunction. On May 6, 2016, the First Circuit issued an opinion rejecting this latest appeal. On October 11, 2016, defendants petitioned the U.S. Supreme Court for a writ of certiorari from that decision. We opposed the petition, and the Supreme Court is expected to rule on the petition in January 2017.</w:t>
      </w:r>
    </w:p>
    <w:p>
      <w:pPr>
        <w:spacing w:after="0" w:line="175" w:lineRule="exact"/>
        <w:rPr>
          <w:sz w:val="20"/>
          <w:szCs w:val="20"/>
          <w:color w:val="auto"/>
        </w:rPr>
      </w:pPr>
    </w:p>
    <w:p>
      <w:pPr>
        <w:ind w:right="20" w:firstLine="878"/>
        <w:spacing w:after="0" w:line="276" w:lineRule="auto"/>
        <w:rPr>
          <w:sz w:val="20"/>
          <w:szCs w:val="20"/>
          <w:color w:val="auto"/>
        </w:rPr>
      </w:pPr>
      <w:r>
        <w:rPr>
          <w:rFonts w:ascii="Arial" w:cs="Arial" w:eastAsia="Arial" w:hAnsi="Arial"/>
          <w:sz w:val="17"/>
          <w:szCs w:val="17"/>
          <w:color w:val="auto"/>
        </w:rPr>
        <w:t>On February 18, 2016, the Massachusetts District Court issued an order compelling the Massachusetts defendants to provide post-judgment discovery intended to aid us in potentially collecting our judgment. On March 21, 2016, the Massachusetts defendants noticed an appeal from this order. On August 31, 2016, the First Circuit dismissed that appeal. On June 27, 2016, we filed a motion asking the Massachusetts District Court to impose sanctions on the Massachusetts defendants for their failure to comply with the post-judgment discovery order. On December 26, 2016, we filed a further motion seeking to compel defendants to provide additional post-judgment discovery.</w:t>
      </w:r>
    </w:p>
    <w:p>
      <w:pPr>
        <w:spacing w:after="0" w:line="173" w:lineRule="exact"/>
        <w:rPr>
          <w:sz w:val="20"/>
          <w:szCs w:val="20"/>
          <w:color w:val="auto"/>
        </w:rPr>
      </w:pPr>
    </w:p>
    <w:p>
      <w:pPr>
        <w:ind w:right="40" w:firstLine="878"/>
        <w:spacing w:after="0" w:line="293" w:lineRule="auto"/>
        <w:rPr>
          <w:sz w:val="20"/>
          <w:szCs w:val="20"/>
          <w:color w:val="auto"/>
        </w:rPr>
      </w:pPr>
      <w:r>
        <w:rPr>
          <w:rFonts w:ascii="Arial" w:cs="Arial" w:eastAsia="Arial" w:hAnsi="Arial"/>
          <w:sz w:val="16"/>
          <w:szCs w:val="16"/>
          <w:color w:val="auto"/>
        </w:rPr>
        <w:t>On November 13, 2014, the U.S. District Court for the District of Massachusetts issued summonses to four Biolitec entities - Biolitec U.S., Inc., Biolitec Holding U.S., Inc., Biolitec Medical Devices, Inc., and CeramOptec Industries, Inc. - pursuant to Massachusetts trustee process. We sought to use this process to attach the assets of these entities in order to satisfy our judgment. The trustee process was automatically stayed when the four Biolitec entities filed Chapter 7 petitions in the U.S. Bankruptcy Court for the District of Delaware. However, on November 3, 2015, the Delaware Bankruptcy Court granted our request to modify the automatic stay to allow us to seek a default against the four Biolitec entities pursuant to trustee process. On January 21, 2016, the four Chapter 7 cases were transferred at our request to the U.S. Bankruptcy Court for the District of New Jersey.</w:t>
      </w:r>
    </w:p>
    <w:p>
      <w:pPr>
        <w:spacing w:after="0" w:line="165" w:lineRule="exact"/>
        <w:rPr>
          <w:sz w:val="20"/>
          <w:szCs w:val="20"/>
          <w:color w:val="auto"/>
        </w:rPr>
      </w:pPr>
    </w:p>
    <w:p>
      <w:pPr>
        <w:ind w:right="40" w:firstLine="878"/>
        <w:spacing w:after="0" w:line="276" w:lineRule="auto"/>
        <w:rPr>
          <w:sz w:val="20"/>
          <w:szCs w:val="20"/>
          <w:color w:val="auto"/>
        </w:rPr>
      </w:pPr>
      <w:r>
        <w:rPr>
          <w:rFonts w:ascii="Arial" w:cs="Arial" w:eastAsia="Arial" w:hAnsi="Arial"/>
          <w:sz w:val="17"/>
          <w:szCs w:val="17"/>
          <w:color w:val="auto"/>
        </w:rPr>
        <w:t>On August 29, 2013, we became co-plaintiffs in an adversary proceeding in the United States Bankruptcy Court for the District of New Jersey entitled Cyganowski, Trustee, et al. v. Biolitec U.S., Inc., et al. In this action, we assert claims of conversion, unjust enrichment, tortious interference, and unfair competition against various biolitec entities for alleged violation of Bankruptcy Court settlement and sale orders under which we acquired certain assets of Biolitec, Inc. On September 3, 2013, we, along with our co-plaintiff, obtained a temporary restraining order against the defendants in this action. On January 22, 2015, the Bankruptcy Court entered a permanent injunction on our behalf for an additional two years.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225" w:lineRule="exact"/>
        <w:rPr>
          <w:sz w:val="20"/>
          <w:szCs w:val="20"/>
          <w:color w:val="auto"/>
        </w:rPr>
      </w:pPr>
    </w:p>
    <w:p>
      <w:pPr>
        <w:ind w:right="300" w:firstLine="878"/>
        <w:spacing w:after="0" w:line="259" w:lineRule="auto"/>
        <w:rPr>
          <w:sz w:val="20"/>
          <w:szCs w:val="20"/>
          <w:color w:val="auto"/>
        </w:rPr>
      </w:pPr>
      <w:r>
        <w:rPr>
          <w:rFonts w:ascii="Arial" w:cs="Arial" w:eastAsia="Arial" w:hAnsi="Arial"/>
          <w:sz w:val="18"/>
          <w:szCs w:val="18"/>
          <w:color w:val="auto"/>
        </w:rPr>
        <w:t>On January 11, 2012, C.R. Bard, Inc. (“Bard”) filed a suit in the United States District Court of Utah claiming certain of our implantable port products infringe on three U.S. patents held by Bard (the "Utah Action"). Bard is seeking unspecified damages and other relief. The Court denied Bard’s motion for pre-trial consolidation with separate actions it filed on the same day against Medical Components, Inc. and Smiths Medical ASD, Inc., but had asked for supplemental briefing on</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1" w:right="27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issue of whether to conduct a common Markman hearing. Meanwhile, we filed petitions for reexamination in the US Patent and Trademark Office ("PTO") which seek to invalidate all three patents asserted by Bard in the litigation. Our petitions were granted and 40 of Bard's 41 patent claims were rejected and, following further proceedings, the Patent Office issued a Final Rejection of all 40 claims subject to reexamination. Thereafter, Bard filed appeals to the PTO Board of Appeals and Interferences for all three reexams. The parties completed briefing on the appeals and oral argument was held on June 18, 2015. The Patent Office has issued decisions in the three appeals. In one (issued on March 11, 2016 for US Patent No. 7,785,302), the rejections of six of the ten claims under reexamination were affirmed, but were reversed on four of the ten claims. In the second (issued on March 24, 2016 for U.S. Patent No. 7,959,615), the rejections of eight of the ten claims under reexamination were affirmed but the rejections of the other two of the ten claims were reversed. In the third (issued on March 29 for U.S. Patent No. 7,947.022) the rejections of all twenty claims under reexamination were affirmed. Bard has since filed Requests for Rehearing in all three reexamination appeals and the Company filed Requests for Rehearing in two of the reexamination appeals (the ‘302 and ‘615 patent reexaminations). Each party has filed comments in Opposition to the other party’s Rehearing Requests, and we are awaiting the PTO determinations in all three reexaminations. The Utah Action has been stayed pending final resolution of the PTO process. We believe 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188" w:lineRule="exact"/>
        <w:rPr>
          <w:sz w:val="20"/>
          <w:szCs w:val="20"/>
          <w:color w:val="auto"/>
        </w:rPr>
      </w:pPr>
    </w:p>
    <w:p>
      <w:pPr>
        <w:ind w:firstLine="864"/>
        <w:spacing w:after="0" w:line="286" w:lineRule="auto"/>
        <w:rPr>
          <w:sz w:val="20"/>
          <w:szCs w:val="20"/>
          <w:color w:val="auto"/>
        </w:rPr>
      </w:pPr>
      <w:r>
        <w:rPr>
          <w:rFonts w:ascii="Arial" w:cs="Arial" w:eastAsia="Arial" w:hAnsi="Arial"/>
          <w:sz w:val="16"/>
          <w:szCs w:val="16"/>
          <w:color w:val="auto"/>
        </w:rPr>
        <w:t>On March 10, 2015, C.R. Bard, Inc. and Bard Peripheral Vascular, Inc. (“Bard”) filed suit in the United States District Court for the District of Delaware claiming certain of our implantable port products infringe on three U.S. patents held by Bard (the “Delaware Action). Bard is seeking unspecified damages and other relief. The patents asserted in the Delaware Action are different than those asserted in the Utah Action. On June 1, 2015, we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 On January 12, 2016, the court issued a decision denying both motions. We have since served an Answer and Counterclaim to which Bard has served a Reply. On March 10, 2016, the Court held a case management conference, and, on March 14, 2016, the court entered a Scheduling Order which set, inter alia, a Markman hearing for March 10, 2017, a summary judgment hearing for December 8, 2017 and trial for March 12, 2018. The parties have since served various discovery requests on each other, and have been producing documents to each other; on May 27, 2016 Bard served its Infringement Contentions which identified all the port products accused of infringement; and, on June 24, 2016, we served Invalidity Contentions which detail various grounds for invalidating the three asserted patents. The parties are in the midst of exchanging briefs in advance of the March 10, 2017 Markman hearing. We believe 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Governmental Investigations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 Beads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June 2014 we received a subpoena from the U.S. Department of Justice (the “DOJ”) requesting documents in relation to a criminal and civil investigation the DOJ is conducting regarding BTG International, Inc.’s LC Bead® product beginning in 2003. RITA Medical Systems and AngioDynamics, Inc., after its acquisition of RITA, was the exclusive distributor of LC Beads in the United States from 2006 through December 31, 2011. We are cooperating fully with this investigation and at this time are unable to predict its scope, duration or outcome. We are unable at this time to reasonably estimate the amount or range of any loss, although it is possible that the amount of such loss could be material. In accordance with ASC 450, "Contingencies," or "ASC 450," no amount in respect of any potential liability in this matter, including for penalties, fines or other sanctions, has been accrued in the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EVLT</w:t>
      </w:r>
    </w:p>
    <w:p>
      <w:pPr>
        <w:spacing w:after="0" w:line="225" w:lineRule="exact"/>
        <w:rPr>
          <w:sz w:val="20"/>
          <w:szCs w:val="20"/>
          <w:color w:val="auto"/>
        </w:rPr>
      </w:pPr>
    </w:p>
    <w:p>
      <w:pPr>
        <w:ind w:right="280" w:firstLine="648"/>
        <w:spacing w:after="0" w:line="297" w:lineRule="auto"/>
        <w:rPr>
          <w:sz w:val="20"/>
          <w:szCs w:val="20"/>
          <w:color w:val="auto"/>
        </w:rPr>
      </w:pPr>
      <w:r>
        <w:rPr>
          <w:rFonts w:ascii="Arial" w:cs="Arial" w:eastAsia="Arial" w:hAnsi="Arial"/>
          <w:sz w:val="16"/>
          <w:szCs w:val="16"/>
          <w:color w:val="auto"/>
        </w:rPr>
        <w:t>In April 2015 we received a subpoena from the DOJ requesting documents in relation to a criminal and civil investigation the DOJ is conducting regarding purported promotion of certain of AngioDynamics’ VenaCure EVLT products for un-cleared indications. We are cooperating fully with this investigation and at this time are unable to predict its scope, duration or outcome. We are unable at this time to reasonably estimate the amount or range of any loss, although it is possible that the amount of such loss could be material. In accordance with ASC 450, Contingencies, no amount in respect of any potential liability in this matter, including for penalties, fines or other sanctions, has been accrued in the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ACQUISITION, RESTRUCTURING, AND OTHER ITEMS, NET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the three months and six months ended November 30, 2016 and November 30, 2015 acquisition, restructuring and other items, net consisted of:</w:t>
      </w:r>
    </w:p>
    <w:p>
      <w:pPr>
        <w:sectPr>
          <w:pgSz w:w="11900" w:h="16838" w:orient="portrait"/>
          <w:cols w:equalWidth="0" w:num="1">
            <w:col w:w="11400"/>
          </w:cols>
          <w:pgMar w:left="240" w:top="121" w:right="259" w:bottom="1440" w:gutter="0" w:footer="0" w:header="0"/>
        </w:sectPr>
      </w:pPr>
    </w:p>
    <w:p>
      <w:pPr>
        <w:spacing w:after="0" w:line="365" w:lineRule="exact"/>
        <w:rPr>
          <w:sz w:val="20"/>
          <w:szCs w:val="20"/>
          <w:color w:val="auto"/>
        </w:rPr>
      </w:pPr>
    </w:p>
    <w:p>
      <w:pPr>
        <w:jc w:val="center"/>
        <w:ind w:left="2040"/>
        <w:spacing w:after="0"/>
        <w:rPr>
          <w:sz w:val="20"/>
          <w:szCs w:val="20"/>
          <w:color w:val="auto"/>
        </w:rPr>
      </w:pPr>
      <w:r>
        <w:rPr>
          <w:rFonts w:ascii="Arial" w:cs="Arial" w:eastAsia="Arial" w:hAnsi="Arial"/>
          <w:sz w:val="14"/>
          <w:szCs w:val="14"/>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20955</wp:posOffset>
            </wp:positionV>
            <wp:extent cx="27616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03" w:lineRule="exact"/>
        <w:rPr>
          <w:sz w:val="20"/>
          <w:szCs w:val="20"/>
          <w:color w:val="auto"/>
        </w:rPr>
      </w:pPr>
    </w:p>
    <w:p>
      <w:pPr>
        <w:ind w:left="2840"/>
        <w:spacing w:after="0"/>
        <w:tabs>
          <w:tab w:leader="none" w:pos="5120" w:val="left"/>
        </w:tabs>
        <w:rPr>
          <w:sz w:val="20"/>
          <w:szCs w:val="20"/>
          <w:color w:val="auto"/>
        </w:rPr>
      </w:pPr>
      <w:r>
        <w:rPr>
          <w:rFonts w:ascii="Arial" w:cs="Arial" w:eastAsia="Arial" w:hAnsi="Arial"/>
          <w:sz w:val="14"/>
          <w:szCs w:val="14"/>
          <w:color w:val="auto"/>
        </w:rPr>
        <w:t>Nov 30, 2016</w:t>
      </w:r>
      <w:r>
        <w:rPr>
          <w:sz w:val="20"/>
          <w:szCs w:val="20"/>
          <w:color w:val="auto"/>
        </w:rPr>
        <w:tab/>
      </w:r>
      <w:r>
        <w:rPr>
          <w:rFonts w:ascii="Arial" w:cs="Arial" w:eastAsia="Arial" w:hAnsi="Arial"/>
          <w:sz w:val="13"/>
          <w:szCs w:val="13"/>
          <w:color w:val="auto"/>
        </w:rPr>
        <w:t>Nov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20955</wp:posOffset>
            </wp:positionV>
            <wp:extent cx="2761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89"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center"/>
        <w:ind w:right="660"/>
        <w:spacing w:after="0"/>
        <w:rPr>
          <w:sz w:val="20"/>
          <w:szCs w:val="20"/>
          <w:color w:val="auto"/>
        </w:rPr>
      </w:pPr>
      <w:r>
        <w:rPr>
          <w:rFonts w:ascii="Arial" w:cs="Arial" w:eastAsia="Arial" w:hAnsi="Arial"/>
          <w:sz w:val="14"/>
          <w:szCs w:val="14"/>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20955</wp:posOffset>
            </wp:positionV>
            <wp:extent cx="2941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103" w:lineRule="exact"/>
        <w:rPr>
          <w:sz w:val="20"/>
          <w:szCs w:val="20"/>
          <w:color w:val="auto"/>
        </w:rPr>
      </w:pPr>
    </w:p>
    <w:p>
      <w:pPr>
        <w:spacing w:after="0"/>
        <w:tabs>
          <w:tab w:leader="none" w:pos="2460" w:val="left"/>
        </w:tabs>
        <w:rPr>
          <w:sz w:val="20"/>
          <w:szCs w:val="20"/>
          <w:color w:val="auto"/>
        </w:rPr>
      </w:pPr>
      <w:r>
        <w:rPr>
          <w:rFonts w:ascii="Arial" w:cs="Arial" w:eastAsia="Arial" w:hAnsi="Arial"/>
          <w:sz w:val="14"/>
          <w:szCs w:val="14"/>
          <w:color w:val="auto"/>
        </w:rPr>
        <w:t>Nov 30, 2016</w:t>
      </w:r>
      <w:r>
        <w:rPr>
          <w:sz w:val="20"/>
          <w:szCs w:val="20"/>
          <w:color w:val="auto"/>
        </w:rPr>
        <w:tab/>
      </w:r>
      <w:r>
        <w:rPr>
          <w:rFonts w:ascii="Arial" w:cs="Arial" w:eastAsia="Arial" w:hAnsi="Arial"/>
          <w:sz w:val="13"/>
          <w:szCs w:val="13"/>
          <w:color w:val="auto"/>
        </w:rPr>
        <w:t>Nov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20955</wp:posOffset>
            </wp:positionV>
            <wp:extent cx="2941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8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(in thousands)</w:t>
      </w:r>
    </w:p>
    <w:p>
      <w:pPr>
        <w:spacing w:after="0" w:line="21" w:lineRule="exact"/>
        <w:rPr>
          <w:sz w:val="20"/>
          <w:szCs w:val="20"/>
          <w:color w:val="auto"/>
        </w:rPr>
      </w:pPr>
    </w:p>
    <w:p>
      <w:pPr>
        <w:sectPr>
          <w:pgSz w:w="11900" w:h="16838" w:orient="portrait"/>
          <w:cols w:equalWidth="0" w:num="2">
            <w:col w:w="6720" w:space="720"/>
            <w:col w:w="3960"/>
          </w:cols>
          <w:pgMar w:left="240" w:top="121" w:right="259" w:bottom="1440" w:gutter="0" w:footer="0" w:header="0"/>
          <w:type w:val="continuous"/>
        </w:sectPr>
      </w:pPr>
    </w:p>
    <w:tbl>
      <w:tblPr>
        <w:tblLayout w:type="fixed"/>
        <w:tblInd w:w="40" w:type="dxa"/>
        <w:tblCellMar>
          <w:top w:w="0" w:type="dxa"/>
          <w:left w:w="0" w:type="dxa"/>
          <w:bottom w:w="0" w:type="dxa"/>
          <w:right w:w="0" w:type="dxa"/>
        </w:tblCellMar>
      </w:tblPr>
      <w:tr>
        <w:trPr>
          <w:trHeight w:val="256"/>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Legal</w:t>
            </w:r>
          </w:p>
        </w:tc>
        <w:tc>
          <w:tcPr>
            <w:tcW w:w="840" w:type="dxa"/>
            <w:vAlign w:val="bottom"/>
            <w:tcBorders>
              <w:top w:val="single" w:sz="8" w:color="auto"/>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1,844</w:t>
            </w: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1,363</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3,635</w:t>
            </w:r>
          </w:p>
        </w:tc>
        <w:tc>
          <w:tcPr>
            <w:tcW w:w="340" w:type="dxa"/>
            <w:vAlign w:val="bottom"/>
            <w:tcBorders>
              <w:top w:val="single" w:sz="8" w:color="auto"/>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2,632</w:t>
            </w:r>
          </w:p>
        </w:tc>
      </w:tr>
      <w:tr>
        <w:trPr>
          <w:trHeight w:val="243"/>
        </w:trPr>
        <w:tc>
          <w:tcPr>
            <w:tcW w:w="2160" w:type="dxa"/>
            <w:vAlign w:val="bottom"/>
          </w:tcPr>
          <w:p>
            <w:pPr>
              <w:ind w:left="20"/>
              <w:spacing w:after="0"/>
              <w:rPr>
                <w:sz w:val="20"/>
                <w:szCs w:val="20"/>
                <w:color w:val="auto"/>
              </w:rPr>
            </w:pPr>
            <w:r>
              <w:rPr>
                <w:rFonts w:ascii="Arial" w:cs="Arial" w:eastAsia="Arial" w:hAnsi="Arial"/>
                <w:sz w:val="18"/>
                <w:szCs w:val="18"/>
                <w:color w:val="auto"/>
              </w:rPr>
              <w:t>Intangible impairment</w:t>
            </w:r>
          </w:p>
        </w:tc>
        <w:tc>
          <w:tcPr>
            <w:tcW w:w="8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3,600</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384</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3,600</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384</w:t>
            </w:r>
          </w:p>
        </w:tc>
      </w:tr>
      <w:tr>
        <w:trPr>
          <w:trHeight w:val="27"/>
        </w:trPr>
        <w:tc>
          <w:tcPr>
            <w:tcW w:w="2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 write-off</w:t>
            </w:r>
          </w:p>
        </w:tc>
        <w:tc>
          <w:tcPr>
            <w:tcW w:w="8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2,000</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160" w:type="dxa"/>
            <w:vAlign w:val="bottom"/>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417</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2,166</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1,043</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3,040</w:t>
            </w:r>
          </w:p>
        </w:tc>
      </w:tr>
      <w:tr>
        <w:trPr>
          <w:trHeight w:val="27"/>
        </w:trPr>
        <w:tc>
          <w:tcPr>
            <w:tcW w:w="21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2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7,861</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3,913</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10,278</w:t>
            </w: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6,056</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RECENTLY ISSUED ACCOUNTING PRONOUNCEMENTS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April 2015, the Financial Accounting Standards Board ("FASB") issued ASC Update No. 2015-03, Interest-Imputation of Interest (Subtopic 835-30): Simplifying the Presentation of Debt Issuance Costs. Update No. 2015-03 requires debt issuance costs related to a recognized debt liability to be presented in the balance sheet as a direct deduction from the carrying amount of that debt liability, consistent with debt discounts. Update No. 2015-03 is effective for annual reporting periods beginning after December 15, 2015 and interim periods within those reporting periods. Early adoption is permitted for financial statements that have not been previously issued. This update was applied retrospectively as of August 31, 2016. The deferred financing fees included in other assets of $0.9 million was classified as long-term debt at May 31, 2016 in the consolidated condensed balance sheet. This update did not impact the results of our operations.</w:t>
      </w:r>
    </w:p>
    <w:p>
      <w:pPr>
        <w:spacing w:after="0" w:line="189" w:lineRule="exact"/>
        <w:rPr>
          <w:sz w:val="20"/>
          <w:szCs w:val="20"/>
          <w:color w:val="auto"/>
        </w:rPr>
      </w:pPr>
    </w:p>
    <w:p>
      <w:pPr>
        <w:ind w:right="420" w:firstLine="648"/>
        <w:spacing w:after="0" w:line="276" w:lineRule="auto"/>
        <w:rPr>
          <w:sz w:val="20"/>
          <w:szCs w:val="20"/>
          <w:color w:val="auto"/>
        </w:rPr>
      </w:pPr>
      <w:r>
        <w:rPr>
          <w:rFonts w:ascii="Arial" w:cs="Arial" w:eastAsia="Arial" w:hAnsi="Arial"/>
          <w:sz w:val="17"/>
          <w:szCs w:val="17"/>
          <w:color w:val="auto"/>
        </w:rPr>
        <w:t>In August 2016, the FASB issued ASU No. 2016-15, "Statement of Cash Flows (Topic 230): Classification of Certain Cash Receipts and Cash Payments ("ASU 2016-15"). ASU 2016-15 identifies how certain cash receipts and cash payments are presented and classified in the Statement of Cash Flows under Topic 230. ASU 2016-15 is effective for the Company for fiscal years beginning after December 15, 2017, and interim periods within those fiscal years. ASU 2016-15 should be applied retrospectively and early adoption is permitted, including adoption in an interim period. The Company is currently in the process of evaluating the impact of ASU 2016-15 on its consolidated financial statements.</w:t>
      </w:r>
    </w:p>
    <w:p>
      <w:pPr>
        <w:spacing w:after="0" w:line="17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May 2014, the FASB issued ASU No. 2014-09, "Revenue from Contracts with Customers" ("ASU 2014-09"). ASU 2014-09 provides a single, comprehensive accounting model for revenues arising from contracts with customers that supersedes most of the existing revenue recognition guidance, including industry-specific guidance. Under this model, revenue is recognized at an amount that an entity expects to be entitled to upon transferring control of goods or services to a customer, as opposed to when risks and rewards transfer to a customer under existing revenue recognition guidance. ASU 2014-09 is effective for the Company beginning in its fiscal year 2019, and may be applied retrospectively to all prior periods presented or through a cumulative adjustment to the opening retained earnings balance in the year of adoption. The Company is currently in the process of evaluating the impact of ASU 2014-09 on its consolidated financial statements.</w:t>
      </w:r>
    </w:p>
    <w:p>
      <w:pPr>
        <w:spacing w:after="0" w:line="18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July 2015, the FASB issued ASC Update No. 2015-11, Inventory (Topic 330): Simplifying the Measurement of Inventory. Update No. 2015-11 more closely aligns the measurement of inventory in U.S. GAAP with the measurement of inventory in International Financial Reporting Standards by requiring companies using the first-in, first-out and average costs methods to measure inventory using the lower of cost and net realizable value, where net realizable value is the estimated selling prices in the ordinary course of business, less reasonably predictable costs of completion, disposal, and transportation. Update No. 2015-11 is effective for annual reporting periods beginning after December 15, 2016 and interim periods within those fiscal years. Update No. 2015-11 should be applied prospectively with earlier application permitted as of the beginning of an interim or annual reporting period. The adoption of Update No. 2015-11 is not expected to have a material impact on our financial position or results of operations.</w:t>
      </w:r>
    </w:p>
    <w:p>
      <w:pPr>
        <w:spacing w:after="0" w:line="17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January 2016, the FASB issued ASU 2016-01, Financial Instruments - Overall (Subtopic 825-10). Update No. 2016-01 addresses certain aspects of recognition, measurement, presentation and disclosure of financial instruments. Update No. 2016-01 is effective for annual reporting periods beginning after December 15, 2017 and interim periods within those fiscal years and early application is permitted. The Company is currently in the process of evaluating the impact.</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February 2016, the FASB issued ASU 2016-02, Leases (Topic 842). ASU 2016-02 increases transparency and comparability among organizations by recognizing lease assets and liabilities on the balance sheet and disclosing key information about leasing arrangements. For leases with a term or twelve months or less, a lessee is permitted to make an accounting policy election by class of underlying asset not to recognize lease assets and liabilities. ASU 2016-02 is effective for fiscal years beginning after December 15, 2018 and early application is permitted. The Company is currently in the process of evaluating the impact of ASU 2016-02 on its consolidated financial statements.</w:t>
      </w:r>
    </w:p>
    <w:p>
      <w:pPr>
        <w:spacing w:after="0" w:line="188"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In March 2016, the FASB issued ASU 2016-09, Compensation - Stock Based Compensation (Topic 718: Improvements to Employee Share-Based Payment Accounting. ASU 2016-09 simplifies and improves various aspects of ASC 718 for share-based payments, including income tax items and the classification of these items on the statement of cash flows. ASU 2016-09 is effective for annual periods beginning after December 15, 2016 and early application is permitted. The Company is currently in the process of evaluating the impact of ASU 2016-09 on its consolidated financial statements.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48"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following information should be read together with the consolidated condensed financial statements and the notes thereto and other information included elsewhere in this quarterly report on Form 10-Q.</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This quarterly report on Form 10-Q,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or variations of such words and similar expressions, are forward-looking statements. These forward looking statements are not guarantees of future performance and are subject to risks and uncertainties. Investors are cautioned that actual events or results may differ from our expectations. Factors that may affect our actual results achieved include, without limitation, our ability to develop existing and new products, future actions by FDA or other regulatory agencies, results of pending or future clinical trials, the results of ongoing litigation, overall economic conditions, general market conditions, market acceptance, foreign currency exchange rate fluctuations, the effects on pricing from group purchasing organizations and competition, as well as our ability to integrate purchased businesses. Other risks and uncertainties include, but are not limited to, the factors described from time to time in our reports filed with the SEC.</w:t>
      </w:r>
    </w:p>
    <w:p>
      <w:pPr>
        <w:spacing w:after="0" w:line="18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speak only as of the date made. AngioDynamics disclaims any obligation to update the forward-looking statements. Investors are cautioned not to place undue reliance on these forward-looking statements which speak only as of the date stated, or if no date is stated, as of the date of this document.</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Most of our products are intended to be used once and then discarded, or they may be temporarily implanted for short- or longer-term use.</w:t>
      </w:r>
    </w:p>
    <w:p>
      <w:pPr>
        <w:spacing w:after="0" w:line="147"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Our sales and profitability growth depends, in part, on the introduction of new and innovative products, together with ongoing enhancements to our existing products. Expansions to our product offerings are created through internal product development, technology licensing and strategic alliances. In recent years we have acquired or developed, and launched several new products, including the AngioVac cannula and circuit, the BioFlo family of products, NanoKnife and the Acculis microwave system, which are all currently contributing to our revenue profile. We recognize the importance of, and intend to continue to make investments in, research and development activities and business development opportunities and feel confident that our existing capital structure and free cash flow generation will allow us to properly fund those activities.</w:t>
      </w:r>
    </w:p>
    <w:p>
      <w:pPr>
        <w:spacing w:after="0" w:line="178"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We sell our products in the United States through a direct sales force and outside the U.S. through a combination of direct sales and distributor relationships. We expect our international business to grow in both sales and profit through geographic expansion, market penetration, and increasing our direct presence.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During the first quarter of fiscal 2017, Michael C. Greiner was appointed Executive Vice President and Chief Financial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following financial metrics will assist in evaluating the operating performance of our business for the three and six months ended November 30, 2016 compared to the three and six months ended November 30, 2015:</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Three months ended November 30, 2016</w:t>
      </w:r>
    </w:p>
    <w:p>
      <w:pPr>
        <w:spacing w:after="0" w:line="90" w:lineRule="exact"/>
        <w:rPr>
          <w:sz w:val="20"/>
          <w:szCs w:val="20"/>
          <w:color w:val="auto"/>
        </w:rPr>
      </w:pPr>
    </w:p>
    <w:p>
      <w:pPr>
        <w:ind w:left="1360" w:hanging="272"/>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Reported revenue decreased by 0.3% to $89.0 million</w:t>
      </w:r>
    </w:p>
    <w:p>
      <w:pPr>
        <w:spacing w:after="0" w:line="157" w:lineRule="exact"/>
        <w:rPr>
          <w:rFonts w:ascii="Arial" w:cs="Arial" w:eastAsia="Arial" w:hAnsi="Arial"/>
          <w:sz w:val="18"/>
          <w:szCs w:val="18"/>
          <w:color w:val="auto"/>
        </w:rPr>
      </w:pPr>
    </w:p>
    <w:p>
      <w:pPr>
        <w:ind w:left="1360" w:hanging="272"/>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Constant currency revenue decreased by 1%</w:t>
      </w:r>
    </w:p>
    <w:p>
      <w:pPr>
        <w:spacing w:after="0" w:line="157" w:lineRule="exact"/>
        <w:rPr>
          <w:rFonts w:ascii="Arial" w:cs="Arial" w:eastAsia="Arial" w:hAnsi="Arial"/>
          <w:sz w:val="18"/>
          <w:szCs w:val="18"/>
          <w:color w:val="auto"/>
        </w:rPr>
      </w:pPr>
    </w:p>
    <w:p>
      <w:pPr>
        <w:ind w:left="1360" w:hanging="272"/>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increased by $15.0 million to $15.6 million</w:t>
      </w:r>
    </w:p>
    <w:p>
      <w:pPr>
        <w:spacing w:after="0" w:line="157" w:lineRule="exact"/>
        <w:rPr>
          <w:rFonts w:ascii="Arial" w:cs="Arial" w:eastAsia="Arial" w:hAnsi="Arial"/>
          <w:sz w:val="18"/>
          <w:szCs w:val="18"/>
          <w:color w:val="auto"/>
        </w:rPr>
      </w:pPr>
    </w:p>
    <w:p>
      <w:pPr>
        <w:ind w:left="1360" w:hanging="272"/>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earnings per share increased by $0.38 to $0.37</w:t>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Six months ended November 30, 2016</w:t>
      </w:r>
    </w:p>
    <w:p>
      <w:pPr>
        <w:spacing w:after="0" w:line="90" w:lineRule="exact"/>
        <w:rPr>
          <w:sz w:val="20"/>
          <w:szCs w:val="20"/>
          <w:color w:val="auto"/>
        </w:rPr>
      </w:pPr>
    </w:p>
    <w:p>
      <w:pPr>
        <w:ind w:left="1360" w:hanging="272"/>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Reported revenue increased by 2% to $177.1 million</w:t>
      </w:r>
    </w:p>
    <w:p>
      <w:pPr>
        <w:spacing w:after="0" w:line="157" w:lineRule="exact"/>
        <w:rPr>
          <w:rFonts w:ascii="Arial" w:cs="Arial" w:eastAsia="Arial" w:hAnsi="Arial"/>
          <w:sz w:val="18"/>
          <w:szCs w:val="18"/>
          <w:color w:val="auto"/>
        </w:rPr>
      </w:pPr>
    </w:p>
    <w:p>
      <w:pPr>
        <w:ind w:left="1360" w:hanging="272"/>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Constant currency revenue increased by 3%</w:t>
      </w:r>
    </w:p>
    <w:p>
      <w:pPr>
        <w:spacing w:after="0" w:line="157" w:lineRule="exact"/>
        <w:rPr>
          <w:rFonts w:ascii="Arial" w:cs="Arial" w:eastAsia="Arial" w:hAnsi="Arial"/>
          <w:sz w:val="18"/>
          <w:szCs w:val="18"/>
          <w:color w:val="auto"/>
        </w:rPr>
      </w:pPr>
    </w:p>
    <w:p>
      <w:pPr>
        <w:ind w:left="1360" w:hanging="272"/>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income increased by $18.4 million to $19.2 million</w:t>
      </w:r>
    </w:p>
    <w:p>
      <w:pPr>
        <w:spacing w:after="0" w:line="157" w:lineRule="exact"/>
        <w:rPr>
          <w:rFonts w:ascii="Arial" w:cs="Arial" w:eastAsia="Arial" w:hAnsi="Arial"/>
          <w:sz w:val="18"/>
          <w:szCs w:val="18"/>
          <w:color w:val="auto"/>
        </w:rPr>
      </w:pPr>
    </w:p>
    <w:p>
      <w:pPr>
        <w:ind w:left="1360" w:hanging="272"/>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Diluted earnings per share increased by $0.44 to $0.41</w:t>
      </w:r>
    </w:p>
    <w:p>
      <w:pPr>
        <w:spacing w:after="0" w:line="157" w:lineRule="exact"/>
        <w:rPr>
          <w:rFonts w:ascii="Arial" w:cs="Arial" w:eastAsia="Arial" w:hAnsi="Arial"/>
          <w:sz w:val="18"/>
          <w:szCs w:val="18"/>
          <w:color w:val="auto"/>
        </w:rPr>
      </w:pPr>
    </w:p>
    <w:p>
      <w:pPr>
        <w:ind w:left="1360" w:hanging="272"/>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flow from operations increased by $8.1 million to $22.4 million</w:t>
      </w:r>
    </w:p>
    <w:p>
      <w:pPr>
        <w:spacing w:after="0" w:line="29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For our second quarter results, revenue growth was primarily driven by growth in the Peripheral Vascular franchise as a result of opportunities created by the Cook Medical recall. Other favorable trends and growth drivers include the solid performance of BioFlo in both Midlines and Dialysis. The increase in operating income was driven by the change in fair value of the contingent consideration, volume growth, continued margin improvements and reductions in operating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Use of Non-GAAP Measures</w:t>
      </w:r>
    </w:p>
    <w:p>
      <w:pPr>
        <w:spacing w:after="0" w:line="22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Net sales “on a constant currency basis” is a non-GAAP measure. The company analyzes net sales on a constant currency basis to better measure the comparability of results between periods. Because changes in foreign currency exchange rates have a non-operating impact on net sales, the company believes that evaluating growth in net sales on a constant currency basis provides an additional and meaningful assessment of net sales to both management and the company’s investors. Constant currency growth rates are calculated by translating the current period's local currency sales by the prior period’s exchange rate.</w:t>
      </w:r>
    </w:p>
    <w:p>
      <w:pPr>
        <w:spacing w:after="0" w:line="154"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Constant currency growth rates are not indicative of changes in corresponding cash flows. The limitation of these non-GAAP measures is that they do not reflect results on a standardized reporting basis. Non-GAAP measures are intended to supplement the applicable GAAP disclosures and should not be viewed as replacements of GAAP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Information regarding new accounting pronouncements is included in Note P to our consolidated condensed financial statements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November 30, 2016 and November 30, 2015</w:t>
      </w:r>
    </w:p>
    <w:p>
      <w:pPr>
        <w:spacing w:after="0" w:line="229" w:lineRule="exact"/>
        <w:rPr>
          <w:sz w:val="20"/>
          <w:szCs w:val="20"/>
          <w:color w:val="auto"/>
        </w:rPr>
      </w:pPr>
    </w:p>
    <w:p>
      <w:pPr>
        <w:ind w:right="420" w:firstLine="432"/>
        <w:spacing w:after="0" w:line="308" w:lineRule="auto"/>
        <w:rPr>
          <w:sz w:val="20"/>
          <w:szCs w:val="20"/>
          <w:color w:val="auto"/>
        </w:rPr>
      </w:pPr>
      <w:r>
        <w:rPr>
          <w:rFonts w:ascii="Arial" w:cs="Arial" w:eastAsia="Arial" w:hAnsi="Arial"/>
          <w:sz w:val="17"/>
          <w:szCs w:val="17"/>
          <w:color w:val="auto"/>
        </w:rPr>
        <w:t>For the three months ended November 30, 2016, we reported net income of $13.7 million, or $0.37 per diluted share, on net sales of $89.0 million, compared with a net loss of $0.3 million, or $0.01 per share, on net sales of $89.3 million during the same quarter of the prior year.</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 -</w:t>
      </w:r>
      <w:r>
        <w:rPr>
          <w:rFonts w:ascii="Arial" w:cs="Arial" w:eastAsia="Arial" w:hAnsi="Arial"/>
          <w:sz w:val="18"/>
          <w:szCs w:val="18"/>
          <w:color w:val="auto"/>
        </w:rPr>
        <w:t xml:space="preserve"> Net sales are derived from the sale of our products and related freight charges, less discounts and returns.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for the three months ended November 30, 2016 and November 30, 2015:</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87"/>
              </w:rPr>
              <w:t>Three months ended</w:t>
            </w: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4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0"/>
              </w:rPr>
              <w:t>Currency</w:t>
            </w:r>
          </w:p>
        </w:tc>
        <w:tc>
          <w:tcPr>
            <w:tcW w:w="1240" w:type="dxa"/>
            <w:vAlign w:val="bottom"/>
          </w:tcPr>
          <w:p>
            <w:pPr>
              <w:spacing w:after="0"/>
              <w:rPr>
                <w:sz w:val="19"/>
                <w:szCs w:val="19"/>
                <w:color w:val="auto"/>
              </w:rPr>
            </w:pPr>
          </w:p>
        </w:tc>
      </w:tr>
      <w:tr>
        <w:trPr>
          <w:trHeight w:val="216"/>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2"/>
              </w:rPr>
              <w:t>Impact (Pos)</w:t>
            </w:r>
          </w:p>
        </w:tc>
        <w:tc>
          <w:tcPr>
            <w:tcW w:w="1240" w:type="dxa"/>
            <w:vAlign w:val="bottom"/>
          </w:tcPr>
          <w:p>
            <w:pPr>
              <w:ind w:left="300"/>
              <w:spacing w:after="0"/>
              <w:rPr>
                <w:sz w:val="20"/>
                <w:szCs w:val="20"/>
                <w:color w:val="auto"/>
              </w:rPr>
            </w:pPr>
            <w:r>
              <w:rPr>
                <w:rFonts w:ascii="Arial" w:cs="Arial" w:eastAsia="Arial" w:hAnsi="Arial"/>
                <w:sz w:val="18"/>
                <w:szCs w:val="18"/>
                <w:color w:val="auto"/>
              </w:rPr>
              <w:t>Constant</w:t>
            </w:r>
          </w:p>
        </w:tc>
      </w:tr>
      <w:tr>
        <w:trPr>
          <w:trHeight w:val="251"/>
        </w:trPr>
        <w:tc>
          <w:tcPr>
            <w:tcW w:w="4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Nov 30, 2016</w:t>
            </w:r>
          </w:p>
        </w:tc>
        <w:tc>
          <w:tcPr>
            <w:tcW w:w="18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w w:val="98"/>
              </w:rPr>
              <w:t>Nov 30, 2015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93"/>
              </w:rPr>
              <w:t>% Growth</w:t>
            </w: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0"/>
              </w:rPr>
              <w:t>Neg</w:t>
            </w:r>
          </w:p>
        </w:tc>
        <w:tc>
          <w:tcPr>
            <w:tcW w:w="1240" w:type="dxa"/>
            <w:vAlign w:val="bottom"/>
          </w:tcPr>
          <w:p>
            <w:pPr>
              <w:ind w:left="280"/>
              <w:spacing w:after="0"/>
              <w:rPr>
                <w:sz w:val="20"/>
                <w:szCs w:val="20"/>
                <w:color w:val="auto"/>
              </w:rPr>
            </w:pPr>
            <w:r>
              <w:rPr>
                <w:rFonts w:ascii="Arial" w:cs="Arial" w:eastAsia="Arial" w:hAnsi="Arial"/>
                <w:sz w:val="18"/>
                <w:szCs w:val="18"/>
                <w:color w:val="auto"/>
              </w:rPr>
              <w:t>Currency</w:t>
            </w: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Product Category</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Peripheral Vascular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52,895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51,055</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2"/>
              </w:rPr>
              <w:t>4%</w:t>
            </w: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25,020</w:t>
            </w:r>
          </w:p>
        </w:tc>
        <w:tc>
          <w:tcPr>
            <w:tcW w:w="15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4"/>
              </w:rPr>
              <w:t>(6)%</w:t>
            </w:r>
          </w:p>
        </w:tc>
        <w:tc>
          <w:tcPr>
            <w:tcW w:w="1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Oncology/Surgery</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11,780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12,471</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4"/>
              </w:rPr>
              <w:t>(6)%</w:t>
            </w: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Excluding Supply Agreement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88,228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Supply Agreement</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738</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2"/>
              </w:rPr>
              <w:t>9%</w:t>
            </w: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9%</w:t>
            </w: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89,029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89,284</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0"/>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1"/>
        </w:trPr>
        <w:tc>
          <w:tcPr>
            <w:tcW w:w="4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Geography</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70,782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70,653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17,893</w:t>
            </w:r>
          </w:p>
        </w:tc>
        <w:tc>
          <w:tcPr>
            <w:tcW w:w="15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4"/>
              </w:rPr>
              <w:t>(2)%</w:t>
            </w:r>
          </w:p>
        </w:tc>
        <w:tc>
          <w:tcPr>
            <w:tcW w:w="126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2"/>
              </w:rPr>
              <w:t>1%</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Supply Agreement</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738</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2"/>
              </w:rPr>
              <w:t>9%</w:t>
            </w: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9%</w:t>
            </w: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89,029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89,284</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0"/>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the three months ended November 30, 2016, net sales decreased $0.3 million to $89.0 million compared to the same period in the prior year.</w:t>
      </w:r>
    </w:p>
    <w:p>
      <w:pPr>
        <w:spacing w:after="0" w:line="23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From a product line perspective, Peripheral Vascular sales increased 4% primarily attributable to increased volume in our core business, primarily Angiographic, which is offsetting softness in the remaining Peripheral Vascular business. Vascular Access sales decreased 6% due to softness in PICCs and ports offset by continued strength in our Midlines and Bioflo Dialysis products. Oncology Surgery sales decreased 6% relating to the timing of capital product sales versus the prior year.</w:t>
      </w:r>
    </w:p>
    <w:p>
      <w:pPr>
        <w:spacing w:after="0" w:line="187"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From a geographic perspective, U.S. sales remained consistent due primarily to increased volume in Angiographic, Midlines and our NanoKnife product lines offsetting decreasing revenue in other product lines. International sales decreased 1% on a constant-currency basis, primarily attributable to decreased Peripheral Vascular and Oncology sales offset slightly by increased sales in PICCs.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20" w:type="dxa"/>
            <w:vAlign w:val="bottom"/>
            <w:gridSpan w:val="5"/>
          </w:tcPr>
          <w:p>
            <w:pPr>
              <w:ind w:left="20"/>
              <w:spacing w:after="0"/>
              <w:rPr>
                <w:sz w:val="20"/>
                <w:szCs w:val="20"/>
                <w:color w:val="auto"/>
              </w:rPr>
            </w:pPr>
            <w:r>
              <w:rPr>
                <w:rFonts w:ascii="Arial" w:cs="Arial" w:eastAsia="Arial" w:hAnsi="Arial"/>
                <w:sz w:val="18"/>
                <w:szCs w:val="18"/>
                <w:color w:val="auto"/>
                <w:w w:val="95"/>
              </w:rPr>
              <w:t>Three months ended</w:t>
            </w:r>
          </w:p>
        </w:tc>
        <w:tc>
          <w:tcPr>
            <w:tcW w:w="1060" w:type="dxa"/>
            <w:vAlign w:val="bottom"/>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8"/>
              </w:rPr>
              <w:t>Nov 30, 2016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96"/>
              </w:rPr>
              <w:t>Nov 30, 2015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 Change</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45.0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Gross profit %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5.9</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19.5</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7.8</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Medical device excise tax</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bl>
    <w:p>
      <w:pPr>
        <w:spacing w:after="0" w:line="229"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u w:val="single" w:color="auto"/>
          <w:color w:val="auto"/>
        </w:rPr>
        <w:t>Gross profit</w:t>
      </w:r>
      <w:r>
        <w:rPr>
          <w:rFonts w:ascii="Arial" w:cs="Arial" w:eastAsia="Arial" w:hAnsi="Arial"/>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The decrease in gross profit was due to pricing pressures and the cost markup related to our mix of products for a net $0.9 million decrease compared to the three months ended November 30, 2015.</w:t>
      </w:r>
    </w:p>
    <w:p>
      <w:pPr>
        <w:spacing w:after="0" w:line="187"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u w:val="single" w:color="auto"/>
          <w:color w:val="auto"/>
        </w:rPr>
        <w:t>Research and development expenses</w:t>
      </w:r>
      <w:r>
        <w:rPr>
          <w:rFonts w:ascii="Arial" w:cs="Arial" w:eastAsia="Arial" w:hAnsi="Arial"/>
          <w:sz w:val="16"/>
          <w:szCs w:val="16"/>
          <w:color w:val="auto"/>
        </w:rPr>
        <w:t xml:space="preserve"> - Research and development (“R&amp;D”) expenses include internal and external costs to develop new products, enhance existing products, validate new and enhanced products, manage clinical, regulatory and medical affairs. R&amp;D expenses decreased $0.3 million for the three months ending November 30, 2016 due to lower project spend of $0.9 million related to implementation of a new product development process that is prioritizing project spend. These savings were partially offset by increases in regulatory and registration costs ($0.7 million).</w:t>
      </w:r>
    </w:p>
    <w:p>
      <w:pPr>
        <w:spacing w:after="0" w:line="154" w:lineRule="exact"/>
        <w:rPr>
          <w:sz w:val="20"/>
          <w:szCs w:val="20"/>
          <w:color w:val="auto"/>
        </w:rPr>
      </w:pPr>
    </w:p>
    <w:p>
      <w:pPr>
        <w:ind w:right="340" w:firstLine="432"/>
        <w:spacing w:after="0" w:line="279" w:lineRule="auto"/>
        <w:rPr>
          <w:sz w:val="20"/>
          <w:szCs w:val="20"/>
          <w:color w:val="auto"/>
        </w:rPr>
      </w:pPr>
      <w:r>
        <w:rPr>
          <w:rFonts w:ascii="Arial" w:cs="Arial" w:eastAsia="Arial" w:hAnsi="Arial"/>
          <w:sz w:val="17"/>
          <w:szCs w:val="17"/>
          <w:u w:val="single" w:color="auto"/>
          <w:color w:val="auto"/>
        </w:rPr>
        <w:t>Sales and marketing expenses</w:t>
      </w:r>
      <w:r>
        <w:rPr>
          <w:rFonts w:ascii="Arial" w:cs="Arial" w:eastAsia="Arial" w:hAnsi="Arial"/>
          <w:sz w:val="17"/>
          <w:szCs w:val="17"/>
          <w:color w:val="auto"/>
        </w:rPr>
        <w:t xml:space="preserve"> - Sales and marketing (“S&amp;M”) expenses consist primarily of salaries, commissions, travel and related business expenses, attendance at medical society meetings, product promotions and marketing activities. S&amp;M expenses decreased by $1.9 million for the three months ending November 30, 2016 due to sales and marketing roles that have not been filled, as well as lower commissions ($0.7 million), reduced travel costs ($0.6 million), timing of marketing spend ($0.3 million) and samples management ($0.3 million).</w:t>
      </w:r>
    </w:p>
    <w:p>
      <w:pPr>
        <w:spacing w:after="0" w:line="171"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u w:val="single" w:color="auto"/>
          <w:color w:val="auto"/>
        </w:rPr>
        <w:t>General and administrative expenses</w:t>
      </w:r>
      <w:r>
        <w:rPr>
          <w:rFonts w:ascii="Arial" w:cs="Arial" w:eastAsia="Arial" w:hAnsi="Arial"/>
          <w:sz w:val="17"/>
          <w:szCs w:val="17"/>
          <w:color w:val="auto"/>
        </w:rPr>
        <w:t xml:space="preserve"> - General and administrative (“G&amp;A”) expenses include executive management, finance, information technology, human resources, business development, legal, and the administrative and professional costs associated with those activities. G&amp;A expenses decreased $0.3 million for the three months ended November 30, 2016 due to improved benefit claim performance versus in the prior year ($0.8 million) and lower depreciation expense ($0.2 million), partially offset by increased stock based compensation expense ($0.7 million).</w:t>
      </w:r>
    </w:p>
    <w:p>
      <w:pPr>
        <w:spacing w:after="0" w:line="171"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u w:val="single" w:color="auto"/>
          <w:color w:val="auto"/>
        </w:rPr>
        <w:t>Medical device excise tax</w:t>
      </w:r>
      <w:r>
        <w:rPr>
          <w:rFonts w:ascii="Arial" w:cs="Arial" w:eastAsia="Arial" w:hAnsi="Arial"/>
          <w:sz w:val="18"/>
          <w:szCs w:val="18"/>
          <w:color w:val="auto"/>
        </w:rPr>
        <w:t xml:space="preserve"> - Medical devices excise tax is assessed on our US product sales subject to exclusions and adjustments during the second quarters of fiscal 2016. The expense decreased for the three months ending November 30, 2016 compared to the prior year due to the suspension of the medical device excise tax as of the end of December 2015.</w:t>
      </w:r>
    </w:p>
    <w:p>
      <w:pPr>
        <w:spacing w:after="0" w:line="343"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31750</wp:posOffset>
            </wp:positionV>
            <wp:extent cx="23069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Nov 30, 2016</w:t>
            </w: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2015</w:t>
            </w:r>
          </w:p>
        </w:tc>
        <w:tc>
          <w:tcPr>
            <w:tcW w:w="220" w:type="dxa"/>
            <w:vAlign w:val="bottom"/>
          </w:tcPr>
          <w:p>
            <w:pPr>
              <w:spacing w:after="0"/>
              <w:rPr>
                <w:sz w:val="16"/>
                <w:szCs w:val="16"/>
                <w:color w:val="auto"/>
              </w:rPr>
            </w:pPr>
          </w:p>
        </w:tc>
        <w:tc>
          <w:tcPr>
            <w:tcW w:w="920" w:type="dxa"/>
            <w:vAlign w:val="bottom"/>
          </w:tcPr>
          <w:p>
            <w:pPr>
              <w:jc w:val="right"/>
              <w:ind w:right="214"/>
              <w:spacing w:after="0"/>
              <w:rPr>
                <w:sz w:val="20"/>
                <w:szCs w:val="20"/>
                <w:color w:val="auto"/>
              </w:rPr>
            </w:pPr>
            <w:r>
              <w:rPr>
                <w:rFonts w:ascii="Arial" w:cs="Arial" w:eastAsia="Arial" w:hAnsi="Arial"/>
                <w:sz w:val="14"/>
                <w:szCs w:val="14"/>
                <w:color w:val="auto"/>
                <w:w w:val="98"/>
              </w:rPr>
              <w:t>$ Change</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restructuring and other items,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right="60" w:firstLine="432"/>
        <w:spacing w:after="0" w:line="277" w:lineRule="auto"/>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Amortization of intangibles decreased from the three months ending November 30, 2016 to November 30, 2015 primarily due to intangibles that became fully amortized.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u w:val="single" w:color="auto"/>
          <w:color w:val="auto"/>
        </w:rPr>
        <w:t>Change in fair value of contingent consideration</w:t>
      </w:r>
      <w:r>
        <w:rPr>
          <w:rFonts w:ascii="Arial" w:cs="Arial" w:eastAsia="Arial" w:hAnsi="Arial"/>
          <w:sz w:val="17"/>
          <w:szCs w:val="17"/>
          <w:color w:val="auto"/>
        </w:rPr>
        <w:t xml:space="preserve"> - Represents changes in the contingent consideration driven by changes to estimated future payments on earn-out liabilities created through acquisitions and amortization of present value discounts on long-term contingent consideration. The decrease is due to a gain of $13.4 million that was taken on the AngioVac product as a result of decreases in future sales forecasts that eliminated any excess payments and a gain of $3.1 million on the TiLo product as the milestone will not be achieved. This was partially offset by normal amortization.</w:t>
      </w:r>
    </w:p>
    <w:p>
      <w:pPr>
        <w:spacing w:after="0" w:line="17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u w:val="single" w:color="auto"/>
          <w:color w:val="auto"/>
        </w:rPr>
        <w:t>Acquisition, restructuring and other items, net</w:t>
      </w:r>
      <w:r>
        <w:rPr>
          <w:rFonts w:ascii="Arial" w:cs="Arial" w:eastAsia="Arial" w:hAnsi="Arial"/>
          <w:sz w:val="18"/>
          <w:szCs w:val="18"/>
          <w:color w:val="auto"/>
        </w:rPr>
        <w:t xml:space="preserve"> - Expense for the three months ended November 30, 2016 consists primarily of $0.4 million in severance, $1.8 million in litigation expense, $2.0 million for the write-off of Embomedics due to termination of the agreement and $3.6 million related to the decision to discontinue our investment in the TiLo product, as described above. The three months ended November 30, 2015 included $0.4 million in accelerated depreciation, $1.3 million in litigation expense and other miscellaneous items.</w:t>
      </w:r>
    </w:p>
    <w:p>
      <w:pPr>
        <w:spacing w:after="0" w:line="18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u w:val="single" w:color="auto"/>
          <w:color w:val="auto"/>
        </w:rPr>
        <w:t>Other expenses</w:t>
      </w:r>
      <w:r>
        <w:rPr>
          <w:rFonts w:ascii="Arial" w:cs="Arial" w:eastAsia="Arial" w:hAnsi="Arial"/>
          <w:sz w:val="18"/>
          <w:szCs w:val="18"/>
          <w:color w:val="auto"/>
        </w:rPr>
        <w:t xml:space="preserve"> - Other expenses include interest expense, foreign currency impacts, bank fees, and amortization of deferred financing costs. Expenses were consistent year over year in composition.</w:t>
      </w:r>
    </w:p>
    <w:p>
      <w:pPr>
        <w:spacing w:after="0" w:line="333" w:lineRule="exact"/>
        <w:rPr>
          <w:sz w:val="20"/>
          <w:szCs w:val="20"/>
          <w:color w:val="auto"/>
        </w:rPr>
      </w:pPr>
    </w:p>
    <w:p>
      <w:pPr>
        <w:ind w:left="942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31750</wp:posOffset>
            </wp:positionV>
            <wp:extent cx="16122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Nov 30, 2016</w:t>
            </w:r>
          </w:p>
        </w:tc>
        <w:tc>
          <w:tcPr>
            <w:tcW w:w="18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Arial" w:cs="Arial" w:eastAsia="Arial" w:hAnsi="Arial"/>
                <w:sz w:val="14"/>
                <w:szCs w:val="14"/>
                <w:color w:val="auto"/>
                <w:w w:val="96"/>
              </w:rPr>
              <w:t>Nov 30, 2015</w:t>
            </w:r>
          </w:p>
        </w:tc>
      </w:tr>
      <w:tr>
        <w:trPr>
          <w:trHeight w:val="250"/>
        </w:trPr>
        <w:tc>
          <w:tcPr>
            <w:tcW w:w="8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(0.3)</w:t>
            </w:r>
          </w:p>
        </w:tc>
      </w:tr>
      <w:tr>
        <w:trPr>
          <w:trHeight w:val="243"/>
        </w:trPr>
        <w:tc>
          <w:tcPr>
            <w:tcW w:w="8880" w:type="dxa"/>
            <w:vAlign w:val="bottom"/>
          </w:tcPr>
          <w:p>
            <w:pPr>
              <w:ind w:left="40"/>
              <w:spacing w:after="0"/>
              <w:rPr>
                <w:sz w:val="20"/>
                <w:szCs w:val="20"/>
                <w:color w:val="auto"/>
              </w:rPr>
            </w:pPr>
            <w:r>
              <w:rPr>
                <w:rFonts w:ascii="Arial" w:cs="Arial" w:eastAsia="Arial" w:hAnsi="Arial"/>
                <w:sz w:val="18"/>
                <w:szCs w:val="18"/>
                <w:color w:val="auto"/>
              </w:rPr>
              <w:t>Effective tax rate including discrete items</w:t>
            </w:r>
          </w:p>
        </w:tc>
        <w:tc>
          <w:tcPr>
            <w:tcW w:w="160" w:type="dxa"/>
            <w:vAlign w:val="bottom"/>
          </w:tcPr>
          <w:p>
            <w:pPr>
              <w:spacing w:after="0"/>
              <w:rPr>
                <w:sz w:val="21"/>
                <w:szCs w:val="21"/>
                <w:color w:val="auto"/>
              </w:rPr>
            </w:pPr>
          </w:p>
        </w:tc>
        <w:tc>
          <w:tcPr>
            <w:tcW w:w="1060" w:type="dxa"/>
            <w:vAlign w:val="bottom"/>
          </w:tcPr>
          <w:p>
            <w:pPr>
              <w:ind w:left="640"/>
              <w:spacing w:after="0"/>
              <w:rPr>
                <w:sz w:val="20"/>
                <w:szCs w:val="20"/>
                <w:color w:val="auto"/>
              </w:rPr>
            </w:pPr>
            <w:r>
              <w:rPr>
                <w:rFonts w:ascii="Arial" w:cs="Arial" w:eastAsia="Arial" w:hAnsi="Arial"/>
                <w:sz w:val="18"/>
                <w:szCs w:val="18"/>
                <w:color w:val="auto"/>
                <w:w w:val="97"/>
              </w:rPr>
              <w:t>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50.2%</w:t>
            </w:r>
          </w:p>
        </w:tc>
      </w:tr>
    </w:tbl>
    <w:p>
      <w:pPr>
        <w:spacing w:after="0" w:line="229"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u w:val="single" w:color="auto"/>
          <w:color w:val="auto"/>
        </w:rPr>
        <w:t>Income taxes</w:t>
      </w:r>
      <w:r>
        <w:rPr>
          <w:rFonts w:ascii="Arial" w:cs="Arial" w:eastAsia="Arial" w:hAnsi="Arial"/>
          <w:sz w:val="16"/>
          <w:szCs w:val="16"/>
          <w:color w:val="auto"/>
        </w:rPr>
        <w:t xml:space="preserve"> - Our effective tax rate including discrete items for the three month periods ended November 30, 2016 and November 30, 2015 was 4.7% and 50.2%, respectively. The change in the effective tax rate, detailed in Note G, is primarily driven by the impact of the US valuation allowance and the deferred tax liability related to intangibles that have an indefinite reversal period and cannot be used to support the deferred tax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Six Months ended November 30, 2016 and November 30, 2015</w:t>
      </w:r>
    </w:p>
    <w:p>
      <w:pPr>
        <w:spacing w:after="0" w:line="229" w:lineRule="exact"/>
        <w:rPr>
          <w:sz w:val="20"/>
          <w:szCs w:val="20"/>
          <w:color w:val="auto"/>
        </w:rPr>
      </w:pPr>
    </w:p>
    <w:p>
      <w:pPr>
        <w:ind w:right="480" w:firstLine="432"/>
        <w:spacing w:after="0" w:line="308" w:lineRule="auto"/>
        <w:rPr>
          <w:sz w:val="20"/>
          <w:szCs w:val="20"/>
          <w:color w:val="auto"/>
        </w:rPr>
      </w:pPr>
      <w:r>
        <w:rPr>
          <w:rFonts w:ascii="Arial" w:cs="Arial" w:eastAsia="Arial" w:hAnsi="Arial"/>
          <w:sz w:val="17"/>
          <w:szCs w:val="17"/>
          <w:color w:val="auto"/>
        </w:rPr>
        <w:t>For the six months ended November 30, 2016, we reported net income of $15.0 million, or $0.41 per diluted share, on net sales of $177.1 million, compared with a net loss of $1.1 million, or $0.03 per share, on net sales of $173.0 million during the same quarter of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 -</w:t>
      </w:r>
      <w:r>
        <w:rPr>
          <w:rFonts w:ascii="Arial" w:cs="Arial" w:eastAsia="Arial" w:hAnsi="Arial"/>
          <w:sz w:val="18"/>
          <w:szCs w:val="18"/>
          <w:color w:val="auto"/>
        </w:rPr>
        <w:t xml:space="preserve"> Net sales are derived from the sale of our products and related freight charges, less discounts and returns.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for the six months ended November 30, 2016 and November 30, 2015:</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w w:val="87"/>
              </w:rPr>
              <w:t>Six months ended</w:t>
            </w: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4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0"/>
              </w:rPr>
              <w:t>Currency</w:t>
            </w:r>
          </w:p>
        </w:tc>
        <w:tc>
          <w:tcPr>
            <w:tcW w:w="1240" w:type="dxa"/>
            <w:vAlign w:val="bottom"/>
          </w:tcPr>
          <w:p>
            <w:pPr>
              <w:spacing w:after="0"/>
              <w:rPr>
                <w:sz w:val="19"/>
                <w:szCs w:val="19"/>
                <w:color w:val="auto"/>
              </w:rPr>
            </w:pPr>
          </w:p>
        </w:tc>
      </w:tr>
      <w:tr>
        <w:trPr>
          <w:trHeight w:val="216"/>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2"/>
              </w:rPr>
              <w:t>Impact (Pos)</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Constant</w:t>
            </w:r>
          </w:p>
        </w:tc>
      </w:tr>
      <w:tr>
        <w:trPr>
          <w:trHeight w:val="251"/>
        </w:trPr>
        <w:tc>
          <w:tcPr>
            <w:tcW w:w="4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Nov 30, 2016</w:t>
            </w:r>
          </w:p>
        </w:tc>
        <w:tc>
          <w:tcPr>
            <w:tcW w:w="180" w:type="dxa"/>
            <w:vAlign w:val="bottom"/>
          </w:tcPr>
          <w:p>
            <w:pPr>
              <w:spacing w:after="0"/>
              <w:rPr>
                <w:sz w:val="21"/>
                <w:szCs w:val="21"/>
                <w:color w:val="auto"/>
              </w:rPr>
            </w:pPr>
          </w:p>
        </w:tc>
        <w:tc>
          <w:tcPr>
            <w:tcW w:w="1080" w:type="dxa"/>
            <w:vAlign w:val="bottom"/>
          </w:tcPr>
          <w:p>
            <w:pPr>
              <w:jc w:val="right"/>
              <w:ind w:right="152"/>
              <w:spacing w:after="0"/>
              <w:rPr>
                <w:sz w:val="20"/>
                <w:szCs w:val="20"/>
                <w:color w:val="auto"/>
              </w:rPr>
            </w:pPr>
            <w:r>
              <w:rPr>
                <w:rFonts w:ascii="Arial" w:cs="Arial" w:eastAsia="Arial" w:hAnsi="Arial"/>
                <w:sz w:val="14"/>
                <w:szCs w:val="14"/>
                <w:color w:val="auto"/>
                <w:w w:val="98"/>
              </w:rPr>
              <w:t>Nov 30, 2015</w:t>
            </w:r>
          </w:p>
        </w:tc>
        <w:tc>
          <w:tcPr>
            <w:tcW w:w="100" w:type="dxa"/>
            <w:vAlign w:val="bottom"/>
          </w:tcPr>
          <w:p>
            <w:pPr>
              <w:spacing w:after="0"/>
              <w:rPr>
                <w:sz w:val="21"/>
                <w:szCs w:val="21"/>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 Growth</w:t>
            </w: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0"/>
              </w:rPr>
              <w:t>Neg</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Currency</w:t>
            </w: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Product Category</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Peripheral Vascular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104,304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98,161</w:t>
            </w:r>
          </w:p>
        </w:tc>
        <w:tc>
          <w:tcPr>
            <w:tcW w:w="1400" w:type="dxa"/>
            <w:vAlign w:val="bottom"/>
            <w:gridSpan w:val="2"/>
          </w:tcPr>
          <w:p>
            <w:pPr>
              <w:jc w:val="right"/>
              <w:ind w:right="510"/>
              <w:spacing w:after="0"/>
              <w:rPr>
                <w:sz w:val="20"/>
                <w:szCs w:val="20"/>
                <w:color w:val="auto"/>
              </w:rPr>
            </w:pPr>
            <w:r>
              <w:rPr>
                <w:rFonts w:ascii="Arial" w:cs="Arial" w:eastAsia="Arial" w:hAnsi="Arial"/>
                <w:sz w:val="18"/>
                <w:szCs w:val="18"/>
                <w:color w:val="auto"/>
              </w:rPr>
              <w:t>6%</w:t>
            </w:r>
          </w:p>
        </w:tc>
        <w:tc>
          <w:tcPr>
            <w:tcW w:w="13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48,558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49,665</w:t>
            </w:r>
          </w:p>
        </w:tc>
        <w:tc>
          <w:tcPr>
            <w:tcW w:w="1400" w:type="dxa"/>
            <w:vAlign w:val="bottom"/>
            <w:tcBorders>
              <w:bottom w:val="single" w:sz="8" w:color="CCEEFF"/>
            </w:tcBorders>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(2)%</w:t>
            </w:r>
          </w:p>
        </w:tc>
        <w:tc>
          <w:tcPr>
            <w:tcW w:w="1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Oncology/Surgery</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22,844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23,805</w:t>
            </w:r>
          </w:p>
        </w:tc>
        <w:tc>
          <w:tcPr>
            <w:tcW w:w="1400" w:type="dxa"/>
            <w:vAlign w:val="bottom"/>
            <w:gridSpan w:val="2"/>
          </w:tcPr>
          <w:p>
            <w:pPr>
              <w:jc w:val="right"/>
              <w:ind w:right="450"/>
              <w:spacing w:after="0"/>
              <w:rPr>
                <w:sz w:val="20"/>
                <w:szCs w:val="20"/>
                <w:color w:val="auto"/>
              </w:rPr>
            </w:pPr>
            <w:r>
              <w:rPr>
                <w:rFonts w:ascii="Arial" w:cs="Arial" w:eastAsia="Arial" w:hAnsi="Arial"/>
                <w:sz w:val="18"/>
                <w:szCs w:val="18"/>
                <w:color w:val="auto"/>
              </w:rPr>
              <w:t>(4)%</w:t>
            </w:r>
          </w:p>
        </w:tc>
        <w:tc>
          <w:tcPr>
            <w:tcW w:w="13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Excluding Supply Agreement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175,706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171,631</w:t>
            </w:r>
          </w:p>
        </w:tc>
        <w:tc>
          <w:tcPr>
            <w:tcW w:w="1400" w:type="dxa"/>
            <w:vAlign w:val="bottom"/>
            <w:tcBorders>
              <w:bottom w:val="single" w:sz="8" w:color="CCEEFF"/>
            </w:tcBorders>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2%</w:t>
            </w:r>
          </w:p>
        </w:tc>
        <w:tc>
          <w:tcPr>
            <w:tcW w:w="130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2"/>
              </w:rPr>
              <w:t>1%</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w:t>
            </w: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Supply Agreement</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1,406</w:t>
            </w:r>
          </w:p>
        </w:tc>
        <w:tc>
          <w:tcPr>
            <w:tcW w:w="1400" w:type="dxa"/>
            <w:vAlign w:val="bottom"/>
            <w:gridSpan w:val="2"/>
          </w:tcPr>
          <w:p>
            <w:pPr>
              <w:jc w:val="right"/>
              <w:ind w:right="510"/>
              <w:spacing w:after="0"/>
              <w:rPr>
                <w:sz w:val="20"/>
                <w:szCs w:val="20"/>
                <w:color w:val="auto"/>
              </w:rPr>
            </w:pPr>
            <w:r>
              <w:rPr>
                <w:rFonts w:ascii="Arial" w:cs="Arial" w:eastAsia="Arial" w:hAnsi="Arial"/>
                <w:sz w:val="18"/>
                <w:szCs w:val="18"/>
                <w:color w:val="auto"/>
              </w:rPr>
              <w:t>1%</w:t>
            </w: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1%</w:t>
            </w: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177,127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173,037</w:t>
            </w:r>
          </w:p>
        </w:tc>
        <w:tc>
          <w:tcPr>
            <w:tcW w:w="1400" w:type="dxa"/>
            <w:vAlign w:val="bottom"/>
            <w:tcBorders>
              <w:bottom w:val="single" w:sz="8" w:color="CCEEFF"/>
            </w:tcBorders>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2%</w:t>
            </w:r>
          </w:p>
        </w:tc>
        <w:tc>
          <w:tcPr>
            <w:tcW w:w="130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2"/>
              </w:rPr>
              <w:t>1%</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w:t>
            </w:r>
          </w:p>
        </w:tc>
      </w:tr>
      <w:tr>
        <w:trPr>
          <w:trHeight w:val="20"/>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1"/>
        </w:trPr>
        <w:tc>
          <w:tcPr>
            <w:tcW w:w="4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Geography</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142,535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139,022</w:t>
            </w:r>
          </w:p>
        </w:tc>
        <w:tc>
          <w:tcPr>
            <w:tcW w:w="1400" w:type="dxa"/>
            <w:vAlign w:val="bottom"/>
            <w:gridSpan w:val="2"/>
          </w:tcPr>
          <w:p>
            <w:pPr>
              <w:jc w:val="right"/>
              <w:ind w:right="510"/>
              <w:spacing w:after="0"/>
              <w:rPr>
                <w:sz w:val="20"/>
                <w:szCs w:val="20"/>
                <w:color w:val="auto"/>
              </w:rPr>
            </w:pPr>
            <w:r>
              <w:rPr>
                <w:rFonts w:ascii="Arial" w:cs="Arial" w:eastAsia="Arial" w:hAnsi="Arial"/>
                <w:sz w:val="18"/>
                <w:szCs w:val="18"/>
                <w:color w:val="auto"/>
              </w:rPr>
              <w:t>3%</w:t>
            </w: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3%</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33,171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32,609</w:t>
            </w:r>
          </w:p>
        </w:tc>
        <w:tc>
          <w:tcPr>
            <w:tcW w:w="1400" w:type="dxa"/>
            <w:vAlign w:val="bottom"/>
            <w:tcBorders>
              <w:bottom w:val="single" w:sz="8" w:color="CCEEFF"/>
            </w:tcBorders>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2%</w:t>
            </w:r>
          </w:p>
        </w:tc>
        <w:tc>
          <w:tcPr>
            <w:tcW w:w="130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2"/>
              </w:rPr>
              <w:t>1%</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w:t>
            </w: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Supply Agreement</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1,406</w:t>
            </w:r>
          </w:p>
        </w:tc>
        <w:tc>
          <w:tcPr>
            <w:tcW w:w="1400" w:type="dxa"/>
            <w:vAlign w:val="bottom"/>
            <w:gridSpan w:val="2"/>
          </w:tcPr>
          <w:p>
            <w:pPr>
              <w:jc w:val="right"/>
              <w:ind w:right="510"/>
              <w:spacing w:after="0"/>
              <w:rPr>
                <w:sz w:val="20"/>
                <w:szCs w:val="20"/>
                <w:color w:val="auto"/>
              </w:rPr>
            </w:pPr>
            <w:r>
              <w:rPr>
                <w:rFonts w:ascii="Arial" w:cs="Arial" w:eastAsia="Arial" w:hAnsi="Arial"/>
                <w:sz w:val="18"/>
                <w:szCs w:val="18"/>
                <w:color w:val="auto"/>
              </w:rPr>
              <w:t>1%</w:t>
            </w: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1%</w:t>
            </w: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177,127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173,037</w:t>
            </w:r>
          </w:p>
        </w:tc>
        <w:tc>
          <w:tcPr>
            <w:tcW w:w="1400" w:type="dxa"/>
            <w:vAlign w:val="bottom"/>
            <w:tcBorders>
              <w:bottom w:val="single" w:sz="8" w:color="CCEEFF"/>
            </w:tcBorders>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2%</w:t>
            </w:r>
          </w:p>
        </w:tc>
        <w:tc>
          <w:tcPr>
            <w:tcW w:w="130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2"/>
              </w:rPr>
              <w:t>1%</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w:t>
            </w:r>
          </w:p>
        </w:tc>
      </w:tr>
      <w:tr>
        <w:trPr>
          <w:trHeight w:val="20"/>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For the six months ended November 30, 2016, net sales increased $4.1 million to $177.1 million compared to the same period in the prior year. As shown in the table above, consolidated net sales increased by 2% and 3% on a constant currency basis.</w:t>
      </w:r>
    </w:p>
    <w:p>
      <w:pPr>
        <w:spacing w:after="0" w:line="170"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From a product line perspective, Peripheral Vascular sales increased 6% primarily attributable to increased volume in our Angiographic product line which is offsetting softness in the remaining Peripheral Vascular business. Vascular Access sales decreased 2% due to growth in our Midlines and Bioflo dialysis product lines offsetting softness in the remaining Vascular Access. Oncology Surgery sales decreased 4% relating to the timing of capital product sales versus the prior year.</w:t>
      </w:r>
    </w:p>
    <w:p>
      <w:pPr>
        <w:spacing w:after="0" w:line="187"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color w:val="auto"/>
        </w:rPr>
        <w:t>From a geographic perspective, U.S. sales increased 3% due primarily to increased volume in the Angiographic product line, BioFlo Midlines and NanoKnife product lines. International sales increased 3% on a constant-currency basis, primarily attributable to growth in the Angiographic offset by NanoKnife capital timing compared to the prior year.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20" w:type="dxa"/>
            <w:vAlign w:val="bottom"/>
            <w:gridSpan w:val="4"/>
          </w:tcPr>
          <w:p>
            <w:pPr>
              <w:ind w:left="120"/>
              <w:spacing w:after="0"/>
              <w:rPr>
                <w:sz w:val="20"/>
                <w:szCs w:val="20"/>
                <w:color w:val="auto"/>
              </w:rPr>
            </w:pPr>
            <w:r>
              <w:rPr>
                <w:rFonts w:ascii="Arial" w:cs="Arial" w:eastAsia="Arial" w:hAnsi="Arial"/>
                <w:sz w:val="18"/>
                <w:szCs w:val="18"/>
                <w:color w:val="auto"/>
                <w:w w:val="88"/>
              </w:rPr>
              <w:t>Six months ended</w:t>
            </w:r>
          </w:p>
        </w:tc>
        <w:tc>
          <w:tcPr>
            <w:tcW w:w="1260" w:type="dxa"/>
            <w:vAlign w:val="bottom"/>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8"/>
        </w:trPr>
        <w:tc>
          <w:tcPr>
            <w:tcW w:w="75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8"/>
              </w:rPr>
              <w:t>Nov 30, 2016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96"/>
              </w:rPr>
              <w:t>Nov 30, 2015</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 Change</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90.0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Gross profit %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12.6</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39.0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Medical device excise tax</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bl>
    <w:p>
      <w:pPr>
        <w:spacing w:after="0" w:line="229"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u w:val="single" w:color="auto"/>
          <w:color w:val="auto"/>
        </w:rPr>
        <w:t>Gross profit</w:t>
      </w:r>
      <w:r>
        <w:rPr>
          <w:rFonts w:ascii="Arial" w:cs="Arial" w:eastAsia="Arial" w:hAnsi="Arial"/>
          <w:sz w:val="17"/>
          <w:szCs w:val="17"/>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The $0.7 million increase compared to the six months ended November 30, 2015 is primarily attributable to sales volume and leverage in the plant offset by pricing pressures globally, foreign currency impacts and mix of products compared to prior year.</w:t>
      </w:r>
    </w:p>
    <w:p>
      <w:pPr>
        <w:spacing w:after="0" w:line="17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u w:val="single" w:color="auto"/>
          <w:color w:val="auto"/>
        </w:rPr>
        <w:t>Research and development expenses</w:t>
      </w:r>
      <w:r>
        <w:rPr>
          <w:rFonts w:ascii="Arial" w:cs="Arial" w:eastAsia="Arial" w:hAnsi="Arial"/>
          <w:sz w:val="18"/>
          <w:szCs w:val="18"/>
          <w:color w:val="auto"/>
        </w:rPr>
        <w:t xml:space="preserve"> - Research and development (“R&amp;D”) expenses include internal and external costs to develop new products, enhance existing products, validate new and enhanced products, manage clinical, regulatory and medical affairs. R&amp;D expenses increased $0.3 million for the six months ending November 30, 2016 due to increased headcount in regulatory and quality ($0.5 million) offset by lower project spend related to implementation of a new product development process ($0.3 million).</w:t>
      </w:r>
    </w:p>
    <w:p>
      <w:pPr>
        <w:spacing w:after="0" w:line="18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u w:val="single" w:color="auto"/>
          <w:color w:val="auto"/>
        </w:rPr>
        <w:t>Sales and marketing expenses</w:t>
      </w:r>
      <w:r>
        <w:rPr>
          <w:rFonts w:ascii="Arial" w:cs="Arial" w:eastAsia="Arial" w:hAnsi="Arial"/>
          <w:sz w:val="18"/>
          <w:szCs w:val="18"/>
          <w:color w:val="auto"/>
        </w:rPr>
        <w:t xml:space="preserve"> - Sales and marketing (“S&amp;M”) expenses consist primarily of salaries, commissions, travel and related business expenses, attendance at medical society meetings, product promotions and marketing activities. S&amp;M expenses decreased by $3.6 million for the six months ending November 30, 2016 due to open positions and commissions ($1.0 million), reduced travel costs ($1.1 million), depreciation expense ($0.3 million) and cost management on sales meetings and samples ($1.0 million).</w:t>
      </w:r>
    </w:p>
    <w:p>
      <w:pPr>
        <w:spacing w:after="0" w:line="18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xml:space="preserve"> - General and administrative (“G&amp;A”) expenses include executive management, finance, information technology, human resources, business development, legal, and the administrative and professional costs associated with those activities. G&amp;A expenses remained consistent for the six months ended November 30, 2016, driven by lower depreciation ($0.4 million) offsetting increased legal fees and accounting fees ($0.3 million).</w:t>
      </w:r>
    </w:p>
    <w:p>
      <w:pPr>
        <w:spacing w:after="0" w:line="18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u w:val="single" w:color="auto"/>
          <w:color w:val="auto"/>
        </w:rPr>
        <w:t>Medical device excise tax</w:t>
      </w:r>
      <w:r>
        <w:rPr>
          <w:rFonts w:ascii="Arial" w:cs="Arial" w:eastAsia="Arial" w:hAnsi="Arial"/>
          <w:sz w:val="18"/>
          <w:szCs w:val="18"/>
          <w:color w:val="auto"/>
        </w:rPr>
        <w:t xml:space="preserve"> - Medical devices excise tax is assessed on our US product sales subject to exclusions and adjustments during the first two quarters of fiscal 2016. The expense decreased for the six months ending November 30, 2016 compared to the prior year due to the suspension of the medical device excise tax as of the end of December 2015.</w:t>
      </w:r>
    </w:p>
    <w:p>
      <w:pPr>
        <w:spacing w:after="0" w:line="343"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31750</wp:posOffset>
            </wp:positionV>
            <wp:extent cx="23069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Nov 30, 2016</w:t>
            </w: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2015</w:t>
            </w:r>
          </w:p>
        </w:tc>
        <w:tc>
          <w:tcPr>
            <w:tcW w:w="220" w:type="dxa"/>
            <w:vAlign w:val="bottom"/>
          </w:tcPr>
          <w:p>
            <w:pPr>
              <w:spacing w:after="0"/>
              <w:rPr>
                <w:sz w:val="16"/>
                <w:szCs w:val="16"/>
                <w:color w:val="auto"/>
              </w:rPr>
            </w:pPr>
          </w:p>
        </w:tc>
        <w:tc>
          <w:tcPr>
            <w:tcW w:w="920" w:type="dxa"/>
            <w:vAlign w:val="bottom"/>
          </w:tcPr>
          <w:p>
            <w:pPr>
              <w:jc w:val="right"/>
              <w:ind w:right="214"/>
              <w:spacing w:after="0"/>
              <w:rPr>
                <w:sz w:val="20"/>
                <w:szCs w:val="20"/>
                <w:color w:val="auto"/>
              </w:rPr>
            </w:pPr>
            <w:r>
              <w:rPr>
                <w:rFonts w:ascii="Arial" w:cs="Arial" w:eastAsia="Arial" w:hAnsi="Arial"/>
                <w:sz w:val="14"/>
                <w:szCs w:val="14"/>
                <w:color w:val="auto"/>
                <w:w w:val="98"/>
              </w:rPr>
              <w:t>$ Change</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restructuring and other items,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0.4</w:t>
            </w:r>
          </w:p>
        </w:tc>
      </w:tr>
    </w:tbl>
    <w:p>
      <w:pPr>
        <w:spacing w:after="0" w:line="229"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Amortization of intangibles decreased from the six months ending November 30, 2016 to November 30, 2015 primarily due to intangibles that became fully amortized.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u w:val="single" w:color="auto"/>
          <w:color w:val="auto"/>
        </w:rPr>
        <w:t>Change in fair value of contingent consideration</w:t>
      </w:r>
      <w:r>
        <w:rPr>
          <w:rFonts w:ascii="Arial" w:cs="Arial" w:eastAsia="Arial" w:hAnsi="Arial"/>
          <w:sz w:val="17"/>
          <w:szCs w:val="17"/>
          <w:color w:val="auto"/>
        </w:rPr>
        <w:t xml:space="preserve"> - Represents changes in the contingent consideration driven by changes to estimated future payments on earn-out liabilities created through acquisitions and amortization of present value discounts on long-term contingent consideration. The decrease is due to a gain of $13.4 million that was taken on the AngioVac product as a result of decreases in future sales forecasts that eliminated any excess payments and a gain of $3.1 million on the TiLo product as the milestone will not be achieved. This was partially offset by normal amortization.</w:t>
      </w:r>
    </w:p>
    <w:p>
      <w:pPr>
        <w:spacing w:after="0" w:line="171"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u w:val="single" w:color="auto"/>
          <w:color w:val="auto"/>
        </w:rPr>
        <w:t>Acquisition, restructuring and other items, net</w:t>
      </w:r>
      <w:r>
        <w:rPr>
          <w:rFonts w:ascii="Arial" w:cs="Arial" w:eastAsia="Arial" w:hAnsi="Arial"/>
          <w:sz w:val="18"/>
          <w:szCs w:val="18"/>
          <w:color w:val="auto"/>
        </w:rPr>
        <w:t xml:space="preserve"> - Expense for the six months ended November 30, 2016 consists primarily of $0.7 million in severance, $3.6 million in litigation expense and $2.0 million for the write-off of Embomedics due to termination of the agreement and $3.6 million related to the decision to discontinue our investment in the TiLo product, as described above. The six months ended November 30, 2015 included $0.4 million in accelerated depreciation, $2.6 million in litigation expense and other miscellaneous items.</w:t>
      </w:r>
    </w:p>
    <w:p>
      <w:pPr>
        <w:spacing w:after="0" w:line="18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u w:val="single" w:color="auto"/>
          <w:color w:val="auto"/>
        </w:rPr>
        <w:t>Other expenses</w:t>
      </w:r>
      <w:r>
        <w:rPr>
          <w:rFonts w:ascii="Arial" w:cs="Arial" w:eastAsia="Arial" w:hAnsi="Arial"/>
          <w:sz w:val="18"/>
          <w:szCs w:val="18"/>
          <w:color w:val="auto"/>
        </w:rPr>
        <w:t xml:space="preserve"> - Other expenses include interest expense, foreign currency impacts, bank fees, and amortization of deferred financing costs. Expenses were consistent year over year in composition.</w:t>
      </w:r>
    </w:p>
    <w:p>
      <w:pPr>
        <w:spacing w:after="0" w:line="333" w:lineRule="exact"/>
        <w:rPr>
          <w:sz w:val="20"/>
          <w:szCs w:val="20"/>
          <w:color w:val="auto"/>
        </w:rPr>
      </w:pPr>
    </w:p>
    <w:p>
      <w:pPr>
        <w:ind w:left="9520"/>
        <w:spacing w:after="0"/>
        <w:rPr>
          <w:sz w:val="20"/>
          <w:szCs w:val="20"/>
          <w:color w:val="auto"/>
        </w:rPr>
      </w:pPr>
      <w:r>
        <w:rPr>
          <w:rFonts w:ascii="Arial" w:cs="Arial" w:eastAsia="Arial" w:hAnsi="Arial"/>
          <w:sz w:val="18"/>
          <w:szCs w:val="18"/>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31750</wp:posOffset>
            </wp:positionV>
            <wp:extent cx="16122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Nov 30, 2016</w:t>
            </w:r>
          </w:p>
        </w:tc>
        <w:tc>
          <w:tcPr>
            <w:tcW w:w="18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Arial" w:cs="Arial" w:eastAsia="Arial" w:hAnsi="Arial"/>
                <w:sz w:val="14"/>
                <w:szCs w:val="14"/>
                <w:color w:val="auto"/>
                <w:w w:val="96"/>
              </w:rPr>
              <w:t>Nov 30, 2015</w:t>
            </w:r>
          </w:p>
        </w:tc>
      </w:tr>
      <w:tr>
        <w:trPr>
          <w:trHeight w:val="250"/>
        </w:trPr>
        <w:tc>
          <w:tcPr>
            <w:tcW w:w="8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(0.3)</w:t>
            </w:r>
          </w:p>
        </w:tc>
      </w:tr>
      <w:tr>
        <w:trPr>
          <w:trHeight w:val="243"/>
        </w:trPr>
        <w:tc>
          <w:tcPr>
            <w:tcW w:w="8880" w:type="dxa"/>
            <w:vAlign w:val="bottom"/>
          </w:tcPr>
          <w:p>
            <w:pPr>
              <w:ind w:left="40"/>
              <w:spacing w:after="0"/>
              <w:rPr>
                <w:sz w:val="20"/>
                <w:szCs w:val="20"/>
                <w:color w:val="auto"/>
              </w:rPr>
            </w:pPr>
            <w:r>
              <w:rPr>
                <w:rFonts w:ascii="Arial" w:cs="Arial" w:eastAsia="Arial" w:hAnsi="Arial"/>
                <w:sz w:val="18"/>
                <w:szCs w:val="18"/>
                <w:color w:val="auto"/>
              </w:rPr>
              <w:t>Effective tax rate including discrete items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w:t>
            </w:r>
          </w:p>
        </w:tc>
      </w:tr>
    </w:tbl>
    <w:p>
      <w:pPr>
        <w:spacing w:after="0" w:line="229"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u w:val="single" w:color="auto"/>
          <w:color w:val="auto"/>
        </w:rPr>
        <w:t>Income taxes</w:t>
      </w:r>
      <w:r>
        <w:rPr>
          <w:rFonts w:ascii="Arial" w:cs="Arial" w:eastAsia="Arial" w:hAnsi="Arial"/>
          <w:sz w:val="16"/>
          <w:szCs w:val="16"/>
          <w:color w:val="auto"/>
        </w:rPr>
        <w:t xml:space="preserve"> - Our effective tax rate including discrete items for the six month periods ended November 30, 2016 and November 30, 2015 was 13.2% and 19.4%, respectively. The change in the effective tax rate, detailed in Note G, is primarily driven by the impact of the US valuation allowance and the deferred tax liability related to intangibles that have an indefinite reversal period and cannot be used to support the deferred tax assets.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Our cash and cash equivalents totaled $35.7 million as of November 30, 2016, compared with $32.3 million as of May 31, 2016. Marketable securities totaled $1.2 million and $1.7 million as of November 30, 2016 and May 31, 2016, respectively, and consist of an auction rate security. As of November 30, 2016, total debt was $116.5 million and the fair value of contingent consideration payments was $12.5 million.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table below summarizes our cash flows for the six months ended November 30, 2016 and November 30, 2015 (in thousands of dollars):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color w:val="auto"/>
              </w:rPr>
              <w:t>Six Months Ended</w:t>
            </w:r>
          </w:p>
        </w:tc>
      </w:tr>
      <w:tr>
        <w:trPr>
          <w:trHeight w:val="264"/>
        </w:trPr>
        <w:tc>
          <w:tcPr>
            <w:tcW w:w="9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Nov 30, 2016</w:t>
            </w:r>
          </w:p>
        </w:tc>
        <w:tc>
          <w:tcPr>
            <w:tcW w:w="160" w:type="dxa"/>
            <w:vAlign w:val="bottom"/>
          </w:tcPr>
          <w:p>
            <w:pPr>
              <w:spacing w:after="0"/>
              <w:rPr>
                <w:sz w:val="22"/>
                <w:szCs w:val="22"/>
                <w:color w:val="auto"/>
              </w:rPr>
            </w:pPr>
          </w:p>
        </w:tc>
        <w:tc>
          <w:tcPr>
            <w:tcW w:w="980" w:type="dxa"/>
            <w:vAlign w:val="bottom"/>
          </w:tcPr>
          <w:p>
            <w:pPr>
              <w:jc w:val="right"/>
              <w:ind w:right="93"/>
              <w:spacing w:after="0"/>
              <w:rPr>
                <w:sz w:val="20"/>
                <w:szCs w:val="20"/>
                <w:color w:val="auto"/>
              </w:rPr>
            </w:pPr>
            <w:r>
              <w:rPr>
                <w:rFonts w:ascii="Arial" w:cs="Arial" w:eastAsia="Arial" w:hAnsi="Arial"/>
                <w:sz w:val="14"/>
                <w:szCs w:val="14"/>
                <w:color w:val="auto"/>
                <w:w w:val="93"/>
              </w:rPr>
              <w:t>Nov 30, 2015</w:t>
            </w: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22,387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14,278</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(12,370)</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3,331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605</w:t>
            </w:r>
          </w:p>
        </w:tc>
      </w:tr>
      <w:tr>
        <w:trPr>
          <w:trHeight w:val="27"/>
        </w:trPr>
        <w:tc>
          <w:tcPr>
            <w:tcW w:w="9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Cash provided by operating activities during the six months ended November 30, 2016 and November 30, 2015, was primarily the result of net income excluding non-cash items offset by changes in working capital. In the current year period, favorable working capital changes in accounts receivable were offset by unfavorable movements in inventories, payables and accrued expenses; however, working capital changes were $2.5 million more favorable than the prior year.</w:t>
      </w:r>
    </w:p>
    <w:p>
      <w:pPr>
        <w:spacing w:after="0" w:line="18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net cash used in investing activities for the current year period consisted of $1.8 million in fixed asset additions offset by proceeds from one of our investments of $0.5 million. The prior year use of cash consisted primarily of $1.2 million of fixed asset additions.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The net cash provided by financing activities is the result of a $6.4 of proceeds from stock option and ESPP activity offset by a $9.9 million payment on earn-out liabilities, net $5.0 million in repayments on long-term debt after the proceeds from the new credit agreement and repayment of the old credit agreement, $1.2 million in deferred financing fees related to the new credit agreement and $7.9 million from the repurchase of common shares.</w:t>
      </w:r>
    </w:p>
    <w:p>
      <w:pPr>
        <w:spacing w:after="0" w:line="147"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On November 7, 2016 the Company entered into a Credit Agreement that provides for a $100 million senior secured term loan facility and a $150 million senior secured revolving credit facility, which includes up to a $20 million sublimit for letters of credit and a $5 million sublimit for swingline loans.</w:t>
      </w:r>
    </w:p>
    <w:p>
      <w:pPr>
        <w:spacing w:after="0" w:line="124"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We believe that our current cash and investment balances, together with cash generated from operations and our remaining revolving credit facility capacity of $134.0 million as of November 30, 2016, will provide sufficient liquidity to meet our anticipated needs for capital for at least the next 12 months. If we seek to make significant acquisitions of other businesses or technologies in the future, we may require additional external financing.</w:t>
      </w:r>
    </w:p>
    <w:p>
      <w:pPr>
        <w:spacing w:after="0" w:line="200" w:lineRule="exact"/>
        <w:rPr>
          <w:sz w:val="20"/>
          <w:szCs w:val="20"/>
          <w:color w:val="auto"/>
        </w:rPr>
      </w:pPr>
    </w:p>
    <w:p>
      <w:pPr>
        <w:spacing w:after="0" w:line="340"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We are exposed to market risk from changes in currency exchange rates, as well as interest rate fluctuations on our credit facility and investments that could impact our results of operations and financial position.</w:t>
      </w:r>
    </w:p>
    <w:p>
      <w:pPr>
        <w:spacing w:after="0" w:line="17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transact sales in currencies other than the U.S. Dollar, particularly the Euro, British pound and Canadian dollar. Approximately 7% of our year to date sales in fiscal 2017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Income (Expenses).</w:t>
      </w:r>
    </w:p>
    <w:p>
      <w:pPr>
        <w:spacing w:after="0" w:line="188"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On November 7, 2016, we entered into a Credit Agreement (the "Credit Agreement") which provides for a $100 million senior secured term loan facility ("Term Loan") and a $150 million senior secured revolving credit facility (the "Revolving Facility", and together with the Term Loan, the "Facilities"). Interest on both the Term Loan and Revolver is based on a base rate or Eurodollar rate plus an applicable margin which increases as our total leverage ratio increases, with the base rate and Eurodollar rate having ranges of 0.50% to 1.25% and 1.50% to 2.25% respectively. In the event of default, the interest rate may be increased by 2.0%. Changes in the interest rate would not be material.</w:t>
      </w:r>
    </w:p>
    <w:p>
      <w:pPr>
        <w:spacing w:after="0" w:line="200" w:lineRule="exact"/>
        <w:rPr>
          <w:sz w:val="20"/>
          <w:szCs w:val="20"/>
          <w:color w:val="auto"/>
        </w:rPr>
      </w:pPr>
    </w:p>
    <w:p>
      <w:pPr>
        <w:spacing w:after="0" w:line="362"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of the end of the period covered by this report, our management, under the supervision and with the participation of our Chief Executive Officer and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There was no change in our internal control over financial reporting for the fiscal quarter ended November 30, 2016 that has materially affected, or is reasonably likely to materially affect, our internal control over financial reporting.</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AngioDynamics, Inc. and Subsidiaries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v. biolitec</w:t>
      </w:r>
    </w:p>
    <w:p>
      <w:pPr>
        <w:spacing w:after="0" w:line="225" w:lineRule="exact"/>
        <w:rPr>
          <w:sz w:val="20"/>
          <w:szCs w:val="20"/>
          <w:color w:val="auto"/>
        </w:rPr>
      </w:pPr>
    </w:p>
    <w:p>
      <w:pPr>
        <w:ind w:firstLine="878"/>
        <w:spacing w:after="0" w:line="272" w:lineRule="auto"/>
        <w:rPr>
          <w:sz w:val="20"/>
          <w:szCs w:val="20"/>
          <w:color w:val="auto"/>
        </w:rPr>
      </w:pPr>
      <w:r>
        <w:rPr>
          <w:rFonts w:ascii="Arial" w:cs="Arial" w:eastAsia="Arial" w:hAnsi="Arial"/>
          <w:sz w:val="17"/>
          <w:szCs w:val="17"/>
          <w:color w:val="auto"/>
        </w:rPr>
        <w:t>On January 2, 2008, we commenced an action in the United States District Court for the Northern District of New York entitled AngioDynamics, Inc. v. biolitec, Inc. In this action, we sought judgment against biolitec for defense and indemnification in two lawsuits which we previously settled. Our claims arise out of a Supply and Distribution Agreement (“SDA”) entered into with biolitec on April 1, 2002. On September 27, 2011, the U.S. District Court granted key portions of our motion for summary judgment in our legal case against biolitec. The Court also dismissed biolitec’s counterclaims against us. The court denied one portion of our summary judgment motion, which sought to recover additional costs from biolitec, leaving this for adjudication at trial. On November 8, 2012, the Court granted partial judgment to us in the amount of $23.2 million. Biolitec appealed this judgment. On August 23, 2013, the U.S. Court of Appeals for the Second Circuit dismissed biolitec’s appeal.</w:t>
      </w:r>
    </w:p>
    <w:p>
      <w:pPr>
        <w:spacing w:after="0" w:line="178" w:lineRule="exact"/>
        <w:rPr>
          <w:sz w:val="20"/>
          <w:szCs w:val="20"/>
          <w:color w:val="auto"/>
        </w:rPr>
      </w:pPr>
    </w:p>
    <w:p>
      <w:pPr>
        <w:ind w:firstLine="878"/>
        <w:spacing w:after="0" w:line="286" w:lineRule="auto"/>
        <w:rPr>
          <w:sz w:val="20"/>
          <w:szCs w:val="20"/>
          <w:color w:val="auto"/>
        </w:rPr>
      </w:pPr>
      <w:r>
        <w:rPr>
          <w:rFonts w:ascii="Arial" w:cs="Arial" w:eastAsia="Arial" w:hAnsi="Arial"/>
          <w:sz w:val="16"/>
          <w:szCs w:val="16"/>
          <w:color w:val="auto"/>
        </w:rPr>
        <w:t>In October 2009, we commenced an action in the United States District Court for the District of Massachusetts entitled AngioDynamics, Inc. v. biolitec AG and Wolfgang Neuberger. The Complaint in this action was amended in March 2010. This action seeks to recover against biolitec, Inc.’s parent entities and CEO for tortiously interfering with biolitec, Inc.’s contractual obligation to defend and indemnify us, and also seeks to pierce the corporate veil of biolitec, Inc. and to invalidate certain alleged fraudulent transfers in order to hold biolitec, Inc.’s parent entities jointly and severally liable for the alleged breach of the SDA. On September 13, 2012, the Massachusetts Court granted our request for a preliminary injunction prohibiting the downstream merger of biolitec AG with its Austrian subsidiary. On April 1, 2013, the U.S. Court of Appeals for the First Circuit affirmed the preliminary injunction. On January 14, 2014, the District Court entered judgment in our favor as to liability. On March 18, 2014, the District Court entered judgment in our favor against Biolitec AG, Biomed Technology Holdings, Ltd., and Wolfgang Neuberger, jointly and severally, in the amount of $74.9 million. On March 11, 2015, the U.S. Court of Appeals for the First Circuit affirmed the judgment. The defendants petitioned to the U.S. Supreme Court for a writ of certiorari. The Supreme Court denied the petition on November 30, 2015. The defendants have also filed an appeal with the U.S. Court of Appeals for the First Circuit regarding civil contempt sanctions imposed by the Massachusetts District Court as a result of defendants’ completion of the downstream merger in violation of the Court’s injunction. On May 6, 2016, the First Circuit issued an opinion rejecting this latest appeal. On October 11, 2016, defendants petitioned the U.S. Supreme Court for a writ of certiorari from that decision. We opposed the petition, and the Supreme Court is expected to rule on the petition in January 2017.</w:t>
      </w:r>
    </w:p>
    <w:p>
      <w:pPr>
        <w:spacing w:after="0" w:line="175" w:lineRule="exact"/>
        <w:rPr>
          <w:sz w:val="20"/>
          <w:szCs w:val="20"/>
          <w:color w:val="auto"/>
        </w:rPr>
      </w:pPr>
    </w:p>
    <w:p>
      <w:pPr>
        <w:ind w:right="20" w:firstLine="878"/>
        <w:spacing w:after="0" w:line="276" w:lineRule="auto"/>
        <w:rPr>
          <w:sz w:val="20"/>
          <w:szCs w:val="20"/>
          <w:color w:val="auto"/>
        </w:rPr>
      </w:pPr>
      <w:r>
        <w:rPr>
          <w:rFonts w:ascii="Arial" w:cs="Arial" w:eastAsia="Arial" w:hAnsi="Arial"/>
          <w:sz w:val="17"/>
          <w:szCs w:val="17"/>
          <w:color w:val="auto"/>
        </w:rPr>
        <w:t>On February 18, 2016, the Massachusetts District Court issued an order compelling the Massachusetts defendants to provide post-judgment discovery intended to aid us in potentially collecting our judgment. On March 21, 2016, the Massachusetts defendants noticed an appeal from this order. On August 31, 2016, the First Circuit dismissed that appeal. On June 27, 2016, we filed a motion asking the Massachusetts District Court to impose sanctions on the Massachusetts defendants for their failure to comply with the post-judgment discovery order. On December 26, 2016, we filed a further motion seeking to compel defendants to provide additional post-judgment discovery.</w:t>
      </w:r>
    </w:p>
    <w:p>
      <w:pPr>
        <w:spacing w:after="0" w:line="173" w:lineRule="exact"/>
        <w:rPr>
          <w:sz w:val="20"/>
          <w:szCs w:val="20"/>
          <w:color w:val="auto"/>
        </w:rPr>
      </w:pPr>
    </w:p>
    <w:p>
      <w:pPr>
        <w:ind w:right="40" w:firstLine="878"/>
        <w:spacing w:after="0" w:line="293" w:lineRule="auto"/>
        <w:rPr>
          <w:sz w:val="20"/>
          <w:szCs w:val="20"/>
          <w:color w:val="auto"/>
        </w:rPr>
      </w:pPr>
      <w:r>
        <w:rPr>
          <w:rFonts w:ascii="Arial" w:cs="Arial" w:eastAsia="Arial" w:hAnsi="Arial"/>
          <w:sz w:val="16"/>
          <w:szCs w:val="16"/>
          <w:color w:val="auto"/>
        </w:rPr>
        <w:t>On November 13, 2014, the U.S. District Court for the District of Massachusetts issued summonses to four Biolitec entities - Biolitec U.S., Inc., Biolitec Holding U.S., Inc., Biolitec Medical Devices, Inc., and CeramOptec Industries, Inc. - pursuant to Massachusetts trustee process. We sought to use this process to attach the assets of these entities in order to satisfy our judgment. The trustee process was automatically stayed when the four Biolitec entities filed Chapter 7 petitions in the U.S. Bankruptcy Court for the District of Delaware. However, on November 3, 2015, the Delaware Bankruptcy Court granted our request to modify the automatic stay to allow us to seek a default against the four Biolitec entities pursuant to trustee process. On January 21, 2016, the four Chapter 7 cases were transferred at our request to the U.S. Bankruptcy Court for the District of New Jersey.</w:t>
      </w:r>
    </w:p>
    <w:p>
      <w:pPr>
        <w:spacing w:after="0" w:line="165" w:lineRule="exact"/>
        <w:rPr>
          <w:sz w:val="20"/>
          <w:szCs w:val="20"/>
          <w:color w:val="auto"/>
        </w:rPr>
      </w:pPr>
    </w:p>
    <w:p>
      <w:pPr>
        <w:ind w:right="40" w:firstLine="878"/>
        <w:spacing w:after="0" w:line="276" w:lineRule="auto"/>
        <w:rPr>
          <w:sz w:val="20"/>
          <w:szCs w:val="20"/>
          <w:color w:val="auto"/>
        </w:rPr>
      </w:pPr>
      <w:r>
        <w:rPr>
          <w:rFonts w:ascii="Arial" w:cs="Arial" w:eastAsia="Arial" w:hAnsi="Arial"/>
          <w:sz w:val="17"/>
          <w:szCs w:val="17"/>
          <w:color w:val="auto"/>
        </w:rPr>
        <w:t>On August 29, 2013, we became co-plaintiffs in an adversary proceeding in the United States Bankruptcy Court for the District of New Jersey entitled Cyganowski, Trustee, et al. v. Biolitec U.S., Inc., et al. In this action, we assert claims of conversion, unjust enrichment, tortious interference, and unfair competition against various biolitec entities for alleged violation of Bankruptcy Court settlement and sale orders under which we acquired certain assets of Biolitec, Inc. On September 3, 2013, we, along with our co-plaintiff, obtained a temporary restraining order against the defendants in this action. On January 22, 2015, the Bankruptcy Court entered a permanent injunction on our behalf for an additional two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21" w:right="27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225" w:lineRule="exact"/>
        <w:rPr>
          <w:sz w:val="20"/>
          <w:szCs w:val="20"/>
          <w:color w:val="auto"/>
        </w:rPr>
      </w:pPr>
    </w:p>
    <w:p>
      <w:pPr>
        <w:ind w:right="40" w:firstLine="878"/>
        <w:spacing w:after="0" w:line="285" w:lineRule="auto"/>
        <w:rPr>
          <w:sz w:val="20"/>
          <w:szCs w:val="20"/>
          <w:color w:val="auto"/>
        </w:rPr>
      </w:pPr>
      <w:r>
        <w:rPr>
          <w:rFonts w:ascii="Arial" w:cs="Arial" w:eastAsia="Arial" w:hAnsi="Arial"/>
          <w:sz w:val="16"/>
          <w:szCs w:val="16"/>
          <w:color w:val="auto"/>
        </w:rPr>
        <w:t>On January 11, 2012, C.R. Bard, Inc. (“Bard”) filed a suit in the United States District Court of Utah claiming certain of our implantable port products infringe on three U.S. patents held by Bard (the "Utah Action"). Bard is seeking unspecified damages and other relief. The Court denied Bard’s motion for pre-trial consolidation with separate actions it filed on the same day against Medical Components, Inc. and Smiths Medical ASD, Inc., but had asked for supplemental briefing on the issue of whether to conduct a common Markman hearing. Meanwhile, we filed petitions for reexamination in the US Patent and Trademark Office ("PTO") which seek to invalidate all three patents asserted by Bard in the litigation. Our petitions were granted and 40 of Bard's 41 patent claims were rejected and, following further proceedings, the Patent Office issued a Final Rejection of all 40 claims subject to reexamination. Thereafter, Bard filed appeals to the PTO Board of Appeals and Interferences for all three reexams. The parties completed briefing on the appeals and oral argument was held on June 18, 2015. The Patent Office has issued decisions in the three appeals. In one (issued on March 11, 2016 for US Patent No. 7,785,302), the rejections of six of the ten claims under reexamination were affirmed, but were reversed on four of the ten claims. In the second (issued on March 24, 2016 for U.S. Patent No. 7,959,615), the rejections of eight of the ten claims under reexamination were affirmed but the rejections of the other two of the ten claims were reversed. In the third (issued on March 29 for U.S. Patent No. 7,947.022) the rejections of all twenty claims under reexamination were affirmed. Bard has since filed Requests for Rehearing in all three reexamination appeals and the Company filed Requests for Rehearing in two of the reexamination appeals (the ‘302 and ‘615 patent reexaminations). Each party has filed comments in Opposition to the other party’s Rehearing Requests, and we are awaiting the PTO determinations in all three reexaminations. The Utah Action has been stayed pending final resolution of the PTO process. We believe 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178" w:lineRule="exact"/>
        <w:rPr>
          <w:sz w:val="20"/>
          <w:szCs w:val="20"/>
          <w:color w:val="auto"/>
        </w:rPr>
      </w:pPr>
    </w:p>
    <w:p>
      <w:pPr>
        <w:ind w:firstLine="864"/>
        <w:spacing w:after="0" w:line="286" w:lineRule="auto"/>
        <w:rPr>
          <w:sz w:val="20"/>
          <w:szCs w:val="20"/>
          <w:color w:val="auto"/>
        </w:rPr>
      </w:pPr>
      <w:r>
        <w:rPr>
          <w:rFonts w:ascii="Arial" w:cs="Arial" w:eastAsia="Arial" w:hAnsi="Arial"/>
          <w:sz w:val="16"/>
          <w:szCs w:val="16"/>
          <w:color w:val="auto"/>
        </w:rPr>
        <w:t>On March 10, 2015, C.R. Bard, Inc. and Bard Peripheral Vascular, Inc. (“Bard”) filed suit in the United States District Court for the District of Delaware claiming certain of our implantable port products infringe on three U.S. patents held by Bard (the “Delaware Action). Bard is seeking unspecified damages and other relief. The patents asserted in the Delaware Action are different than those asserted in the Utah Action. On June 1, 2015, we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 On January 12, 2016, the court issued a decision denying both motions. We have since served an Answer and Counterclaim to which Bard has served a Reply. On March 10, 2016, the Court held a case management conference, and, on March 14, 2016, the court entered a Scheduling Order which set, inter alia, a Markman hearing for March 10, 2017, a summary judgment hearing for December 8, 2017 and trial for March 12, 2018. The parties have since served various discovery requests on each other, and have been producing documents to each other; on May 27, 2016 Bard served its Infringement Contentions which identified all the port products accused of infringement; and, on June 24, 2016, we served Invalidity Contentions which detail various grounds for invalidating the three asserted patents. The parties are in the midst of exchanging briefs in advance of the March 10, 2017 Markman hearing. We believe 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Governmental Investigations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 Beads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June 2014 we received a subpoena from the U.S. Department of Justice (the “DOJ”) requesting documents in relation to a criminal and civil investigation the DOJ is conducting regarding BTG International, Inc.’s LC Bead® product beginning in 2003. RITA Medical Systems and AngioDynamics, Inc., after its acquisition of RITA, was the exclusive distributor of LC Beads in the United States from 2006 through December 31, 2011. We are cooperating fully with this investigation and at this time are unable to predict its scope, duration or outcome. We are unable at this time to reasonably estimate the amount or range of any loss, although it is possible that the amount of such loss could be material. In accordance with ASC 450, "Contingencies," or "ASC 450," no amount in respect of any potential liability in this matter, including for penalties, fines or other sanctions, has been accrued in the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EVLT</w:t>
      </w:r>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In April 2015 we received a subpoena from the DOJ requesting documents in relation to a criminal and civil investigation the DOJ is conducting regarding purported promotion of certain of AngioDynamics’ VenaCure EVLT products for un-cleared indications. We are cooperating fully with this investigation and at this time are unable to predict its scope, duration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or outcome. We are unable at this time to reasonably estimate the amount or range of any loss, although it is possible that the amount of such loss could be material. In accordance with ASC 450, "Contingencies," or "ASC 450," no amount in respect of any potential liability in this matter, including for penalties, fines or other sanctions, has been accrued in the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240" w:top="122" w:right="41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to information set forth in this report, you should carefully consider the factors discussed in “Part I, Item 1A. Risk Factors” of our annual report on Form 10-K for our fiscal year ended May 31, 2016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 An investment in our securities continues to involve a high degree of risk. There have been no material changes to the risk factors previously disclosed in our annual report on Form 10-K.</w:t>
      </w: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240" w:top="121" w:right="41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provides information with respect to the shares of the Company’s common stock repurchased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2016:</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w w:val="96"/>
              </w:rPr>
              <w:t>Issuer Purchases of Equity Securities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28"/>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7"/>
              </w:rPr>
              <w:t>Maximum</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4"/>
              </w:rPr>
              <w:t>Approximate</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Number of</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3"/>
              </w:rPr>
              <w:t>Dollar Value</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8"/>
              </w:rPr>
              <w:t>of Shares</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Total</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Purchased</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0"/>
              </w:rPr>
              <w:t>that May Yet</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as Part of</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0"/>
              </w:rPr>
              <w:t>Be</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Average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Publicly</w:t>
            </w:r>
          </w:p>
        </w:tc>
        <w:tc>
          <w:tcPr>
            <w:tcW w:w="16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85"/>
              </w:rPr>
              <w:t>Purchased</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Purchased</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Price Paid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Announced</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8"/>
              </w:rPr>
              <w:t>Under Plans</w:t>
            </w:r>
          </w:p>
        </w:tc>
      </w:tr>
      <w:tr>
        <w:trPr>
          <w:trHeight w:val="190"/>
        </w:trPr>
        <w:tc>
          <w:tcPr>
            <w:tcW w:w="6280" w:type="dxa"/>
            <w:vAlign w:val="bottom"/>
            <w:gridSpan w:val="3"/>
          </w:tcPr>
          <w:p>
            <w:pPr>
              <w:ind w:left="40"/>
              <w:spacing w:after="0" w:line="190" w:lineRule="exact"/>
              <w:rPr>
                <w:sz w:val="20"/>
                <w:szCs w:val="20"/>
                <w:color w:val="auto"/>
              </w:rPr>
            </w:pPr>
            <w:r>
              <w:rPr>
                <w:rFonts w:ascii="Arial" w:cs="Arial" w:eastAsia="Arial" w:hAnsi="Arial"/>
                <w:sz w:val="18"/>
                <w:szCs w:val="18"/>
                <w:color w:val="auto"/>
              </w:rPr>
              <w:t>Period</w:t>
            </w:r>
          </w:p>
        </w:tc>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w w:val="99"/>
              </w:rPr>
              <w:t>(1)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line="190" w:lineRule="exact"/>
              <w:rPr>
                <w:sz w:val="20"/>
                <w:szCs w:val="20"/>
                <w:color w:val="auto"/>
              </w:rPr>
            </w:pPr>
            <w:r>
              <w:rPr>
                <w:rFonts w:ascii="Arial" w:cs="Arial" w:eastAsia="Arial" w:hAnsi="Arial"/>
                <w:sz w:val="18"/>
                <w:szCs w:val="18"/>
                <w:color w:val="auto"/>
                <w:w w:val="85"/>
              </w:rPr>
              <w:t>per Share</w:t>
            </w:r>
          </w:p>
        </w:tc>
        <w:tc>
          <w:tcPr>
            <w:tcW w:w="1240" w:type="dxa"/>
            <w:vAlign w:val="bottom"/>
            <w:gridSpan w:val="2"/>
          </w:tcPr>
          <w:p>
            <w:pPr>
              <w:jc w:val="center"/>
              <w:ind w:right="120"/>
              <w:spacing w:after="0" w:line="190" w:lineRule="exact"/>
              <w:rPr>
                <w:sz w:val="20"/>
                <w:szCs w:val="20"/>
                <w:color w:val="auto"/>
              </w:rPr>
            </w:pPr>
            <w:r>
              <w:rPr>
                <w:rFonts w:ascii="Arial" w:cs="Arial" w:eastAsia="Arial" w:hAnsi="Arial"/>
                <w:sz w:val="18"/>
                <w:szCs w:val="18"/>
                <w:color w:val="auto"/>
                <w:w w:val="87"/>
              </w:rPr>
              <w:t>Programs</w:t>
            </w:r>
          </w:p>
        </w:tc>
        <w:tc>
          <w:tcPr>
            <w:tcW w:w="160" w:type="dxa"/>
            <w:vAlign w:val="bottom"/>
          </w:tcPr>
          <w:p>
            <w:pPr>
              <w:spacing w:after="0"/>
              <w:rPr>
                <w:sz w:val="16"/>
                <w:szCs w:val="16"/>
                <w:color w:val="auto"/>
              </w:rPr>
            </w:pPr>
          </w:p>
        </w:tc>
        <w:tc>
          <w:tcPr>
            <w:tcW w:w="1200" w:type="dxa"/>
            <w:vAlign w:val="bottom"/>
          </w:tcPr>
          <w:p>
            <w:pPr>
              <w:jc w:val="center"/>
              <w:ind w:right="70"/>
              <w:spacing w:after="0" w:line="190" w:lineRule="exact"/>
              <w:rPr>
                <w:sz w:val="20"/>
                <w:szCs w:val="20"/>
                <w:color w:val="auto"/>
              </w:rPr>
            </w:pPr>
            <w:r>
              <w:rPr>
                <w:rFonts w:ascii="Arial" w:cs="Arial" w:eastAsia="Arial" w:hAnsi="Arial"/>
                <w:sz w:val="18"/>
                <w:szCs w:val="18"/>
                <w:color w:val="auto"/>
                <w:w w:val="88"/>
              </w:rPr>
              <w:t>or Programs</w:t>
            </w:r>
          </w:p>
        </w:tc>
      </w:tr>
      <w:tr>
        <w:trPr>
          <w:trHeight w:val="48"/>
        </w:trPr>
        <w:tc>
          <w:tcPr>
            <w:tcW w:w="40" w:type="dxa"/>
            <w:vAlign w:val="bottom"/>
            <w:tcBorders>
              <w:bottom w:val="single" w:sz="8" w:color="CCEEFF"/>
            </w:tcBorders>
          </w:tcPr>
          <w:p>
            <w:pPr>
              <w:spacing w:after="0"/>
              <w:rPr>
                <w:sz w:val="4"/>
                <w:szCs w:val="4"/>
                <w:color w:val="auto"/>
              </w:rPr>
            </w:pPr>
          </w:p>
        </w:tc>
        <w:tc>
          <w:tcPr>
            <w:tcW w:w="460" w:type="dxa"/>
            <w:vAlign w:val="bottom"/>
            <w:tcBorders>
              <w:top w:val="single" w:sz="8" w:color="auto"/>
              <w:bottom w:val="single" w:sz="8" w:color="CCEEFF"/>
            </w:tcBorders>
          </w:tcPr>
          <w:p>
            <w:pPr>
              <w:spacing w:after="0"/>
              <w:rPr>
                <w:sz w:val="4"/>
                <w:szCs w:val="4"/>
                <w:color w:val="auto"/>
              </w:rPr>
            </w:pPr>
          </w:p>
        </w:tc>
        <w:tc>
          <w:tcPr>
            <w:tcW w:w="578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44"/>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September 1 - September 30, 2016</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gridSpan w:val="3"/>
          </w:tcPr>
          <w:p>
            <w:pPr>
              <w:ind w:left="40"/>
              <w:spacing w:after="0"/>
              <w:rPr>
                <w:sz w:val="20"/>
                <w:szCs w:val="20"/>
                <w:color w:val="auto"/>
              </w:rPr>
            </w:pPr>
            <w:r>
              <w:rPr>
                <w:rFonts w:ascii="Arial" w:cs="Arial" w:eastAsia="Arial" w:hAnsi="Arial"/>
                <w:sz w:val="18"/>
                <w:szCs w:val="18"/>
                <w:color w:val="auto"/>
              </w:rPr>
              <w:t>October 1 - October 31, 2016</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530</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16.78</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62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November 1 - November 30, 2016</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500,000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15.68</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17,160,000</w:t>
            </w:r>
          </w:p>
        </w:tc>
      </w:tr>
      <w:tr>
        <w:trPr>
          <w:trHeight w:val="27"/>
        </w:trPr>
        <w:tc>
          <w:tcPr>
            <w:tcW w:w="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7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ind w:left="540" w:right="100" w:hanging="316"/>
        <w:spacing w:after="0" w:line="286"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repurchased 530 shares during the three months ended November 30, 2016 from employees to satisfy tax withholding requirements on the vesting of restricted shares from equity-based awards. In addition, the Company repurchased 500,000 common shares as part of the Share Repurchase Program. The Board authorized up to $25 million in repurchase of common shares under this program.</w:t>
      </w:r>
    </w:p>
    <w:p>
      <w:pPr>
        <w:spacing w:after="0" w:line="32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on Senior Securities.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8" w:lineRule="exact"/>
        <w:rPr>
          <w:sz w:val="20"/>
          <w:szCs w:val="20"/>
          <w:color w:val="auto"/>
        </w:rPr>
      </w:pPr>
    </w:p>
    <w:p>
      <w:pPr>
        <w:ind w:left="380"/>
        <w:spacing w:after="0"/>
        <w:tabs>
          <w:tab w:leader="none" w:pos="5820" w:val="left"/>
        </w:tabs>
        <w:rPr>
          <w:sz w:val="20"/>
          <w:szCs w:val="20"/>
          <w:color w:val="auto"/>
        </w:rPr>
      </w:pPr>
      <w:r>
        <w:rPr>
          <w:rFonts w:ascii="Arial" w:cs="Arial" w:eastAsia="Arial" w:hAnsi="Arial"/>
          <w:sz w:val="18"/>
          <w:szCs w:val="18"/>
          <w:b w:val="1"/>
          <w:bCs w:val="1"/>
          <w:u w:val="single" w:color="auto"/>
          <w:color w:val="auto"/>
        </w:rPr>
        <w:t>No.</w:t>
      </w:r>
      <w:r>
        <w:rPr>
          <w:sz w:val="20"/>
          <w:szCs w:val="20"/>
          <w:color w:val="auto"/>
        </w:rPr>
        <w:tab/>
      </w:r>
      <w:r>
        <w:rPr>
          <w:rFonts w:ascii="Arial" w:cs="Arial" w:eastAsia="Arial" w:hAnsi="Arial"/>
          <w:sz w:val="18"/>
          <w:szCs w:val="18"/>
          <w:b w:val="1"/>
          <w:bCs w:val="1"/>
          <w:u w:val="single" w:color="auto"/>
          <w:color w:val="auto"/>
        </w:rPr>
        <w:t>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10260" w:type="dxa"/>
            <w:vAlign w:val="bottom"/>
          </w:tcPr>
          <w:p>
            <w:pPr>
              <w:ind w:left="140"/>
              <w:spacing w:after="0"/>
              <w:rPr>
                <w:sz w:val="20"/>
                <w:szCs w:val="20"/>
                <w:color w:val="auto"/>
              </w:rPr>
            </w:pPr>
            <w:r>
              <w:rPr>
                <w:rFonts w:ascii="Arial" w:cs="Arial" w:eastAsia="Arial" w:hAnsi="Arial"/>
                <w:sz w:val="18"/>
                <w:szCs w:val="18"/>
                <w:color w:val="auto"/>
                <w:w w:val="92"/>
              </w:rPr>
              <w:t>Credit Agreement, dated as of November 7, 2016, by and among AngioDynamics, Inc., the lenders party thereto, JPMorgan Chase Bank,</w:t>
            </w:r>
          </w:p>
        </w:tc>
      </w:tr>
      <w:tr>
        <w:trPr>
          <w:trHeight w:val="216"/>
        </w:trPr>
        <w:tc>
          <w:tcPr>
            <w:tcW w:w="820" w:type="dxa"/>
            <w:vAlign w:val="bottom"/>
          </w:tcPr>
          <w:p>
            <w:pPr>
              <w:spacing w:after="0"/>
              <w:rPr>
                <w:sz w:val="18"/>
                <w:szCs w:val="18"/>
                <w:color w:val="auto"/>
              </w:rPr>
            </w:pPr>
          </w:p>
        </w:tc>
        <w:tc>
          <w:tcPr>
            <w:tcW w:w="10260" w:type="dxa"/>
            <w:vAlign w:val="bottom"/>
          </w:tcPr>
          <w:p>
            <w:pPr>
              <w:ind w:left="140"/>
              <w:spacing w:after="0"/>
              <w:rPr>
                <w:sz w:val="20"/>
                <w:szCs w:val="20"/>
                <w:color w:val="auto"/>
              </w:rPr>
            </w:pPr>
            <w:r>
              <w:rPr>
                <w:rFonts w:ascii="Arial" w:cs="Arial" w:eastAsia="Arial" w:hAnsi="Arial"/>
                <w:sz w:val="18"/>
                <w:szCs w:val="18"/>
                <w:color w:val="auto"/>
                <w:w w:val="93"/>
              </w:rPr>
              <w:t>N.A., as administrative agent, Bank of America, N.A. and Keybank National Association as co-syndication agents, and JPMorgan Chase</w:t>
            </w:r>
          </w:p>
        </w:tc>
      </w:tr>
      <w:tr>
        <w:trPr>
          <w:trHeight w:val="216"/>
        </w:trPr>
        <w:tc>
          <w:tcPr>
            <w:tcW w:w="820" w:type="dxa"/>
            <w:vAlign w:val="bottom"/>
          </w:tcPr>
          <w:p>
            <w:pPr>
              <w:spacing w:after="0"/>
              <w:rPr>
                <w:sz w:val="18"/>
                <w:szCs w:val="18"/>
                <w:color w:val="auto"/>
              </w:rPr>
            </w:pPr>
          </w:p>
        </w:tc>
        <w:tc>
          <w:tcPr>
            <w:tcW w:w="10260" w:type="dxa"/>
            <w:vAlign w:val="bottom"/>
          </w:tcPr>
          <w:p>
            <w:pPr>
              <w:ind w:left="140"/>
              <w:spacing w:after="0"/>
              <w:rPr>
                <w:sz w:val="20"/>
                <w:szCs w:val="20"/>
                <w:color w:val="auto"/>
              </w:rPr>
            </w:pPr>
            <w:r>
              <w:rPr>
                <w:rFonts w:ascii="Arial" w:cs="Arial" w:eastAsia="Arial" w:hAnsi="Arial"/>
                <w:sz w:val="18"/>
                <w:szCs w:val="18"/>
                <w:color w:val="auto"/>
                <w:w w:val="95"/>
              </w:rPr>
              <w:t>Bank, N.A., Merrill Lynch, Pierce, Fenner &amp; Smith Incorporated and Keybank National Association as joint bookrunners and joint lead</w:t>
            </w:r>
          </w:p>
        </w:tc>
      </w:tr>
      <w:tr>
        <w:trPr>
          <w:trHeight w:val="216"/>
        </w:trPr>
        <w:tc>
          <w:tcPr>
            <w:tcW w:w="820" w:type="dxa"/>
            <w:vAlign w:val="bottom"/>
          </w:tcPr>
          <w:p>
            <w:pPr>
              <w:spacing w:after="0"/>
              <w:rPr>
                <w:sz w:val="18"/>
                <w:szCs w:val="18"/>
                <w:color w:val="auto"/>
              </w:rPr>
            </w:pPr>
          </w:p>
        </w:tc>
        <w:tc>
          <w:tcPr>
            <w:tcW w:w="10260" w:type="dxa"/>
            <w:vAlign w:val="bottom"/>
          </w:tcPr>
          <w:p>
            <w:pPr>
              <w:ind w:left="140"/>
              <w:spacing w:after="0"/>
              <w:rPr>
                <w:sz w:val="20"/>
                <w:szCs w:val="20"/>
                <w:color w:val="auto"/>
              </w:rPr>
            </w:pPr>
            <w:r>
              <w:rPr>
                <w:rFonts w:ascii="Arial" w:cs="Arial" w:eastAsia="Arial" w:hAnsi="Arial"/>
                <w:sz w:val="18"/>
                <w:szCs w:val="18"/>
                <w:color w:val="auto"/>
                <w:w w:val="91"/>
              </w:rPr>
              <w:t>arrangers (incorporated by reference to Exhibit 10.1 to the Company’s current report on Form 8-K, filed with the Commission on November</w:t>
            </w:r>
          </w:p>
        </w:tc>
      </w:tr>
      <w:tr>
        <w:trPr>
          <w:trHeight w:val="230"/>
        </w:trPr>
        <w:tc>
          <w:tcPr>
            <w:tcW w:w="820" w:type="dxa"/>
            <w:vAlign w:val="bottom"/>
          </w:tcPr>
          <w:p>
            <w:pPr>
              <w:spacing w:after="0"/>
              <w:rPr>
                <w:sz w:val="20"/>
                <w:szCs w:val="20"/>
                <w:color w:val="auto"/>
              </w:rPr>
            </w:pPr>
          </w:p>
        </w:tc>
        <w:tc>
          <w:tcPr>
            <w:tcW w:w="10260" w:type="dxa"/>
            <w:vAlign w:val="bottom"/>
          </w:tcPr>
          <w:p>
            <w:pPr>
              <w:ind w:left="140"/>
              <w:spacing w:after="0"/>
              <w:rPr>
                <w:sz w:val="20"/>
                <w:szCs w:val="20"/>
                <w:color w:val="auto"/>
              </w:rPr>
            </w:pPr>
            <w:r>
              <w:rPr>
                <w:rFonts w:ascii="Arial" w:cs="Arial" w:eastAsia="Arial" w:hAnsi="Arial"/>
                <w:sz w:val="18"/>
                <w:szCs w:val="18"/>
                <w:color w:val="auto"/>
              </w:rPr>
              <w:t>10, 2016).</w:t>
            </w:r>
          </w:p>
        </w:tc>
      </w:tr>
      <w:tr>
        <w:trPr>
          <w:trHeight w:val="81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31.1</w:t>
            </w:r>
          </w:p>
        </w:tc>
        <w:tc>
          <w:tcPr>
            <w:tcW w:w="10260" w:type="dxa"/>
            <w:vAlign w:val="bottom"/>
          </w:tcPr>
          <w:p>
            <w:pPr>
              <w:ind w:left="140"/>
              <w:spacing w:after="0"/>
              <w:rPr>
                <w:sz w:val="20"/>
                <w:szCs w:val="20"/>
                <w:color w:val="auto"/>
              </w:rPr>
            </w:pPr>
            <w:r>
              <w:rPr>
                <w:rFonts w:ascii="Arial" w:cs="Arial" w:eastAsia="Arial" w:hAnsi="Arial"/>
                <w:sz w:val="18"/>
                <w:szCs w:val="18"/>
                <w:color w:val="auto"/>
              </w:rPr>
              <w:t>Certification pursuant to Rule 13a-14(a) or 15d-14 under the Securities Exchange Act of 1934.</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31.2</w:t>
            </w:r>
          </w:p>
        </w:tc>
        <w:tc>
          <w:tcPr>
            <w:tcW w:w="10260" w:type="dxa"/>
            <w:vAlign w:val="bottom"/>
          </w:tcPr>
          <w:p>
            <w:pPr>
              <w:ind w:left="140"/>
              <w:spacing w:after="0"/>
              <w:rPr>
                <w:sz w:val="20"/>
                <w:szCs w:val="20"/>
                <w:color w:val="auto"/>
              </w:rPr>
            </w:pPr>
            <w:r>
              <w:rPr>
                <w:rFonts w:ascii="Arial" w:cs="Arial" w:eastAsia="Arial" w:hAnsi="Arial"/>
                <w:sz w:val="18"/>
                <w:szCs w:val="18"/>
                <w:color w:val="auto"/>
              </w:rPr>
              <w:t>Certification pursuant to Rule 13a-14(a) or 15d-14 under the Securities Exchange Act of 1934.</w:t>
            </w:r>
          </w:p>
        </w:tc>
      </w:tr>
      <w:tr>
        <w:trPr>
          <w:trHeight w:val="58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32.1</w:t>
            </w:r>
          </w:p>
        </w:tc>
        <w:tc>
          <w:tcPr>
            <w:tcW w:w="10260" w:type="dxa"/>
            <w:vAlign w:val="bottom"/>
          </w:tcPr>
          <w:p>
            <w:pPr>
              <w:ind w:left="140"/>
              <w:spacing w:after="0"/>
              <w:rPr>
                <w:sz w:val="20"/>
                <w:szCs w:val="20"/>
                <w:color w:val="auto"/>
              </w:rPr>
            </w:pPr>
            <w:r>
              <w:rPr>
                <w:rFonts w:ascii="Arial" w:cs="Arial" w:eastAsia="Arial" w:hAnsi="Arial"/>
                <w:sz w:val="18"/>
                <w:szCs w:val="18"/>
                <w:color w:val="auto"/>
                <w:w w:val="92"/>
              </w:rPr>
              <w:t>Certification of Chief Executive Officer pursuant to Title 18, United States Code, Section 1350, as adopted pursuant to Section 906 of the</w:t>
            </w:r>
          </w:p>
        </w:tc>
      </w:tr>
      <w:tr>
        <w:trPr>
          <w:trHeight w:val="230"/>
        </w:trPr>
        <w:tc>
          <w:tcPr>
            <w:tcW w:w="820" w:type="dxa"/>
            <w:vAlign w:val="bottom"/>
          </w:tcPr>
          <w:p>
            <w:pPr>
              <w:spacing w:after="0"/>
              <w:rPr>
                <w:sz w:val="20"/>
                <w:szCs w:val="20"/>
                <w:color w:val="auto"/>
              </w:rPr>
            </w:pPr>
          </w:p>
        </w:tc>
        <w:tc>
          <w:tcPr>
            <w:tcW w:w="10260" w:type="dxa"/>
            <w:vAlign w:val="bottom"/>
          </w:tcPr>
          <w:p>
            <w:pPr>
              <w:ind w:left="140"/>
              <w:spacing w:after="0"/>
              <w:rPr>
                <w:sz w:val="20"/>
                <w:szCs w:val="20"/>
                <w:color w:val="auto"/>
              </w:rPr>
            </w:pPr>
            <w:r>
              <w:rPr>
                <w:rFonts w:ascii="Arial" w:cs="Arial" w:eastAsia="Arial" w:hAnsi="Arial"/>
                <w:sz w:val="18"/>
                <w:szCs w:val="18"/>
                <w:color w:val="auto"/>
              </w:rPr>
              <w:t>Sarbanes-Oxley Act of 2002</w:t>
            </w:r>
          </w:p>
        </w:tc>
      </w:tr>
      <w:tr>
        <w:trPr>
          <w:trHeight w:val="58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32.2</w:t>
            </w:r>
          </w:p>
        </w:tc>
        <w:tc>
          <w:tcPr>
            <w:tcW w:w="10260" w:type="dxa"/>
            <w:vAlign w:val="bottom"/>
          </w:tcPr>
          <w:p>
            <w:pPr>
              <w:ind w:left="140"/>
              <w:spacing w:after="0"/>
              <w:rPr>
                <w:sz w:val="20"/>
                <w:szCs w:val="20"/>
                <w:color w:val="auto"/>
              </w:rPr>
            </w:pPr>
            <w:r>
              <w:rPr>
                <w:rFonts w:ascii="Arial" w:cs="Arial" w:eastAsia="Arial" w:hAnsi="Arial"/>
                <w:sz w:val="18"/>
                <w:szCs w:val="18"/>
                <w:color w:val="auto"/>
                <w:w w:val="93"/>
              </w:rPr>
              <w:t>Certification of Chief Financial Officer pursuant to Title 18, United States Code, Section 1350, as adopted pursuant to Section 906 of the</w:t>
            </w:r>
          </w:p>
        </w:tc>
      </w:tr>
      <w:tr>
        <w:trPr>
          <w:trHeight w:val="230"/>
        </w:trPr>
        <w:tc>
          <w:tcPr>
            <w:tcW w:w="820" w:type="dxa"/>
            <w:vAlign w:val="bottom"/>
          </w:tcPr>
          <w:p>
            <w:pPr>
              <w:spacing w:after="0"/>
              <w:rPr>
                <w:sz w:val="20"/>
                <w:szCs w:val="20"/>
                <w:color w:val="auto"/>
              </w:rPr>
            </w:pPr>
          </w:p>
        </w:tc>
        <w:tc>
          <w:tcPr>
            <w:tcW w:w="10260" w:type="dxa"/>
            <w:vAlign w:val="bottom"/>
          </w:tcPr>
          <w:p>
            <w:pPr>
              <w:ind w:left="140"/>
              <w:spacing w:after="0"/>
              <w:rPr>
                <w:sz w:val="20"/>
                <w:szCs w:val="20"/>
                <w:color w:val="auto"/>
              </w:rPr>
            </w:pPr>
            <w:r>
              <w:rPr>
                <w:rFonts w:ascii="Arial" w:cs="Arial" w:eastAsia="Arial" w:hAnsi="Arial"/>
                <w:sz w:val="18"/>
                <w:szCs w:val="18"/>
                <w:color w:val="auto"/>
              </w:rPr>
              <w:t>Sarbanes-Oxley Act of 2002</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101.INS</w:t>
            </w:r>
          </w:p>
        </w:tc>
        <w:tc>
          <w:tcPr>
            <w:tcW w:w="1026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0"/>
              </w:rPr>
              <w:t>101.SCH</w:t>
            </w:r>
          </w:p>
        </w:tc>
        <w:tc>
          <w:tcPr>
            <w:tcW w:w="10260" w:type="dxa"/>
            <w:vAlign w:val="bottom"/>
          </w:tcPr>
          <w:p>
            <w:pPr>
              <w:ind w:left="140"/>
              <w:spacing w:after="0"/>
              <w:rPr>
                <w:sz w:val="20"/>
                <w:szCs w:val="20"/>
                <w:color w:val="auto"/>
              </w:rPr>
            </w:pPr>
            <w:r>
              <w:rPr>
                <w:rFonts w:ascii="Arial" w:cs="Arial" w:eastAsia="Arial" w:hAnsi="Arial"/>
                <w:sz w:val="18"/>
                <w:szCs w:val="18"/>
                <w:color w:val="auto"/>
              </w:rPr>
              <w:t>XBRL Schema Document</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4"/>
              </w:rPr>
              <w:t>101.CAL</w:t>
            </w:r>
          </w:p>
        </w:tc>
        <w:tc>
          <w:tcPr>
            <w:tcW w:w="10260" w:type="dxa"/>
            <w:vAlign w:val="bottom"/>
          </w:tcPr>
          <w:p>
            <w:pPr>
              <w:ind w:left="140"/>
              <w:spacing w:after="0"/>
              <w:rPr>
                <w:sz w:val="20"/>
                <w:szCs w:val="20"/>
                <w:color w:val="auto"/>
              </w:rPr>
            </w:pPr>
            <w:r>
              <w:rPr>
                <w:rFonts w:ascii="Arial" w:cs="Arial" w:eastAsia="Arial" w:hAnsi="Arial"/>
                <w:sz w:val="18"/>
                <w:szCs w:val="18"/>
                <w:color w:val="auto"/>
              </w:rPr>
              <w:t>XBRL Calculation Linkbase Documents</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2"/>
              </w:rPr>
              <w:t>101.DEF</w:t>
            </w:r>
          </w:p>
        </w:tc>
        <w:tc>
          <w:tcPr>
            <w:tcW w:w="1026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5"/>
              </w:rPr>
              <w:t>101.LAB</w:t>
            </w:r>
          </w:p>
        </w:tc>
        <w:tc>
          <w:tcPr>
            <w:tcW w:w="10260" w:type="dxa"/>
            <w:vAlign w:val="bottom"/>
          </w:tcPr>
          <w:p>
            <w:pPr>
              <w:ind w:left="140"/>
              <w:spacing w:after="0"/>
              <w:rPr>
                <w:sz w:val="20"/>
                <w:szCs w:val="20"/>
                <w:color w:val="auto"/>
              </w:rPr>
            </w:pPr>
            <w:r>
              <w:rPr>
                <w:rFonts w:ascii="Arial" w:cs="Arial" w:eastAsia="Arial" w:hAnsi="Arial"/>
                <w:sz w:val="18"/>
                <w:szCs w:val="18"/>
                <w:color w:val="auto"/>
              </w:rPr>
              <w:t>XBRL Labels Linkbase Documents</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1"/>
              </w:rPr>
              <w:t>101.PRE</w:t>
            </w:r>
          </w:p>
        </w:tc>
        <w:tc>
          <w:tcPr>
            <w:tcW w:w="10260" w:type="dxa"/>
            <w:vAlign w:val="bottom"/>
          </w:tcPr>
          <w:p>
            <w:pPr>
              <w:ind w:left="140"/>
              <w:spacing w:after="0"/>
              <w:rPr>
                <w:sz w:val="20"/>
                <w:szCs w:val="20"/>
                <w:color w:val="auto"/>
              </w:rPr>
            </w:pPr>
            <w:r>
              <w:rPr>
                <w:rFonts w:ascii="Arial" w:cs="Arial" w:eastAsia="Arial" w:hAnsi="Arial"/>
                <w:sz w:val="18"/>
                <w:szCs w:val="18"/>
                <w:color w:val="auto"/>
              </w:rPr>
              <w:t>XBRL Presentation Linkbase Documents</w:t>
            </w:r>
          </w:p>
        </w:tc>
      </w:tr>
      <w:tr>
        <w:trPr>
          <w:trHeight w:val="743"/>
        </w:trPr>
        <w:tc>
          <w:tcPr>
            <w:tcW w:w="820" w:type="dxa"/>
            <w:vAlign w:val="bottom"/>
          </w:tcPr>
          <w:p>
            <w:pPr>
              <w:spacing w:after="0"/>
              <w:rPr>
                <w:sz w:val="24"/>
                <w:szCs w:val="24"/>
                <w:color w:val="auto"/>
              </w:rPr>
            </w:pPr>
          </w:p>
        </w:tc>
        <w:tc>
          <w:tcPr>
            <w:tcW w:w="10260" w:type="dxa"/>
            <w:vAlign w:val="bottom"/>
          </w:tcPr>
          <w:p>
            <w:pPr>
              <w:ind w:left="4580"/>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300"/>
          </w:cols>
          <w:pgMar w:left="240" w:top="122" w:right="35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180" w:type="dxa"/>
            <w:vAlign w:val="bottom"/>
          </w:tcPr>
          <w:p>
            <w:pPr>
              <w:ind w:left="40"/>
              <w:spacing w:after="0"/>
              <w:rPr>
                <w:sz w:val="20"/>
                <w:szCs w:val="20"/>
                <w:color w:val="auto"/>
              </w:rPr>
            </w:pPr>
            <w:r>
              <w:rPr>
                <w:rFonts w:ascii="Arial" w:cs="Arial" w:eastAsia="Arial" w:hAnsi="Arial"/>
                <w:sz w:val="18"/>
                <w:szCs w:val="18"/>
                <w:color w:val="auto"/>
              </w:rPr>
              <w:t>ANGIODYNAMICS, INC.</w:t>
            </w:r>
          </w:p>
        </w:tc>
      </w:tr>
      <w:tr>
        <w:trPr>
          <w:trHeight w:val="270"/>
        </w:trPr>
        <w:tc>
          <w:tcPr>
            <w:tcW w:w="5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8180" w:type="dxa"/>
            <w:vAlign w:val="bottom"/>
          </w:tcPr>
          <w:p>
            <w:pPr>
              <w:ind w:left="40"/>
              <w:spacing w:after="0"/>
              <w:rPr>
                <w:sz w:val="20"/>
                <w:szCs w:val="20"/>
                <w:color w:val="auto"/>
              </w:rPr>
            </w:pPr>
            <w:r>
              <w:rPr>
                <w:rFonts w:ascii="Arial" w:cs="Arial" w:eastAsia="Arial" w:hAnsi="Arial"/>
                <w:sz w:val="18"/>
                <w:szCs w:val="18"/>
                <w:color w:val="auto"/>
              </w:rPr>
              <w:t>(Registrant)</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40"/>
              <w:spacing w:after="0"/>
              <w:rPr>
                <w:sz w:val="20"/>
                <w:szCs w:val="20"/>
                <w:color w:val="auto"/>
              </w:rPr>
            </w:pPr>
            <w:r>
              <w:rPr>
                <w:rFonts w:ascii="Arial" w:cs="Arial" w:eastAsia="Arial" w:hAnsi="Arial"/>
                <w:sz w:val="18"/>
                <w:szCs w:val="18"/>
                <w:color w:val="auto"/>
              </w:rPr>
              <w:t>January 6, 2017</w:t>
            </w:r>
          </w:p>
        </w:tc>
        <w:tc>
          <w:tcPr>
            <w:tcW w:w="8180" w:type="dxa"/>
            <w:vAlign w:val="bottom"/>
          </w:tcPr>
          <w:p>
            <w:pPr>
              <w:ind w:left="2900"/>
              <w:spacing w:after="0"/>
              <w:rPr>
                <w:sz w:val="20"/>
                <w:szCs w:val="20"/>
                <w:color w:val="auto"/>
              </w:rPr>
            </w:pPr>
            <w:r>
              <w:rPr>
                <w:rFonts w:ascii="Arial" w:cs="Arial" w:eastAsia="Arial" w:hAnsi="Arial"/>
                <w:sz w:val="18"/>
                <w:szCs w:val="18"/>
                <w:color w:val="auto"/>
              </w:rPr>
              <w:t>/ S /  JAMES C. CLEMMER</w:t>
            </w:r>
          </w:p>
        </w:tc>
      </w:tr>
      <w:tr>
        <w:trPr>
          <w:trHeight w:val="27"/>
        </w:trPr>
        <w:tc>
          <w:tcPr>
            <w:tcW w:w="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180" w:type="dxa"/>
            <w:vAlign w:val="bottom"/>
            <w:tcBorders>
              <w:bottom w:val="single" w:sz="8" w:color="auto"/>
            </w:tcBorders>
          </w:tcPr>
          <w:p>
            <w:pPr>
              <w:spacing w:after="0"/>
              <w:rPr>
                <w:sz w:val="2"/>
                <w:szCs w:val="2"/>
                <w:color w:val="auto"/>
              </w:rPr>
            </w:pPr>
          </w:p>
        </w:tc>
      </w:tr>
      <w:tr>
        <w:trPr>
          <w:trHeight w:val="218"/>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180" w:type="dxa"/>
            <w:vAlign w:val="bottom"/>
          </w:tcPr>
          <w:p>
            <w:pPr>
              <w:jc w:val="center"/>
              <w:spacing w:after="0"/>
              <w:rPr>
                <w:sz w:val="20"/>
                <w:szCs w:val="20"/>
                <w:color w:val="auto"/>
              </w:rPr>
            </w:pPr>
            <w:r>
              <w:rPr>
                <w:rFonts w:ascii="Arial" w:cs="Arial" w:eastAsia="Arial" w:hAnsi="Arial"/>
                <w:sz w:val="18"/>
                <w:szCs w:val="18"/>
                <w:b w:val="1"/>
                <w:bCs w:val="1"/>
                <w:color w:val="auto"/>
                <w:w w:val="89"/>
              </w:rPr>
              <w:t>James C. Clemmer, President,</w:t>
            </w:r>
          </w:p>
        </w:tc>
      </w:tr>
      <w:tr>
        <w:trPr>
          <w:trHeight w:val="216"/>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18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w:t>
            </w:r>
          </w:p>
        </w:tc>
      </w:tr>
      <w:tr>
        <w:trPr>
          <w:trHeight w:val="234"/>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1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40"/>
              <w:spacing w:after="0"/>
              <w:rPr>
                <w:sz w:val="20"/>
                <w:szCs w:val="20"/>
                <w:color w:val="auto"/>
              </w:rPr>
            </w:pPr>
            <w:r>
              <w:rPr>
                <w:rFonts w:ascii="Arial" w:cs="Arial" w:eastAsia="Arial" w:hAnsi="Arial"/>
                <w:sz w:val="18"/>
                <w:szCs w:val="18"/>
                <w:color w:val="auto"/>
              </w:rPr>
              <w:t>January 6, 2017</w:t>
            </w:r>
          </w:p>
        </w:tc>
        <w:tc>
          <w:tcPr>
            <w:tcW w:w="8180" w:type="dxa"/>
            <w:vAlign w:val="bottom"/>
          </w:tcPr>
          <w:p>
            <w:pPr>
              <w:ind w:left="2780"/>
              <w:spacing w:after="0"/>
              <w:rPr>
                <w:sz w:val="20"/>
                <w:szCs w:val="20"/>
                <w:color w:val="auto"/>
              </w:rPr>
            </w:pPr>
            <w:r>
              <w:rPr>
                <w:rFonts w:ascii="Arial" w:cs="Arial" w:eastAsia="Arial" w:hAnsi="Arial"/>
                <w:sz w:val="18"/>
                <w:szCs w:val="18"/>
                <w:color w:val="auto"/>
              </w:rPr>
              <w:t>/ S /  MICHAEL C. GREINER</w:t>
            </w:r>
          </w:p>
        </w:tc>
      </w:tr>
      <w:tr>
        <w:trPr>
          <w:trHeight w:val="27"/>
        </w:trPr>
        <w:tc>
          <w:tcPr>
            <w:tcW w:w="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180" w:type="dxa"/>
            <w:vAlign w:val="bottom"/>
            <w:tcBorders>
              <w:bottom w:val="single" w:sz="8" w:color="auto"/>
            </w:tcBorders>
          </w:tcPr>
          <w:p>
            <w:pPr>
              <w:spacing w:after="0"/>
              <w:rPr>
                <w:sz w:val="2"/>
                <w:szCs w:val="2"/>
                <w:color w:val="auto"/>
              </w:rPr>
            </w:pPr>
          </w:p>
        </w:tc>
      </w:tr>
      <w:tr>
        <w:trPr>
          <w:trHeight w:val="218"/>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180" w:type="dxa"/>
            <w:vAlign w:val="bottom"/>
          </w:tcPr>
          <w:p>
            <w:pPr>
              <w:jc w:val="center"/>
              <w:spacing w:after="0"/>
              <w:rPr>
                <w:sz w:val="20"/>
                <w:szCs w:val="20"/>
                <w:color w:val="auto"/>
              </w:rPr>
            </w:pPr>
            <w:r>
              <w:rPr>
                <w:rFonts w:ascii="Arial" w:cs="Arial" w:eastAsia="Arial" w:hAnsi="Arial"/>
                <w:sz w:val="18"/>
                <w:szCs w:val="18"/>
                <w:b w:val="1"/>
                <w:bCs w:val="1"/>
                <w:color w:val="auto"/>
                <w:w w:val="90"/>
              </w:rPr>
              <w:t>Michael C. Greiner, Executive Vice President,</w:t>
            </w:r>
          </w:p>
        </w:tc>
      </w:tr>
      <w:tr>
        <w:trPr>
          <w:trHeight w:val="216"/>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18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1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Financial and Principal Accounting Officer)</w:t>
            </w:r>
          </w:p>
        </w:tc>
      </w:tr>
      <w:tr>
        <w:trPr>
          <w:trHeight w:val="702"/>
        </w:trPr>
        <w:tc>
          <w:tcPr>
            <w:tcW w:w="5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180" w:type="dxa"/>
            <w:vAlign w:val="bottom"/>
          </w:tcPr>
          <w:p>
            <w:pPr>
              <w:ind w:left="2580"/>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220"/>
          </w:cols>
          <w:pgMar w:left="240" w:top="122" w:right="439" w:bottom="1440" w:gutter="0" w:footer="0" w:header="0"/>
        </w:sectPr>
      </w:pPr>
    </w:p>
    <w:bookmarkStart w:id="39" w:name="page40"/>
    <w:bookmarkEnd w:id="39"/>
    <w:p>
      <w:pPr>
        <w:jc w:val="both"/>
        <w:ind w:hanging="917"/>
        <w:spacing w:after="0" w:line="302" w:lineRule="auto"/>
        <w:rPr>
          <w:sz w:val="20"/>
          <w:szCs w:val="20"/>
          <w:color w:val="auto"/>
        </w:rPr>
      </w:pPr>
      <w:r>
        <w:rPr>
          <w:rFonts w:ascii="Arial" w:cs="Arial" w:eastAsia="Arial" w:hAnsi="Arial"/>
          <w:sz w:val="22"/>
          <w:szCs w:val="22"/>
          <w:color w:val="auto"/>
        </w:rPr>
        <w:t>4.1</w:t>
      </w:r>
      <w:r>
        <w:rPr>
          <w:sz w:val="20"/>
          <w:szCs w:val="20"/>
          <w:color w:val="auto"/>
        </w:rPr>
        <w:t xml:space="preserve"> </w:t>
      </w:r>
      <w:r>
        <w:rPr>
          <w:rFonts w:ascii="Arial" w:cs="Arial" w:eastAsia="Arial" w:hAnsi="Arial"/>
          <w:sz w:val="16"/>
          <w:szCs w:val="16"/>
          <w:color w:val="auto"/>
        </w:rPr>
        <w:t>Credit Agreement, dated as of November 7, 2016, by and among AngioDynamics, Inc., the lenders party thereto, JPMorgan Chase Bank, N.A., as administrative agent, Bank of America, N.A. and Keybank National Association as co-syndication agents, and JPMorgan Chase Bank, N.A., Merrill Lynch, Pierce, Fenner &amp; Smith Incorporated and Keybank National Association as joint bookrunners and joint lead arrangers (incorporated by reference to Exhibit 10.1 to the Company’s current report on Form 8-K, filed with the Commission on November 10, 2016).</w:t>
      </w:r>
    </w:p>
    <w:p>
      <w:pPr>
        <w:sectPr>
          <w:pgSz w:w="11900" w:h="16838" w:orient="portrait"/>
          <w:cols w:equalWidth="0" w:num="1">
            <w:col w:w="10440"/>
          </w:cols>
          <w:pgMar w:left="1200" w:top="523" w:right="259" w:bottom="1440" w:gutter="0" w:footer="0" w:header="0"/>
        </w:sectPr>
      </w:pPr>
    </w:p>
    <w:bookmarkStart w:id="40" w:name="page41"/>
    <w:bookmarkEnd w:id="40"/>
    <w:p>
      <w:pPr>
        <w:jc w:val="both"/>
        <w:spacing w:after="0" w:line="302" w:lineRule="auto"/>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James C. Clemmer, certify that:</w:t>
      </w:r>
    </w:p>
    <w:p>
      <w:pPr>
        <w:spacing w:after="0" w:line="171" w:lineRule="exact"/>
        <w:rPr>
          <w:sz w:val="20"/>
          <w:szCs w:val="20"/>
          <w:color w:val="auto"/>
        </w:rPr>
      </w:pPr>
    </w:p>
    <w:p>
      <w:pPr>
        <w:ind w:left="500" w:hanging="465"/>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63" w:lineRule="exact"/>
        <w:rPr>
          <w:rFonts w:ascii="Arial" w:cs="Arial" w:eastAsia="Arial" w:hAnsi="Arial"/>
          <w:sz w:val="18"/>
          <w:szCs w:val="18"/>
          <w:color w:val="auto"/>
        </w:rPr>
      </w:pPr>
    </w:p>
    <w:p>
      <w:pPr>
        <w:jc w:val="both"/>
        <w:ind w:left="500" w:right="460" w:hanging="465"/>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420" w:hanging="465"/>
        <w:spacing w:after="0" w:line="298"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0" w:hanging="465"/>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sz w:val="20"/>
          <w:szCs w:val="20"/>
          <w:color w:val="auto"/>
        </w:rPr>
      </w:pPr>
    </w:p>
    <w:p>
      <w:pPr>
        <w:ind w:left="500" w:right="120" w:hanging="465"/>
        <w:spacing w:after="0" w:line="26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180" w:hanging="465"/>
        <w:spacing w:after="0" w:line="26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60" w:hanging="465"/>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500" w:right="120" w:hanging="465"/>
        <w:spacing w:after="0" w:line="26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sz w:val="20"/>
          <w:szCs w:val="20"/>
          <w:color w:val="auto"/>
        </w:rPr>
      </w:pPr>
    </w:p>
    <w:p>
      <w:pPr>
        <w:ind w:left="500" w:right="360" w:hanging="465"/>
        <w:spacing w:after="0" w:line="298"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00" w:right="160" w:hanging="465"/>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500" w:right="220" w:hanging="465"/>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January 6, 2017</w:t>
      </w:r>
    </w:p>
    <w:p>
      <w:pPr>
        <w:spacing w:after="0" w:line="225" w:lineRule="exact"/>
        <w:rPr>
          <w:sz w:val="20"/>
          <w:szCs w:val="20"/>
          <w:color w:val="auto"/>
        </w:rPr>
      </w:pPr>
    </w:p>
    <w:p>
      <w:pPr>
        <w:ind w:right="9240" w:firstLine="8"/>
        <w:spacing w:after="0" w:line="312" w:lineRule="auto"/>
        <w:tabs>
          <w:tab w:leader="none" w:pos="95" w:val="left"/>
        </w:tabs>
        <w:numPr>
          <w:ilvl w:val="0"/>
          <w:numId w:val="12"/>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 xml:space="preserve">S / JAMES C. CLEMMER </w:t>
      </w:r>
      <w:r>
        <w:rPr>
          <w:rFonts w:ascii="Arial" w:cs="Arial" w:eastAsia="Arial" w:hAnsi="Arial"/>
          <w:sz w:val="16"/>
          <w:szCs w:val="16"/>
          <w:color w:val="auto"/>
        </w:rPr>
        <w:t>James C. Clemmer, President, Chief Executive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C. Greiner, certify that:</w:t>
      </w:r>
    </w:p>
    <w:p>
      <w:pPr>
        <w:spacing w:after="0" w:line="171" w:lineRule="exact"/>
        <w:rPr>
          <w:sz w:val="20"/>
          <w:szCs w:val="20"/>
          <w:color w:val="auto"/>
        </w:rPr>
      </w:pPr>
    </w:p>
    <w:p>
      <w:pPr>
        <w:ind w:left="500" w:hanging="465"/>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63" w:lineRule="exact"/>
        <w:rPr>
          <w:rFonts w:ascii="Arial" w:cs="Arial" w:eastAsia="Arial" w:hAnsi="Arial"/>
          <w:sz w:val="18"/>
          <w:szCs w:val="18"/>
          <w:color w:val="auto"/>
        </w:rPr>
      </w:pPr>
    </w:p>
    <w:p>
      <w:pPr>
        <w:jc w:val="both"/>
        <w:ind w:left="500" w:right="460" w:hanging="465"/>
        <w:spacing w:after="0" w:line="26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420" w:hanging="465"/>
        <w:spacing w:after="0" w:line="298" w:lineRule="auto"/>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0" w:hanging="465"/>
        <w:spacing w:after="0" w:line="26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sz w:val="20"/>
          <w:szCs w:val="20"/>
          <w:color w:val="auto"/>
        </w:rPr>
      </w:pPr>
    </w:p>
    <w:p>
      <w:pPr>
        <w:ind w:left="500" w:right="120" w:hanging="465"/>
        <w:spacing w:after="0" w:line="264"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180" w:hanging="465"/>
        <w:spacing w:after="0" w:line="264"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60" w:hanging="465"/>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500" w:right="120" w:hanging="465"/>
        <w:spacing w:after="0" w:line="264"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sz w:val="20"/>
          <w:szCs w:val="20"/>
          <w:color w:val="auto"/>
        </w:rPr>
      </w:pPr>
    </w:p>
    <w:p>
      <w:pPr>
        <w:ind w:left="500" w:right="360" w:hanging="465"/>
        <w:spacing w:after="0" w:line="298"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00" w:right="160" w:hanging="465"/>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500" w:right="220" w:hanging="465"/>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January 6,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S / MICHAEL C. GREINER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C. Greiner 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 OF CHIEF EXECUTIVE OFFICER PURSUANT TO TITLE 18, UNITED STATES CODE, SECTION 1350, AS ADOPTED PURSUANT TO SECTION 906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 James C. Clemmer, President, Chief Executive Officer and Director of ANGIODYNAMICS, Inc. (the "Company"), certify, pursuant to Section 906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18 U.S.C. Section 1350, that, to the best of my knowledge:</w:t>
      </w:r>
    </w:p>
    <w:p>
      <w:pPr>
        <w:spacing w:after="0" w:line="157" w:lineRule="exact"/>
        <w:rPr>
          <w:sz w:val="20"/>
          <w:szCs w:val="20"/>
          <w:color w:val="auto"/>
        </w:rPr>
      </w:pPr>
    </w:p>
    <w:p>
      <w:pPr>
        <w:ind w:left="500" w:right="40" w:hanging="465"/>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November 30, 2016 (the "Report") fully complies with the requirements of Section 13(a) or 15(d) of the Securities Exchange Act of 1934 (15 U.S.C. 78m or 78o(d)); and</w:t>
      </w:r>
    </w:p>
    <w:p>
      <w:pPr>
        <w:spacing w:after="0" w:line="8" w:lineRule="exact"/>
        <w:rPr>
          <w:rFonts w:ascii="Arial" w:cs="Arial" w:eastAsia="Arial" w:hAnsi="Arial"/>
          <w:sz w:val="18"/>
          <w:szCs w:val="18"/>
          <w:color w:val="auto"/>
        </w:rPr>
      </w:pPr>
    </w:p>
    <w:p>
      <w:pPr>
        <w:ind w:left="500" w:hanging="465"/>
        <w:spacing w:after="0"/>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January 6, 2017</w:t>
      </w:r>
    </w:p>
    <w:p>
      <w:pPr>
        <w:spacing w:after="0" w:line="38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 s /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James C. Clemmer, President,</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 OF CHIEF FINANCIAL OFFICER PURSUANT TO TITLE 18, UNITED STATES CODE, SECTION 1350, AS ADOPTED PURSUANT TO SECTION 906 OF THE SARBANES-OXLEY ACT OF 2002</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 Michael C. Greiner, Executive Vice President and Chief Financial Officer of ANGIODYNAMICS, Inc. (the "Company"), certify, pursuant to Section 906 of the Sarbanes-Oxley Act of 2002, 18 U.S.C. Section 1350, that, to the best of my knowledge:</w:t>
      </w:r>
    </w:p>
    <w:p>
      <w:pPr>
        <w:spacing w:after="0" w:line="116" w:lineRule="exact"/>
        <w:rPr>
          <w:sz w:val="20"/>
          <w:szCs w:val="20"/>
          <w:color w:val="auto"/>
        </w:rPr>
      </w:pPr>
    </w:p>
    <w:p>
      <w:pPr>
        <w:ind w:left="500" w:right="40" w:hanging="465"/>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November 30, 2016 (the "Report") fully complies with the requirements of Section 13(a) or 15(d) of the Securities Exchange Act of 1934 (15 U.S.C. 78m or 78o(d)); and</w:t>
      </w:r>
    </w:p>
    <w:p>
      <w:pPr>
        <w:spacing w:after="0" w:line="8" w:lineRule="exact"/>
        <w:rPr>
          <w:rFonts w:ascii="Arial" w:cs="Arial" w:eastAsia="Arial" w:hAnsi="Arial"/>
          <w:sz w:val="18"/>
          <w:szCs w:val="18"/>
          <w:color w:val="auto"/>
        </w:rPr>
      </w:pPr>
    </w:p>
    <w:p>
      <w:pPr>
        <w:ind w:left="500" w:hanging="465"/>
        <w:spacing w:after="0"/>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January 6, 2017</w:t>
      </w:r>
    </w:p>
    <w:p>
      <w:pPr>
        <w:spacing w:after="0" w:line="38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 s / Michael C. Greiner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Michael C. Greiner, Executive Vice President and</w:t>
      </w:r>
    </w:p>
    <w:p>
      <w:pPr>
        <w:spacing w:after="0" w:line="2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lvl w:ilvl="1">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decimal"/>
      <w:start w:val="5"/>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5"/>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2019-12-29T08:03:02Z</dcterms:created>
  <dcterms:modified xsi:type="dcterms:W3CDTF">2019-12-29T08:03:02Z</dcterms:modified>
</cp:coreProperties>
</file>