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Clemmer James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52,358</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889,176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26,728</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862,448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184,361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acquisition of 52,358 shares of Common Stock ("Common Stock") of AngioDynamics, Inc. ("AngioDynamics") represents shares acquired through the vesting and settlement of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exempt disposition of 26,728 shares of Common Stock of AngioDynamics was made to satisfy tax withholding obligations in connection with the pre-determined vesting of shares underlying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19, 2023, the reporting person received a target grant of 184,361 performance share units. Between 0% and 200% of the target number was to be earned based on achievement of pre-determined performance metrics for fiscal years 2024, 2025 and 2026 as determined by the compensation committee. In addition, 20% of the total shares earned could be awarded (or cancelled) based on total shareholder return relative to a peer group of companies over a three-year performance period in accordance with performance metrics. Based on performance over the period, 52,358 shares of Common Stock were issued to the reporting person under this grant and the remaining shares were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700"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4185</Characters>
  <CharactersWithSpaces>4870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