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190500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February 28, 2018</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716280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4445</wp:posOffset>
            </wp:positionV>
            <wp:extent cx="3618865"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11-3146460</w:t>
            </w:r>
          </w:p>
        </w:tc>
      </w:tr>
      <w:tr>
        <w:trPr>
          <w:trHeight w:val="180"/>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2"/>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3"/>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2"/>
              </w:rPr>
              <w:t>14 Plaza Drive Latham, New York</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12110</w:t>
            </w:r>
          </w:p>
        </w:tc>
      </w:tr>
      <w:tr>
        <w:trPr>
          <w:trHeight w:val="218"/>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140" w:type="dxa"/>
            <w:vAlign w:val="bottom"/>
          </w:tcPr>
          <w:p>
            <w:pPr>
              <w:jc w:val="center"/>
              <w:ind w:right="1536"/>
              <w:spacing w:after="0"/>
              <w:rPr>
                <w:sz w:val="20"/>
                <w:szCs w:val="20"/>
                <w:color w:val="auto"/>
              </w:rPr>
            </w:pPr>
            <w:r>
              <w:rPr>
                <w:rFonts w:ascii="Arial" w:cs="Arial" w:eastAsia="Arial" w:hAnsi="Arial"/>
                <w:sz w:val="14"/>
                <w:szCs w:val="14"/>
                <w:b w:val="1"/>
                <w:bCs w:val="1"/>
                <w:color w:val="auto"/>
                <w:w w:val="89"/>
              </w:rPr>
              <w:t>Title of each class</w:t>
            </w:r>
          </w:p>
        </w:tc>
        <w:tc>
          <w:tcPr>
            <w:tcW w:w="4320" w:type="dxa"/>
            <w:vAlign w:val="bottom"/>
          </w:tcPr>
          <w:p>
            <w:pPr>
              <w:jc w:val="center"/>
              <w:ind w:left="15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90"/>
              </w:rPr>
              <w:t>Common stock, par value $.01</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88"/>
              </w:rPr>
              <w:t>Preferred Stock Purchase Rights</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ectPr>
          <w:pgSz w:w="11900" w:h="16838" w:orient="portrait"/>
          <w:cols w:equalWidth="0" w:num="1">
            <w:col w:w="11240"/>
          </w:cols>
          <w:pgMar w:left="240" w:top="229" w:right="41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337820</wp:posOffset>
            </wp:positionV>
            <wp:extent cx="3147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193" w:lineRule="exact"/>
        <w:rPr>
          <w:sz w:val="20"/>
          <w:szCs w:val="20"/>
          <w:color w:val="auto"/>
        </w:rPr>
      </w:pPr>
    </w:p>
    <w:p>
      <w:pPr>
        <w:sectPr>
          <w:pgSz w:w="11900" w:h="16838" w:orient="portrait"/>
          <w:cols w:equalWidth="0" w:num="4">
            <w:col w:w="8900" w:space="160"/>
            <w:col w:w="260" w:space="100"/>
            <w:col w:w="160" w:space="180"/>
            <w:col w:w="1660"/>
          </w:cols>
          <w:pgMar w:left="240" w:top="121" w:right="239" w:bottom="1440" w:gutter="0" w:footer="0" w:header="0"/>
          <w:type w:val="continuous"/>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460" w:space="180"/>
            <w:col w:w="260" w:space="100"/>
            <w:col w:w="160" w:space="180"/>
            <w:col w:w="2080"/>
          </w:cols>
          <w:pgMar w:left="240" w:top="121" w:right="239" w:bottom="1440" w:gutter="0" w:footer="0" w:header="0"/>
          <w:type w:val="continuous"/>
        </w:sectPr>
      </w:pP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2" w:lineRule="exact"/>
        <w:rPr>
          <w:sz w:val="20"/>
          <w:szCs w:val="20"/>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rPr>
                <w:sz w:val="20"/>
                <w:szCs w:val="20"/>
                <w:color w:val="auto"/>
              </w:rPr>
            </w:pPr>
            <w:r>
              <w:rPr>
                <w:rFonts w:ascii="Arial" w:cs="Arial" w:eastAsia="Arial" w:hAnsi="Arial"/>
                <w:sz w:val="18"/>
                <w:szCs w:val="18"/>
                <w:color w:val="auto"/>
              </w:rPr>
              <w:t>x</w:t>
            </w:r>
          </w:p>
        </w:tc>
      </w:tr>
      <w:tr>
        <w:trPr>
          <w:trHeight w:val="392"/>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5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560"/>
              <w:spacing w:after="0"/>
              <w:rPr>
                <w:sz w:val="20"/>
                <w:szCs w:val="20"/>
                <w:color w:val="auto"/>
              </w:rPr>
            </w:pPr>
            <w:r>
              <w:rPr>
                <w:rFonts w:ascii="Arial" w:cs="Arial" w:eastAsia="Arial" w:hAnsi="Arial"/>
                <w:sz w:val="18"/>
                <w:szCs w:val="18"/>
                <w:color w:val="auto"/>
              </w:rPr>
              <w:t>o</w:t>
            </w:r>
          </w:p>
        </w:tc>
        <w:tc>
          <w:tcPr>
            <w:tcW w:w="49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96" w:lineRule="exact"/>
        <w:rPr>
          <w:sz w:val="20"/>
          <w:szCs w:val="20"/>
          <w:color w:val="auto"/>
        </w:rPr>
      </w:pPr>
    </w:p>
    <w:p>
      <w:pPr>
        <w:ind w:left="440"/>
        <w:spacing w:after="0" w:line="207" w:lineRule="exact"/>
        <w:tabs>
          <w:tab w:leader="none" w:pos="878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70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3"/>
              </w:rPr>
              <w:t>Outstanding as of April 3, 2018</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64"/>
        </w:trPr>
        <w:tc>
          <w:tcPr>
            <w:tcW w:w="58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Common Stock, par value $.01</w:t>
            </w:r>
          </w:p>
        </w:tc>
        <w:tc>
          <w:tcPr>
            <w:tcW w:w="37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36,804,506</w:t>
            </w:r>
          </w:p>
        </w:tc>
        <w:tc>
          <w:tcPr>
            <w:tcW w:w="178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Financial Information</w:t>
              </w:r>
            </w:hyperlink>
          </w:p>
        </w:tc>
        <w:tc>
          <w:tcPr>
            <w:tcW w:w="360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34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(unaudited)</w:t>
              </w:r>
            </w:hyperlink>
          </w:p>
        </w:tc>
        <w:tc>
          <w:tcPr>
            <w:tcW w:w="6000" w:type="dxa"/>
            <w:vAlign w:val="bottom"/>
            <w:gridSpan w:val="1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372"/>
        </w:trPr>
        <w:tc>
          <w:tcPr>
            <w:tcW w:w="1040" w:type="dxa"/>
            <w:vAlign w:val="bottom"/>
          </w:tcPr>
          <w:p>
            <w:pPr>
              <w:spacing w:after="0"/>
              <w:rPr>
                <w:sz w:val="24"/>
                <w:szCs w:val="24"/>
                <w:color w:val="auto"/>
              </w:rPr>
            </w:pPr>
          </w:p>
        </w:tc>
        <w:tc>
          <w:tcPr>
            <w:tcW w:w="29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(unaudited)</w:t>
              </w:r>
            </w:hyperlink>
          </w:p>
        </w:tc>
        <w:tc>
          <w:tcPr>
            <w:tcW w:w="1640" w:type="dxa"/>
            <w:vAlign w:val="bottom"/>
            <w:tcBorders>
              <w:top w:val="single" w:sz="8" w:color="0000EE"/>
            </w:tcBorders>
            <w:gridSpan w:val="8"/>
          </w:tcPr>
          <w:p>
            <w:pPr>
              <w:spacing w:after="0"/>
              <w:rPr>
                <w:sz w:val="24"/>
                <w:szCs w:val="24"/>
                <w:color w:val="auto"/>
              </w:rPr>
            </w:pPr>
          </w:p>
        </w:tc>
        <w:tc>
          <w:tcPr>
            <w:tcW w:w="484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37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(unaudited)</w:t>
              </w:r>
            </w:hyperlink>
          </w:p>
        </w:tc>
        <w:tc>
          <w:tcPr>
            <w:tcW w:w="5700" w:type="dxa"/>
            <w:vAlign w:val="bottom"/>
            <w:gridSpan w:val="9"/>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 of Stockholders’ Equity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372"/>
        </w:trPr>
        <w:tc>
          <w:tcPr>
            <w:tcW w:w="104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320" w:type="dxa"/>
            <w:vAlign w:val="bottom"/>
            <w:tcBorders>
              <w:top w:val="single" w:sz="8" w:color="0000EE"/>
            </w:tcBorders>
          </w:tcPr>
          <w:p>
            <w:pPr>
              <w:spacing w:after="0"/>
              <w:rPr>
                <w:sz w:val="24"/>
                <w:szCs w:val="24"/>
                <w:color w:val="auto"/>
              </w:rPr>
            </w:pPr>
          </w:p>
        </w:tc>
        <w:tc>
          <w:tcPr>
            <w:tcW w:w="5100" w:type="dxa"/>
            <w:vAlign w:val="bottom"/>
            <w:gridSpan w:val="7"/>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1"/>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8"/>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Controls and Procedures</w:t>
              </w:r>
            </w:hyperlink>
          </w:p>
        </w:tc>
        <w:tc>
          <w:tcPr>
            <w:tcW w:w="47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7"/>
              </w:rPr>
            </w:pPr>
            <w:hyperlink w:anchor="page38">
              <w:r>
                <w:rPr>
                  <w:rFonts w:ascii="Arial" w:cs="Arial" w:eastAsia="Arial" w:hAnsi="Arial"/>
                  <w:sz w:val="18"/>
                  <w:szCs w:val="18"/>
                  <w:b w:val="1"/>
                  <w:bCs w:val="1"/>
                  <w:color w:val="0000EE"/>
                  <w:w w:val="97"/>
                </w:rPr>
                <w:t>Part II: Other Information</w:t>
              </w:r>
            </w:hyperlink>
          </w:p>
        </w:tc>
        <w:tc>
          <w:tcPr>
            <w:tcW w:w="370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EE"/>
                <w:w w:val="86"/>
              </w:rPr>
            </w:pPr>
            <w:hyperlink w:anchor="page38">
              <w:r>
                <w:rPr>
                  <w:rFonts w:ascii="Arial" w:cs="Arial" w:eastAsia="Arial" w:hAnsi="Arial"/>
                  <w:sz w:val="18"/>
                  <w:szCs w:val="18"/>
                  <w:b w:val="1"/>
                  <w:bCs w:val="1"/>
                  <w:color w:val="0000EE"/>
                  <w:w w:val="86"/>
                </w:rPr>
                <w:t>Legal Proceedings</w:t>
              </w:r>
            </w:hyperlink>
          </w:p>
        </w:tc>
        <w:tc>
          <w:tcPr>
            <w:tcW w:w="8040" w:type="dxa"/>
            <w:vAlign w:val="bottom"/>
            <w:gridSpan w:val="1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Risk Factors</w:t>
              </w:r>
            </w:hyperlink>
          </w:p>
        </w:tc>
        <w:tc>
          <w:tcPr>
            <w:tcW w:w="8040" w:type="dxa"/>
            <w:vAlign w:val="bottom"/>
            <w:gridSpan w:val="1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2"/>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8"/>
            <w:shd w:val="clear" w:color="auto" w:fill="0000EE"/>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16"/>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Defaults on Senior Securities</w:t>
              </w:r>
            </w:hyperlink>
          </w:p>
        </w:tc>
        <w:tc>
          <w:tcPr>
            <w:tcW w:w="488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6"/>
          </w:tcPr>
          <w:p>
            <w:pPr>
              <w:spacing w:after="0"/>
              <w:rPr>
                <w:rFonts w:ascii="Arial" w:cs="Arial" w:eastAsia="Arial" w:hAnsi="Arial"/>
                <w:sz w:val="18"/>
                <w:szCs w:val="18"/>
                <w:b w:val="1"/>
                <w:bCs w:val="1"/>
                <w:color w:val="0000EE"/>
                <w:w w:val="87"/>
              </w:rPr>
            </w:pPr>
            <w:hyperlink w:anchor="page41">
              <w:r>
                <w:rPr>
                  <w:rFonts w:ascii="Arial" w:cs="Arial" w:eastAsia="Arial" w:hAnsi="Arial"/>
                  <w:sz w:val="18"/>
                  <w:szCs w:val="18"/>
                  <w:b w:val="1"/>
                  <w:bCs w:val="1"/>
                  <w:color w:val="0000EE"/>
                  <w:w w:val="87"/>
                </w:rPr>
                <w:t>Mine Safety Disclosures</w:t>
              </w:r>
            </w:hyperlink>
          </w:p>
        </w:tc>
        <w:tc>
          <w:tcPr>
            <w:tcW w:w="360" w:type="dxa"/>
            <w:vAlign w:val="bottom"/>
            <w:gridSpan w:val="2"/>
          </w:tcPr>
          <w:p>
            <w:pPr>
              <w:spacing w:after="0"/>
              <w:rPr>
                <w:sz w:val="24"/>
                <w:szCs w:val="24"/>
                <w:color w:val="auto"/>
              </w:rPr>
            </w:pPr>
          </w:p>
        </w:tc>
        <w:tc>
          <w:tcPr>
            <w:tcW w:w="7240" w:type="dxa"/>
            <w:vAlign w:val="bottom"/>
            <w:gridSpan w:val="1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EE"/>
                <w:w w:val="93"/>
              </w:rPr>
            </w:pPr>
            <w:hyperlink w:anchor="page41">
              <w:r>
                <w:rPr>
                  <w:rFonts w:ascii="Arial" w:cs="Arial" w:eastAsia="Arial" w:hAnsi="Arial"/>
                  <w:sz w:val="18"/>
                  <w:szCs w:val="18"/>
                  <w:b w:val="1"/>
                  <w:bCs w:val="1"/>
                  <w:color w:val="0000EE"/>
                  <w:w w:val="93"/>
                </w:rPr>
                <w:t>Other Information</w:t>
              </w:r>
            </w:hyperlink>
          </w:p>
        </w:tc>
        <w:tc>
          <w:tcPr>
            <w:tcW w:w="400" w:type="dxa"/>
            <w:vAlign w:val="bottom"/>
            <w:gridSpan w:val="2"/>
          </w:tcPr>
          <w:p>
            <w:pPr>
              <w:spacing w:after="0"/>
              <w:rPr>
                <w:sz w:val="24"/>
                <w:szCs w:val="24"/>
                <w:color w:val="auto"/>
              </w:rPr>
            </w:pPr>
          </w:p>
        </w:tc>
        <w:tc>
          <w:tcPr>
            <w:tcW w:w="7600" w:type="dxa"/>
            <w:vAlign w:val="bottom"/>
            <w:gridSpan w:val="1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EE"/>
                <w:w w:val="88"/>
              </w:rPr>
            </w:pPr>
            <w:hyperlink w:anchor="page42">
              <w:r>
                <w:rPr>
                  <w:rFonts w:ascii="Arial" w:cs="Arial" w:eastAsia="Arial" w:hAnsi="Arial"/>
                  <w:sz w:val="18"/>
                  <w:szCs w:val="18"/>
                  <w:b w:val="1"/>
                  <w:bCs w:val="1"/>
                  <w:color w:val="0000EE"/>
                  <w:w w:val="88"/>
                </w:rPr>
                <w:t>Exhibits</w:t>
              </w:r>
            </w:hyperlink>
          </w:p>
        </w:tc>
        <w:tc>
          <w:tcPr>
            <w:tcW w:w="800" w:type="dxa"/>
            <w:vAlign w:val="bottom"/>
            <w:gridSpan w:val="3"/>
          </w:tcPr>
          <w:p>
            <w:pPr>
              <w:spacing w:after="0"/>
              <w:rPr>
                <w:sz w:val="24"/>
                <w:szCs w:val="24"/>
                <w:color w:val="auto"/>
              </w:rPr>
            </w:pPr>
          </w:p>
        </w:tc>
        <w:tc>
          <w:tcPr>
            <w:tcW w:w="800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507"/>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100" w:type="dxa"/>
            <w:vAlign w:val="bottom"/>
            <w:gridSpan w:val="18"/>
          </w:tcPr>
          <w:p>
            <w:pPr>
              <w:jc w:val="right"/>
              <w:ind w:right="10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Feb 28, 2018</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2018</w:t>
            </w:r>
          </w:p>
        </w:tc>
        <w:tc>
          <w:tcPr>
            <w:tcW w:w="16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4"/>
              </w:rPr>
              <w:t>Feb 28, 2017</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262,729</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38,403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126,560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128,895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133,834</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18,573</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19,418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56,378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58,343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23,090</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12,886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11,932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12,028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123,285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109,534</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24,300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other expenses, net</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21,875</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37,122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37,031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36,557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37,442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37,126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37,068</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color w:val="auto"/>
              </w:rPr>
              <w:t>Three Months Ended</w:t>
            </w: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color w:val="auto"/>
              </w:rPr>
              <w:t>Nine Months Ended</w:t>
            </w:r>
          </w:p>
        </w:tc>
      </w:tr>
      <w:tr>
        <w:trPr>
          <w:trHeight w:val="264"/>
        </w:trPr>
        <w:tc>
          <w:tcPr>
            <w:tcW w:w="5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Feb 28, 2018</w:t>
            </w:r>
          </w:p>
        </w:tc>
        <w:tc>
          <w:tcPr>
            <w:tcW w:w="240" w:type="dxa"/>
            <w:vAlign w:val="bottom"/>
          </w:tcPr>
          <w:p>
            <w:pPr>
              <w:spacing w:after="0"/>
              <w:rPr>
                <w:sz w:val="22"/>
                <w:szCs w:val="22"/>
                <w:color w:val="auto"/>
              </w:rPr>
            </w:pPr>
          </w:p>
        </w:tc>
        <w:tc>
          <w:tcPr>
            <w:tcW w:w="1220" w:type="dxa"/>
            <w:vAlign w:val="bottom"/>
          </w:tcPr>
          <w:p>
            <w:pPr>
              <w:jc w:val="right"/>
              <w:ind w:right="272"/>
              <w:spacing w:after="0"/>
              <w:rPr>
                <w:sz w:val="20"/>
                <w:szCs w:val="20"/>
                <w:color w:val="auto"/>
              </w:rPr>
            </w:pPr>
            <w:r>
              <w:rPr>
                <w:rFonts w:ascii="Arial" w:cs="Arial" w:eastAsia="Arial" w:hAnsi="Arial"/>
                <w:sz w:val="14"/>
                <w:szCs w:val="14"/>
                <w:color w:val="auto"/>
              </w:rPr>
              <w:t>Feb 28, 2017</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Feb 28, 2018</w:t>
            </w:r>
          </w:p>
        </w:tc>
        <w:tc>
          <w:tcPr>
            <w:tcW w:w="240" w:type="dxa"/>
            <w:vAlign w:val="bottom"/>
          </w:tcPr>
          <w:p>
            <w:pPr>
              <w:spacing w:after="0"/>
              <w:rPr>
                <w:sz w:val="22"/>
                <w:szCs w:val="22"/>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color w:val="auto"/>
              </w:rPr>
              <w:t>Feb 28, 2017</w:t>
            </w: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2,887</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17,921</w:t>
            </w: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(loss) on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ind w:left="72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7"/>
        </w:trPr>
        <w:tc>
          <w:tcPr>
            <w:tcW w:w="5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29"/>
        </w:trPr>
        <w:tc>
          <w:tcPr>
            <w:tcW w:w="5280" w:type="dxa"/>
            <w:vAlign w:val="bottom"/>
          </w:tcPr>
          <w:p>
            <w:pPr>
              <w:ind w:left="720"/>
              <w:spacing w:after="0"/>
              <w:rPr>
                <w:sz w:val="20"/>
                <w:szCs w:val="20"/>
                <w:color w:val="auto"/>
              </w:rPr>
            </w:pPr>
            <w:r>
              <w:rPr>
                <w:rFonts w:ascii="Arial" w:cs="Arial" w:eastAsia="Arial" w:hAnsi="Arial"/>
                <w:sz w:val="18"/>
                <w:szCs w:val="18"/>
                <w:color w:val="auto"/>
                <w:w w:val="94"/>
              </w:rPr>
              <w:t>Income tax expense related to items of other comprehensive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280" w:type="dxa"/>
            <w:vAlign w:val="bottom"/>
          </w:tcPr>
          <w:p>
            <w:pPr>
              <w:ind w:left="720"/>
              <w:spacing w:after="0"/>
              <w:rPr>
                <w:sz w:val="20"/>
                <w:szCs w:val="20"/>
                <w:color w:val="auto"/>
              </w:rPr>
            </w:pPr>
            <w:r>
              <w:rPr>
                <w:rFonts w:ascii="Arial" w:cs="Arial" w:eastAsia="Arial" w:hAnsi="Arial"/>
                <w:sz w:val="18"/>
                <w:szCs w:val="18"/>
                <w:color w:val="auto"/>
              </w:rPr>
              <w:t>income</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 net of tax</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14,228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2,844</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14,920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17,015</w:t>
            </w: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Feb 28, 2018</w:t>
            </w:r>
          </w:p>
        </w:tc>
        <w:tc>
          <w:tcPr>
            <w:tcW w:w="2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Arial" w:cs="Arial" w:eastAsia="Arial" w:hAnsi="Arial"/>
                <w:sz w:val="14"/>
                <w:szCs w:val="14"/>
                <w:color w:val="auto"/>
              </w:rPr>
              <w:t>May 31, 2017</w:t>
            </w:r>
          </w:p>
        </w:tc>
        <w:tc>
          <w:tcPr>
            <w:tcW w:w="0" w:type="dxa"/>
            <w:vAlign w:val="bottom"/>
          </w:tcPr>
          <w:p>
            <w:pPr>
              <w:spacing w:after="0"/>
              <w:rPr>
                <w:sz w:val="1"/>
                <w:szCs w:val="1"/>
                <w:color w:val="auto"/>
              </w:rPr>
            </w:pP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47,544</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$2,438 and $2,945,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44,523</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56,564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54,506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5,790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153,914</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43,058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45,234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134,512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145,675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698,429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707,961</w:t>
            </w:r>
          </w:p>
        </w:tc>
        <w:tc>
          <w:tcPr>
            <w:tcW w:w="0" w:type="dxa"/>
            <w:vAlign w:val="bottom"/>
          </w:tcPr>
          <w:p>
            <w:pPr>
              <w:spacing w:after="0"/>
              <w:rPr>
                <w:sz w:val="1"/>
                <w:szCs w:val="1"/>
                <w:color w:val="auto"/>
              </w:rPr>
            </w:pPr>
          </w:p>
        </w:tc>
      </w:tr>
      <w:tr>
        <w:trPr>
          <w:trHeight w:val="67"/>
        </w:trPr>
        <w:tc>
          <w:tcPr>
            <w:tcW w:w="87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18,087</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30,973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38,804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Current portion of contingent consideration</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9,625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71,516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87,798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91,320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26,112</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3,136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160,101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192,934</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Preferred stock, par value $.01 per share, 5,000,000 shares authorized; no shares issued and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700" w:type="dxa"/>
            <w:vAlign w:val="bottom"/>
          </w:tcPr>
          <w:p>
            <w:pPr>
              <w:ind w:left="380"/>
              <w:spacing w:after="0"/>
              <w:rPr>
                <w:sz w:val="20"/>
                <w:szCs w:val="20"/>
                <w:color w:val="auto"/>
              </w:rPr>
            </w:pPr>
            <w:r>
              <w:rPr>
                <w:rFonts w:ascii="Arial" w:cs="Arial" w:eastAsia="Arial" w:hAnsi="Arial"/>
                <w:sz w:val="18"/>
                <w:szCs w:val="18"/>
                <w:color w:val="auto"/>
                <w:w w:val="90"/>
              </w:rPr>
              <w:t>Common stock, par value $.01 per share, 75,000,000 shares authorized; 37,544,506 and 37,210,091 shares issued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380"/>
              <w:spacing w:after="0"/>
              <w:rPr>
                <w:sz w:val="20"/>
                <w:szCs w:val="20"/>
                <w:color w:val="auto"/>
              </w:rPr>
            </w:pPr>
            <w:r>
              <w:rPr>
                <w:rFonts w:ascii="Arial" w:cs="Arial" w:eastAsia="Arial" w:hAnsi="Arial"/>
                <w:sz w:val="18"/>
                <w:szCs w:val="18"/>
                <w:color w:val="auto"/>
                <w:w w:val="98"/>
              </w:rPr>
              <w:t>and 37,174,506 and 36,840,091 shares outstanding at February 28, 2018 and May 31, 2017, respectively</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532,705</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(11,007)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370,000 shares at February 28, 2018 and May 31, 2017,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515,027</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698,429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707,961</w:t>
            </w:r>
          </w:p>
        </w:tc>
        <w:tc>
          <w:tcPr>
            <w:tcW w:w="0" w:type="dxa"/>
            <w:vAlign w:val="bottom"/>
          </w:tcPr>
          <w:p>
            <w:pPr>
              <w:spacing w:after="0"/>
              <w:rPr>
                <w:sz w:val="1"/>
                <w:szCs w:val="1"/>
                <w:color w:val="auto"/>
              </w:rPr>
            </w:pPr>
          </w:p>
        </w:tc>
      </w:tr>
      <w:tr>
        <w:trPr>
          <w:trHeight w:val="27"/>
        </w:trPr>
        <w:tc>
          <w:tcPr>
            <w:tcW w:w="89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ind w:left="2580"/>
              <w:spacing w:after="0"/>
              <w:rPr>
                <w:sz w:val="20"/>
                <w:szCs w:val="20"/>
                <w:color w:val="auto"/>
              </w:rPr>
            </w:pPr>
            <w:r>
              <w:rPr>
                <w:rFonts w:ascii="Arial" w:cs="Arial" w:eastAsia="Arial" w:hAnsi="Arial"/>
                <w:sz w:val="18"/>
                <w:szCs w:val="18"/>
                <w:color w:val="auto"/>
                <w:w w:val="86"/>
              </w:rPr>
              <w:t>The accompanying notes are an integral part of these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700" w:type="dxa"/>
            <w:vAlign w:val="bottom"/>
          </w:tcPr>
          <w:p>
            <w:pPr>
              <w:ind w:left="56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color w:val="auto"/>
              </w:rPr>
              <w:t>Nine Months Ended</w:t>
            </w:r>
          </w:p>
        </w:tc>
      </w:tr>
      <w:tr>
        <w:trPr>
          <w:trHeight w:val="264"/>
        </w:trPr>
        <w:tc>
          <w:tcPr>
            <w:tcW w:w="8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Feb 28, 2018</w:t>
            </w:r>
          </w:p>
        </w:tc>
        <w:tc>
          <w:tcPr>
            <w:tcW w:w="200" w:type="dxa"/>
            <w:vAlign w:val="bottom"/>
          </w:tcPr>
          <w:p>
            <w:pPr>
              <w:spacing w:after="0"/>
              <w:rPr>
                <w:sz w:val="22"/>
                <w:szCs w:val="22"/>
                <w:color w:val="auto"/>
              </w:rPr>
            </w:pPr>
          </w:p>
        </w:tc>
        <w:tc>
          <w:tcPr>
            <w:tcW w:w="1160" w:type="dxa"/>
            <w:vAlign w:val="bottom"/>
          </w:tcPr>
          <w:p>
            <w:pPr>
              <w:jc w:val="right"/>
              <w:ind w:right="211"/>
              <w:spacing w:after="0"/>
              <w:rPr>
                <w:sz w:val="20"/>
                <w:szCs w:val="20"/>
                <w:color w:val="auto"/>
              </w:rPr>
            </w:pPr>
            <w:r>
              <w:rPr>
                <w:rFonts w:ascii="Arial" w:cs="Arial" w:eastAsia="Arial" w:hAnsi="Arial"/>
                <w:sz w:val="14"/>
                <w:szCs w:val="14"/>
                <w:color w:val="auto"/>
              </w:rPr>
              <w:t>Feb 28, 2017</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14,233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17,921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17,395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18,455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5,078</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(15,386)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accounts receivable allowances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and intangible asset impairments and disposals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3,822</w:t>
            </w:r>
          </w:p>
        </w:tc>
      </w:tr>
      <w:tr>
        <w:trPr>
          <w:trHeight w:val="243"/>
        </w:trPr>
        <w:tc>
          <w:tcPr>
            <w:tcW w:w="8580" w:type="dxa"/>
            <w:vAlign w:val="bottom"/>
          </w:tcPr>
          <w:p>
            <w:pPr>
              <w:ind w:left="660"/>
              <w:spacing w:after="0"/>
              <w:rPr>
                <w:sz w:val="20"/>
                <w:szCs w:val="20"/>
                <w:color w:val="auto"/>
              </w:rPr>
            </w:pPr>
            <w:r>
              <w:rPr>
                <w:rFonts w:ascii="Arial" w:cs="Arial" w:eastAsia="Arial" w:hAnsi="Arial"/>
                <w:sz w:val="18"/>
                <w:szCs w:val="18"/>
                <w:color w:val="auto"/>
              </w:rPr>
              <w:t>Write-off of other assets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2,685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6,898</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(1,405)</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36,752</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intangibles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issuance of and borrowings on long-term debt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116,471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(139,131)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financing costs on long-term debt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acquisition related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(7,840)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10,269</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(31,416)</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Increase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32,333</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52,292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35,571</w:t>
            </w:r>
          </w:p>
        </w:tc>
      </w:tr>
      <w:tr>
        <w:trPr>
          <w:trHeight w:val="67"/>
        </w:trPr>
        <w:tc>
          <w:tcPr>
            <w:tcW w:w="85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84"/>
        </w:trPr>
        <w:tc>
          <w:tcPr>
            <w:tcW w:w="8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Contractual obligations for acquisition of fixed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432"/>
        </w:trPr>
        <w:tc>
          <w:tcPr>
            <w:tcW w:w="8860" w:type="dxa"/>
            <w:vAlign w:val="bottom"/>
            <w:gridSpan w:val="2"/>
          </w:tcPr>
          <w:p>
            <w:pPr>
              <w:ind w:left="258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9"/>
        </w:trPr>
        <w:tc>
          <w:tcPr>
            <w:tcW w:w="8580" w:type="dxa"/>
            <w:vAlign w:val="bottom"/>
          </w:tcPr>
          <w:p>
            <w:pPr>
              <w:ind w:left="56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right="680"/>
        <w:spacing w:after="0" w:line="363" w:lineRule="auto"/>
        <w:rPr>
          <w:sz w:val="20"/>
          <w:szCs w:val="20"/>
          <w:color w:val="auto"/>
        </w:rPr>
      </w:pPr>
      <w:r>
        <w:rPr>
          <w:rFonts w:ascii="Arial" w:cs="Arial" w:eastAsia="Arial" w:hAnsi="Arial"/>
          <w:sz w:val="16"/>
          <w:szCs w:val="16"/>
          <w:b w:val="1"/>
          <w:bCs w:val="1"/>
          <w:color w:val="auto"/>
        </w:rPr>
        <w:t xml:space="preserve">Balance at May 31, 2017 </w:t>
      </w:r>
      <w:r>
        <w:rPr>
          <w:rFonts w:ascii="Arial" w:cs="Arial" w:eastAsia="Arial" w:hAnsi="Arial"/>
          <w:sz w:val="16"/>
          <w:szCs w:val="16"/>
          <w:color w:val="auto"/>
        </w:rPr>
        <w:t>Net income</w:t>
      </w:r>
    </w:p>
    <w:p>
      <w:pPr>
        <w:spacing w:after="0" w:line="1" w:lineRule="exact"/>
        <w:rPr>
          <w:sz w:val="20"/>
          <w:szCs w:val="20"/>
          <w:color w:val="auto"/>
        </w:rPr>
      </w:pPr>
    </w:p>
    <w:p>
      <w:pPr>
        <w:ind w:left="40" w:right="240"/>
        <w:spacing w:after="0" w:line="293" w:lineRule="auto"/>
        <w:rPr>
          <w:sz w:val="20"/>
          <w:szCs w:val="20"/>
          <w:color w:val="auto"/>
        </w:rPr>
      </w:pPr>
      <w:r>
        <w:rPr>
          <w:rFonts w:ascii="Arial" w:cs="Arial" w:eastAsia="Arial" w:hAnsi="Arial"/>
          <w:sz w:val="16"/>
          <w:szCs w:val="16"/>
          <w:color w:val="auto"/>
        </w:rPr>
        <w:t>Adjustment from the adoption of ASU 2016-09</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Exercise of stock options</w:t>
      </w:r>
    </w:p>
    <w:p>
      <w:pPr>
        <w:spacing w:after="0" w:line="86" w:lineRule="exact"/>
        <w:rPr>
          <w:sz w:val="20"/>
          <w:szCs w:val="20"/>
          <w:color w:val="auto"/>
        </w:rPr>
      </w:pPr>
    </w:p>
    <w:p>
      <w:pPr>
        <w:ind w:left="40" w:right="120"/>
        <w:spacing w:after="0" w:line="293" w:lineRule="auto"/>
        <w:rPr>
          <w:sz w:val="20"/>
          <w:szCs w:val="20"/>
          <w:color w:val="auto"/>
        </w:rPr>
      </w:pPr>
      <w:r>
        <w:rPr>
          <w:rFonts w:ascii="Arial" w:cs="Arial" w:eastAsia="Arial" w:hAnsi="Arial"/>
          <w:sz w:val="16"/>
          <w:szCs w:val="16"/>
          <w:color w:val="auto"/>
        </w:rPr>
        <w:t>Issuance/Cancellation of restricted stock units</w:t>
      </w:r>
    </w:p>
    <w:p>
      <w:pPr>
        <w:spacing w:after="0" w:line="10" w:lineRule="exact"/>
        <w:rPr>
          <w:sz w:val="20"/>
          <w:szCs w:val="20"/>
          <w:color w:val="auto"/>
        </w:rPr>
      </w:pPr>
    </w:p>
    <w:p>
      <w:pPr>
        <w:ind w:left="40" w:right="140"/>
        <w:spacing w:after="0" w:line="293" w:lineRule="auto"/>
        <w:rPr>
          <w:sz w:val="20"/>
          <w:szCs w:val="20"/>
          <w:color w:val="auto"/>
        </w:rPr>
      </w:pPr>
      <w:r>
        <w:rPr>
          <w:rFonts w:ascii="Arial" w:cs="Arial" w:eastAsia="Arial" w:hAnsi="Arial"/>
          <w:sz w:val="16"/>
          <w:szCs w:val="16"/>
          <w:color w:val="auto"/>
        </w:rPr>
        <w:t>Purchases of common stock under ESPP</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Other comprehensive income, net of tax</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at February 28,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20955</wp:posOffset>
            </wp:positionV>
            <wp:extent cx="1337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57" w:lineRule="exact"/>
        <w:rPr>
          <w:sz w:val="20"/>
          <w:szCs w:val="20"/>
          <w:color w:val="auto"/>
        </w:rPr>
      </w:pPr>
    </w:p>
    <w:p>
      <w:pPr>
        <w:ind w:left="100"/>
        <w:spacing w:after="0"/>
        <w:tabs>
          <w:tab w:leader="none" w:pos="1160" w:val="left"/>
        </w:tabs>
        <w:rPr>
          <w:sz w:val="20"/>
          <w:szCs w:val="20"/>
          <w:color w:val="auto"/>
        </w:rPr>
      </w:pPr>
      <w:r>
        <w:rPr>
          <w:rFonts w:ascii="Arial" w:cs="Arial" w:eastAsia="Arial" w:hAnsi="Arial"/>
          <w:sz w:val="13"/>
          <w:szCs w:val="13"/>
          <w:color w:val="auto"/>
        </w:rPr>
        <w:t>Shares</w:t>
      </w:r>
      <w:r>
        <w:rPr>
          <w:sz w:val="20"/>
          <w:szCs w:val="20"/>
          <w:color w:val="auto"/>
        </w:rPr>
        <w:tab/>
      </w:r>
      <w:r>
        <w:rPr>
          <w:rFonts w:ascii="Arial" w:cs="Arial" w:eastAsia="Arial" w:hAnsi="Arial"/>
          <w:sz w:val="13"/>
          <w:szCs w:val="13"/>
          <w:color w:val="auto"/>
        </w:rPr>
        <w:t>Amount</w:t>
      </w:r>
    </w:p>
    <w:p>
      <w:pPr>
        <w:spacing w:after="0" w:line="71" w:lineRule="exact"/>
        <w:rPr>
          <w:sz w:val="20"/>
          <w:szCs w:val="20"/>
          <w:color w:val="auto"/>
        </w:rPr>
      </w:pPr>
    </w:p>
    <w:p>
      <w:pPr>
        <w:spacing w:after="0"/>
        <w:tabs>
          <w:tab w:leader="none" w:pos="1060" w:val="left"/>
          <w:tab w:leader="none" w:pos="1360" w:val="left"/>
        </w:tabs>
        <w:rPr>
          <w:sz w:val="20"/>
          <w:szCs w:val="20"/>
          <w:color w:val="auto"/>
        </w:rPr>
      </w:pPr>
      <w:r>
        <w:rPr>
          <w:rFonts w:ascii="Arial" w:cs="Arial" w:eastAsia="Arial" w:hAnsi="Arial"/>
          <w:sz w:val="18"/>
          <w:szCs w:val="18"/>
          <w:color w:val="auto"/>
        </w:rPr>
        <w:t>37,210,091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367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220"/>
        <w:spacing w:after="0"/>
        <w:tabs>
          <w:tab w:leader="none" w:pos="1540" w:val="left"/>
        </w:tabs>
        <w:rPr>
          <w:sz w:val="20"/>
          <w:szCs w:val="20"/>
          <w:color w:val="auto"/>
        </w:rPr>
      </w:pPr>
      <w:r>
        <w:rPr>
          <w:rFonts w:ascii="Arial" w:cs="Arial" w:eastAsia="Arial" w:hAnsi="Arial"/>
          <w:sz w:val="18"/>
          <w:szCs w:val="18"/>
          <w:color w:val="auto"/>
        </w:rPr>
        <w:t>118,377</w:t>
      </w:r>
      <w:r>
        <w:rPr>
          <w:sz w:val="20"/>
          <w:szCs w:val="20"/>
          <w:color w:val="auto"/>
        </w:rPr>
        <w:tab/>
      </w:r>
      <w:r>
        <w:rPr>
          <w:rFonts w:ascii="Arial" w:cs="Arial" w:eastAsia="Arial" w:hAnsi="Arial"/>
          <w:sz w:val="18"/>
          <w:szCs w:val="18"/>
          <w:color w:val="auto"/>
        </w:rPr>
        <w:t>1</w:t>
      </w:r>
    </w:p>
    <w:p>
      <w:pPr>
        <w:spacing w:after="0" w:line="252" w:lineRule="exact"/>
        <w:rPr>
          <w:sz w:val="20"/>
          <w:szCs w:val="20"/>
          <w:color w:val="auto"/>
        </w:rPr>
      </w:pPr>
    </w:p>
    <w:p>
      <w:pPr>
        <w:jc w:val="both"/>
        <w:ind w:left="220"/>
        <w:spacing w:after="0"/>
        <w:tabs>
          <w:tab w:leader="none" w:pos="1540" w:val="left"/>
        </w:tabs>
        <w:rPr>
          <w:sz w:val="20"/>
          <w:szCs w:val="20"/>
          <w:color w:val="auto"/>
        </w:rPr>
      </w:pPr>
      <w:r>
        <w:rPr>
          <w:rFonts w:ascii="Arial" w:cs="Arial" w:eastAsia="Arial" w:hAnsi="Arial"/>
          <w:sz w:val="18"/>
          <w:szCs w:val="18"/>
          <w:color w:val="auto"/>
        </w:rPr>
        <w:t>126,095</w:t>
      </w:r>
      <w:r>
        <w:rPr>
          <w:sz w:val="20"/>
          <w:szCs w:val="20"/>
          <w:color w:val="auto"/>
        </w:rPr>
        <w:tab/>
      </w:r>
      <w:r>
        <w:rPr>
          <w:rFonts w:ascii="Arial" w:cs="Arial" w:eastAsia="Arial" w:hAnsi="Arial"/>
          <w:sz w:val="18"/>
          <w:szCs w:val="18"/>
          <w:color w:val="auto"/>
        </w:rPr>
        <w:t>1</w:t>
      </w:r>
    </w:p>
    <w:p>
      <w:pPr>
        <w:spacing w:after="0" w:line="252" w:lineRule="exact"/>
        <w:rPr>
          <w:sz w:val="20"/>
          <w:szCs w:val="20"/>
          <w:color w:val="auto"/>
        </w:rPr>
      </w:pPr>
    </w:p>
    <w:p>
      <w:pPr>
        <w:jc w:val="both"/>
        <w:ind w:left="320"/>
        <w:spacing w:after="0"/>
        <w:tabs>
          <w:tab w:leader="none" w:pos="1540" w:val="left"/>
        </w:tabs>
        <w:rPr>
          <w:sz w:val="20"/>
          <w:szCs w:val="20"/>
          <w:color w:val="auto"/>
        </w:rPr>
      </w:pPr>
      <w:r>
        <w:rPr>
          <w:rFonts w:ascii="Arial" w:cs="Arial" w:eastAsia="Arial" w:hAnsi="Arial"/>
          <w:sz w:val="18"/>
          <w:szCs w:val="18"/>
          <w:color w:val="auto"/>
        </w:rPr>
        <w:t>89,943</w:t>
      </w:r>
      <w:r>
        <w:rPr>
          <w:sz w:val="20"/>
          <w:szCs w:val="20"/>
          <w:color w:val="auto"/>
        </w:rPr>
        <w:tab/>
      </w: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60" w:val="left"/>
          <w:tab w:leader="none" w:pos="1360" w:val="left"/>
        </w:tabs>
        <w:rPr>
          <w:sz w:val="20"/>
          <w:szCs w:val="20"/>
          <w:color w:val="auto"/>
        </w:rPr>
      </w:pPr>
      <w:r>
        <w:rPr>
          <w:rFonts w:ascii="Arial" w:cs="Arial" w:eastAsia="Arial" w:hAnsi="Arial"/>
          <w:sz w:val="18"/>
          <w:szCs w:val="18"/>
          <w:color w:val="auto"/>
        </w:rPr>
        <w:t>37,544,506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48895</wp:posOffset>
            </wp:positionV>
            <wp:extent cx="1337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7"/>
              </w:rPr>
              <w:t>Additional</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89"/>
              </w:rPr>
              <w:t>Retained earnings</w:t>
            </w:r>
          </w:p>
        </w:tc>
        <w:tc>
          <w:tcPr>
            <w:tcW w:w="160" w:type="dxa"/>
            <w:vAlign w:val="bottom"/>
          </w:tcPr>
          <w:p>
            <w:pPr>
              <w:spacing w:after="0"/>
              <w:rPr>
                <w:sz w:val="14"/>
                <w:szCs w:val="14"/>
                <w:color w:val="auto"/>
              </w:rPr>
            </w:pPr>
          </w:p>
        </w:tc>
        <w:tc>
          <w:tcPr>
            <w:tcW w:w="1100" w:type="dxa"/>
            <w:vAlign w:val="bottom"/>
          </w:tcPr>
          <w:p>
            <w:pPr>
              <w:jc w:val="center"/>
              <w:ind w:right="80"/>
              <w:spacing w:after="0"/>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restart"/>
          </w:tcPr>
          <w:p>
            <w:pPr>
              <w:jc w:val="center"/>
              <w:ind w:right="80"/>
              <w:spacing w:after="0" w:line="149" w:lineRule="exact"/>
              <w:rPr>
                <w:sz w:val="20"/>
                <w:szCs w:val="20"/>
                <w:color w:val="auto"/>
              </w:rPr>
            </w:pPr>
            <w:r>
              <w:rPr>
                <w:rFonts w:ascii="Arial" w:cs="Arial" w:eastAsia="Arial" w:hAnsi="Arial"/>
                <w:sz w:val="14"/>
                <w:szCs w:val="14"/>
                <w:color w:val="auto"/>
                <w:w w:val="93"/>
              </w:rPr>
              <w:t>other</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8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6"/>
              </w:rPr>
              <w:t>paid in</w:t>
            </w:r>
          </w:p>
        </w:tc>
        <w:tc>
          <w:tcPr>
            <w:tcW w:w="140" w:type="dxa"/>
            <w:vAlign w:val="bottom"/>
          </w:tcPr>
          <w:p>
            <w:pPr>
              <w:spacing w:after="0"/>
              <w:rPr>
                <w:sz w:val="7"/>
                <w:szCs w:val="7"/>
                <w:color w:val="auto"/>
              </w:rPr>
            </w:pPr>
          </w:p>
        </w:tc>
        <w:tc>
          <w:tcPr>
            <w:tcW w:w="11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2"/>
              </w:rPr>
              <w:t>(accumulated</w:t>
            </w: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restart"/>
          </w:tcPr>
          <w:p>
            <w:pPr>
              <w:jc w:val="center"/>
              <w:ind w:right="80"/>
              <w:spacing w:after="0" w:line="149" w:lineRule="exact"/>
              <w:rPr>
                <w:sz w:val="20"/>
                <w:szCs w:val="20"/>
                <w:color w:val="auto"/>
              </w:rPr>
            </w:pPr>
            <w:r>
              <w:rPr>
                <w:rFonts w:ascii="Arial" w:cs="Arial" w:eastAsia="Arial" w:hAnsi="Arial"/>
                <w:sz w:val="14"/>
                <w:szCs w:val="14"/>
                <w:color w:val="auto"/>
                <w:w w:val="90"/>
              </w:rPr>
              <w:t>comprehensive</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8"/>
              </w:rPr>
              <w:t>capital</w:t>
            </w:r>
          </w:p>
        </w:tc>
        <w:tc>
          <w:tcPr>
            <w:tcW w:w="140" w:type="dxa"/>
            <w:vAlign w:val="bottom"/>
          </w:tcPr>
          <w:p>
            <w:pPr>
              <w:spacing w:after="0"/>
              <w:rPr>
                <w:sz w:val="7"/>
                <w:szCs w:val="7"/>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vMerge w:val="restart"/>
          </w:tcPr>
          <w:p>
            <w:pPr>
              <w:jc w:val="center"/>
              <w:ind w:right="80"/>
              <w:spacing w:after="0"/>
              <w:rPr>
                <w:sz w:val="20"/>
                <w:szCs w:val="20"/>
                <w:color w:val="auto"/>
              </w:rPr>
            </w:pPr>
            <w:r>
              <w:rPr>
                <w:rFonts w:ascii="Arial" w:cs="Arial" w:eastAsia="Arial" w:hAnsi="Arial"/>
                <w:sz w:val="14"/>
                <w:szCs w:val="14"/>
                <w:color w:val="auto"/>
                <w:w w:val="88"/>
              </w:rPr>
              <w:t>loss</w:t>
            </w:r>
          </w:p>
        </w:tc>
        <w:tc>
          <w:tcPr>
            <w:tcW w:w="0" w:type="dxa"/>
            <w:vAlign w:val="bottom"/>
          </w:tcPr>
          <w:p>
            <w:pPr>
              <w:spacing w:after="0"/>
              <w:rPr>
                <w:sz w:val="1"/>
                <w:szCs w:val="1"/>
                <w:color w:val="auto"/>
              </w:rPr>
            </w:pPr>
          </w:p>
        </w:tc>
      </w:tr>
      <w:tr>
        <w:trPr>
          <w:trHeight w:val="87"/>
        </w:trPr>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w w:val="98"/>
              </w:rPr>
              <w:t>532,705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14,233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4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8"/>
        </w:trPr>
        <w:tc>
          <w:tcPr>
            <w:tcW w:w="140" w:type="dxa"/>
            <w:vAlign w:val="bottom"/>
          </w:tcPr>
          <w:p>
            <w:pPr>
              <w:spacing w:after="0"/>
              <w:rPr>
                <w:sz w:val="24"/>
                <w:szCs w:val="24"/>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w w:val="98"/>
              </w:rPr>
              <w:t>541,282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-1714500</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-1251585</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-668020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-205105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-2066290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217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20" w:type="dxa"/>
            <w:vAlign w:val="bottom"/>
            <w:gridSpan w:val="2"/>
          </w:tcPr>
          <w:p>
            <w:pPr>
              <w:ind w:left="3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6"/>
                <w:szCs w:val="16"/>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color w:val="auto"/>
              </w:rPr>
              <w:t>Total</w:t>
            </w:r>
          </w:p>
        </w:tc>
      </w:tr>
      <w:tr>
        <w:trPr>
          <w:trHeight w:val="243"/>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(370,000)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515,027</w:t>
            </w:r>
          </w:p>
        </w:tc>
      </w:tr>
      <w:tr>
        <w:trPr>
          <w:trHeight w:val="270"/>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14,233</w:t>
            </w:r>
          </w:p>
        </w:tc>
      </w:tr>
      <w:tr>
        <w:trPr>
          <w:trHeight w:val="459"/>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1,296</w:t>
            </w:r>
          </w:p>
        </w:tc>
      </w:tr>
      <w:tr>
        <w:trPr>
          <w:trHeight w:val="459"/>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459"/>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1,263</w:t>
            </w:r>
          </w:p>
        </w:tc>
      </w:tr>
      <w:tr>
        <w:trPr>
          <w:trHeight w:val="270"/>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5,821</w:t>
            </w:r>
          </w:p>
        </w:tc>
      </w:tr>
      <w:tr>
        <w:trPr>
          <w:trHeight w:val="459"/>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687</w:t>
            </w:r>
          </w:p>
        </w:tc>
      </w:tr>
      <w:tr>
        <w:trPr>
          <w:trHeight w:val="27"/>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spacing w:after="0"/>
              <w:rPr>
                <w:sz w:val="20"/>
                <w:szCs w:val="20"/>
                <w:color w:val="auto"/>
              </w:rPr>
            </w:pPr>
            <w:r>
              <w:rPr>
                <w:rFonts w:ascii="Arial" w:cs="Arial" w:eastAsia="Arial" w:hAnsi="Arial"/>
                <w:sz w:val="18"/>
                <w:szCs w:val="18"/>
                <w:color w:val="auto"/>
              </w:rPr>
              <w:t>(370,000)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538,328</w:t>
            </w:r>
          </w:p>
        </w:tc>
      </w:tr>
      <w:tr>
        <w:trPr>
          <w:trHeight w:val="27"/>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4">
            <w:col w:w="2400" w:space="460"/>
            <w:col w:w="1640" w:space="240"/>
            <w:col w:w="3520" w:space="100"/>
            <w:col w:w="3060"/>
          </w:cols>
          <w:pgMar w:left="240" w:top="121"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consolidated balance sheet as of February 28, 2018, the consolidated statement of stockholders’ equity for the nine months ended February 28, 2018 and the consolidated statements of income, consolidated statements of comprehensive income for the three and nine months ended February 28, 2018 and 2017, and consolidated statements of cash flows for the nine months ended February 28, 2018 and 2017 have been prepared by us and are unaudited. The consolidated balance sheet as of May 31, 2017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February 28, 2018 (and for all periods presented) have been made.</w:t>
      </w:r>
    </w:p>
    <w:p>
      <w:pPr>
        <w:spacing w:after="0" w:line="167"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The unaudited interim consolidated financial statements for the three and nine months ended February 28, 2018 and 2017 include the accounts of AngioDynamics, Inc. and its wholly owned subsidiaries, collectively, the “Company”. All intercompany balances and transactions have been eliminated.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 reclassification was made to conform the prior year consolidated financial statements to reclassify bad debt expense from sales and marketing to general and administrative. The amount of the reclassification related to the three and nine months ended February 28, 2017 is $0.1 million and $0.1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21"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Inventories are stated at lower of cost and net realizable value (using the first-in, first-out method). As of February 28, 2018 and May 31, 2017, inventories consisted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Feb 28, 2018</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May 31, 2017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10,783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12,602</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24,341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56,564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54,506</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periodically reviews for both obsolescence and loss of value. The Company makes assumptions about the future demand for and market value of the inventory. Based on these assumptions, the Company estimates the amount of obsolete, expiring and slow moving inventory. The total inventory reserve at February 28, 2018 and May 31, 2017 was $6.8 million and $7.3 million, respectively. Of the $6.8 million reserve for fiscal year 2018, $1.5 million relates to the inventory reserve for Acculis inventory as a result of the recall announced in the fourth quarter of fiscal year 2017 and $0.7 million relates to a specific reserve related to the termination of an agreement with a Japanese distributor in the second quarter of fiscal year 2018. Of the $7.3 million in the prior year, $2.4 million relates to the inventory reserve for Acculis inventory as a result of the recall.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Intangible assets other than goodwill are amortized over their estimated useful lives on either a straight-line basis or proportionately to the benefit being realized. Useful lives range from two to eighteen years. The Company periodically reviews the estimated useful lives of our intangible assets and review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Company's annual testing for impairment of goodwill was completed as of December 31, 2017.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214" w:lineRule="exact"/>
        <w:rPr>
          <w:sz w:val="20"/>
          <w:szCs w:val="20"/>
          <w:color w:val="auto"/>
        </w:rPr>
      </w:pPr>
    </w:p>
    <w:p>
      <w:pPr>
        <w:ind w:right="20" w:firstLine="432"/>
        <w:spacing w:after="0" w:line="354" w:lineRule="auto"/>
        <w:rPr>
          <w:sz w:val="20"/>
          <w:szCs w:val="20"/>
          <w:color w:val="auto"/>
        </w:rPr>
      </w:pPr>
      <w:r>
        <w:rPr>
          <w:rFonts w:ascii="Arial" w:cs="Arial" w:eastAsia="Arial" w:hAnsi="Arial"/>
          <w:sz w:val="16"/>
          <w:szCs w:val="16"/>
          <w:color w:val="auto"/>
        </w:rPr>
        <w:t>Even though the Company determined that there was no goodwill impairment as of December 31, 2017,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2018. The Company continued to assess for potential impairment through February 28, 2018 and noted no events that would be considered a triggering event. There were no adjustments to goodwill for the nine months ended February 28, 2018.</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28, 2018 and May 31, 2017, intangible assets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2"/>
              </w:rPr>
              <w:t>February 28, 2018</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7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ind w:left="220"/>
              <w:spacing w:after="0" w:line="157" w:lineRule="exact"/>
              <w:rPr>
                <w:sz w:val="20"/>
                <w:szCs w:val="20"/>
                <w:color w:val="auto"/>
              </w:rPr>
            </w:pPr>
            <w:r>
              <w:rPr>
                <w:rFonts w:ascii="Arial" w:cs="Arial" w:eastAsia="Arial" w:hAnsi="Arial"/>
                <w:sz w:val="14"/>
                <w:szCs w:val="14"/>
                <w:color w:val="auto"/>
              </w:rPr>
              <w:t>Gross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carrying</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Net carrying</w:t>
            </w:r>
          </w:p>
        </w:tc>
        <w:tc>
          <w:tcPr>
            <w:tcW w:w="100" w:type="dxa"/>
            <w:vAlign w:val="bottom"/>
          </w:tcPr>
          <w:p>
            <w:pPr>
              <w:spacing w:after="0"/>
              <w:rPr>
                <w:sz w:val="12"/>
                <w:szCs w:val="12"/>
                <w:color w:val="auto"/>
              </w:rPr>
            </w:pPr>
          </w:p>
        </w:tc>
      </w:tr>
      <w:tr>
        <w:trPr>
          <w:trHeight w:val="188"/>
        </w:trPr>
        <w:tc>
          <w:tcPr>
            <w:tcW w:w="70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value</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color w:val="auto"/>
                <w:w w:val="96"/>
              </w:rPr>
              <w:t>amortization</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r>
      <w:tr>
        <w:trPr>
          <w:trHeight w:val="264"/>
        </w:trPr>
        <w:tc>
          <w:tcPr>
            <w:tcW w:w="70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147,178</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(66,470)</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80,708</w:t>
            </w:r>
          </w:p>
        </w:tc>
        <w:tc>
          <w:tcPr>
            <w:tcW w:w="100" w:type="dxa"/>
            <w:vAlign w:val="bottom"/>
          </w:tcPr>
          <w:p>
            <w:pPr>
              <w:spacing w:after="0"/>
              <w:rPr>
                <w:sz w:val="22"/>
                <w:szCs w:val="2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56,487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(22,325)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34,162</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17,192</w:t>
            </w:r>
          </w:p>
        </w:tc>
        <w:tc>
          <w:tcPr>
            <w:tcW w:w="100" w:type="dxa"/>
            <w:vAlign w:val="bottom"/>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5,752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3"/>
                <w:szCs w:val="23"/>
                <w:color w:val="auto"/>
              </w:rPr>
            </w:pPr>
          </w:p>
        </w:tc>
      </w:tr>
      <w:tr>
        <w:trPr>
          <w:trHeight w:val="237"/>
        </w:trPr>
        <w:tc>
          <w:tcPr>
            <w:tcW w:w="704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239,067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(104,555)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134,512</w:t>
            </w:r>
          </w:p>
        </w:tc>
        <w:tc>
          <w:tcPr>
            <w:tcW w:w="10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7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12"/>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w w:val="94"/>
              </w:rPr>
              <w:t>May 31, 2017</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56"/>
        </w:trPr>
        <w:tc>
          <w:tcPr>
            <w:tcW w:w="7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ind w:left="280"/>
              <w:spacing w:after="0" w:line="157" w:lineRule="exact"/>
              <w:rPr>
                <w:sz w:val="20"/>
                <w:szCs w:val="20"/>
                <w:color w:val="auto"/>
              </w:rPr>
            </w:pPr>
            <w:r>
              <w:rPr>
                <w:rFonts w:ascii="Arial" w:cs="Arial" w:eastAsia="Arial" w:hAnsi="Arial"/>
                <w:sz w:val="14"/>
                <w:szCs w:val="14"/>
                <w:color w:val="auto"/>
              </w:rPr>
              <w:t>Gross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Net carrying</w:t>
            </w:r>
          </w:p>
        </w:tc>
        <w:tc>
          <w:tcPr>
            <w:tcW w:w="100" w:type="dxa"/>
            <w:vAlign w:val="bottom"/>
          </w:tcPr>
          <w:p>
            <w:pPr>
              <w:spacing w:after="0"/>
              <w:rPr>
                <w:sz w:val="12"/>
                <w:szCs w:val="12"/>
                <w:color w:val="auto"/>
              </w:rPr>
            </w:pPr>
          </w:p>
        </w:tc>
      </w:tr>
      <w:tr>
        <w:trPr>
          <w:trHeight w:val="188"/>
        </w:trPr>
        <w:tc>
          <w:tcPr>
            <w:tcW w:w="7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value</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color w:val="auto"/>
                <w:w w:val="94"/>
              </w:rPr>
              <w:t>amortization</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value</w:t>
            </w:r>
          </w:p>
        </w:tc>
        <w:tc>
          <w:tcPr>
            <w:tcW w:w="100" w:type="dxa"/>
            <w:vAlign w:val="bottom"/>
            <w:tcBorders>
              <w:bottom w:val="single" w:sz="8" w:color="auto"/>
            </w:tcBorders>
          </w:tcPr>
          <w:p>
            <w:pPr>
              <w:spacing w:after="0"/>
              <w:rPr>
                <w:sz w:val="16"/>
                <w:szCs w:val="16"/>
                <w:color w:val="auto"/>
              </w:rPr>
            </w:pPr>
          </w:p>
        </w:tc>
      </w:tr>
      <w:tr>
        <w:trPr>
          <w:trHeight w:val="264"/>
        </w:trPr>
        <w:tc>
          <w:tcPr>
            <w:tcW w:w="70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3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147,172</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(59,696)</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56,375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(19,194)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37,181</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237,684</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(92,009)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145,675</w:t>
            </w:r>
          </w:p>
        </w:tc>
        <w:tc>
          <w:tcPr>
            <w:tcW w:w="100" w:type="dxa"/>
            <w:vAlign w:val="bottom"/>
            <w:tcBorders>
              <w:top w:val="single" w:sz="8" w:color="auto"/>
            </w:tcBorders>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Amortization expense for the three months ended February 28, 2018 and 2017 was $4.2 million and $4.4 million, respectively. Amortization expense for the nine months ended February 28, 2018 and 2017 was $12.4 million and $12.9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future amortization expense related to the intangible assets is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15,013</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13,854</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12,970</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2023 and thereafter</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72,069</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134,512</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20" w:type="dxa"/>
            <w:vAlign w:val="bottom"/>
          </w:tcPr>
          <w:p>
            <w:pPr>
              <w:ind w:left="440"/>
              <w:spacing w:after="0"/>
              <w:rPr>
                <w:sz w:val="20"/>
                <w:szCs w:val="20"/>
                <w:color w:val="auto"/>
              </w:rPr>
            </w:pPr>
            <w:r>
              <w:rPr>
                <w:rFonts w:ascii="Arial" w:cs="Arial" w:eastAsia="Arial" w:hAnsi="Arial"/>
                <w:sz w:val="18"/>
                <w:szCs w:val="18"/>
                <w:color w:val="auto"/>
              </w:rPr>
              <w:t>As of February 28, 2018 and May 31, 2017, accrued liabilities consisted of the following: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Feb 28, 2018</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May 31, 2017</w:t>
            </w:r>
          </w:p>
        </w:tc>
        <w:tc>
          <w:tcPr>
            <w:tcW w:w="0" w:type="dxa"/>
            <w:vAlign w:val="bottom"/>
          </w:tcPr>
          <w:p>
            <w:pPr>
              <w:spacing w:after="0"/>
              <w:rPr>
                <w:sz w:val="1"/>
                <w:szCs w:val="1"/>
                <w:color w:val="auto"/>
              </w:rPr>
            </w:pPr>
          </w:p>
        </w:tc>
      </w:tr>
      <w:tr>
        <w:trPr>
          <w:trHeight w:val="264"/>
        </w:trPr>
        <w:tc>
          <w:tcPr>
            <w:tcW w:w="89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11,383</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services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Litigation matters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Acculis recall liability</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38,804</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the fourth quarter of fiscal year 2017, the Company issued a voluntary recall of its Acculis probes that were sold over the past two years and recorded a liability of $2.6 million. In the third quarter of fiscal year 2018, the Company completed the replacement of Acculis probes that were returned with Solero probes.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 TERM DEBT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7, 2016, the Company entered into a Credit Agreement (the “Credit Agreement”) with the lenders party thereto, JPMorgan Chase Bank, N.A., as administrative agent, Bank of America, N.A. and Keybank National Association as co-syndication agents, and JPMorgan Chase Bank, N.A., Merrill Lynch, Pierce, Fenner &amp; Smith Incorporated and Keybank National Association as joint bookrunners and joint lead arrangers.</w:t>
      </w:r>
    </w:p>
    <w:p>
      <w:pPr>
        <w:spacing w:after="0" w:line="16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Credit Agreement provides for a $100.0 million senior secured term loan facility (“Term Loan”) and a $150.0 million senior secured revolving credit facility, which includes up to a $20.0 million sublimit for letters of credit and a $5.0 million sublimit for swingline loans (the “Revolving Facility”, and together with the Term Loan, the “Facilities”).</w:t>
      </w:r>
    </w:p>
    <w:p>
      <w:pPr>
        <w:spacing w:after="0" w:line="18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On November 7, 2016, the Company borrowed $100.0 million under the Term Loan and approximately $16.5 million under the Revolving Facility to repay the balance of $116.5 million under the former credit agreement. As of February 28, 2018 and May 31, 2017 the carrying value of long-term debt approximates its fair market value.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interest rate on the Term Loan at February 28, 2018 was 3.07%.</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was in compliance with the Credit Agreement covenants as of February 28, 2018.</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maturities of principal obligations under the Credit Agreement are as follows, as of February 28,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2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6"/>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7"/>
        </w:trPr>
        <w:tc>
          <w:tcPr>
            <w:tcW w:w="10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11,250</w:t>
            </w:r>
          </w:p>
        </w:tc>
      </w:tr>
      <w:tr>
        <w:trPr>
          <w:trHeight w:val="27"/>
        </w:trPr>
        <w:tc>
          <w:tcPr>
            <w:tcW w:w="10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68,750</w:t>
            </w:r>
          </w:p>
        </w:tc>
      </w:tr>
      <w:tr>
        <w:trPr>
          <w:trHeight w:val="237"/>
        </w:trPr>
        <w:tc>
          <w:tcPr>
            <w:tcW w:w="10220" w:type="dxa"/>
            <w:vAlign w:val="bottom"/>
          </w:tcPr>
          <w:p>
            <w:pPr>
              <w:ind w:left="260"/>
              <w:spacing w:after="0"/>
              <w:rPr>
                <w:sz w:val="20"/>
                <w:szCs w:val="20"/>
                <w:color w:val="auto"/>
              </w:rPr>
            </w:pPr>
            <w:r>
              <w:rPr>
                <w:rFonts w:ascii="Arial" w:cs="Arial" w:eastAsia="Arial" w:hAnsi="Arial"/>
                <w:sz w:val="18"/>
                <w:szCs w:val="18"/>
                <w:color w:val="auto"/>
              </w:rPr>
              <w:t>Total term loan</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93,750</w:t>
            </w:r>
          </w:p>
        </w:tc>
      </w:tr>
      <w:tr>
        <w:trPr>
          <w:trHeight w:val="27"/>
        </w:trPr>
        <w:tc>
          <w:tcPr>
            <w:tcW w:w="10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facility</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1022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93,750</w:t>
            </w:r>
          </w:p>
        </w:tc>
      </w:tr>
      <w:tr>
        <w:trPr>
          <w:trHeight w:val="27"/>
        </w:trPr>
        <w:tc>
          <w:tcPr>
            <w:tcW w:w="10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37"/>
        </w:trPr>
        <w:tc>
          <w:tcPr>
            <w:tcW w:w="1022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92,798</w:t>
            </w:r>
          </w:p>
        </w:tc>
      </w:tr>
      <w:tr>
        <w:trPr>
          <w:trHeight w:val="27"/>
        </w:trPr>
        <w:tc>
          <w:tcPr>
            <w:tcW w:w="10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7"/>
        </w:trPr>
        <w:tc>
          <w:tcPr>
            <w:tcW w:w="10220" w:type="dxa"/>
            <w:vAlign w:val="bottom"/>
          </w:tcPr>
          <w:p>
            <w:pPr>
              <w:ind w:left="260"/>
              <w:spacing w:after="0"/>
              <w:rPr>
                <w:sz w:val="20"/>
                <w:szCs w:val="20"/>
                <w:color w:val="auto"/>
              </w:rPr>
            </w:pPr>
            <w:r>
              <w:rPr>
                <w:rFonts w:ascii="Arial" w:cs="Arial" w:eastAsia="Arial" w:hAnsi="Arial"/>
                <w:sz w:val="18"/>
                <w:szCs w:val="18"/>
                <w:color w:val="auto"/>
              </w:rPr>
              <w:t>Total long-term debt, net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87,798</w:t>
            </w:r>
          </w:p>
        </w:tc>
      </w:tr>
      <w:tr>
        <w:trPr>
          <w:trHeight w:val="27"/>
        </w:trPr>
        <w:tc>
          <w:tcPr>
            <w:tcW w:w="10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0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3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4.9% in the third quarter of fiscal 2018, as compared to 42.9% for the same period in fiscal 2017. The Company’s effective tax rate differs from the U.S. statutory rate primarily due to a U.S. valuation allowance, foreign taxes and state taxes. The change from the prior quarter fiscal year 2017 is principally related to the enactment of the Tax Cuts and Jobs Act (“Tax Reform Act”) as it relates to amortization of goodwill for tax purposes which will no longer be treated as a permanent item in our tax provision.</w:t>
      </w:r>
    </w:p>
    <w:p>
      <w:pPr>
        <w:spacing w:after="0" w:line="19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December 22, 2017, the President of the United States signed into law the Tax Reform Act. The legislation significantly changes U.S. tax law by, among other things, lowering corporate income tax rates, implementing a territorial tax system, expanding the tax base and imposing a tax deemed repatriated earnings of foreign subsidiaries. The Tax Reform Act permanently reduces the U.S. corporate federal income tax rate from a maximum of 35% to a flat 21% rate, effective January 1, 2018. The Company has recognized the impact of the Tax Reform Act in these unaudited consolidated financial statements and related disclosures. Staff Accounting Bulletin No. 118 (“SAB 118”) provides Companies with guidance on accounting for the impact of the Tax Reform Act. Specifically, SAB 118 provides for a measurement period, not to exceed one year, that begins on the date of enactment of December 22, 2017, and ends when the Company has obtained, prepared, and analyzed information needed to complete accounting requirements. In accordance with SAB 118, the Company recorded provisional amounts reflecting the impact of the Tax Reform Act in these unaudited consolidated financial statements and related disclosures.</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a result of the Tax Reform Act, in the third quarter of fiscal 2018, the Company has recognized a discrete tax benefit in the amount of $9.3 million due to the revaluation of the Company's indefinite lived deferred tax liability related to amortizable goodwill to reflect the lower statutory rate. Because the remaining U.S. deferred tax assets are offset by a full valuation allowance, the reduction in net deferred tax assets for the lower rate was fully offset by a corresponding reduction in valuation allowance resulting in no additional tax provision. The Tax Reform Act changed the NOL carryover rules and created a new limitation on their use. NOLs created in fiscal 2018 and beyond may be carried forwarded indefinitely but are limited to 80% of taxable income in any year. As a result of this change, the Company believes it is appropriate to offset some of its indefinite lived deferred tax liability against its deferred tax assets, and as a result, recognized an estimated $0.8 million discrete benefit in the third quarter of fiscal 2018. Additionally, this change impacts the Company's effective tax calculation on a go forward basis as the amortization of goodwill for tax purposes will no longer be treated as a permanent item in our tax provision.</w:t>
      </w:r>
    </w:p>
    <w:p>
      <w:pPr>
        <w:spacing w:after="0" w:line="19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Tax Reform Act imposes a one-time transition tax on the deemed repatriation of post-1986 undistributed foreign subsidiaries’ earnings. Based on the information available as of December 31, 2017, the Company estimated undistributed foreign earnings of approximately $4.8 million. The taxable income arising from this deemed repatriation is expected to result in the utilization of net operating loss carryforwards and other tax credits, offset by changes in the valuation allowance, resulting in no net impact to tax expense. In accordance with SAB 118, the estimated income tax impact associated with the one-time transition tax of zero represents our best estimate based on interpretation of the U.S. legislation as we are still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accumulating data to finalize the underlying calculation. In accordance with SAB 118, estimated income tax impact associated with the one-time transition tax is considered provisional and will be finalized prior to the end of the measurement period. The ultimate impact may differ from these provisional amounts, due to, among other things, additional analysis, changes in interpretations and assumptions the Company has made, additional regulatory guidance that may be issued, and actions the Company may take as a result of the Tax Reform Act.</w:t>
      </w:r>
    </w:p>
    <w:p>
      <w:pPr>
        <w:spacing w:after="0" w:line="18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 valuation allowance is established if it is more likely than not that all, or a portion of the deferred tax asset will not be realized. The Company has established that it is more likely than not that some, or all of their deferred tax assets will not be recognized in future years. Consequently, the Company continues to maintain a full U.S. valuation allowance on its net deferred tax assets. Management will continue to reevaluate the positive and negative evidence at each reporting period and if future results as projected in the U.S. and our tax planning strategies are favorable, the valuation allowance may be removed, which could have a favorable material impact on our results of operations in the period in which it is recorded.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has two stock-based compensation plans that provide for the issuance of up to approximately 9.5 million shares of common stock. The 2004 Stock and Incentive Award Plan (the "2004 Plan") provides for the grant of incentive options to our employees and for the grant of non-statutory stock options, restricted stock, stock appreciation rights, performance units, performance shares and other incentive awards to our employees, directors and other service providers. The Company also has an employee stock purchase plan.</w:t>
      </w:r>
    </w:p>
    <w:p>
      <w:pPr>
        <w:spacing w:after="0" w:line="187"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For the three months ended February 28, 2018 and 2017, share-based payment expense was $2.1 million and $1.7 million, respectively. For the nine months ended February 28, 2018 and 2017, share-based payment expense was $5.8 million and $5.1 million, respectively.</w:t>
      </w:r>
    </w:p>
    <w:p>
      <w:pPr>
        <w:spacing w:after="0" w:line="14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During the nine months ended February 28, 2018 and 2017,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shares on the date of grant and then amortized on a straight-line basis over the requisite service period of the award.</w:t>
      </w:r>
    </w:p>
    <w:p>
      <w:pPr>
        <w:spacing w:after="0" w:line="171"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In the nine months of fiscal year 2018, the Company granted market-based performance share awards under the 2004 Plan to certain employees. The awards may be earned by achieving relative performance levels over the three year requisite service period. The performance criteria are based on the total shareholder return ("TSR") of the Company's common stock relative to the TSR of the common stock of a pre-defined industry peer-group. The fair value of these awards are based on the closing trading value of the Company's shares on the date of grant and use a Monte Carlo simulation model.</w:t>
      </w:r>
    </w:p>
    <w:p>
      <w:pPr>
        <w:spacing w:after="0" w:line="15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As of February 28, 2018, there was $15.0 million of unrecognized compensation expense related to share-based payment arrangements. These costs are expected to be recognized over a weighted-average period of approximately four years. The Company has sufficient shares to satisfy expected share-based payment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2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8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reconciles basic to diluted weighted-average shares outstanding for the three and nine months ended February 28, 2018 and 2017 (in thousands):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65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906"/>
        </w:trPr>
        <w:tc>
          <w:tcPr>
            <w:tcW w:w="1020" w:type="dxa"/>
            <w:vAlign w:val="bottom"/>
            <w:tcBorders>
              <w:top w:val="single" w:sz="8" w:color="0000EE"/>
            </w:tcBorders>
          </w:tcPr>
          <w:p>
            <w:pPr>
              <w:spacing w:after="0"/>
              <w:rPr>
                <w:sz w:val="24"/>
                <w:szCs w:val="24"/>
                <w:color w:val="auto"/>
              </w:rPr>
            </w:pPr>
          </w:p>
        </w:tc>
        <w:tc>
          <w:tcPr>
            <w:tcW w:w="55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24"/>
                <w:szCs w:val="24"/>
                <w:color w:val="auto"/>
              </w:rPr>
            </w:pPr>
          </w:p>
        </w:tc>
        <w:tc>
          <w:tcPr>
            <w:tcW w:w="23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Nine Months Ended</w:t>
            </w:r>
          </w:p>
        </w:tc>
      </w:tr>
      <w:tr>
        <w:trPr>
          <w:trHeight w:val="264"/>
        </w:trPr>
        <w:tc>
          <w:tcPr>
            <w:tcW w:w="652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Feb 28, 2018</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Feb 28, 2017</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Feb 28, 2018</w:t>
            </w:r>
          </w:p>
        </w:tc>
        <w:tc>
          <w:tcPr>
            <w:tcW w:w="1140" w:type="dxa"/>
            <w:vAlign w:val="bottom"/>
          </w:tcPr>
          <w:p>
            <w:pPr>
              <w:jc w:val="right"/>
              <w:ind w:right="94"/>
              <w:spacing w:after="0"/>
              <w:rPr>
                <w:sz w:val="20"/>
                <w:szCs w:val="20"/>
                <w:color w:val="auto"/>
              </w:rPr>
            </w:pPr>
            <w:r>
              <w:rPr>
                <w:rFonts w:ascii="Arial" w:cs="Arial" w:eastAsia="Arial" w:hAnsi="Arial"/>
                <w:sz w:val="14"/>
                <w:szCs w:val="14"/>
                <w:color w:val="auto"/>
              </w:rPr>
              <w:t>Feb 28, 2017</w:t>
            </w:r>
          </w:p>
        </w:tc>
      </w:tr>
      <w:tr>
        <w:trPr>
          <w:trHeight w:val="250"/>
        </w:trPr>
        <w:tc>
          <w:tcPr>
            <w:tcW w:w="65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37,122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36,557</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Effect of dilutive securities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511</w:t>
            </w:r>
          </w:p>
        </w:tc>
      </w:tr>
      <w:tr>
        <w:trPr>
          <w:trHeight w:val="27"/>
        </w:trPr>
        <w:tc>
          <w:tcPr>
            <w:tcW w:w="10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37,442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37,126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37,358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37,068</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10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r>
      <w:tr>
        <w:trPr>
          <w:trHeight w:val="20"/>
        </w:trPr>
        <w:tc>
          <w:tcPr>
            <w:tcW w:w="10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AND GEOGRAPHIC INFORMATION</w:t>
      </w:r>
    </w:p>
    <w:p>
      <w:pPr>
        <w:spacing w:after="0" w:line="229"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Company considers the business to be a single operating segment engaged in the development, manufacture and sale of medical devices for vascular access, peripheral vascular disease, oncology and surgery on a global basis. The Company's chief operating decision maker, the President and Chief Executive Officer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net sales by product category: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Nine Months Ended</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Feb 28, 2018</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2018</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4"/>
              </w:rPr>
              <w:t>Feb 28, 2017</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Peripheral Vascular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48,517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48,929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149,751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154,654</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72,238</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Oncology/Surgery</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12,055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37,126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35,837</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83,851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85,602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255,968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262,729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net sales by geographic area based on external customer location (in thousands of dollars):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Nine Months Ended</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Feb 28, 2018</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2018</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4"/>
              </w:rPr>
              <w:t>Feb 28, 2017</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65,787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67,656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203,020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211,295</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18,064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52,948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51,434</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83,851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85,602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255,968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262,729</w:t>
            </w:r>
          </w:p>
        </w:tc>
      </w:tr>
      <w:tr>
        <w:trPr>
          <w:trHeight w:val="27"/>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ectPr>
          <w:pgSz w:w="11900" w:h="16838" w:orient="portrait"/>
          <w:cols w:equalWidth="0" w:num="1">
            <w:col w:w="11420"/>
          </w:cols>
          <w:pgMar w:left="240" w:top="11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4"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Company's financial instruments include cash and cash equivalents, marketable securities, accounts receivable, accounts payable and contingent consideration. The carrying amount of cash and cash equivalents, accounts receivable, and accounts payable approximates fair value due to the immediate or short-term maturities. The Company's recurring fair value measurements using significant unobservable inputs (Level 3) relate to our marketable securities, which are comprised of auction rate securities and contingent consideration.</w:t>
      </w:r>
    </w:p>
    <w:p>
      <w:pPr>
        <w:spacing w:after="0" w:line="18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as of February 28, 2018 and May 31, 2017 (in thousands of dollars):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6"/>
          </w:tcPr>
          <w:p>
            <w:pPr>
              <w:jc w:val="center"/>
              <w:ind w:right="150"/>
              <w:spacing w:after="0"/>
              <w:rPr>
                <w:sz w:val="20"/>
                <w:szCs w:val="20"/>
                <w:color w:val="auto"/>
              </w:rPr>
            </w:pPr>
            <w:r>
              <w:rPr>
                <w:rFonts w:ascii="Arial" w:cs="Arial" w:eastAsia="Arial" w:hAnsi="Arial"/>
                <w:sz w:val="14"/>
                <w:szCs w:val="14"/>
                <w:color w:val="auto"/>
                <w:w w:val="92"/>
              </w:rPr>
              <w:t>Fair Value Measurements using</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4"/>
              <w:spacing w:after="0"/>
              <w:rPr>
                <w:sz w:val="20"/>
                <w:szCs w:val="20"/>
                <w:color w:val="auto"/>
              </w:rPr>
            </w:pPr>
            <w:r>
              <w:rPr>
                <w:rFonts w:ascii="Arial" w:cs="Arial" w:eastAsia="Arial" w:hAnsi="Arial"/>
                <w:sz w:val="14"/>
                <w:szCs w:val="14"/>
                <w:color w:val="auto"/>
                <w:w w:val="97"/>
              </w:rPr>
              <w:t>Fair Value at February</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2"/>
              </w:rPr>
              <w:t>inputs considered as: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28, 2018</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tcPr>
          <w:p>
            <w:pPr>
              <w:jc w:val="right"/>
              <w:ind w:right="34"/>
              <w:spacing w:after="0"/>
              <w:rPr>
                <w:sz w:val="20"/>
                <w:szCs w:val="20"/>
                <w:color w:val="auto"/>
              </w:rPr>
            </w:pPr>
            <w:r>
              <w:rPr>
                <w:rFonts w:ascii="Arial" w:cs="Arial" w:eastAsia="Arial" w:hAnsi="Arial"/>
                <w:sz w:val="14"/>
                <w:szCs w:val="14"/>
                <w:color w:val="auto"/>
              </w:rPr>
              <w:t>Level 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Level 2</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obligations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10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 for acquisition earn out</w:t>
            </w: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5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6"/>
          </w:tcPr>
          <w:p>
            <w:pPr>
              <w:jc w:val="center"/>
              <w:ind w:right="150"/>
              <w:spacing w:after="0"/>
              <w:rPr>
                <w:sz w:val="20"/>
                <w:szCs w:val="20"/>
                <w:color w:val="auto"/>
              </w:rPr>
            </w:pPr>
            <w:r>
              <w:rPr>
                <w:rFonts w:ascii="Arial" w:cs="Arial" w:eastAsia="Arial" w:hAnsi="Arial"/>
                <w:sz w:val="14"/>
                <w:szCs w:val="14"/>
                <w:color w:val="auto"/>
                <w:w w:val="92"/>
              </w:rPr>
              <w:t>Fair Value Measurements using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34"/>
              <w:spacing w:after="0"/>
              <w:rPr>
                <w:sz w:val="20"/>
                <w:szCs w:val="20"/>
                <w:color w:val="auto"/>
              </w:rPr>
            </w:pPr>
            <w:r>
              <w:rPr>
                <w:rFonts w:ascii="Arial" w:cs="Arial" w:eastAsia="Arial" w:hAnsi="Arial"/>
                <w:sz w:val="14"/>
                <w:szCs w:val="14"/>
                <w:color w:val="auto"/>
              </w:rPr>
              <w:t>Fair Value at May 31,</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2"/>
              </w:rPr>
              <w:t>inputs considered as: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thousands)</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Level 1</w:t>
            </w: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7"/>
              </w:rPr>
              <w:t>Level 2</w:t>
            </w: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Level 3</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10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government agency obligations</w:t>
            </w: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acquisition earn out</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2 and 3 for the three and nine months ended February 28, 2018.</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 below presents the changes in fair value components of Level 3 instruments in the three and nine months ended February 28,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gridSpan w:val="4"/>
          </w:tcPr>
          <w:p>
            <w:pPr>
              <w:jc w:val="right"/>
              <w:ind w:right="1433"/>
              <w:spacing w:after="0"/>
              <w:rPr>
                <w:sz w:val="20"/>
                <w:szCs w:val="20"/>
                <w:color w:val="auto"/>
              </w:rPr>
            </w:pPr>
            <w:r>
              <w:rPr>
                <w:rFonts w:ascii="Arial" w:cs="Arial" w:eastAsia="Arial" w:hAnsi="Arial"/>
                <w:sz w:val="14"/>
                <w:szCs w:val="14"/>
                <w:color w:val="auto"/>
              </w:rPr>
              <w:t>Three Months Ended February 28, 2018</w:t>
            </w:r>
          </w:p>
        </w:tc>
      </w:tr>
      <w:tr>
        <w:trPr>
          <w:trHeight w:val="264"/>
        </w:trPr>
        <w:tc>
          <w:tcPr>
            <w:tcW w:w="6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w w:val="92"/>
              </w:rPr>
              <w:t>Financial Assets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color w:val="auto"/>
                <w:w w:val="98"/>
              </w:rPr>
              <w:t>Financial Liabilities</w:t>
            </w:r>
          </w:p>
        </w:tc>
      </w:tr>
      <w:tr>
        <w:trPr>
          <w:trHeight w:val="228"/>
        </w:trPr>
        <w:tc>
          <w:tcPr>
            <w:tcW w:w="6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Fair Value Measurements</w:t>
            </w:r>
          </w:p>
        </w:tc>
        <w:tc>
          <w:tcPr>
            <w:tcW w:w="240" w:type="dxa"/>
            <w:vAlign w:val="bottom"/>
          </w:tcPr>
          <w:p>
            <w:pPr>
              <w:spacing w:after="0"/>
              <w:rPr>
                <w:sz w:val="19"/>
                <w:szCs w:val="19"/>
                <w:color w:val="auto"/>
              </w:rPr>
            </w:pPr>
          </w:p>
        </w:tc>
        <w:tc>
          <w:tcPr>
            <w:tcW w:w="2380" w:type="dxa"/>
            <w:vAlign w:val="bottom"/>
          </w:tcPr>
          <w:p>
            <w:pPr>
              <w:jc w:val="center"/>
              <w:ind w:right="173"/>
              <w:spacing w:after="0"/>
              <w:rPr>
                <w:sz w:val="20"/>
                <w:szCs w:val="20"/>
                <w:color w:val="auto"/>
              </w:rPr>
            </w:pPr>
            <w:r>
              <w:rPr>
                <w:rFonts w:ascii="Arial" w:cs="Arial" w:eastAsia="Arial" w:hAnsi="Arial"/>
                <w:sz w:val="18"/>
                <w:szCs w:val="18"/>
                <w:color w:val="auto"/>
                <w:w w:val="89"/>
              </w:rPr>
              <w:t>Fair Value Measurements</w:t>
            </w:r>
          </w:p>
        </w:tc>
      </w:tr>
      <w:tr>
        <w:trPr>
          <w:trHeight w:val="216"/>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Using Significant</w:t>
            </w:r>
          </w:p>
        </w:tc>
        <w:tc>
          <w:tcPr>
            <w:tcW w:w="240" w:type="dxa"/>
            <w:vAlign w:val="bottom"/>
          </w:tcPr>
          <w:p>
            <w:pPr>
              <w:spacing w:after="0"/>
              <w:rPr>
                <w:sz w:val="18"/>
                <w:szCs w:val="18"/>
                <w:color w:val="auto"/>
              </w:rPr>
            </w:pPr>
          </w:p>
        </w:tc>
        <w:tc>
          <w:tcPr>
            <w:tcW w:w="2380" w:type="dxa"/>
            <w:vAlign w:val="bottom"/>
          </w:tcPr>
          <w:p>
            <w:pPr>
              <w:jc w:val="center"/>
              <w:ind w:right="153"/>
              <w:spacing w:after="0"/>
              <w:rPr>
                <w:sz w:val="20"/>
                <w:szCs w:val="20"/>
                <w:color w:val="auto"/>
              </w:rPr>
            </w:pPr>
            <w:r>
              <w:rPr>
                <w:rFonts w:ascii="Arial" w:cs="Arial" w:eastAsia="Arial" w:hAnsi="Arial"/>
                <w:sz w:val="18"/>
                <w:szCs w:val="18"/>
                <w:color w:val="auto"/>
                <w:w w:val="93"/>
              </w:rPr>
              <w:t>Using Significant</w:t>
            </w:r>
          </w:p>
        </w:tc>
      </w:tr>
      <w:tr>
        <w:trPr>
          <w:trHeight w:val="212"/>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Unobservable Inputs</w:t>
            </w:r>
          </w:p>
        </w:tc>
        <w:tc>
          <w:tcPr>
            <w:tcW w:w="240" w:type="dxa"/>
            <w:vAlign w:val="bottom"/>
          </w:tcPr>
          <w:p>
            <w:pPr>
              <w:spacing w:after="0"/>
              <w:rPr>
                <w:sz w:val="18"/>
                <w:szCs w:val="18"/>
                <w:color w:val="auto"/>
              </w:rPr>
            </w:pPr>
          </w:p>
        </w:tc>
        <w:tc>
          <w:tcPr>
            <w:tcW w:w="2380" w:type="dxa"/>
            <w:vAlign w:val="bottom"/>
          </w:tcPr>
          <w:p>
            <w:pPr>
              <w:jc w:val="center"/>
              <w:ind w:right="153"/>
              <w:spacing w:after="0"/>
              <w:rPr>
                <w:sz w:val="20"/>
                <w:szCs w:val="20"/>
                <w:color w:val="auto"/>
              </w:rPr>
            </w:pPr>
            <w:r>
              <w:rPr>
                <w:rFonts w:ascii="Arial" w:cs="Arial" w:eastAsia="Arial" w:hAnsi="Arial"/>
                <w:sz w:val="18"/>
                <w:szCs w:val="18"/>
                <w:color w:val="auto"/>
                <w:w w:val="90"/>
              </w:rPr>
              <w:t>Unobservable Inputs</w:t>
            </w:r>
          </w:p>
        </w:tc>
      </w:tr>
      <w:tr>
        <w:trPr>
          <w:trHeight w:val="188"/>
        </w:trPr>
        <w:tc>
          <w:tcPr>
            <w:tcW w:w="60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248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(Level 3)</w:t>
            </w:r>
          </w:p>
        </w:tc>
        <w:tc>
          <w:tcPr>
            <w:tcW w:w="240" w:type="dxa"/>
            <w:vAlign w:val="bottom"/>
          </w:tcPr>
          <w:p>
            <w:pPr>
              <w:spacing w:after="0"/>
              <w:rPr>
                <w:sz w:val="16"/>
                <w:szCs w:val="16"/>
                <w:color w:val="auto"/>
              </w:rPr>
            </w:pPr>
          </w:p>
        </w:tc>
        <w:tc>
          <w:tcPr>
            <w:tcW w:w="2380" w:type="dxa"/>
            <w:vAlign w:val="bottom"/>
          </w:tcPr>
          <w:p>
            <w:pPr>
              <w:jc w:val="center"/>
              <w:ind w:right="173"/>
              <w:spacing w:after="0"/>
              <w:rPr>
                <w:sz w:val="20"/>
                <w:szCs w:val="20"/>
                <w:color w:val="auto"/>
              </w:rPr>
            </w:pPr>
            <w:r>
              <w:rPr>
                <w:rFonts w:ascii="Arial" w:cs="Arial" w:eastAsia="Arial" w:hAnsi="Arial"/>
                <w:sz w:val="14"/>
                <w:szCs w:val="14"/>
                <w:color w:val="auto"/>
                <w:w w:val="95"/>
              </w:rPr>
              <w:t>(Level 3)</w:t>
            </w: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November 30,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Total gains or losses (realized/unrealized):</w:t>
            </w:r>
          </w:p>
        </w:tc>
        <w:tc>
          <w:tcPr>
            <w:tcW w:w="2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present value of 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Included in other comprehensive income (loss)</w:t>
            </w:r>
          </w:p>
        </w:tc>
        <w:tc>
          <w:tcPr>
            <w:tcW w:w="260" w:type="dxa"/>
            <w:vAlign w:val="bottom"/>
          </w:tcPr>
          <w:p>
            <w:pPr>
              <w:spacing w:after="0"/>
              <w:rPr>
                <w:sz w:val="21"/>
                <w:szCs w:val="21"/>
                <w:color w:val="auto"/>
              </w:rPr>
            </w:pPr>
          </w:p>
        </w:tc>
        <w:tc>
          <w:tcPr>
            <w:tcW w:w="236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gain (loss) from remeasurement</w:t>
            </w:r>
          </w:p>
        </w:tc>
        <w:tc>
          <w:tcPr>
            <w:tcW w:w="2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260" w:type="dxa"/>
            <w:vAlign w:val="bottom"/>
          </w:tcPr>
          <w:p>
            <w:pPr>
              <w:spacing w:after="0"/>
              <w:rPr>
                <w:sz w:val="21"/>
                <w:szCs w:val="21"/>
                <w:color w:val="auto"/>
              </w:rPr>
            </w:pPr>
          </w:p>
        </w:tc>
        <w:tc>
          <w:tcPr>
            <w:tcW w:w="2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3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 and/or (out) of Level 3</w:t>
            </w:r>
          </w:p>
        </w:tc>
        <w:tc>
          <w:tcPr>
            <w:tcW w:w="26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Contingent consideration payments</w:t>
            </w:r>
          </w:p>
        </w:tc>
        <w:tc>
          <w:tcPr>
            <w:tcW w:w="260" w:type="dxa"/>
            <w:vAlign w:val="bottom"/>
          </w:tcPr>
          <w:p>
            <w:pPr>
              <w:spacing w:after="0"/>
              <w:rPr>
                <w:sz w:val="21"/>
                <w:szCs w:val="21"/>
                <w:color w:val="auto"/>
              </w:rPr>
            </w:pPr>
          </w:p>
        </w:tc>
        <w:tc>
          <w:tcPr>
            <w:tcW w:w="2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3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February 28,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3,229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auto"/>
              <w:bottom w:val="single" w:sz="8" w:color="auto"/>
            </w:tcBorders>
            <w:gridSpan w:val="2"/>
          </w:tcPr>
          <w:p>
            <w:pPr>
              <w:spacing w:after="0" w:line="20" w:lineRule="exact"/>
              <w:rPr>
                <w:sz w:val="1"/>
                <w:szCs w:val="1"/>
                <w:color w:val="auto"/>
              </w:rPr>
            </w:pPr>
          </w:p>
        </w:tc>
      </w:tr>
      <w:tr>
        <w:trPr>
          <w:trHeight w:val="380"/>
        </w:trPr>
        <w:tc>
          <w:tcPr>
            <w:tcW w:w="6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4"/>
          </w:tcPr>
          <w:p>
            <w:pPr>
              <w:jc w:val="right"/>
              <w:ind w:right="1453"/>
              <w:spacing w:after="0"/>
              <w:rPr>
                <w:sz w:val="20"/>
                <w:szCs w:val="20"/>
                <w:color w:val="auto"/>
              </w:rPr>
            </w:pPr>
            <w:r>
              <w:rPr>
                <w:rFonts w:ascii="Arial" w:cs="Arial" w:eastAsia="Arial" w:hAnsi="Arial"/>
                <w:sz w:val="14"/>
                <w:szCs w:val="14"/>
                <w:color w:val="auto"/>
              </w:rPr>
              <w:t>Nine Months Ended February 28, 2018</w:t>
            </w:r>
          </w:p>
        </w:tc>
      </w:tr>
      <w:tr>
        <w:trPr>
          <w:trHeight w:val="264"/>
        </w:trPr>
        <w:tc>
          <w:tcPr>
            <w:tcW w:w="6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w w:val="92"/>
              </w:rPr>
              <w:t>Financial Assets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color w:val="auto"/>
                <w:w w:val="98"/>
              </w:rPr>
              <w:t>Financial Liabilities</w:t>
            </w:r>
          </w:p>
        </w:tc>
      </w:tr>
      <w:tr>
        <w:trPr>
          <w:trHeight w:val="228"/>
        </w:trPr>
        <w:tc>
          <w:tcPr>
            <w:tcW w:w="6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Fair Value Measurements</w:t>
            </w:r>
          </w:p>
        </w:tc>
        <w:tc>
          <w:tcPr>
            <w:tcW w:w="240" w:type="dxa"/>
            <w:vAlign w:val="bottom"/>
          </w:tcPr>
          <w:p>
            <w:pPr>
              <w:spacing w:after="0"/>
              <w:rPr>
                <w:sz w:val="19"/>
                <w:szCs w:val="19"/>
                <w:color w:val="auto"/>
              </w:rPr>
            </w:pPr>
          </w:p>
        </w:tc>
        <w:tc>
          <w:tcPr>
            <w:tcW w:w="2380" w:type="dxa"/>
            <w:vAlign w:val="bottom"/>
          </w:tcPr>
          <w:p>
            <w:pPr>
              <w:jc w:val="center"/>
              <w:ind w:right="173"/>
              <w:spacing w:after="0"/>
              <w:rPr>
                <w:sz w:val="20"/>
                <w:szCs w:val="20"/>
                <w:color w:val="auto"/>
              </w:rPr>
            </w:pPr>
            <w:r>
              <w:rPr>
                <w:rFonts w:ascii="Arial" w:cs="Arial" w:eastAsia="Arial" w:hAnsi="Arial"/>
                <w:sz w:val="18"/>
                <w:szCs w:val="18"/>
                <w:color w:val="auto"/>
                <w:w w:val="89"/>
              </w:rPr>
              <w:t>Fair Value Measurements</w:t>
            </w:r>
          </w:p>
        </w:tc>
      </w:tr>
      <w:tr>
        <w:trPr>
          <w:trHeight w:val="216"/>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Using Significant</w:t>
            </w:r>
          </w:p>
        </w:tc>
        <w:tc>
          <w:tcPr>
            <w:tcW w:w="240" w:type="dxa"/>
            <w:vAlign w:val="bottom"/>
          </w:tcPr>
          <w:p>
            <w:pPr>
              <w:spacing w:after="0"/>
              <w:rPr>
                <w:sz w:val="18"/>
                <w:szCs w:val="18"/>
                <w:color w:val="auto"/>
              </w:rPr>
            </w:pPr>
          </w:p>
        </w:tc>
        <w:tc>
          <w:tcPr>
            <w:tcW w:w="2380" w:type="dxa"/>
            <w:vAlign w:val="bottom"/>
          </w:tcPr>
          <w:p>
            <w:pPr>
              <w:jc w:val="center"/>
              <w:ind w:right="153"/>
              <w:spacing w:after="0"/>
              <w:rPr>
                <w:sz w:val="20"/>
                <w:szCs w:val="20"/>
                <w:color w:val="auto"/>
              </w:rPr>
            </w:pPr>
            <w:r>
              <w:rPr>
                <w:rFonts w:ascii="Arial" w:cs="Arial" w:eastAsia="Arial" w:hAnsi="Arial"/>
                <w:sz w:val="18"/>
                <w:szCs w:val="18"/>
                <w:color w:val="auto"/>
                <w:w w:val="93"/>
              </w:rPr>
              <w:t>Using Significant</w:t>
            </w:r>
          </w:p>
        </w:tc>
      </w:tr>
      <w:tr>
        <w:trPr>
          <w:trHeight w:val="212"/>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Unobservable Inputs</w:t>
            </w:r>
          </w:p>
        </w:tc>
        <w:tc>
          <w:tcPr>
            <w:tcW w:w="240" w:type="dxa"/>
            <w:vAlign w:val="bottom"/>
          </w:tcPr>
          <w:p>
            <w:pPr>
              <w:spacing w:after="0"/>
              <w:rPr>
                <w:sz w:val="18"/>
                <w:szCs w:val="18"/>
                <w:color w:val="auto"/>
              </w:rPr>
            </w:pPr>
          </w:p>
        </w:tc>
        <w:tc>
          <w:tcPr>
            <w:tcW w:w="2380" w:type="dxa"/>
            <w:vAlign w:val="bottom"/>
          </w:tcPr>
          <w:p>
            <w:pPr>
              <w:jc w:val="center"/>
              <w:ind w:right="153"/>
              <w:spacing w:after="0"/>
              <w:rPr>
                <w:sz w:val="20"/>
                <w:szCs w:val="20"/>
                <w:color w:val="auto"/>
              </w:rPr>
            </w:pPr>
            <w:r>
              <w:rPr>
                <w:rFonts w:ascii="Arial" w:cs="Arial" w:eastAsia="Arial" w:hAnsi="Arial"/>
                <w:sz w:val="18"/>
                <w:szCs w:val="18"/>
                <w:color w:val="auto"/>
                <w:w w:val="90"/>
              </w:rPr>
              <w:t>Unobservable Inputs</w:t>
            </w:r>
          </w:p>
        </w:tc>
      </w:tr>
      <w:tr>
        <w:trPr>
          <w:trHeight w:val="182"/>
        </w:trPr>
        <w:tc>
          <w:tcPr>
            <w:tcW w:w="60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5"/>
                <w:szCs w:val="15"/>
                <w:color w:val="auto"/>
              </w:rPr>
            </w:pPr>
          </w:p>
        </w:tc>
        <w:tc>
          <w:tcPr>
            <w:tcW w:w="248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(Level 3)</w:t>
            </w:r>
          </w:p>
        </w:tc>
        <w:tc>
          <w:tcPr>
            <w:tcW w:w="240" w:type="dxa"/>
            <w:vAlign w:val="bottom"/>
          </w:tcPr>
          <w:p>
            <w:pPr>
              <w:spacing w:after="0"/>
              <w:rPr>
                <w:sz w:val="15"/>
                <w:szCs w:val="15"/>
                <w:color w:val="auto"/>
              </w:rPr>
            </w:pPr>
          </w:p>
        </w:tc>
        <w:tc>
          <w:tcPr>
            <w:tcW w:w="2380" w:type="dxa"/>
            <w:vAlign w:val="bottom"/>
          </w:tcPr>
          <w:p>
            <w:pPr>
              <w:jc w:val="center"/>
              <w:ind w:right="173"/>
              <w:spacing w:after="0"/>
              <w:rPr>
                <w:sz w:val="20"/>
                <w:szCs w:val="20"/>
                <w:color w:val="auto"/>
              </w:rPr>
            </w:pPr>
            <w:r>
              <w:rPr>
                <w:rFonts w:ascii="Arial" w:cs="Arial" w:eastAsia="Arial" w:hAnsi="Arial"/>
                <w:sz w:val="14"/>
                <w:szCs w:val="14"/>
                <w:color w:val="auto"/>
                <w:w w:val="95"/>
              </w:rPr>
              <w:t>(Level 3)</w:t>
            </w:r>
          </w:p>
        </w:tc>
      </w:tr>
      <w:tr>
        <w:trPr>
          <w:trHeight w:val="255"/>
        </w:trPr>
        <w:tc>
          <w:tcPr>
            <w:tcW w:w="6040" w:type="dxa"/>
            <w:vAlign w:val="bottom"/>
          </w:tcPr>
          <w:p>
            <w:pPr>
              <w:ind w:left="40"/>
              <w:spacing w:after="0"/>
              <w:rPr>
                <w:sz w:val="20"/>
                <w:szCs w:val="20"/>
                <w:color w:val="auto"/>
              </w:rPr>
            </w:pPr>
            <w:r>
              <w:rPr>
                <w:rFonts w:ascii="Arial" w:cs="Arial" w:eastAsia="Arial" w:hAnsi="Arial"/>
                <w:sz w:val="18"/>
                <w:szCs w:val="18"/>
                <w:color w:val="auto"/>
              </w:rPr>
              <w:t>Balance, May 31, 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ind w:right="14"/>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ind w:right="33"/>
              <w:spacing w:after="0"/>
              <w:rPr>
                <w:sz w:val="20"/>
                <w:szCs w:val="20"/>
                <w:color w:val="auto"/>
              </w:rPr>
            </w:pPr>
            <w:r>
              <w:rPr>
                <w:rFonts w:ascii="Arial" w:cs="Arial" w:eastAsia="Arial" w:hAnsi="Arial"/>
                <w:sz w:val="18"/>
                <w:szCs w:val="18"/>
                <w:color w:val="auto"/>
              </w:rPr>
              <w:t>12,761</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gains or losses (realized/unrealized):</w:t>
            </w: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Change in present value of contingent consideration</w:t>
            </w:r>
          </w:p>
        </w:tc>
        <w:tc>
          <w:tcPr>
            <w:tcW w:w="260" w:type="dxa"/>
            <w:vAlign w:val="bottom"/>
          </w:tcPr>
          <w:p>
            <w:pPr>
              <w:spacing w:after="0"/>
              <w:rPr>
                <w:sz w:val="21"/>
                <w:szCs w:val="21"/>
                <w:color w:val="auto"/>
              </w:rPr>
            </w:pPr>
          </w:p>
        </w:tc>
        <w:tc>
          <w:tcPr>
            <w:tcW w:w="2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380" w:type="dxa"/>
            <w:vAlign w:val="bottom"/>
          </w:tcPr>
          <w:p>
            <w:pPr>
              <w:jc w:val="right"/>
              <w:ind w:right="33"/>
              <w:spacing w:after="0"/>
              <w:rPr>
                <w:sz w:val="20"/>
                <w:szCs w:val="20"/>
                <w:color w:val="auto"/>
              </w:rPr>
            </w:pPr>
            <w:r>
              <w:rPr>
                <w:rFonts w:ascii="Arial" w:cs="Arial" w:eastAsia="Arial" w:hAnsi="Arial"/>
                <w:sz w:val="18"/>
                <w:szCs w:val="18"/>
                <w:color w:val="auto"/>
              </w:rPr>
              <w:t>218</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Included in 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Transfers in and/or (out) of Level 3</w:t>
            </w:r>
          </w:p>
        </w:tc>
        <w:tc>
          <w:tcPr>
            <w:tcW w:w="260" w:type="dxa"/>
            <w:vAlign w:val="bottom"/>
          </w:tcPr>
          <w:p>
            <w:pPr>
              <w:spacing w:after="0"/>
              <w:rPr>
                <w:sz w:val="21"/>
                <w:szCs w:val="21"/>
                <w:color w:val="auto"/>
              </w:rPr>
            </w:pPr>
          </w:p>
        </w:tc>
        <w:tc>
          <w:tcPr>
            <w:tcW w:w="2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3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payments</w:t>
            </w:r>
          </w:p>
        </w:tc>
        <w:tc>
          <w:tcPr>
            <w:tcW w:w="26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Balance, February 28, 2018</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3,229</w:t>
            </w:r>
          </w:p>
        </w:tc>
      </w:tr>
      <w:tr>
        <w:trPr>
          <w:trHeight w:val="27"/>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for Acquisition Earn Outs</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Some of our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w:t>
      </w:r>
    </w:p>
    <w:p>
      <w:pPr>
        <w:spacing w:after="0" w:line="8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measure the initial liability and remeasure the liability on a recurring basis using Level 3 inputs as defined under authoritative guidance for fair value measurements and is determined using a discounted cash flow model applied to projected net sales, using probabilities of achieving projected net sales and projected payment dates. Projected net sales are based on our internal projections and extensive analysis of the target market and the sales potential. Increases or decreases in any valuation inputs in isolation may result in a significantly lower or higher fair value measurement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 (in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Fair value at</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Valuation</w:t>
            </w:r>
          </w:p>
        </w:tc>
        <w:tc>
          <w:tcPr>
            <w:tcW w:w="3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50"/>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Feb 28, 2018</w:t>
            </w:r>
          </w:p>
        </w:tc>
        <w:tc>
          <w:tcPr>
            <w:tcW w:w="1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Technique</w:t>
            </w:r>
          </w:p>
        </w:tc>
        <w:tc>
          <w:tcPr>
            <w:tcW w:w="120" w:type="dxa"/>
            <w:vAlign w:val="bottom"/>
            <w:tcBorders>
              <w:bottom w:val="single" w:sz="8" w:color="CCEEFF"/>
            </w:tcBorders>
          </w:tcPr>
          <w:p>
            <w:pPr>
              <w:spacing w:after="0"/>
              <w:rPr>
                <w:sz w:val="21"/>
                <w:szCs w:val="21"/>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Unobservable Input</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Range</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3,229</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43"/>
        </w:trPr>
        <w:tc>
          <w:tcPr>
            <w:tcW w:w="2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2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2019-2020</w:t>
            </w:r>
          </w:p>
        </w:tc>
      </w:tr>
      <w:tr>
        <w:trPr>
          <w:trHeight w:val="27"/>
        </w:trPr>
        <w:tc>
          <w:tcPr>
            <w:tcW w:w="2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At February 28, 2018, the estimated potential amount of undiscounted future contingent consideration that we expect to pay as a result of all completed acquisitions is approximately $3.3 million, which represents the remaining contractual minimum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MARKETABLE SECURITIES</w:t>
      </w:r>
    </w:p>
    <w:p>
      <w:pPr>
        <w:spacing w:after="0" w:line="12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Marketable securities, which can be government agency bonds, auction rate investments or corporate commercial paper, are classified as “available-for-sale securities” and are reported at fair value, with unrealized gains and losses excluded from operations and reported as accumulated other comprehensive income (loss), net of the related tax effects, in stockholders’ equity. Cost is determined using the specific identification method. We hold an investment in an auction rate security that is high credit quality and generally achieved with municipal bond insurance. Sell orders for any security traded through an auction process could exceed bids and, in such cases, the auction fails and we may be unable to liquidate our position in the security in the near term. We have not participated in any recent auctions. As of February 28, 2018 and May 31, 2017, we had $1.3 million and $1.2 million, respectively, in investments in one auction rate security. The authorities are current in their interest payments on the security. The auction rate security will mature in 2029.</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28, 2018 and May 31, 2017, marketable securities consisted of the following (in thousands of dollars):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color w:val="auto"/>
                <w:w w:val="92"/>
              </w:rPr>
              <w:t>February 28, 2018</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56"/>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3"/>
                <w:szCs w:val="13"/>
                <w:color w:val="auto"/>
              </w:rPr>
            </w:pPr>
          </w:p>
        </w:tc>
        <w:tc>
          <w:tcPr>
            <w:tcW w:w="110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Amortized</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Unrealized</w:t>
            </w:r>
          </w:p>
        </w:tc>
        <w:tc>
          <w:tcPr>
            <w:tcW w:w="2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8"/>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cost</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Gains</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41"/>
        </w:trPr>
        <w:tc>
          <w:tcPr>
            <w:tcW w:w="6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Government agency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1,281</w:t>
            </w:r>
          </w:p>
        </w:tc>
      </w:tr>
      <w:tr>
        <w:trPr>
          <w:trHeight w:val="237"/>
        </w:trPr>
        <w:tc>
          <w:tcPr>
            <w:tcW w:w="6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1,281</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36"/>
        </w:trPr>
        <w:tc>
          <w:tcPr>
            <w:tcW w:w="6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left="462"/>
              <w:spacing w:after="0"/>
              <w:rPr>
                <w:sz w:val="20"/>
                <w:szCs w:val="20"/>
                <w:color w:val="auto"/>
              </w:rPr>
            </w:pPr>
            <w:r>
              <w:rPr>
                <w:rFonts w:ascii="Arial" w:cs="Arial" w:eastAsia="Arial" w:hAnsi="Arial"/>
                <w:sz w:val="14"/>
                <w:szCs w:val="14"/>
                <w:color w:val="auto"/>
                <w:w w:val="94"/>
              </w:rPr>
              <w:t>May 31, 2017</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56"/>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3"/>
                <w:szCs w:val="13"/>
                <w:color w:val="auto"/>
              </w:rPr>
            </w:pPr>
          </w:p>
        </w:tc>
        <w:tc>
          <w:tcPr>
            <w:tcW w:w="110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9"/>
        </w:trPr>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Amortized</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Unrealized</w:t>
            </w:r>
          </w:p>
        </w:tc>
        <w:tc>
          <w:tcPr>
            <w:tcW w:w="2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8"/>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cost</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Gains</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41"/>
        </w:trPr>
        <w:tc>
          <w:tcPr>
            <w:tcW w:w="6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Government agency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1,215</w:t>
            </w:r>
          </w:p>
        </w:tc>
      </w:tr>
      <w:tr>
        <w:trPr>
          <w:trHeight w:val="237"/>
        </w:trPr>
        <w:tc>
          <w:tcPr>
            <w:tcW w:w="6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1,215</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Bard’s Complaint sought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seeking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issued decisions in all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filed Requests for Rehearing in all three reexamination appeals and the Company filed Requests for Rehearing in two of the reexamination appeals (the ‘302 and ‘615 patent reexaminations). Each party filed comments in Opposition to the other party’s Rehearing Requests, The PTO denied all three Rehearing Requests - - on February 1, 2017 for the ‘302; on February 17, 2017 for the ‘022; and on February 21, 2017 for the ‘615, but modified its characterization of one prior art reference for the ‘302 and ‘022 decisions. Bard filed a Notice of Appeal to the Federal Circuit Court of Appeals in all three reexams and the Company filed Cross-Appeals for the ‘302 and the ‘615 reexams. The parties have completed the process of filing the various appellate briefs, starting with Bard’s Opening Brief (filed on August 30, 2017), the Company’s Responsive/Opening Brief (filed on November 9, 2017), Bard’s reply (filed on January 19, 2018) and our Reply Brief (filed on March 5, 2018). MedComp also filed an Amicus Brief in support of the Company on November 22, 2017. A date for the oral hearing has not yet been set. The Utah Action has been stayed pending final resolution of the PTO process. In the Federal Circuit appeal, Bard moved to substitute Bard Peripheral Vascular, Inc. (“BPV”) as the Appellant (because Bard assigned the Asserted Patents to BPV on July 12, 2017) or, alternatively, to add BPV as Co-Appellant. The Company opposed substitution; and the Federal Circuit added BPV as Co-Appellant. However, in the District court case, Bard moved only to substitute BPV as plaintiff, but the Company has opposed. The District Court denied Bard's motion to substitute on February 7, 2018.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7"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On March 10, 2015, C.R. Bard, Inc. ("Bard") and Bard Peripheral Vascular, Inc. (“BPV”) filed suit in the United States District Court for the District of Delaware claiming certain of our implantable port products infringe on three U.S. patents held by Bard (the “Delaware Action"). Bard's complaint seeks unspecified damages and other relief. The patents asserted in the Delaware Action are different than those asserted in the Utah Action.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January 12, 2016, the Court issued a decision denying both motions. The Company then served an Answer and Counterclaim to which Bard served a Reply. On March 10, 2016, the Court held a Case Management Conference, and, on March 14, 2016, the Court entered a Scheduling Order which set, inter alia, a Markman hearing for March 10, 2017, a summary judgment hearing for December 8, 2017 and trial for March 12, 2018. The parties thereafter served various discovery requests on each other, produced documents to each other, conducted party and third-party depositions, etc.; on May 27, 2016 Bard served its Initial Infringement Contentions which identified all the port products accused of infringement; and, on June 24, 2016, the Company served its Initial Invalidity Contentions which detail various grounds for invalidating the three asserted patents. The Markman hearing was held on March 10, 2017 and the Court issued its Claim Construction Order on May 19, 2017. On May 19, 2017, Bard served its Final Infringement Contentions and on June 2, 2017, the Company served its Final Invalidity Contentions. In August, 2017, Judge Robinson (who had been assigned to the case) retired and the case was reassigned to Judge Bataillon (who normally sits in the District of Nebraska). The Scheduling Order has been amended and currently provides for briefing on Case-Dispositive Motions (and other pre-trial motions) between February 16, 2018 and April 27, 2018 (no oral argument date is currently set) and trial to commence July 23, 2018. The parties completed Expert Discovery on January 30, 2018; including: exchanging opening, rebuttal and supplemental expert reports on infringement, invalidity, and damages between September 1, 2017 and December 12, 2017, and conducted expert depositions between December 7, 2017 and January 30, 2018. Meanwhile, Bard also sought to substitute BPV as plaintiff in this case via a Supplemental Complaint, but stipulated that the Company could assert in Cross-Claims and/or Third-Party Complaint against C. R. Bard for its claims of inequitable conduct and unclean hands, which the Company has since done. BPV responded with a partial Motion to Dismiss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the Company has served an amended Answer, Counterclaims and Cross-Claims/Third-Party Complaint. Bard and BPV have since answered/responded to the Company’s Cross-Claims/Complaint without renewing the dismissal motion.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May 30, 2017, we commenced an action in the United States District Court for the Northern District of New York entitled AngioDynamics, Inc. v. C.R. Bard, Inc. and Bard Access Systems, Inc. (“Bard”). In this action, we allege that Bard has illegally tied the sales of its tip location systems to the sales of its PICCs. We allege that this practice violates the federal antitrust laws and has had, and continues to have, an anti-competitive effect in the market for PICCs. We seek both monetary damages and injunctive relief. Bard moved to dismiss on September 8, 2017 and the motion has been submitted to the court. The court has adjourned the initial conference in the case pending its resolution of the motion to dismiss.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w:t>
      </w:r>
    </w:p>
    <w:p>
      <w:pPr>
        <w:spacing w:after="0" w:line="187"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May 31, 2017, the Company accrued $12.5 million for these matters and in August 2017 the Company agreed in principle with the government to resolve these matters for approximately $12.5 million.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 RESTRUCTURING, AND OTHER ITEMS,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nine months ended February 28, 2018 and 2017 acquisition, restructuring and other items, net consisted of:</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 Ended</w:t>
            </w:r>
          </w:p>
        </w:tc>
        <w:tc>
          <w:tcPr>
            <w:tcW w:w="1360" w:type="dxa"/>
            <w:vAlign w:val="bottom"/>
            <w:tcBorders>
              <w:bottom w:val="single" w:sz="8" w:color="auto"/>
            </w:tcBorders>
          </w:tcPr>
          <w:p>
            <w:pPr>
              <w:spacing w:after="0"/>
              <w:rPr>
                <w:sz w:val="16"/>
                <w:szCs w:val="16"/>
                <w:color w:val="auto"/>
              </w:rPr>
            </w:pPr>
          </w:p>
        </w:tc>
      </w:tr>
      <w:tr>
        <w:trPr>
          <w:trHeight w:val="263"/>
        </w:trPr>
        <w:tc>
          <w:tcPr>
            <w:tcW w:w="3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22"/>
                <w:szCs w:val="22"/>
                <w:color w:val="auto"/>
              </w:rPr>
            </w:pPr>
          </w:p>
        </w:tc>
        <w:tc>
          <w:tcPr>
            <w:tcW w:w="1720" w:type="dxa"/>
            <w:vAlign w:val="bottom"/>
            <w:gridSpan w:val="2"/>
          </w:tcPr>
          <w:p>
            <w:pPr>
              <w:ind w:left="240"/>
              <w:spacing w:after="0"/>
              <w:rPr>
                <w:sz w:val="20"/>
                <w:szCs w:val="20"/>
                <w:color w:val="auto"/>
              </w:rPr>
            </w:pPr>
            <w:r>
              <w:rPr>
                <w:rFonts w:ascii="Arial" w:cs="Arial" w:eastAsia="Arial" w:hAnsi="Arial"/>
                <w:sz w:val="14"/>
                <w:szCs w:val="14"/>
                <w:color w:val="auto"/>
              </w:rPr>
              <w:t>Feb 28, 2018</w:t>
            </w:r>
          </w:p>
        </w:tc>
        <w:tc>
          <w:tcPr>
            <w:tcW w:w="5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color w:val="auto"/>
              </w:rPr>
              <w:t>Feb 28, 2017</w:t>
            </w:r>
          </w:p>
        </w:tc>
        <w:tc>
          <w:tcPr>
            <w:tcW w:w="360" w:type="dxa"/>
            <w:vAlign w:val="bottom"/>
          </w:tcPr>
          <w:p>
            <w:pPr>
              <w:spacing w:after="0"/>
              <w:rPr>
                <w:sz w:val="22"/>
                <w:szCs w:val="22"/>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color w:val="auto"/>
              </w:rPr>
              <w:t>Feb 28, 2018</w:t>
            </w:r>
          </w:p>
        </w:tc>
        <w:tc>
          <w:tcPr>
            <w:tcW w:w="580" w:type="dxa"/>
            <w:vAlign w:val="bottom"/>
          </w:tcPr>
          <w:p>
            <w:pPr>
              <w:spacing w:after="0"/>
              <w:rPr>
                <w:sz w:val="22"/>
                <w:szCs w:val="22"/>
                <w:color w:val="auto"/>
              </w:rPr>
            </w:pPr>
          </w:p>
        </w:tc>
        <w:tc>
          <w:tcPr>
            <w:tcW w:w="1360" w:type="dxa"/>
            <w:vAlign w:val="bottom"/>
          </w:tcPr>
          <w:p>
            <w:pPr>
              <w:jc w:val="right"/>
              <w:ind w:right="493"/>
              <w:spacing w:after="0"/>
              <w:rPr>
                <w:sz w:val="20"/>
                <w:szCs w:val="20"/>
                <w:color w:val="auto"/>
              </w:rPr>
            </w:pPr>
            <w:r>
              <w:rPr>
                <w:rFonts w:ascii="Arial" w:cs="Arial" w:eastAsia="Arial" w:hAnsi="Arial"/>
                <w:sz w:val="14"/>
                <w:szCs w:val="14"/>
                <w:color w:val="auto"/>
                <w:w w:val="92"/>
              </w:rPr>
              <w:t>Feb 28, 2017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Legal</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21"/>
                <w:szCs w:val="21"/>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7,299</w:t>
            </w: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5,162</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and other asset impairment</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asset write-off</w:t>
            </w:r>
          </w:p>
        </w:tc>
        <w:tc>
          <w:tcPr>
            <w:tcW w:w="360" w:type="dxa"/>
            <w:vAlign w:val="bottom"/>
          </w:tcPr>
          <w:p>
            <w:pPr>
              <w:spacing w:after="0"/>
              <w:rPr>
                <w:sz w:val="21"/>
                <w:szCs w:val="21"/>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5,604</w:t>
            </w: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1,054</w:t>
            </w:r>
          </w:p>
        </w:tc>
      </w:tr>
      <w:tr>
        <w:trPr>
          <w:trHeight w:val="27"/>
        </w:trPr>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4,177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11,932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12,028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Operational Consolidation</w:t>
      </w:r>
    </w:p>
    <w:p>
      <w:pPr>
        <w:spacing w:after="0" w:line="14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February 1, 2017, the Company announced to employees an operational consolidation plan (the “plan”) to consolidate our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expenses and direct labor. The restructuring activities associated with the plan are expected to be completed in the fourth quarter of fiscal year 2018.</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our estimated costs associated with the plan: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80" w:type="dxa"/>
            <w:vAlign w:val="bottom"/>
          </w:tcPr>
          <w:p>
            <w:pPr>
              <w:ind w:left="40"/>
              <w:spacing w:after="0"/>
              <w:rPr>
                <w:sz w:val="20"/>
                <w:szCs w:val="20"/>
                <w:color w:val="auto"/>
              </w:rPr>
            </w:pPr>
            <w:r>
              <w:rPr>
                <w:rFonts w:ascii="Arial" w:cs="Arial" w:eastAsia="Arial" w:hAnsi="Arial"/>
                <w:sz w:val="14"/>
                <w:szCs w:val="14"/>
                <w:color w:val="auto"/>
              </w:rPr>
              <w:t>Type of cost</w:t>
            </w:r>
          </w:p>
        </w:tc>
        <w:tc>
          <w:tcPr>
            <w:tcW w:w="5140" w:type="dxa"/>
            <w:vAlign w:val="bottom"/>
          </w:tcPr>
          <w:p>
            <w:pPr>
              <w:jc w:val="center"/>
              <w:spacing w:after="0"/>
              <w:rPr>
                <w:sz w:val="20"/>
                <w:szCs w:val="20"/>
                <w:color w:val="auto"/>
              </w:rPr>
            </w:pPr>
            <w:r>
              <w:rPr>
                <w:rFonts w:ascii="Arial" w:cs="Arial" w:eastAsia="Arial" w:hAnsi="Arial"/>
                <w:sz w:val="14"/>
                <w:szCs w:val="14"/>
                <w:color w:val="auto"/>
                <w:w w:val="93"/>
              </w:rPr>
              <w:t>Total estimated amount expected to be incurred (in millions)</w:t>
            </w:r>
          </w:p>
        </w:tc>
      </w:tr>
      <w:tr>
        <w:trPr>
          <w:trHeight w:val="80"/>
        </w:trPr>
        <w:tc>
          <w:tcPr>
            <w:tcW w:w="6280" w:type="dxa"/>
            <w:vAlign w:val="bottom"/>
            <w:tcBorders>
              <w:bottom w:val="single" w:sz="8" w:color="auto"/>
            </w:tcBorders>
          </w:tcPr>
          <w:p>
            <w:pPr>
              <w:spacing w:after="0"/>
              <w:rPr>
                <w:sz w:val="6"/>
                <w:szCs w:val="6"/>
                <w:color w:val="auto"/>
              </w:rPr>
            </w:pPr>
          </w:p>
        </w:tc>
        <w:tc>
          <w:tcPr>
            <w:tcW w:w="5140" w:type="dxa"/>
            <w:vAlign w:val="bottom"/>
            <w:tcBorders>
              <w:bottom w:val="single" w:sz="8" w:color="auto"/>
            </w:tcBorders>
          </w:tcPr>
          <w:p>
            <w:pPr>
              <w:spacing w:after="0"/>
              <w:rPr>
                <w:sz w:val="6"/>
                <w:szCs w:val="6"/>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Termination benefits</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$1.75 to $2.25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Plant consolidation (1)</w:t>
            </w: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$2.25 to $2.50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filings</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 to $1.00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Contract cancellations</w:t>
            </w: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$0.75 to $1.00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 to $1.00</w:t>
            </w:r>
          </w:p>
        </w:tc>
      </w:tr>
      <w:tr>
        <w:trPr>
          <w:trHeight w:val="254"/>
        </w:trPr>
        <w:tc>
          <w:tcPr>
            <w:tcW w:w="6280" w:type="dxa"/>
            <w:vAlign w:val="bottom"/>
          </w:tcPr>
          <w:p>
            <w:pPr>
              <w:spacing w:after="0"/>
              <w:rPr>
                <w:sz w:val="22"/>
                <w:szCs w:val="22"/>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$6.25 to $7.75</w:t>
            </w:r>
          </w:p>
        </w:tc>
      </w:tr>
      <w:tr>
        <w:trPr>
          <w:trHeight w:val="23"/>
        </w:trPr>
        <w:tc>
          <w:tcPr>
            <w:tcW w:w="62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Equipment transfer, validation and other start-up costs to prepare the facilities for the new product lines.</w:t>
      </w:r>
    </w:p>
    <w:p>
      <w:pPr>
        <w:spacing w:after="0" w:line="144"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The Company recorded restructuring charges related to the plan during the three and nine months ended February 28, 2018 of $1.5 million and $4.2 million, respectively. During the three and nine months ended February 28, 2017, the Company recorded $0.2 million and $0.2 million, respectively. Total restructuring charges recorded to date are $5.5 million. Termination benefits are only earned if an employee stays until their termination date; therefore, the expenses related to termination benefits are being recorded ratably over the service period.</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restructuring reserve for the three and nine months ended February 28, 2018: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color w:val="auto"/>
              </w:rPr>
              <w:t>Three Months Ended February 28, 2018</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56"/>
        </w:trPr>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w w:val="94"/>
              </w:rPr>
              <w:t>Contract Cancellation</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3340" w:type="dxa"/>
            <w:vAlign w:val="bottom"/>
          </w:tcPr>
          <w:p>
            <w:pPr>
              <w:spacing w:after="0"/>
              <w:rPr>
                <w:sz w:val="16"/>
                <w:szCs w:val="16"/>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Termination Benefits</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Plant Consolidation</w:t>
            </w: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Regulatory Filings</w:t>
            </w:r>
          </w:p>
        </w:tc>
        <w:tc>
          <w:tcPr>
            <w:tcW w:w="96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color w:val="auto"/>
                <w:w w:val="89"/>
              </w:rPr>
              <w:t>Costs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Other Costs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Total</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November 30, 2017</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Charges</w:t>
            </w:r>
          </w:p>
        </w:tc>
        <w:tc>
          <w:tcPr>
            <w:tcW w:w="4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1,548</w:t>
            </w:r>
          </w:p>
        </w:tc>
      </w:tr>
      <w:tr>
        <w:trPr>
          <w:trHeight w:val="27"/>
        </w:trPr>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adjustments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(1,706)</w:t>
            </w:r>
          </w:p>
        </w:tc>
      </w:tr>
      <w:tr>
        <w:trPr>
          <w:trHeight w:val="27"/>
        </w:trPr>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February 28, 2018</w:t>
            </w: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1,705</w:t>
            </w:r>
          </w:p>
        </w:tc>
      </w:tr>
      <w:tr>
        <w:trPr>
          <w:trHeight w:val="20"/>
        </w:trPr>
        <w:tc>
          <w:tcPr>
            <w:tcW w:w="3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21"/>
        </w:trPr>
        <w:tc>
          <w:tcPr>
            <w:tcW w:w="33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color w:val="auto"/>
              </w:rPr>
              <w:t>Nine Months Ended February 28, 2018</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56"/>
        </w:trPr>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w w:val="94"/>
              </w:rPr>
              <w:t>Contract Cancellation</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3340" w:type="dxa"/>
            <w:vAlign w:val="bottom"/>
          </w:tcPr>
          <w:p>
            <w:pPr>
              <w:spacing w:after="0"/>
              <w:rPr>
                <w:sz w:val="16"/>
                <w:szCs w:val="16"/>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Termination Benefits</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Plant Consolidation</w:t>
            </w: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Regulatory Filings</w:t>
            </w:r>
          </w:p>
        </w:tc>
        <w:tc>
          <w:tcPr>
            <w:tcW w:w="96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color w:val="auto"/>
                <w:w w:val="89"/>
              </w:rPr>
              <w:t>Costs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Other Costs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Total</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2017</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Charges</w:t>
            </w:r>
          </w:p>
        </w:tc>
        <w:tc>
          <w:tcPr>
            <w:tcW w:w="4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4,184</w:t>
            </w:r>
          </w:p>
        </w:tc>
      </w:tr>
      <w:tr>
        <w:trPr>
          <w:trHeight w:val="27"/>
        </w:trPr>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adjustments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(3,165)</w:t>
            </w:r>
          </w:p>
        </w:tc>
      </w:tr>
      <w:tr>
        <w:trPr>
          <w:trHeight w:val="27"/>
        </w:trPr>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February 28, 2018</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Company’s restructuring liability of $1.7 million is mainly comprised of accruals for termination benefits which are included in accrued expenses on the consolidated balance sheet.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COMPREHESIVE INCOME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each component of accumulated other comprehensive income (loss), net of tax, are as follows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4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Three months ended February 28, 2018</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3"/>
              </w:rPr>
              <w:t>Foreign currency</w:t>
            </w:r>
          </w:p>
        </w:tc>
        <w:tc>
          <w:tcPr>
            <w:tcW w:w="148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Unrealized gain (loss)</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translation gain</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on marketable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1"/>
              </w:rPr>
              <w:t>securities</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Balance at November 30, 2017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before reclassifications, net of tax</w:t>
            </w: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other comprehensive income</w:t>
            </w:r>
          </w:p>
        </w:tc>
        <w:tc>
          <w:tcPr>
            <w:tcW w:w="2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sz w:val="20"/>
                <w:szCs w:val="20"/>
                <w:color w:val="auto"/>
              </w:rPr>
            </w:pPr>
            <w:r>
              <w:rPr>
                <w:rFonts w:ascii="Arial" w:cs="Arial" w:eastAsia="Arial" w:hAnsi="Arial"/>
                <w:sz w:val="18"/>
                <w:szCs w:val="18"/>
                <w:color w:val="auto"/>
              </w:rPr>
              <w:t>Balance at February 28, 2018</w:t>
            </w:r>
          </w:p>
        </w:tc>
        <w:tc>
          <w:tcPr>
            <w:tcW w:w="20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color w:val="auto"/>
              </w:rPr>
              <w:t>Nine months ended February 28, 2018</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3"/>
              </w:rPr>
              <w:t>Foreign currency</w:t>
            </w:r>
          </w:p>
        </w:tc>
        <w:tc>
          <w:tcPr>
            <w:tcW w:w="148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Unrealized gain (loss)</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translation gain</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on marketable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1"/>
              </w:rPr>
              <w:t>securities</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Balance at May 31, 2017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before reclassifications, net of tax</w:t>
            </w: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other comprehensive income</w:t>
            </w:r>
          </w:p>
        </w:tc>
        <w:tc>
          <w:tcPr>
            <w:tcW w:w="2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sz w:val="20"/>
                <w:szCs w:val="20"/>
                <w:color w:val="auto"/>
              </w:rPr>
            </w:pPr>
            <w:r>
              <w:rPr>
                <w:rFonts w:ascii="Arial" w:cs="Arial" w:eastAsia="Arial" w:hAnsi="Arial"/>
                <w:sz w:val="18"/>
                <w:szCs w:val="18"/>
                <w:color w:val="auto"/>
              </w:rPr>
              <w:t>Balance at February 28, 2018</w:t>
            </w:r>
          </w:p>
        </w:tc>
        <w:tc>
          <w:tcPr>
            <w:tcW w:w="20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20" w:type="dxa"/>
            <w:vAlign w:val="bottom"/>
            <w:vMerge w:val="restart"/>
          </w:tcPr>
          <w:p>
            <w:pPr>
              <w:jc w:val="right"/>
              <w:ind w:right="165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RECENTLY ISSUED ACCOUNTING PRONOUNCEMENTS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consolidated financial statements: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Issued Accounting Pronouncements - Adopted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Adopted</w:t>
            </w:r>
          </w:p>
        </w:tc>
        <w:tc>
          <w:tcPr>
            <w:tcW w:w="37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28"/>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ASU 2016-09, </w:t>
            </w:r>
            <w:r>
              <w:rPr>
                <w:rFonts w:ascii="Arial" w:cs="Arial" w:eastAsia="Arial" w:hAnsi="Arial"/>
                <w:sz w:val="18"/>
                <w:szCs w:val="18"/>
                <w:i w:val="1"/>
                <w:iCs w:val="1"/>
                <w:color w:val="auto"/>
              </w:rPr>
              <w:t>Compensation -</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This ASU simplifies and improves various aspects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June 1, 2017</w:t>
            </w:r>
          </w:p>
        </w:tc>
        <w:tc>
          <w:tcPr>
            <w:tcW w:w="3720" w:type="dxa"/>
            <w:vAlign w:val="bottom"/>
          </w:tcPr>
          <w:p>
            <w:pPr>
              <w:ind w:left="20"/>
              <w:spacing w:after="0"/>
              <w:rPr>
                <w:sz w:val="20"/>
                <w:szCs w:val="20"/>
                <w:color w:val="auto"/>
              </w:rPr>
            </w:pPr>
            <w:r>
              <w:rPr>
                <w:rFonts w:ascii="Arial" w:cs="Arial" w:eastAsia="Arial" w:hAnsi="Arial"/>
                <w:sz w:val="18"/>
                <w:szCs w:val="18"/>
                <w:color w:val="auto"/>
                <w:w w:val="93"/>
              </w:rPr>
              <w:t>The Company now recognizes unrealized excess</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88"/>
              </w:rPr>
              <w:t>Stock Based Compensation (Topic</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of ASC 718 for share-based payments, including</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6"/>
              </w:rPr>
              <w:t>tax benefits and will classify such benefits as an</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4"/>
              </w:rPr>
              <w:t>718: Improvements to Employee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income tax items and the classification of these</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1"/>
              </w:rPr>
              <w:t>operating activity in the statement of cash flows on</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Share-Based Payment</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items on the statement of cash flows.</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a prospective basis. Due to the full valuation</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Accounting)</w:t>
            </w: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4"/>
              </w:rPr>
              <w:t>allowance on our federal and state income taxes,</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6"/>
              </w:rPr>
              <w:t>the adoption of ASU 2016-09 did not impact our</w:t>
            </w: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accounting for income taxes.</w:t>
            </w:r>
          </w:p>
        </w:tc>
      </w:tr>
      <w:tr>
        <w:trPr>
          <w:trHeight w:val="391"/>
        </w:trPr>
        <w:tc>
          <w:tcPr>
            <w:tcW w:w="254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The Company elected the accounting policy</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8"/>
              </w:rPr>
              <w:t>change to account for forfeitures as they occur.</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1"/>
              </w:rPr>
              <w:t>This was adopted using the modified retrospective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2"/>
              </w:rPr>
              <w:t>transition method by means of a cumulative-effect</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adjustment to equity as of June 1, 2017. The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adoption of ASU 2016-09 did not materially</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2"/>
              </w:rPr>
              <w:t>impact the Company's consolidated statements of</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0"/>
              </w:rPr>
              <w:t>income, consolidated balance sheet, equity or cash</w:t>
            </w: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flows.</w:t>
            </w:r>
          </w:p>
        </w:tc>
      </w:tr>
      <w:tr>
        <w:trPr>
          <w:trHeight w:val="162"/>
        </w:trPr>
        <w:tc>
          <w:tcPr>
            <w:tcW w:w="2540" w:type="dxa"/>
            <w:vAlign w:val="bottom"/>
            <w:tcBorders>
              <w:bottom w:val="single" w:sz="8" w:color="auto"/>
              <w:right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r>
      <w:tr>
        <w:trPr>
          <w:trHeight w:val="222"/>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ASU 2017-04, </w:t>
            </w:r>
            <w:r>
              <w:rPr>
                <w:rFonts w:ascii="Arial" w:cs="Arial" w:eastAsia="Arial" w:hAnsi="Arial"/>
                <w:sz w:val="18"/>
                <w:szCs w:val="18"/>
                <w:i w:val="1"/>
                <w:iCs w:val="1"/>
                <w:color w:val="auto"/>
              </w:rPr>
              <w:t>Intangibles -</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This ASU simplifies the subsequent measurement of</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June 1, 2017</w:t>
            </w:r>
          </w:p>
        </w:tc>
        <w:tc>
          <w:tcPr>
            <w:tcW w:w="3720" w:type="dxa"/>
            <w:vAlign w:val="bottom"/>
          </w:tcPr>
          <w:p>
            <w:pPr>
              <w:ind w:left="20"/>
              <w:spacing w:after="0"/>
              <w:rPr>
                <w:sz w:val="20"/>
                <w:szCs w:val="20"/>
                <w:color w:val="auto"/>
              </w:rPr>
            </w:pPr>
            <w:r>
              <w:rPr>
                <w:rFonts w:ascii="Arial" w:cs="Arial" w:eastAsia="Arial" w:hAnsi="Arial"/>
                <w:sz w:val="18"/>
                <w:szCs w:val="18"/>
                <w:color w:val="auto"/>
              </w:rPr>
              <w:t>This adoption did not have an impact on the</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8"/>
              </w:rPr>
              <w:t>Goodwill and Other (Topic 350)</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goodwill by eliminating steps from the goodwill</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Company's financial statements.</w:t>
            </w: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impairment test.</w:t>
            </w:r>
          </w:p>
        </w:tc>
        <w:tc>
          <w:tcPr>
            <w:tcW w:w="1260" w:type="dxa"/>
            <w:vAlign w:val="bottom"/>
            <w:tcBorders>
              <w:right w:val="single" w:sz="8" w:color="auto"/>
            </w:tcBorders>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22"/>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ASC Update No. 2015-11,</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This ASU more closely aligns the measurement of</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June 1, 2017</w:t>
            </w:r>
          </w:p>
        </w:tc>
        <w:tc>
          <w:tcPr>
            <w:tcW w:w="3720" w:type="dxa"/>
            <w:vAlign w:val="bottom"/>
          </w:tcPr>
          <w:p>
            <w:pPr>
              <w:ind w:left="20"/>
              <w:spacing w:after="0"/>
              <w:rPr>
                <w:sz w:val="20"/>
                <w:szCs w:val="20"/>
                <w:color w:val="auto"/>
              </w:rPr>
            </w:pPr>
            <w:r>
              <w:rPr>
                <w:rFonts w:ascii="Arial" w:cs="Arial" w:eastAsia="Arial" w:hAnsi="Arial"/>
                <w:sz w:val="18"/>
                <w:szCs w:val="18"/>
                <w:color w:val="auto"/>
              </w:rPr>
              <w:t>This adoption did not have an impact on the</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Inventory (Topic 330):</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inventory in U.S. GAAP with the measurement of</w:t>
            </w:r>
          </w:p>
        </w:tc>
        <w:tc>
          <w:tcPr>
            <w:tcW w:w="1260" w:type="dxa"/>
            <w:vAlign w:val="bottom"/>
            <w:tcBorders>
              <w:right w:val="single" w:sz="8" w:color="auto"/>
            </w:tcBorders>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Company's financial statements.</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7"/>
              </w:rPr>
              <w:t>Simplifying the Measurement of</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inventory in International Financial Reporting</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9"/>
              </w:rPr>
              <w:t>Inventory</w:t>
            </w:r>
            <w:r>
              <w:rPr>
                <w:rFonts w:ascii="Arial" w:cs="Arial" w:eastAsia="Arial" w:hAnsi="Arial"/>
                <w:sz w:val="18"/>
                <w:szCs w:val="18"/>
                <w:color w:val="auto"/>
                <w:w w:val="99"/>
              </w:rPr>
              <w:t>. Update No. 2015-11</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Standards by requiring companies using the first-in,</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first-out and average costs methods to measure</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inventory using the lower of cost and net realizable</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value, where net realizable value is the estimated</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selling prices in the ordinary course of business, less</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reasonably predictable costs of completion, disposal,</w:t>
            </w:r>
          </w:p>
        </w:tc>
        <w:tc>
          <w:tcPr>
            <w:tcW w:w="1260" w:type="dxa"/>
            <w:vAlign w:val="bottom"/>
            <w:tcBorders>
              <w:right w:val="single" w:sz="8" w:color="auto"/>
            </w:tcBorders>
          </w:tcPr>
          <w:p>
            <w:pPr>
              <w:spacing w:after="0"/>
              <w:rPr>
                <w:sz w:val="18"/>
                <w:szCs w:val="18"/>
                <w:color w:val="auto"/>
              </w:rPr>
            </w:pPr>
          </w:p>
        </w:tc>
        <w:tc>
          <w:tcPr>
            <w:tcW w:w="3720" w:type="dxa"/>
            <w:vAlign w:val="bottom"/>
          </w:tcPr>
          <w:p>
            <w:pPr>
              <w:spacing w:after="0"/>
              <w:rPr>
                <w:sz w:val="18"/>
                <w:szCs w:val="18"/>
                <w:color w:val="auto"/>
              </w:rPr>
            </w:pP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transportation.</w:t>
            </w:r>
          </w:p>
        </w:tc>
        <w:tc>
          <w:tcPr>
            <w:tcW w:w="1260" w:type="dxa"/>
            <w:vAlign w:val="bottom"/>
            <w:tcBorders>
              <w:right w:val="single" w:sz="8" w:color="auto"/>
            </w:tcBorders>
          </w:tcPr>
          <w:p>
            <w:pPr>
              <w:spacing w:after="0"/>
              <w:rPr>
                <w:sz w:val="20"/>
                <w:szCs w:val="20"/>
                <w:color w:val="auto"/>
              </w:rPr>
            </w:pPr>
          </w:p>
        </w:tc>
        <w:tc>
          <w:tcPr>
            <w:tcW w:w="3720" w:type="dxa"/>
            <w:vAlign w:val="bottom"/>
          </w:tcPr>
          <w:p>
            <w:pPr>
              <w:spacing w:after="0"/>
              <w:rPr>
                <w:sz w:val="20"/>
                <w:szCs w:val="20"/>
                <w:color w:val="auto"/>
              </w:rPr>
            </w:pP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Issued Accounting Pronouncements - Not Yet Applicable or Adopted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4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Effective Date</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28"/>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 xml:space="preserve">ASU No. 2014-09, </w:t>
            </w:r>
            <w:r>
              <w:rPr>
                <w:rFonts w:ascii="Arial" w:cs="Arial" w:eastAsia="Arial" w:hAnsi="Arial"/>
                <w:sz w:val="18"/>
                <w:szCs w:val="18"/>
                <w:i w:val="1"/>
                <w:iCs w:val="1"/>
                <w:color w:val="auto"/>
                <w:w w:val="93"/>
              </w:rPr>
              <w:t>Revenue from</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This ASU provides a single, comprehensive</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2018</w:t>
            </w:r>
          </w:p>
        </w:tc>
        <w:tc>
          <w:tcPr>
            <w:tcW w:w="3740" w:type="dxa"/>
            <w:vAlign w:val="bottom"/>
          </w:tcPr>
          <w:p>
            <w:pPr>
              <w:ind w:left="20"/>
              <w:spacing w:after="0"/>
              <w:rPr>
                <w:sz w:val="20"/>
                <w:szCs w:val="20"/>
                <w:color w:val="auto"/>
              </w:rPr>
            </w:pPr>
            <w:r>
              <w:rPr>
                <w:rFonts w:ascii="Arial" w:cs="Arial" w:eastAsia="Arial" w:hAnsi="Arial"/>
                <w:sz w:val="18"/>
                <w:szCs w:val="18"/>
                <w:color w:val="auto"/>
                <w:w w:val="93"/>
              </w:rPr>
              <w:t>The Company has established an implementation</w:t>
            </w:r>
          </w:p>
        </w:tc>
      </w:tr>
      <w:tr>
        <w:trPr>
          <w:trHeight w:val="216"/>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w w:val="97"/>
              </w:rPr>
              <w:t>Contracts with Customers (ASU</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accounting model for revenues arising from</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team which includes third-party specialists to</w:t>
            </w:r>
          </w:p>
        </w:tc>
      </w:tr>
      <w:tr>
        <w:trPr>
          <w:trHeight w:val="216"/>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2014-09)</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contracts with customers that supersedes most of the</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3"/>
              </w:rPr>
              <w:t>assist in the evaluation and implementation of the</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existing revenue recognition guidance, including</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9"/>
              </w:rPr>
              <w:t>new standard. The Company is currently in the</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industry-specific guidance. Under this model,</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0"/>
              </w:rPr>
              <w:t>process of performing an assessment of the impact</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revenue is recognized at an amount that an entity</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of the standards on its contract portfolio by</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expects to be entitled to upon transferring control of</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reviewing the Company’s current accounting</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goods or services to a customer, as opposed to when</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policies and practices and to identify potential</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risks and rewards transfer to a customer under</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differences that would result from applying the</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existing revenue recognition guidance.</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7"/>
              </w:rPr>
              <w:t>requirements of the new standard to its revenue</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contracts. At this time, the Company does not</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anticipate a significant impact to its financial</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8"/>
              </w:rPr>
              <w:t>statements upon adoption of the new standard.</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5"/>
              </w:rPr>
              <w:t>However, the assessment is ongoing and further</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analysis of contracts may identify a more</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significant impact. The Company currently</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expects, in part due to the limited anticipated</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impact, it will utilize the modified retrospective</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3"/>
              </w:rPr>
              <w:t>approach of adopting the ASU. In addition, during</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1"/>
              </w:rPr>
              <w:t>fiscal year 2018 the Company plans to identify and</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1"/>
              </w:rPr>
              <w:t>implement, if necessary, appropriate changes to its</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business processes, systems and controls to</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4"/>
              </w:rPr>
              <w:t>support recognition and disclosure under the new</w:t>
            </w:r>
          </w:p>
        </w:tc>
      </w:tr>
      <w:tr>
        <w:trPr>
          <w:trHeight w:val="230"/>
        </w:trPr>
        <w:tc>
          <w:tcPr>
            <w:tcW w:w="254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standard.</w:t>
            </w: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2"/>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This ASU increases transparency and comparability</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2019</w:t>
            </w:r>
          </w:p>
        </w:tc>
        <w:tc>
          <w:tcPr>
            <w:tcW w:w="3740" w:type="dxa"/>
            <w:vAlign w:val="bottom"/>
          </w:tcPr>
          <w:p>
            <w:pPr>
              <w:ind w:left="20"/>
              <w:spacing w:after="0"/>
              <w:rPr>
                <w:sz w:val="20"/>
                <w:szCs w:val="20"/>
                <w:color w:val="auto"/>
              </w:rPr>
            </w:pPr>
            <w:r>
              <w:rPr>
                <w:rFonts w:ascii="Arial" w:cs="Arial" w:eastAsia="Arial" w:hAnsi="Arial"/>
                <w:sz w:val="18"/>
                <w:szCs w:val="18"/>
                <w:color w:val="auto"/>
              </w:rPr>
              <w:t>The Company is currently in the process of</w:t>
            </w:r>
          </w:p>
        </w:tc>
      </w:tr>
      <w:tr>
        <w:trPr>
          <w:trHeight w:val="216"/>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842)</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89"/>
              </w:rPr>
              <w:t>among organizations by recognizing lease assets and</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evaluating the impact of this ASU on its</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liabilities on the balance sheet and disclosing key</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information about leasing arrangements. For leases</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 a term of twelve months or less, a lessee is</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permitted to make an accounting policy election by</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class of underlying asset not to recognize lease</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30"/>
        </w:trPr>
        <w:tc>
          <w:tcPr>
            <w:tcW w:w="2540" w:type="dxa"/>
            <w:vAlign w:val="bottom"/>
            <w:tcBorders>
              <w:right w:val="single" w:sz="8" w:color="auto"/>
            </w:tcBorders>
          </w:tcPr>
          <w:p>
            <w:pPr>
              <w:spacing w:after="0"/>
              <w:rPr>
                <w:sz w:val="20"/>
                <w:szCs w:val="20"/>
                <w:color w:val="auto"/>
              </w:rPr>
            </w:pP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assets and liabilities.</w:t>
            </w:r>
          </w:p>
        </w:tc>
        <w:tc>
          <w:tcPr>
            <w:tcW w:w="1260" w:type="dxa"/>
            <w:vAlign w:val="bottom"/>
            <w:tcBorders>
              <w:right w:val="single" w:sz="8" w:color="auto"/>
            </w:tcBorders>
          </w:tcPr>
          <w:p>
            <w:pPr>
              <w:spacing w:after="0"/>
              <w:rPr>
                <w:sz w:val="20"/>
                <w:szCs w:val="20"/>
                <w:color w:val="auto"/>
              </w:rPr>
            </w:pPr>
          </w:p>
        </w:tc>
        <w:tc>
          <w:tcPr>
            <w:tcW w:w="3740" w:type="dxa"/>
            <w:vAlign w:val="bottom"/>
          </w:tcPr>
          <w:p>
            <w:pPr>
              <w:spacing w:after="0"/>
              <w:rPr>
                <w:sz w:val="20"/>
                <w:szCs w:val="20"/>
                <w:color w:val="auto"/>
              </w:rPr>
            </w:pP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2"/>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 xml:space="preserve">ASU No. 2016-15, </w:t>
            </w:r>
            <w:r>
              <w:rPr>
                <w:rFonts w:ascii="Arial" w:cs="Arial" w:eastAsia="Arial" w:hAnsi="Arial"/>
                <w:sz w:val="18"/>
                <w:szCs w:val="18"/>
                <w:i w:val="1"/>
                <w:iCs w:val="1"/>
                <w:color w:val="auto"/>
                <w:w w:val="97"/>
              </w:rPr>
              <w:t>Statement of</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This ASU identifies how certain cash receipts and</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2018</w:t>
            </w:r>
          </w:p>
        </w:tc>
        <w:tc>
          <w:tcPr>
            <w:tcW w:w="3740" w:type="dxa"/>
            <w:vAlign w:val="bottom"/>
          </w:tcPr>
          <w:p>
            <w:pPr>
              <w:ind w:left="20"/>
              <w:spacing w:after="0"/>
              <w:rPr>
                <w:sz w:val="20"/>
                <w:szCs w:val="20"/>
                <w:color w:val="auto"/>
              </w:rPr>
            </w:pPr>
            <w:r>
              <w:rPr>
                <w:rFonts w:ascii="Arial" w:cs="Arial" w:eastAsia="Arial" w:hAnsi="Arial"/>
                <w:sz w:val="18"/>
                <w:szCs w:val="18"/>
                <w:color w:val="auto"/>
              </w:rPr>
              <w:t>The Company is currently in the process of</w:t>
            </w:r>
          </w:p>
        </w:tc>
      </w:tr>
      <w:tr>
        <w:trPr>
          <w:trHeight w:val="216"/>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Cash Flows (Topic 230):</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cash payments are presented and classified in the</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evaluating the impact of this ASU on its</w:t>
            </w:r>
          </w:p>
        </w:tc>
      </w:tr>
      <w:tr>
        <w:trPr>
          <w:trHeight w:val="216"/>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Classification of Certain Cash</w:t>
            </w:r>
          </w:p>
        </w:tc>
        <w:tc>
          <w:tcPr>
            <w:tcW w:w="38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Statement of Cash Flows under Topic 230.</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r>
      <w:tr>
        <w:trPr>
          <w:trHeight w:val="216"/>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Receipts and Cash Payments</w:t>
            </w:r>
          </w:p>
        </w:tc>
        <w:tc>
          <w:tcPr>
            <w:tcW w:w="38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30"/>
        </w:trPr>
        <w:tc>
          <w:tcPr>
            <w:tcW w:w="254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(ASU 2016-15)</w:t>
            </w:r>
          </w:p>
        </w:tc>
        <w:tc>
          <w:tcPr>
            <w:tcW w:w="38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40" w:type="dxa"/>
            <w:vAlign w:val="bottom"/>
          </w:tcPr>
          <w:p>
            <w:pPr>
              <w:spacing w:after="0"/>
              <w:rPr>
                <w:sz w:val="20"/>
                <w:szCs w:val="20"/>
                <w:color w:val="auto"/>
              </w:rPr>
            </w:pP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669"/>
        </w:trPr>
        <w:tc>
          <w:tcPr>
            <w:tcW w:w="2540" w:type="dxa"/>
            <w:vAlign w:val="bottom"/>
          </w:tcPr>
          <w:p>
            <w:pPr>
              <w:spacing w:after="0"/>
              <w:rPr>
                <w:sz w:val="24"/>
                <w:szCs w:val="24"/>
                <w:color w:val="auto"/>
              </w:rPr>
            </w:pPr>
          </w:p>
        </w:tc>
        <w:tc>
          <w:tcPr>
            <w:tcW w:w="3860" w:type="dxa"/>
            <w:vAlign w:val="bottom"/>
          </w:tcPr>
          <w:p>
            <w:pPr>
              <w:ind w:left="3060"/>
              <w:spacing w:after="0"/>
              <w:rPr>
                <w:sz w:val="20"/>
                <w:szCs w:val="20"/>
                <w:color w:val="auto"/>
              </w:rPr>
            </w:pPr>
            <w:r>
              <w:rPr>
                <w:rFonts w:ascii="Arial" w:cs="Arial" w:eastAsia="Arial" w:hAnsi="Arial"/>
                <w:sz w:val="18"/>
                <w:szCs w:val="18"/>
                <w:color w:val="auto"/>
              </w:rPr>
              <w:t>22</w:t>
            </w:r>
          </w:p>
        </w:tc>
        <w:tc>
          <w:tcPr>
            <w:tcW w:w="126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consolidated financial statements and the notes thereto and other information included elsewhere in this quarterly report on Form 10-Q.</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and Market</w:t>
      </w:r>
    </w:p>
    <w:p>
      <w:pPr>
        <w:spacing w:after="0" w:line="22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longer-term use.</w:t>
      </w:r>
    </w:p>
    <w:p>
      <w:pPr>
        <w:spacing w:after="0" w:line="14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7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We feel confident that our existing capital structure and free cash flow generation will allow us to properly fund those activities.</w:t>
      </w:r>
    </w:p>
    <w:p>
      <w:pPr>
        <w:spacing w:after="0" w:line="154"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a direct sales and distributor relationships. We expect our businesses to grow in both sales and profitability through geographic expansion, market penetration, new product introductions and increasing our direct presence internationally.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evaluating the operating performance of our business, management focuses on revenue, gross margin, operating income, earnings per share and cash flow from operations. A summary of these key financial metrics for the three and nine months ended February 28, 2018 compared to the three and nine months ended February 28, 2017 follows: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Three months ended February 28, 2018:</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decreased by 2.0% to $83.9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as a percentage of sales increased by 300 bps to 54.2%</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decreased by $0.3 million to $4.9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per share increased by $0.30 to $0.38</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Nine months ended February 28, 2018:</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decreased by 2.6% to $256.0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as a percentage of sales decreased by 0.3% to 50.6%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decreased by $18.2 million to $6.1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decreased by $0.11 to $0.38</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 from operations decreased by $19.2 million to $17.5 million</w:t>
      </w:r>
    </w:p>
    <w:p>
      <w:pPr>
        <w:spacing w:after="0" w:line="21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The decline in revenue during the third quarter was primarily driven by declines in the Venous portfolio within Peripheral Vascular, non-BioFlo products within Vascular Access and Radiofrequency Ablation within Oncology/Surgery. The decrease in Radiofrequency Ablation was primarily due to the discontinuation of this product line in Japan. In the prior year there was a $1.7 million sale to introduce Radiofrequency Ablation into the Japanese market.</w:t>
      </w:r>
    </w:p>
    <w:p>
      <w:pPr>
        <w:spacing w:after="0" w:line="14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decline was partially offset by increased sales of Solero, a microwave ablation device that received FDA clearance during the first quarter of fiscal year 2018, and NanoKnife capital sales in Oncology/Surgery. Other areas of growth include Fluid Management, AngioVac and Core within Peripheral Vascular and the BioFlo family of products within Vascular Access.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regarding new accounting pronouncements is included in Note 15 to our consolidated financial statements in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February 28, 2018 and 2017</w:t>
      </w:r>
    </w:p>
    <w:p>
      <w:pPr>
        <w:spacing w:after="0" w:line="229"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For the three months ended February 28, 2018, we reported net income of $14.0 million, or $0.37per diluted share, on net sales of $83.9 million, compared with net income of $2.9 million, or $0.08 per share, on net sales of $85.6 million during the same quarter of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February 28, 2018 and 2017:</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color w:val="auto"/>
                <w:w w:val="95"/>
              </w:rPr>
              <w:t>Three months ended</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6"/>
              </w:rPr>
              <w:t>Feb 28,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6"/>
              </w:rPr>
              <w:t>Feb 28, 2017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 Growth</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48,517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48,929</w:t>
            </w:r>
          </w:p>
        </w:tc>
        <w:tc>
          <w:tcPr>
            <w:tcW w:w="1240" w:type="dxa"/>
            <w:vAlign w:val="bottom"/>
            <w:gridSpan w:val="2"/>
          </w:tcPr>
          <w:p>
            <w:pPr>
              <w:jc w:val="right"/>
              <w:ind w:right="308"/>
              <w:spacing w:after="0"/>
              <w:rPr>
                <w:sz w:val="20"/>
                <w:szCs w:val="20"/>
                <w:color w:val="auto"/>
              </w:rPr>
            </w:pPr>
            <w:r>
              <w:rPr>
                <w:rFonts w:ascii="Arial" w:cs="Arial" w:eastAsia="Arial" w:hAnsi="Arial"/>
                <w:sz w:val="18"/>
                <w:szCs w:val="18"/>
                <w:color w:val="auto"/>
              </w:rPr>
              <w:t>(1)%</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23,680</w:t>
            </w:r>
          </w:p>
        </w:tc>
        <w:tc>
          <w:tcPr>
            <w:tcW w:w="124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w:t>
            </w: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12,993</w:t>
            </w:r>
          </w:p>
        </w:tc>
        <w:tc>
          <w:tcPr>
            <w:tcW w:w="1240" w:type="dxa"/>
            <w:vAlign w:val="bottom"/>
            <w:gridSpan w:val="2"/>
          </w:tcPr>
          <w:p>
            <w:pPr>
              <w:jc w:val="right"/>
              <w:ind w:right="308"/>
              <w:spacing w:after="0"/>
              <w:rPr>
                <w:sz w:val="20"/>
                <w:szCs w:val="20"/>
                <w:color w:val="auto"/>
              </w:rPr>
            </w:pPr>
            <w:r>
              <w:rPr>
                <w:rFonts w:ascii="Arial" w:cs="Arial" w:eastAsia="Arial" w:hAnsi="Arial"/>
                <w:sz w:val="18"/>
                <w:szCs w:val="18"/>
                <w:color w:val="auto"/>
              </w:rPr>
              <w:t>(7)%</w:t>
            </w:r>
          </w:p>
        </w:tc>
      </w:tr>
      <w:tr>
        <w:trPr>
          <w:trHeight w:val="27"/>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5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83,851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85,602</w:t>
            </w:r>
          </w:p>
        </w:tc>
        <w:tc>
          <w:tcPr>
            <w:tcW w:w="12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65,787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67,656</w:t>
            </w:r>
          </w:p>
        </w:tc>
        <w:tc>
          <w:tcPr>
            <w:tcW w:w="1240" w:type="dxa"/>
            <w:vAlign w:val="bottom"/>
            <w:gridSpan w:val="2"/>
          </w:tcPr>
          <w:p>
            <w:pPr>
              <w:jc w:val="right"/>
              <w:ind w:right="308"/>
              <w:spacing w:after="0"/>
              <w:rPr>
                <w:sz w:val="20"/>
                <w:szCs w:val="20"/>
                <w:color w:val="auto"/>
              </w:rPr>
            </w:pPr>
            <w:r>
              <w:rPr>
                <w:rFonts w:ascii="Arial" w:cs="Arial" w:eastAsia="Arial" w:hAnsi="Arial"/>
                <w:sz w:val="18"/>
                <w:szCs w:val="18"/>
                <w:color w:val="auto"/>
              </w:rPr>
              <w:t>(3)%</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17,946</w:t>
            </w:r>
          </w:p>
        </w:tc>
        <w:tc>
          <w:tcPr>
            <w:tcW w:w="124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w:t>
            </w:r>
          </w:p>
        </w:tc>
      </w:tr>
      <w:tr>
        <w:trPr>
          <w:trHeight w:val="297"/>
        </w:trPr>
        <w:tc>
          <w:tcPr>
            <w:tcW w:w="75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83,851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85,602</w:t>
            </w:r>
          </w:p>
        </w:tc>
        <w:tc>
          <w:tcPr>
            <w:tcW w:w="1240" w:type="dxa"/>
            <w:vAlign w:val="bottom"/>
            <w:tcBorders>
              <w:bottom w:val="single" w:sz="8" w:color="CCEEFF"/>
            </w:tcBorders>
            <w:gridSpan w:val="2"/>
          </w:tcPr>
          <w:p>
            <w:pPr>
              <w:jc w:val="right"/>
              <w:ind w:right="308"/>
              <w:spacing w:after="0"/>
              <w:rPr>
                <w:sz w:val="20"/>
                <w:szCs w:val="20"/>
                <w:color w:val="auto"/>
              </w:rPr>
            </w:pPr>
            <w:r>
              <w:rPr>
                <w:rFonts w:ascii="Arial" w:cs="Arial" w:eastAsia="Arial" w:hAnsi="Arial"/>
                <w:sz w:val="18"/>
                <w:szCs w:val="18"/>
                <w:color w:val="auto"/>
              </w:rPr>
              <w:t>(2)%</w:t>
            </w:r>
          </w:p>
        </w:tc>
      </w:tr>
      <w:tr>
        <w:trPr>
          <w:trHeight w:val="311"/>
        </w:trPr>
        <w:tc>
          <w:tcPr>
            <w:tcW w:w="7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three months ended February 28, 2018, net sales decreased $1.8 million to $83.9 million compared to the same period in the prior year.</w:t>
      </w:r>
    </w:p>
    <w:p>
      <w:pPr>
        <w:spacing w:after="0" w:line="183" w:lineRule="exact"/>
        <w:rPr>
          <w:sz w:val="20"/>
          <w:szCs w:val="20"/>
          <w:color w:val="auto"/>
        </w:rPr>
      </w:pPr>
    </w:p>
    <w:p>
      <w:pPr>
        <w:ind w:right="1820" w:firstLine="332"/>
        <w:spacing w:after="0" w:line="501"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Consolidated and U.S. net sales decreased from the prior year as a result of lower net sales across all Global Business Units. </w:t>
      </w:r>
      <w:r>
        <w:rPr>
          <w:rFonts w:ascii="Arial" w:cs="Arial" w:eastAsia="Arial" w:hAnsi="Arial"/>
          <w:sz w:val="18"/>
          <w:szCs w:val="18"/>
          <w:u w:val="single" w:color="auto"/>
          <w:color w:val="auto"/>
        </w:rPr>
        <w:t>Peripheral Vascular</w:t>
      </w:r>
    </w:p>
    <w:p>
      <w:pPr>
        <w:ind w:left="660" w:right="20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Peripheral Vascular sales decreased $0.4 million primarily attributable to decreased sales volume of Venous products of $2.7 million due to reimbursement challenges. This decrease was offset by strong performance in our Fluid Management and core product lines, which increased $1.2 million and $0.7 million, respectively. The increase in Fluid Management was attributed to the Fluid Management dedicated sales team being fully staffed and promoting new custom kits.</w:t>
      </w:r>
    </w:p>
    <w:p>
      <w:pPr>
        <w:spacing w:after="0" w:line="2" w:lineRule="exact"/>
        <w:rPr>
          <w:rFonts w:ascii="Arial" w:cs="Arial" w:eastAsia="Arial" w:hAnsi="Arial"/>
          <w:sz w:val="18"/>
          <w:szCs w:val="18"/>
          <w:color w:val="auto"/>
        </w:rPr>
      </w:pPr>
    </w:p>
    <w:p>
      <w:pPr>
        <w:ind w:left="660" w:right="1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Peripheral Vascular sales decreased $1.2 million due to decreased sales volume of Venous products. This decreased sales volume in the U.S. was offset by an increase in volume in Fluid Management and Thrombus Management categories. International Peripheral Vascular sales increased $0.8 million due to increased sales volume in Fluid Management.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right="2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Vascular Access sales decreased $0.4 million primarily in our non-BioFlo businesses. Our BioFlo product lines, other than BioFlo PICCs, increased $0.8 million year over year. This was offset by decreased sales of BioFlo PICCs of $1.1 million. BioFlo product lines comprise 48% of our overall vascular access sales, compared to 49% a year ago.</w:t>
      </w:r>
    </w:p>
    <w:p>
      <w:pPr>
        <w:ind w:left="660" w:right="5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Vascular Access sales declined by 3% due to softness across the non-BioFlo portfolio. This was partially offset by growth in Midline and BioFlo Dialysis products which continue to gain traction in the marketplace.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Vascular Access sales increased by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Oncology/Surgery</w:t>
      </w:r>
    </w:p>
    <w:p>
      <w:pPr>
        <w:spacing w:after="0" w:line="225" w:lineRule="exact"/>
        <w:rPr>
          <w:sz w:val="20"/>
          <w:szCs w:val="20"/>
          <w:color w:val="auto"/>
        </w:rPr>
      </w:pPr>
    </w:p>
    <w:p>
      <w:pPr>
        <w:ind w:left="660" w:right="180" w:hanging="328"/>
        <w:spacing w:after="0" w:line="28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Oncology/Surgery sales decreased $0.9 million year over year primarily due to decreased sales in Radiofrequency Ablation and NanoKnife disposables. The decrease in Radiofrequency Ablation was primarily due to the discontinuation of this product line in Japan. In the prior year there was a $1.7 million sale to introduce Radiofrequency Ablation into the Japanese market. This was partially offset by the successful launch of our Solero product line, which generated $0.5 million of growth year over year, and increased sales of NanoKnife generators.</w:t>
      </w:r>
    </w:p>
    <w:p>
      <w:pPr>
        <w:spacing w:after="0" w:line="1" w:lineRule="exact"/>
        <w:rPr>
          <w:rFonts w:ascii="Arial" w:cs="Arial" w:eastAsia="Arial" w:hAnsi="Arial"/>
          <w:sz w:val="16"/>
          <w:szCs w:val="16"/>
          <w:color w:val="auto"/>
        </w:rPr>
      </w:pPr>
    </w:p>
    <w:p>
      <w:pPr>
        <w:ind w:left="660" w:right="4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Oncology/Surgery decreased by 2%, driven by decreased sales in Radiofrequency Ablation and NanoKnife disposables partially offset by increased sales in NanoKnife generators of $0.5 million.</w:t>
      </w:r>
    </w:p>
    <w:p>
      <w:pPr>
        <w:ind w:left="660" w:right="220" w:hanging="328"/>
        <w:spacing w:after="0" w:line="29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International Oncology/Surgery sales decreased by $0.9 million year over year as a result of decreased Radiofrequency sales of $1.9 million offset by Solero Microwave capital and disposable sales growth of $0.5 million and NanoKnife generators sales growth of $0.6 million.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95"/>
              </w:rPr>
              <w:t>Three months ended</w:t>
            </w:r>
          </w:p>
        </w:tc>
        <w:tc>
          <w:tcPr>
            <w:tcW w:w="126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Feb 28, 2018</w:t>
            </w:r>
          </w:p>
        </w:tc>
        <w:tc>
          <w:tcPr>
            <w:tcW w:w="160" w:type="dxa"/>
            <w:vAlign w:val="bottom"/>
          </w:tcPr>
          <w:p>
            <w:pPr>
              <w:spacing w:after="0"/>
              <w:rPr>
                <w:sz w:val="22"/>
                <w:szCs w:val="22"/>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Feb 28, 2017</w:t>
            </w:r>
          </w:p>
        </w:tc>
        <w:tc>
          <w:tcPr>
            <w:tcW w:w="1260" w:type="dxa"/>
            <w:vAlign w:val="bottom"/>
          </w:tcPr>
          <w:p>
            <w:pPr>
              <w:jc w:val="right"/>
              <w:ind w:right="254"/>
              <w:spacing w:after="0"/>
              <w:rPr>
                <w:sz w:val="20"/>
                <w:szCs w:val="20"/>
                <w:color w:val="auto"/>
              </w:rPr>
            </w:pPr>
            <w:r>
              <w:rPr>
                <w:rFonts w:ascii="Arial" w:cs="Arial" w:eastAsia="Arial" w:hAnsi="Arial"/>
                <w:sz w:val="14"/>
                <w:szCs w:val="14"/>
                <w:color w:val="auto"/>
              </w:rPr>
              <w:t>% Change</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$1.6 million compared to the prior year. The increase is attributable to the following:</w:t>
      </w:r>
    </w:p>
    <w:p>
      <w:pPr>
        <w:spacing w:after="0" w:line="225" w:lineRule="exact"/>
        <w:rPr>
          <w:sz w:val="20"/>
          <w:szCs w:val="20"/>
          <w:color w:val="auto"/>
        </w:rPr>
      </w:pPr>
    </w:p>
    <w:p>
      <w:pPr>
        <w:ind w:left="660" w:right="2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productivity of approximately $1.8 million, the expiration of a royalty agreement in September of approximately $1.5 million and currency of $0.6 million. These increases were partially offset by volume, mix and freight of approximately $2.4 million.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$0.5 million compared to the prior year. The increase is attributable to the following:</w:t>
      </w:r>
    </w:p>
    <w:p>
      <w:pPr>
        <w:spacing w:after="0" w:line="225" w:lineRule="exact"/>
        <w:rPr>
          <w:sz w:val="20"/>
          <w:szCs w:val="20"/>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project spend in the third quarter of fiscal year 2018 compared to prior year was up $0.1 million along with increased compensation and benefits associated with additional headcount of $0.4 million.</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decreased by $1.4 million compared to the prior year. The decrease is attributable to the following:</w:t>
      </w:r>
    </w:p>
    <w:p>
      <w:pPr>
        <w:spacing w:after="0" w:line="225" w:lineRule="exact"/>
        <w:rPr>
          <w:sz w:val="20"/>
          <w:szCs w:val="20"/>
          <w:color w:val="auto"/>
        </w:rPr>
      </w:pPr>
    </w:p>
    <w:p>
      <w:pPr>
        <w:ind w:left="660" w:right="480" w:hanging="328"/>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Compensation and benefits decrease of approximately $1.8 million, which was primarily the result of decreased variable compensation of $0.7 million and open headcount of $0.5 million. In addition, severance expense was down $0.6 million from the third quarter of the prior year.</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Open headcount resulted in increased travel of $0.2 million and recruiting expense of $0.2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consulting spend of $0.2 million.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by $0.6 million compared to the prior year. The increase is attributable to the following:</w:t>
      </w:r>
    </w:p>
    <w:p>
      <w:pPr>
        <w:spacing w:after="0" w:line="225" w:lineRule="exact"/>
        <w:rPr>
          <w:sz w:val="20"/>
          <w:szCs w:val="20"/>
          <w:color w:val="auto"/>
        </w:rPr>
      </w:pPr>
    </w:p>
    <w:p>
      <w:pPr>
        <w:ind w:left="660" w:right="2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$1.4 million was primarily the result of increased headcount year over year of $0.4 million and increased benefits expense of $0.9 million.</w:t>
      </w:r>
    </w:p>
    <w:p>
      <w:pPr>
        <w:spacing w:after="0" w:line="1"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 in compensation and benefits was partially offset by lower depreciation of $0.2 million, a decrease in bad debt expense of $0.2 million, a decrease in recruiting expense of $0.2 million and a decrease in travel expense of $0.1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778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65"/>
        </w:trPr>
        <w:tc>
          <w:tcPr>
            <w:tcW w:w="1020" w:type="dxa"/>
            <w:vAlign w:val="bottom"/>
            <w:tcBorders>
              <w:top w:val="single" w:sz="8" w:color="0000EE"/>
            </w:tcBorders>
          </w:tcPr>
          <w:p>
            <w:pPr>
              <w:spacing w:after="0"/>
              <w:rPr>
                <w:sz w:val="24"/>
                <w:szCs w:val="24"/>
                <w:color w:val="auto"/>
              </w:rPr>
            </w:pPr>
          </w:p>
        </w:tc>
        <w:tc>
          <w:tcPr>
            <w:tcW w:w="6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5"/>
              </w:rPr>
              <w:t>Three months ended</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67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4"/>
              </w:rPr>
              <w:t>Feb 28, 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2"/>
              </w:rPr>
              <w:t>Feb 28, 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10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decrease of $0.2 million is primarily related to intangible assets that became fully amortized during the prior year.</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decrease is due to the fact that in the second quarter of fiscal year 2018, the final minimum payment was made on the AngioVac product contingent consideration. The normal amortization of the present value discount on the contingent liabilities is now less than $0.1 million per quarter.</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Acquisition, restructuring and other items, net increased by $2.4 million compared to the prior year. The increase is attributable to the following:</w:t>
      </w:r>
    </w:p>
    <w:p>
      <w:pPr>
        <w:spacing w:after="0" w:line="225" w:lineRule="exact"/>
        <w:rPr>
          <w:sz w:val="20"/>
          <w:szCs w:val="20"/>
          <w:color w:val="auto"/>
        </w:rPr>
      </w:pPr>
    </w:p>
    <w:p>
      <w:pPr>
        <w:ind w:left="660" w:right="6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was $1.5 million of expense related to the plant consolidation that was announced in the third quarter of fiscal year 2017. The expense consisted mainly of severance of $0.3 million and costs to move the product lines including equipment transfer expenses, accelerated depreciation for assets that will not be transferred, validation of products and other start up costs of $1.2 million. This is compared to $0.2 million of severance in the prior year.</w:t>
      </w:r>
    </w:p>
    <w:p>
      <w:pPr>
        <w:spacing w:after="0" w:line="2"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expenses, related to litigation that is outside of the normal course of business, of $2.3 million were recorded in the current year compared to $1.5 million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in other expenses from the prior year is due to the increased interest expense of $0.2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color w:val="auto"/>
              </w:rPr>
              <w:t>Three months ended</w:t>
            </w:r>
          </w:p>
        </w:tc>
      </w:tr>
      <w:tr>
        <w:trPr>
          <w:trHeight w:val="264"/>
        </w:trPr>
        <w:tc>
          <w:tcPr>
            <w:tcW w:w="8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Feb 28, 2018</w:t>
            </w:r>
          </w:p>
        </w:tc>
        <w:tc>
          <w:tcPr>
            <w:tcW w:w="160" w:type="dxa"/>
            <w:vAlign w:val="bottom"/>
          </w:tcPr>
          <w:p>
            <w:pPr>
              <w:spacing w:after="0"/>
              <w:rPr>
                <w:sz w:val="22"/>
                <w:szCs w:val="22"/>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color w:val="auto"/>
                <w:w w:val="96"/>
              </w:rPr>
              <w:t>Feb 28, 2017</w:t>
            </w:r>
          </w:p>
        </w:tc>
      </w:tr>
      <w:tr>
        <w:trPr>
          <w:trHeight w:val="250"/>
        </w:trPr>
        <w:tc>
          <w:tcPr>
            <w:tcW w:w="8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effective tax rate including discrete items for the three month periods ended February 28, 2018 and 2017 was (244.4)% and 36.6%, respectively.</w:t>
      </w:r>
    </w:p>
    <w:p>
      <w:pPr>
        <w:spacing w:after="0" w:line="248" w:lineRule="exact"/>
        <w:rPr>
          <w:sz w:val="20"/>
          <w:szCs w:val="20"/>
          <w:color w:val="auto"/>
        </w:rPr>
      </w:pPr>
    </w:p>
    <w:p>
      <w:pPr>
        <w:jc w:val="both"/>
        <w:ind w:right="220" w:firstLine="648"/>
        <w:spacing w:after="0" w:line="279" w:lineRule="auto"/>
        <w:rPr>
          <w:sz w:val="20"/>
          <w:szCs w:val="20"/>
          <w:color w:val="auto"/>
        </w:rPr>
      </w:pPr>
      <w:r>
        <w:rPr>
          <w:rFonts w:ascii="Arial" w:cs="Arial" w:eastAsia="Arial" w:hAnsi="Arial"/>
          <w:sz w:val="17"/>
          <w:szCs w:val="17"/>
          <w:color w:val="auto"/>
        </w:rPr>
        <w:t>The estimated annual effective tax rate, however, prior to discrete items was 4.9% in the third quarter of fiscal 2018, as compared to 42.9% for the same period in fiscal 2017. The Company’s effective tax rate differs from the U.S. statutory rate primarily due to the valuation allowance, foreign taxes and state taxes. The change from the prior quarter fiscal year 2017 is principally related to the enactment of the Tax Cuts and Jobs Act (“Tax Reform Act”) as it relates to amortization of goodwill for tax purposes which will no longer be treated as a permanent item in our tax provision.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December 22, 2017, the President of the United States signed into law the Tax Reform Act. The legislation significantly changes U.S. tax law by, among other things, lowering corporate income tax rates, implementing a territorial tax system, expanding the tax base and imposing a tax deemed repatriated earnings of foreign subsidiaries. The Tax Reform Act permanently reduces the U.S. corporate federal income tax rate from a maximum of 35% to a flat 21% rate, effective January 1, 2018. The Company has recognized the impact of the Tax Reform Act in these unaudited consolidated financial statements and related disclosures. Staff Accounting Bulletin No. 118 (“SAB 118”) provides Companies with guidance on accounting for the impact of the Tax Reform Act. Specifically, SAB 118 provides for a measurement period, not to exceed one year, that begins on the date of enactment of December 22, 2017, and ends when the Company has obtained, prepared, and analyzed information needed to complete accounting requirements. In accordance with SAB 118, the Company recorded provisional amounts reflecting the impact of the Tax Reform Act in these unaudited consolidated financial statements and related disclosures.</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a result of the Tax Reform Act, in the third quarter of fiscal 2018, the Company has recognized a discrete tax benefit in the amount of $9.3 million due to the revaluation of the Company's indefinite lived deferred tax liability related to amortizable goodwill to reflect the lower statutory rate. Because the remaining U.S. deferred tax assets are offset by a full valuation allowance, the reduction in net deferred tax assets for the lower rate was fully offset by a corresponding reduction in valuation allowance resulting in no additional tax provision. The Tax Reform Act changed the NOL carryover rules and created a new limitation on their use. NOLs created in fiscal 2018 and beyond may be carried forwarded indefinitely but are limited to 80% of taxable income in any year. As a result of this change, the Company believes it is appropriate to offset some of its indefinite lived deferred tax liability against its deferred tax assets, and as a result, recognized an estimated $0.8 million discrete benefit in the third quarter of fiscal 2018. Additionally, this change impacts the Company's effective tax calculation on a go forward basis as the amortization of goodwill for tax purposes will no longer be treated as a permanent item in our tax provision.</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Tax Reform Act imposes a one-time transition tax on the deemed repatriation of post-1986 undistributed foreign subsidiaries’ earnings. Based on the information available as of December 31, 2017, the Company estimated undistributed foreign earnings of approximately $4.8 million. The taxable income arising from this deemed repatriation is expected to result in the utilization of net operating loss carryforwards and other tax credits, offset by changes in the valuation allowance, resulting in no net impact to tax expense. In accordance with SAB 118, the estimated income tax impact associated with the one-time transition tax of zero represents our best estimate based on interpretation of the U.S. legislation as we are still accumulating data to finalize the underlying calculation. In accordance with SAB 118, estimated income tax impact associated with the one-time transition tax is considered provisional and will be finalized prior to the end of the measurement period. The ultimate impact may differ from these provisional amounts, due to, among other things, additional analysis, changes in interpretations and assumptions the Company has made, additional regulatory guidance that may be issued, and actions the Company may take as a result of the Tax Reform Act.</w:t>
      </w:r>
    </w:p>
    <w:p>
      <w:pPr>
        <w:spacing w:after="0" w:line="18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 valuation allowance is established if it is more likely than not that all, or a portion of the deferred tax asset will not be realized. The Company has established that it is more likely than not that some, or all of their deferred tax assets will not be recognized in future years. Consequently, the Company continues to maintain a full U.S. valuation allowance on its net deferred tax assets. Management will continue to reevaluate the positive and negative evidence at each reporting period and if future results as projected in the U.S. and our tax planning strategies are favorable, the valuation allowance may be removed, which could have a favorable material impact on our results of operations in the period in which it is recorded.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February 28, 2018 and 2017</w:t>
      </w:r>
    </w:p>
    <w:p>
      <w:pPr>
        <w:spacing w:after="0" w:line="229"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For the nine months ended February 28, 2018, we reported a net income of $14.2 million, or $0.38 per diluted share, on net sales of $256.0 million, compared with net income of $17.9 million, or $0.49 per share, on net sales of $262.7 million during the same quarter of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nine months ended February 28, 2018 and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75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6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Nine months ended</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6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Feb 28, 2018</w:t>
            </w:r>
          </w:p>
        </w:tc>
        <w:tc>
          <w:tcPr>
            <w:tcW w:w="180" w:type="dxa"/>
            <w:vAlign w:val="bottom"/>
          </w:tcPr>
          <w:p>
            <w:pPr>
              <w:spacing w:after="0"/>
              <w:rPr>
                <w:sz w:val="22"/>
                <w:szCs w:val="22"/>
                <w:color w:val="auto"/>
              </w:rPr>
            </w:pPr>
          </w:p>
        </w:tc>
        <w:tc>
          <w:tcPr>
            <w:tcW w:w="1080" w:type="dxa"/>
            <w:vAlign w:val="bottom"/>
          </w:tcPr>
          <w:p>
            <w:pPr>
              <w:jc w:val="right"/>
              <w:ind w:right="172"/>
              <w:spacing w:after="0"/>
              <w:rPr>
                <w:sz w:val="20"/>
                <w:szCs w:val="20"/>
                <w:color w:val="auto"/>
              </w:rPr>
            </w:pPr>
            <w:r>
              <w:rPr>
                <w:rFonts w:ascii="Arial" w:cs="Arial" w:eastAsia="Arial" w:hAnsi="Arial"/>
                <w:sz w:val="14"/>
                <w:szCs w:val="14"/>
                <w:color w:val="auto"/>
                <w:w w:val="96"/>
              </w:rPr>
              <w:t>Feb 28, 2017</w:t>
            </w:r>
          </w:p>
        </w:tc>
        <w:tc>
          <w:tcPr>
            <w:tcW w:w="100" w:type="dxa"/>
            <w:vAlign w:val="bottom"/>
          </w:tcPr>
          <w:p>
            <w:pPr>
              <w:spacing w:after="0"/>
              <w:rPr>
                <w:sz w:val="22"/>
                <w:szCs w:val="22"/>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 Growth</w:t>
            </w:r>
          </w:p>
        </w:tc>
      </w:tr>
      <w:tr>
        <w:trPr>
          <w:trHeight w:val="250"/>
        </w:trPr>
        <w:tc>
          <w:tcPr>
            <w:tcW w:w="7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Peripheral Vascular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149,751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154,654</w:t>
            </w:r>
          </w:p>
        </w:tc>
        <w:tc>
          <w:tcPr>
            <w:tcW w:w="1240" w:type="dxa"/>
            <w:vAlign w:val="bottom"/>
            <w:gridSpan w:val="2"/>
          </w:tcPr>
          <w:p>
            <w:pPr>
              <w:jc w:val="right"/>
              <w:ind w:right="308"/>
              <w:spacing w:after="0"/>
              <w:rPr>
                <w:sz w:val="20"/>
                <w:szCs w:val="20"/>
                <w:color w:val="auto"/>
              </w:rPr>
            </w:pPr>
            <w:r>
              <w:rPr>
                <w:rFonts w:ascii="Arial" w:cs="Arial" w:eastAsia="Arial" w:hAnsi="Arial"/>
                <w:sz w:val="18"/>
                <w:szCs w:val="18"/>
                <w:color w:val="auto"/>
              </w:rPr>
              <w:t>(3)%</w:t>
            </w:r>
          </w:p>
        </w:tc>
      </w:tr>
      <w:tr>
        <w:trPr>
          <w:trHeight w:val="27"/>
        </w:trPr>
        <w:tc>
          <w:tcPr>
            <w:tcW w:w="10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72,238</w:t>
            </w:r>
          </w:p>
        </w:tc>
        <w:tc>
          <w:tcPr>
            <w:tcW w:w="124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(4)%</w:t>
            </w:r>
          </w:p>
        </w:tc>
      </w:tr>
      <w:tr>
        <w:trPr>
          <w:trHeight w:val="243"/>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Oncology/Surgery</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35,837</w:t>
            </w:r>
          </w:p>
        </w:tc>
        <w:tc>
          <w:tcPr>
            <w:tcW w:w="1240" w:type="dxa"/>
            <w:vAlign w:val="bottom"/>
            <w:gridSpan w:val="2"/>
          </w:tcPr>
          <w:p>
            <w:pPr>
              <w:jc w:val="right"/>
              <w:ind w:right="368"/>
              <w:spacing w:after="0"/>
              <w:rPr>
                <w:sz w:val="20"/>
                <w:szCs w:val="20"/>
                <w:color w:val="auto"/>
              </w:rPr>
            </w:pPr>
            <w:r>
              <w:rPr>
                <w:rFonts w:ascii="Arial" w:cs="Arial" w:eastAsia="Arial" w:hAnsi="Arial"/>
                <w:sz w:val="18"/>
                <w:szCs w:val="18"/>
                <w:color w:val="auto"/>
              </w:rPr>
              <w:t>4%</w:t>
            </w:r>
          </w:p>
        </w:tc>
      </w:tr>
      <w:tr>
        <w:trPr>
          <w:trHeight w:val="27"/>
        </w:trPr>
        <w:tc>
          <w:tcPr>
            <w:tcW w:w="102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255,968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262,729</w:t>
            </w:r>
          </w:p>
        </w:tc>
        <w:tc>
          <w:tcPr>
            <w:tcW w:w="124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w:t>
            </w:r>
          </w:p>
        </w:tc>
      </w:tr>
      <w:tr>
        <w:trPr>
          <w:trHeight w:val="20"/>
        </w:trPr>
        <w:tc>
          <w:tcPr>
            <w:tcW w:w="10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10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203,020</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211,295</w:t>
            </w:r>
          </w:p>
        </w:tc>
        <w:tc>
          <w:tcPr>
            <w:tcW w:w="1240" w:type="dxa"/>
            <w:vAlign w:val="bottom"/>
            <w:gridSpan w:val="2"/>
          </w:tcPr>
          <w:p>
            <w:pPr>
              <w:jc w:val="right"/>
              <w:ind w:right="308"/>
              <w:spacing w:after="0"/>
              <w:rPr>
                <w:sz w:val="20"/>
                <w:szCs w:val="20"/>
                <w:color w:val="auto"/>
              </w:rPr>
            </w:pPr>
            <w:r>
              <w:rPr>
                <w:rFonts w:ascii="Arial" w:cs="Arial" w:eastAsia="Arial" w:hAnsi="Arial"/>
                <w:sz w:val="18"/>
                <w:szCs w:val="18"/>
                <w:color w:val="auto"/>
              </w:rPr>
              <w:t>(4)%</w:t>
            </w:r>
          </w:p>
        </w:tc>
      </w:tr>
      <w:tr>
        <w:trPr>
          <w:trHeight w:val="27"/>
        </w:trPr>
        <w:tc>
          <w:tcPr>
            <w:tcW w:w="10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51,434</w:t>
            </w:r>
          </w:p>
        </w:tc>
        <w:tc>
          <w:tcPr>
            <w:tcW w:w="124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w:t>
            </w:r>
          </w:p>
        </w:tc>
      </w:tr>
      <w:tr>
        <w:trPr>
          <w:trHeight w:val="297"/>
        </w:trPr>
        <w:tc>
          <w:tcPr>
            <w:tcW w:w="75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255,968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262,729</w:t>
            </w:r>
          </w:p>
        </w:tc>
        <w:tc>
          <w:tcPr>
            <w:tcW w:w="1240" w:type="dxa"/>
            <w:vAlign w:val="bottom"/>
            <w:tcBorders>
              <w:bottom w:val="single" w:sz="8" w:color="CCEEFF"/>
            </w:tcBorders>
            <w:gridSpan w:val="2"/>
          </w:tcPr>
          <w:p>
            <w:pPr>
              <w:jc w:val="right"/>
              <w:ind w:right="308"/>
              <w:spacing w:after="0"/>
              <w:rPr>
                <w:sz w:val="20"/>
                <w:szCs w:val="20"/>
                <w:color w:val="auto"/>
              </w:rPr>
            </w:pPr>
            <w:r>
              <w:rPr>
                <w:rFonts w:ascii="Arial" w:cs="Arial" w:eastAsia="Arial" w:hAnsi="Arial"/>
                <w:sz w:val="18"/>
                <w:szCs w:val="18"/>
                <w:color w:val="auto"/>
              </w:rPr>
              <w:t>(3)%</w:t>
            </w:r>
          </w:p>
        </w:tc>
      </w:tr>
      <w:tr>
        <w:trPr>
          <w:trHeight w:val="311"/>
        </w:trPr>
        <w:tc>
          <w:tcPr>
            <w:tcW w:w="102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nine months ended February 28, 2018, net sales decreased $6.8 million to $256.0 million compared to the same period in the prior year.</w:t>
      </w:r>
    </w:p>
    <w:p>
      <w:pPr>
        <w:spacing w:after="0" w:line="183" w:lineRule="exact"/>
        <w:rPr>
          <w:sz w:val="20"/>
          <w:szCs w:val="20"/>
          <w:color w:val="auto"/>
        </w:rPr>
      </w:pPr>
    </w:p>
    <w:p>
      <w:pPr>
        <w:ind w:left="660" w:right="1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net sales decreased from the prior year as a result of decreased net sales from Peripheral Vascular and Vascular Access. This decrease was partially offset by 4% year over year growth in our Oncology/Surgery Global Business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Peripheral Vascular</w:t>
      </w:r>
    </w:p>
    <w:p>
      <w:pPr>
        <w:spacing w:after="0" w:line="225" w:lineRule="exact"/>
        <w:rPr>
          <w:sz w:val="20"/>
          <w:szCs w:val="20"/>
          <w:color w:val="auto"/>
        </w:rPr>
      </w:pPr>
    </w:p>
    <w:p>
      <w:pPr>
        <w:ind w:left="660" w:right="40" w:hanging="328"/>
        <w:spacing w:after="0" w:line="26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Total Peripheral Vascular sales decreased $4.9 million primarily attributable to decreased sales volume of Venous and Angiographic products of $8.6 million. The decrease in our Venous product line of $6.1 million is due to reimbursement challenges. The decrease in our Angiographic product line of $2.5 million is related to the prior year volume from backorders related to a competitor recall. These decreases were offset by strong performance in our Fluid Management product line, which increased $2.8 million year over year. The increase in Fluid Management was attributed to the Fluid Management dedicated sales team being fully staffed and promoting new custom kits.</w:t>
      </w:r>
    </w:p>
    <w:p>
      <w:pPr>
        <w:spacing w:after="0" w:line="3" w:lineRule="exact"/>
        <w:rPr>
          <w:rFonts w:ascii="Arial" w:cs="Arial" w:eastAsia="Arial" w:hAnsi="Arial"/>
          <w:sz w:val="17"/>
          <w:szCs w:val="17"/>
          <w:color w:val="auto"/>
        </w:rPr>
      </w:pPr>
    </w:p>
    <w:p>
      <w:pPr>
        <w:ind w:left="660" w:right="8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Peripheral Vascular sales decreased $4.6 million and international Peripheral Vascular sales decreased $0.3 million, which was primarily due to decreased sales volume of Venous and Angiographic core products. This decreased sales volume was offset by an increase in volume in Fluid Management and Thrombus Management categories.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right="16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Vascular Access sales decreased $3.1 million primarily due to declines in our non-BioFlo businesses. Our BioFlo product lines, other than PICC sales, increased $2.2 million year over year, while BioFlo PICC sales decreased $2.2 million. BioFlo product lines now comprise 49% of our overall Vascular Access sales, compared to 47% a year ago.</w:t>
      </w:r>
    </w:p>
    <w:p>
      <w:pPr>
        <w:ind w:left="660" w:right="2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Vascular Access sales declined by 5% due to softness across the non-BioFlo portfolio offset by Midline and BioFlo Ports and BioFlo Dialysis which continue to gain traction in the marketplace.</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International Vascular Access sales decreased by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Oncology/Surgery</w:t>
      </w:r>
    </w:p>
    <w:p>
      <w:pPr>
        <w:spacing w:after="0" w:line="225" w:lineRule="exact"/>
        <w:rPr>
          <w:sz w:val="20"/>
          <w:szCs w:val="20"/>
          <w:color w:val="auto"/>
        </w:rPr>
      </w:pPr>
    </w:p>
    <w:p>
      <w:pPr>
        <w:ind w:left="660" w:right="70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Oncology/Surgery sales increased $1.3 million year over year primarily due to the successful launch of our Solero product line, which generated $3.7 million of growth year over year.</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Oncology/Surgery declined by 3%, driven primarily by the timing of NanoKnife disposable sales of $0.7 million and market challenges in the Radiofrequency Ablation product line which decreased sales by $1.3 million. This was partially offset by increased Microwave capital and disposable sales of $1.3 million.</w:t>
      </w:r>
    </w:p>
    <w:p>
      <w:pPr>
        <w:spacing w:after="0" w:line="1" w:lineRule="exact"/>
        <w:rPr>
          <w:rFonts w:ascii="Arial" w:cs="Arial" w:eastAsia="Arial" w:hAnsi="Arial"/>
          <w:sz w:val="18"/>
          <w:szCs w:val="18"/>
          <w:color w:val="auto"/>
        </w:rPr>
      </w:pPr>
    </w:p>
    <w:p>
      <w:pPr>
        <w:ind w:left="660" w:right="22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International Oncology/Surgery sales increased $1.8 million year over year as a result of increased Microwave capital and disposable sales of $2.4 million and NanoKnife capital and disposable sales of $0.5 million. This was partially offset by decreased Radiofrequency Ablation sales of $1.3 million. The decrease in Radiofrequency Ablation was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660" w:right="680"/>
        <w:spacing w:after="0" w:line="324" w:lineRule="auto"/>
        <w:rPr>
          <w:sz w:val="20"/>
          <w:szCs w:val="20"/>
          <w:color w:val="auto"/>
        </w:rPr>
      </w:pPr>
      <w:r>
        <w:rPr>
          <w:rFonts w:ascii="Arial" w:cs="Arial" w:eastAsia="Arial" w:hAnsi="Arial"/>
          <w:sz w:val="18"/>
          <w:szCs w:val="18"/>
          <w:color w:val="auto"/>
        </w:rPr>
        <w:t>primarily due to the discontinuation of this product line in Japan. In the prior year there was a $1.7 million sale to introduce Radiofrequency Ablation into the Japanese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w w:val="98"/>
              </w:rPr>
              <w:t>Nine months ended</w:t>
            </w:r>
          </w:p>
        </w:tc>
        <w:tc>
          <w:tcPr>
            <w:tcW w:w="126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Feb 28, 2018</w:t>
            </w:r>
          </w:p>
        </w:tc>
        <w:tc>
          <w:tcPr>
            <w:tcW w:w="160" w:type="dxa"/>
            <w:vAlign w:val="bottom"/>
          </w:tcPr>
          <w:p>
            <w:pPr>
              <w:spacing w:after="0"/>
              <w:rPr>
                <w:sz w:val="22"/>
                <w:szCs w:val="22"/>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Feb 28, 2017</w:t>
            </w:r>
          </w:p>
        </w:tc>
        <w:tc>
          <w:tcPr>
            <w:tcW w:w="1260" w:type="dxa"/>
            <w:vAlign w:val="bottom"/>
          </w:tcPr>
          <w:p>
            <w:pPr>
              <w:jc w:val="right"/>
              <w:ind w:right="254"/>
              <w:spacing w:after="0"/>
              <w:rPr>
                <w:sz w:val="20"/>
                <w:szCs w:val="20"/>
                <w:color w:val="auto"/>
              </w:rPr>
            </w:pPr>
            <w:r>
              <w:rPr>
                <w:rFonts w:ascii="Arial" w:cs="Arial" w:eastAsia="Arial" w:hAnsi="Arial"/>
                <w:sz w:val="14"/>
                <w:szCs w:val="14"/>
                <w:color w:val="auto"/>
              </w:rPr>
              <w:t>% Change</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$4.4 million compared to the prior year. The decrease is attributable to the following:</w:t>
      </w:r>
    </w:p>
    <w:p>
      <w:pPr>
        <w:spacing w:after="0" w:line="225" w:lineRule="exact"/>
        <w:rPr>
          <w:sz w:val="20"/>
          <w:szCs w:val="20"/>
          <w:color w:val="auto"/>
        </w:rPr>
      </w:pPr>
    </w:p>
    <w:p>
      <w:pPr>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second quarter of fiscal year 2018, the Company decided to discontinue selling our Radiofrequency Ablation product in Japan which resulted in a $1.7 million inventory provision. Volume softness, product mix and pricing headwinds of approximately $7.3 million were offset by the expiration of a royalty agreement of approximately $2.3 million and net productivity of approximately $2.1 million.</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$0.4 million compared to the prior year. The increase is attributable to the following:</w:t>
      </w:r>
    </w:p>
    <w:p>
      <w:pPr>
        <w:spacing w:after="0" w:line="225" w:lineRule="exact"/>
        <w:rPr>
          <w:sz w:val="20"/>
          <w:szCs w:val="20"/>
          <w:color w:val="auto"/>
        </w:rPr>
      </w:pPr>
    </w:p>
    <w:p>
      <w:pPr>
        <w:ind w:left="660" w:right="200" w:hanging="328"/>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Timing of project spend in the third quarter of fiscal year 2018 compared to prior year was up $0.4 million along with increased compensation and benefits associated with additional headcount of $0.1 million. This was partially offset by a decrease in recruiting expense of $0.2 million.</w:t>
      </w:r>
    </w:p>
    <w:p>
      <w:pPr>
        <w:ind w:left="660" w:right="34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R&amp;D expense as a percentage of sales increased slightly year over year as a result of the higher R&amp;D expense along with lower sales in the third quarter of fiscal year 2018.</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decreased by $1.9 million compared to the prior year. The decrease is attributable to the following:</w:t>
      </w:r>
    </w:p>
    <w:p>
      <w:pPr>
        <w:spacing w:after="0" w:line="225" w:lineRule="exact"/>
        <w:rPr>
          <w:sz w:val="20"/>
          <w:szCs w:val="20"/>
          <w:color w:val="auto"/>
        </w:rPr>
      </w:pPr>
    </w:p>
    <w:p>
      <w:pPr>
        <w:ind w:left="660" w:right="14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and benefits decrease of approximately $2.6 million was primarily the result of decreased variable compensation of $2.2 million and open headcount of $0.4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Open headcount resulted in increased travel of $0.4 million and recruiting expense of $0.3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consulting spend of $0.5 million was partially offset by increased samples expense related to the Solero launch of $0.2 million.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by $0.2 million compared to the prior year. The increase is attributable to the following: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32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$1.3 million was primarily the result of increased headcount year over year of $0.8 million which was partially offset by a decrease in bonus expense of $0.4 million. In addition, benefits expense increased $0.8 million due to significant favorability in the prior year.</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professional fees of $0.3 million.</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increases were partially offset by lower depreciation of $0.6 million, a decrease in bad debt expense of $0.2 million, a decrease in recruiting expense of $0.6 million and a decrease in travel expense of $0.1 million.</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8"/>
              </w:rPr>
              <w:t>Nine months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Feb 28, 2018</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220" w:type="dxa"/>
            <w:vAlign w:val="bottom"/>
          </w:tcPr>
          <w:p>
            <w:pPr>
              <w:spacing w:after="0"/>
              <w:rPr>
                <w:sz w:val="22"/>
                <w:szCs w:val="22"/>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15.6</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decrease of $0.5 million is primarily related to intangible assets that became fully amortized during the second quarter of the prior year.</w:t>
      </w:r>
    </w:p>
    <w:p>
      <w:pPr>
        <w:spacing w:after="0" w:line="23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right="80" w:hanging="328"/>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prior year, a gain of $13.4 million was taken on the AngioVac product as a result of decreases in future sales projections that eliminated any payments above the minimums and a gain of $3.1 million on the TiLo product as the milestone will not be achieved. The normal amortization of the present value discount on the contingent liabilities was approximately $0.1 million per quarter for the first two quarters of fiscal year 2018. In the third quarter the amortization is now less than $0.1 million as the final minimum payment was made on AngioVac in the second quarter of fiscal 2018.</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Acquisition, restructuring and other items, net decreased by $0.1 million compared to the prior year. The decrease is attributable to the following:</w:t>
      </w:r>
    </w:p>
    <w:p>
      <w:pPr>
        <w:spacing w:after="0" w:line="237" w:lineRule="exact"/>
        <w:rPr>
          <w:sz w:val="20"/>
          <w:szCs w:val="20"/>
          <w:color w:val="auto"/>
        </w:rPr>
      </w:pPr>
    </w:p>
    <w:p>
      <w:pPr>
        <w:ind w:left="660" w:right="30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prior year there was a $2.0 million write-off of Embomedics due to termination of the agreement and $3.6 million related to the decision to discontinue our investment in the TiLo product.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was $4.2 million of expense related to the plant consolidation that was announced in the third quarter of fiscal year 2017. The expense consisted mainly of severance of $1.5 million and costs to move the product lines including equipment transfer expenses, accelerated depreciation for assets that will not be transferred, product validation and other start up costs of $2.6 million. In the prior year, there was $0.2 million recorded for severance as of the end of the third quarter.</w:t>
      </w:r>
    </w:p>
    <w:p>
      <w:pPr>
        <w:spacing w:after="0" w:line="1" w:lineRule="exact"/>
        <w:rPr>
          <w:rFonts w:ascii="Arial" w:cs="Arial" w:eastAsia="Arial" w:hAnsi="Arial"/>
          <w:sz w:val="18"/>
          <w:szCs w:val="18"/>
          <w:color w:val="auto"/>
        </w:rPr>
      </w:pPr>
    </w:p>
    <w:p>
      <w:pPr>
        <w:ind w:left="660" w:right="24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Legal expenses, related to litigation that is outside of the normal course of business, of $7.3 million were recorded in the current year compared to $5.2 million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w:t>
      </w:r>
    </w:p>
    <w:p>
      <w:pPr>
        <w:spacing w:after="0" w:line="225" w:lineRule="exact"/>
        <w:rPr>
          <w:sz w:val="20"/>
          <w:szCs w:val="20"/>
          <w:color w:val="auto"/>
        </w:rPr>
      </w:pPr>
    </w:p>
    <w:p>
      <w:pPr>
        <w:ind w:left="660" w:right="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decrease of $0.4 million was due to the prior year write-off of $0.7 million of deferred financing fees related to the original credit facility, offset partially by higher interest expense as a result of increased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color w:val="auto"/>
              </w:rPr>
              <w:t>Nine months ended</w:t>
            </w:r>
          </w:p>
        </w:tc>
      </w:tr>
      <w:tr>
        <w:trPr>
          <w:trHeight w:val="264"/>
        </w:trPr>
        <w:tc>
          <w:tcPr>
            <w:tcW w:w="8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Feb 28, 2018</w:t>
            </w:r>
          </w:p>
        </w:tc>
        <w:tc>
          <w:tcPr>
            <w:tcW w:w="160" w:type="dxa"/>
            <w:vAlign w:val="bottom"/>
          </w:tcPr>
          <w:p>
            <w:pPr>
              <w:spacing w:after="0"/>
              <w:rPr>
                <w:sz w:val="22"/>
                <w:szCs w:val="22"/>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color w:val="auto"/>
                <w:w w:val="96"/>
              </w:rPr>
              <w:t>Feb 28, 2017</w:t>
            </w:r>
          </w:p>
        </w:tc>
      </w:tr>
      <w:tr>
        <w:trPr>
          <w:trHeight w:val="250"/>
        </w:trPr>
        <w:tc>
          <w:tcPr>
            <w:tcW w:w="8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effective tax rate including discrete items for the three month periods ended February 28, 2018 and 2017 was (244.0)% and 18.1%, respectively.</w:t>
      </w:r>
    </w:p>
    <w:p>
      <w:pPr>
        <w:spacing w:after="0" w:line="248" w:lineRule="exact"/>
        <w:rPr>
          <w:sz w:val="20"/>
          <w:szCs w:val="20"/>
          <w:color w:val="auto"/>
        </w:rPr>
      </w:pPr>
    </w:p>
    <w:p>
      <w:pPr>
        <w:jc w:val="both"/>
        <w:ind w:right="220" w:firstLine="648"/>
        <w:spacing w:after="0" w:line="279" w:lineRule="auto"/>
        <w:rPr>
          <w:sz w:val="20"/>
          <w:szCs w:val="20"/>
          <w:color w:val="auto"/>
        </w:rPr>
      </w:pPr>
      <w:r>
        <w:rPr>
          <w:rFonts w:ascii="Arial" w:cs="Arial" w:eastAsia="Arial" w:hAnsi="Arial"/>
          <w:sz w:val="17"/>
          <w:szCs w:val="17"/>
          <w:color w:val="auto"/>
        </w:rPr>
        <w:t>The estimated annual effective tax rate, however, prior to discrete items was 4.9% in the third quarter of fiscal 2018, as compared to 42.9% for the same period in fiscal 2017. The Company’s effective tax rate differs from the U.S. statutory rate primarily due to the valuation allowance, foreign taxes and state taxes. The change from the prior quarter fiscal year 2017 is principally related to the enactment of the Tax Cuts and Jobs Act (“Tax Reform Act”) as it relates to amortization of goodwill for tax purposes which will no longer be treated as a permanent item in our tax provision.</w:t>
      </w:r>
    </w:p>
    <w:p>
      <w:pPr>
        <w:spacing w:after="0" w:line="17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December 22, 2017, the President of the United States signed into law the Tax Reform Act. The legislation significantly changes U.S. tax law by, among other things, lowering corporate income tax rates, implementing a territorial tax system, expanding the tax base and imposing a tax deemed repatriated earnings of foreign subsidiaries. The Tax Reform Act permanently reduces the U.S. corporate federal income tax rate from a maximum of 35% to a flat 21% rate, effective January 1, 2018. The Company has recognized the impact of the Tax Reform Act in these unaudited consolidated financial statements and related disclosures. Staff Accounting Bulletin No. 118 (“SAB 118”) provides Companies with guidance on accounting for the impact of the Tax Reform Act. Specifically, SAB 118 provides for a measurement period, not to exceed one year, that begins on the date of enactment of December 22, 2017, and ends when the Company has obtained, prepared, and analyzed information needed to complete accounting requirements. In accordance with SAB 118, the Company recorded provisional amounts reflecting the impact of the Tax Reform Act in these unaudited consolidated financial statements and related disclosures.</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a result of the Tax Reform Act, in the third quarter of fiscal 2018, the Company has recognized a discrete tax benefit in the amount of $9.3 million due to the revaluation of the Company's indefinite lived deferred tax liability related to amortizable goodwill to reflect the lower statutory rate. Because the remaining U.S. deferred tax assets are offset by a full valuation allowance, the reduction in net deferred tax assets for the lower rate was fully offset by a corresponding reduction in valuation allowance resulting in no additional tax provision. The Tax Reform Act changed the NOL carryover rules and created a new limitation on their use. NOLs created in fiscal 2018 and beyond may be carried forwarded indefinitely but are limited to 80% of taxable income in any year. As a result of this change, the Company believes it is appropriate to offset some of its indefinite lived deferred tax liability against its deferred tax assets, and as a result, recognized an estimated $0.8 million discrete benefit in the third quarter of fiscal 2018. Additionally, this change impacts the Company's effective tax calculation on a go forward basis as the amortization of goodwill for tax purposes will no longer be treated as a permanent item in our tax provision.</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Tax Reform Act imposes a one-time transition tax on the deemed repatriation of post-1986 undistributed foreign subsidiaries’ earnings. Based on the information available as of December 31, 2017, the Company estimated undistributed foreign earnings of approximately $4.8 million. The taxable income arising from this deemed repatriation is expected to result in the utilization of net operating loss carryforwards and other tax credits, offset by changes in the valuation allowance, resulting in no net impact to tax expense. In accordance with SAB 118, the estimated income tax impact associated with the one-time transition tax of zero represents our best estimate based on interpretation of the U.S. legislation as we are still accumulating data to finalize the underlying calculation. In accordance with SAB 118, estimated income tax impact associated with the one-time transition tax is considered provisional and will be finalized prior to the end of the measurement period. The ultimate impact may differ from these provisional amounts, due to, among other things, additional analysis, changes in interpretations and assumptions the Company has made, additional regulatory guidance that may be issued, and actions the Company may take as a result of the Tax Reform Act.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 valuation allowance is established if it is more likely than not that all, or a portion of the deferred tax asset will not be realized. The Company has established that it is more likely than not that some, or all of their deferred tax assets will not be recognized in future years. Consequently, the Company continues to maintain a full U.S. valuation allowance on its net deferred tax assets. Management will continue to reevaluate the positive and negative evidence at each reporting period and if future results as projected in the U.S. and our tax planning strategies are favorable, the valuation allowance may be removed, which could have a favorable material impact on our results of operations in the period in which it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Our cash and cash equivalents totaled $52.3 million as of February 28, 2018, compared with $47.5 million as of May 31, 2017. Marketable securities totaled $1.3 million as of February 28, 2018 and $1.2 million as of May 31, 2017, and consist of an auction rate security. As of February 28, 2018, total principal debt outstanding was $93.8 million and the fair value of contingent consideration payments was $3.2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 for the nine months ended February 28, 2018 and 2017: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color w:val="auto"/>
              </w:rPr>
              <w:t>Nine Months Ended</w:t>
            </w: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Feb 28, 2018</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4"/>
              </w:rPr>
              <w:t>Feb 28, 2017</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17,516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36,752</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(31,416)</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4,748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3,238</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February 28, 2018 and 2017, cash flows consisted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operating activities</w:t>
      </w:r>
    </w:p>
    <w:p>
      <w:pPr>
        <w:spacing w:after="0" w:line="225" w:lineRule="exact"/>
        <w:rPr>
          <w:sz w:val="20"/>
          <w:szCs w:val="20"/>
          <w:color w:val="auto"/>
        </w:rPr>
      </w:pPr>
    </w:p>
    <w:p>
      <w:pPr>
        <w:ind w:left="1080" w:right="360" w:hanging="316"/>
        <w:spacing w:after="0" w:line="31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 regards to working capital, the Company continues to focus on optimizing days sales outstanding (DSO) which contributed to $2.9 million of working capital improvement. This working capital improvement was offset by increased inventory on hand of $1.9 million and $9.8 million of higher payments for accounts payable and accrued liabilities from May 31, 2017 through February 28,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225" w:lineRule="exact"/>
        <w:rPr>
          <w:sz w:val="20"/>
          <w:szCs w:val="20"/>
          <w:color w:val="auto"/>
        </w:rPr>
      </w:pPr>
    </w:p>
    <w:p>
      <w:pPr>
        <w:ind w:left="1080" w:hanging="316"/>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$1.6 million in fixed asset additions compared to $2.3 million in the prior year.</w:t>
      </w:r>
    </w:p>
    <w:p>
      <w:pPr>
        <w:spacing w:after="0" w:line="23" w:lineRule="exact"/>
        <w:rPr>
          <w:rFonts w:ascii="Arial" w:cs="Arial" w:eastAsia="Arial" w:hAnsi="Arial"/>
          <w:sz w:val="18"/>
          <w:szCs w:val="18"/>
          <w:color w:val="auto"/>
        </w:rPr>
      </w:pPr>
    </w:p>
    <w:p>
      <w:pPr>
        <w:ind w:left="1080" w:right="400" w:hanging="316"/>
        <w:spacing w:after="0" w:line="261"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third quarter of fiscal year 2018, we entered into a distribution and license agreement where we recorded the upfront license of $1.3 million as an intangible asset that will be amortized over 36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financing activities</w:t>
      </w:r>
    </w:p>
    <w:p>
      <w:pPr>
        <w:spacing w:after="0" w:line="225" w:lineRule="exact"/>
        <w:rPr>
          <w:sz w:val="20"/>
          <w:szCs w:val="20"/>
          <w:color w:val="auto"/>
        </w:rPr>
      </w:pPr>
    </w:p>
    <w:p>
      <w:pPr>
        <w:ind w:left="1080" w:right="80" w:hanging="316"/>
        <w:spacing w:after="0" w:line="256"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$3.8 million in repayments on long-term debt, consistent with the required amortization payment on the Term Loan, in the first nine months of fiscal year 2018 compared to $22.7 million in the first nine months of fiscal year 2017. The prior year payments include a $16.5 million payment to pay down the Revolving Facility in full.</w:t>
      </w:r>
    </w:p>
    <w:p>
      <w:pPr>
        <w:ind w:left="1080" w:right="260" w:hanging="316"/>
        <w:spacing w:after="0" w:line="28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$2.6 million of proceeds from stock option and ESPP activity compared to $10.3 million in the first nine months of the prior year. The large decrease is related to the exercise of stock based awards from executive management turnover that took place in fiscal year 2017.</w:t>
      </w:r>
    </w:p>
    <w:p>
      <w:pPr>
        <w:spacing w:after="0" w:line="1" w:lineRule="exact"/>
        <w:rPr>
          <w:rFonts w:ascii="Arial" w:cs="Arial" w:eastAsia="Arial" w:hAnsi="Arial"/>
          <w:sz w:val="16"/>
          <w:szCs w:val="16"/>
          <w:color w:val="auto"/>
        </w:rPr>
      </w:pPr>
    </w:p>
    <w:p>
      <w:pPr>
        <w:ind w:left="1080" w:right="320" w:hanging="316"/>
        <w:spacing w:after="0" w:line="250"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$9.5 million payment on earn-out liabilities in the first nine months of fiscal year 2018 compared to $9.9 million in the first nine months of fiscal year 2017.</w:t>
      </w:r>
    </w:p>
    <w:p>
      <w:pPr>
        <w:ind w:left="1080" w:right="100" w:hanging="316"/>
        <w:spacing w:after="0" w:line="261"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$7.8 million from the repurchase of common shares in the first nine months of fiscal year 2017. There were no repurchases of common shares in the first nine months of fiscal year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On November 7, 2016, the Company entered into a Credit Agreement that provides for a $100.0 million senior secured term loan facility and a $150.0 million senior secured revolving credit facility, which includes up to a $20.0 million sublimit for letters of credit and a $5.0 million sublimit for swingline loans.</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believe that our current cash and investment balances, together with future cash generated from operations and our revolving credit facility capacity of up to $150.0 million as of February 28, 2018, will provide sufficient liquidity to meet our anticipated needs for capital for at least the next 12 months. If we seek to make significant acquisitions of other businesses or technologies in the future, we may require additional external financing.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8% of our sales in the third quarter of fiscal 2018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November 7, 2016, we entered into the Credit Agreement which provides for a $100 million senior secured Term Loan and a $150 million Revolving Facility. Interest on both the Term Loan and Revolving Facility is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A 50 basis point (0.50%) increase or decrease in the interest rate would result approximately in a $2.0 million increase or decrease in interest expense over the life of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70" w:lineRule="exact"/>
        <w:rPr>
          <w:sz w:val="20"/>
          <w:szCs w:val="20"/>
          <w:color w:val="auto"/>
        </w:rPr>
      </w:pPr>
    </w:p>
    <w:p>
      <w:pPr>
        <w:ind w:right="400" w:firstLine="405"/>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6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February 28,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1" w:right="27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Bard’s Complaint sought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seeking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issued decisions in all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filed Requests for Rehearing in all three reexamination appeals and the Company filed Requests for Rehearing in two of the reexamination appeals (the ‘302 and ‘615 patent reexaminations). Each party filed comments in Opposition to the other party’s Rehearing Requests, The PTO denied all three Rehearing Requests - - on February 1, 2017 for the ‘302; on February 17, 2017 for the ‘022; and on February 21, 2017 for the ‘615, but modified its characterization of one prior art reference for the ‘302 and ‘022 decisions. Bard filed a Notice of Appeal to the Federal Circuit Court of Appeals in all three reexams and the Company filed Cross-Appeals for the ‘302 and the ‘615 reexams. The parties have completed the process of filing the various appellate briefs, starting with Bard’s Opening Brief (filed on August 30, 2017), the Company’s Responsive/Opening Brief (filed on November 9, 2017), Bard’s reply (filed on January 19, 2018) and our Reply Brief (filed on March 5, 2018). MedComp also filed an Amicus Brief in support of the Company on November 22, 2017. A date for the oral hearing has not yet been set. The Utah Action has been stayed pending final resolution of the PTO process. In the Federal Circuit appeal, Bard moved to substitute Bard Peripheral Vascular, Inc. (“BPV”) as the Appellant (because Bard assigned the Asserted Patents to BPV on July 12, 2017) or, alternatively, to add BPV as Co-Appellant. The Company opposed substitution; and the Federal Circuit added BPV as Co-Appellant. However, in the District court case, Bard moved only to substitute BPV as plaintiff, but the Company has opposed. The District Court denied Bard's motion to substitute on February 7, 2018.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On March 10, 2015, C.R. Bard, Inc. ("Bard") and Bard Peripheral Vascular, Inc. (“BPV”) filed suit in the United States District Court for the District of Delaware claiming certain of our implantable port products infringe on 3 U.S. patents held by Bard (the “Delaware Action"). Bard's complaint seeks unspecified damages and other relief. The patents asserted in the Delaware Action are different than those asserted in the Utah Action. On June 1, 2015, the Company filed 2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January 12, 2016, the Court issued a decision denying both motions. The Company then served an Answer and Counterclaim to which Bard served a Reply. On March 10, 2016, the Court held a Case Management Conference, and, on March 14, 2016, the Court entered a Scheduling Order which set, inter alia, a Markman hearing for March 10, 2017, a summary judgment hearing for December 8, 2017 and trial for March 12, 2018. The parties thereafter served various discovery requests on each other, produced documents to each other, conducted party and third-party depositions, etc.; on May 27, 2016 Bard served its Initial Infringement Contentions which identified all the port products accused of infringement; and, on June 24, 2016, the Company served its Initial Invalidity Contentions which detail various grounds for invalidating the three asserted patents. The Markman hearing was held on March 10, 2017 and the Court issued its Claim Construction Order on May 19, 2017. On May 19, 2017, Bard served its Final Infringement Contentions and on June 2, 2017, the Company served its Final Invalidity Contentions. In August, 2017, Judge Robinson (who had been assigned to the case) retired and the case was reassigned to Judge Bataillon (who normally sits in the District of Nebraska). The Scheduling Order has been amended and currently provides for briefing on Case-Dispositive Motions (and other pre-trial motions) between February 16, 2018 and April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27, 2018 (no oral argument date is currently set) and trial to commence July 23, 2018. The parties completed Expert Discovery on January 30, 2018; including: exchanging opening, rebuttal and supplemental expert reports on infringement, invalidity, and damages between September 1, 2017 and December 12, 2017, and conducted expert depositions between December 7, 2017 and January 30, 2018. Meanwhile, Bard also sought to substitute BPV as plaintiff in this case via a Supplemental Complaint, but stipulated that the Company could assert in Cross-Claims and/or Third-Party Complaint against C. R. Bard for its claims of inequitable conduct and unclean hands, which the Company has since done. BPV responded with a partial Motion to Dismiss and the Company has served an amended Answer, Counterclaims and Cross-Claims/Third-Party Complaint. Bard and BPV have since answered/responded to the Company’s Cross-Claims/Complaint without renewing the dismissal motion.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May 30, 2017, we commenced an action in the United States District Court for the Northern District of New York entitled AngioDynamics, Inc. v. C.R. Bard, Inc. and Bard Access Systems, Inc. (“Bard”). In this action, we allege that Bard has illegally tied the sales of its tip location systems to the sales of its PICCs. We allege that this practice violates the federal antitrust laws and has had, and continues to have, an anti-competitive effect in the market for PICCs. We seek both monetary damages and injunctive relief. Bard moved to dismiss on September 8, 2017 and the motion has been submitted to the court. The court has adjourned the initial conference in the case pending its resolution of the motion to dismiss.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w:t>
      </w:r>
    </w:p>
    <w:p>
      <w:pPr>
        <w:spacing w:after="0" w:line="187"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May 31, 2017, the Company accrued $12.5 million for these matters and in August 2017 the Company agreed in principle with the government to resolve these matters for approximately $12.5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2017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122" w:right="41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6"/>
              </w:rPr>
              <w:t>Issuer Purchases of Equity Securities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7"/>
              </w:rPr>
              <w:t>Maximum</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4"/>
              </w:rPr>
              <w:t>Approximate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3"/>
              </w:rPr>
              <w:t>Dollar Value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8"/>
              </w:rPr>
              <w:t>of Shares</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that May Yet</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 Part of</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Be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Publicly</w:t>
            </w: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5"/>
              </w:rPr>
              <w:t>Purchased</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color w:val="auto"/>
                <w:w w:val="87"/>
              </w:rPr>
              <w:t>Price Paid</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Announced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8"/>
              </w:rPr>
              <w:t>Under Plans</w:t>
            </w:r>
          </w:p>
        </w:tc>
      </w:tr>
      <w:tr>
        <w:trPr>
          <w:trHeight w:val="190"/>
        </w:trPr>
        <w:tc>
          <w:tcPr>
            <w:tcW w:w="628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Period</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2"/>
              <w:spacing w:after="0" w:line="190" w:lineRule="exact"/>
              <w:rPr>
                <w:sz w:val="20"/>
                <w:szCs w:val="20"/>
                <w:color w:val="auto"/>
              </w:rPr>
            </w:pPr>
            <w:r>
              <w:rPr>
                <w:rFonts w:ascii="Arial" w:cs="Arial" w:eastAsia="Arial" w:hAnsi="Arial"/>
                <w:sz w:val="18"/>
                <w:szCs w:val="18"/>
                <w:color w:val="auto"/>
                <w:w w:val="85"/>
              </w:rPr>
              <w:t>per Share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1"/>
              </w:rPr>
              <w:t>Programs (2)</w:t>
            </w:r>
          </w:p>
        </w:tc>
        <w:tc>
          <w:tcPr>
            <w:tcW w:w="160" w:type="dxa"/>
            <w:vAlign w:val="bottom"/>
          </w:tcPr>
          <w:p>
            <w:pPr>
              <w:spacing w:after="0"/>
              <w:rPr>
                <w:sz w:val="16"/>
                <w:szCs w:val="16"/>
                <w:color w:val="auto"/>
              </w:rPr>
            </w:pPr>
          </w:p>
        </w:tc>
        <w:tc>
          <w:tcPr>
            <w:tcW w:w="1200" w:type="dxa"/>
            <w:vAlign w:val="bottom"/>
          </w:tcPr>
          <w:p>
            <w:pPr>
              <w:jc w:val="center"/>
              <w:ind w:right="70"/>
              <w:spacing w:after="0" w:line="190" w:lineRule="exact"/>
              <w:rPr>
                <w:sz w:val="20"/>
                <w:szCs w:val="20"/>
                <w:color w:val="auto"/>
              </w:rPr>
            </w:pPr>
            <w:r>
              <w:rPr>
                <w:rFonts w:ascii="Arial" w:cs="Arial" w:eastAsia="Arial" w:hAnsi="Arial"/>
                <w:sz w:val="18"/>
                <w:szCs w:val="18"/>
                <w:color w:val="auto"/>
                <w:w w:val="88"/>
              </w:rPr>
              <w:t>or Programs</w:t>
            </w:r>
          </w:p>
        </w:tc>
      </w:tr>
      <w:tr>
        <w:trPr>
          <w:trHeight w:val="48"/>
        </w:trPr>
        <w:tc>
          <w:tcPr>
            <w:tcW w:w="40" w:type="dxa"/>
            <w:vAlign w:val="bottom"/>
            <w:tcBorders>
              <w:bottom w:val="single" w:sz="8" w:color="CCEEFF"/>
            </w:tcBorders>
          </w:tcPr>
          <w:p>
            <w:pPr>
              <w:spacing w:after="0"/>
              <w:rPr>
                <w:sz w:val="4"/>
                <w:szCs w:val="4"/>
                <w:color w:val="auto"/>
              </w:rPr>
            </w:pPr>
          </w:p>
        </w:tc>
        <w:tc>
          <w:tcPr>
            <w:tcW w:w="460" w:type="dxa"/>
            <w:vAlign w:val="bottom"/>
            <w:tcBorders>
              <w:top w:val="single" w:sz="8" w:color="auto"/>
              <w:bottom w:val="single" w:sz="8" w:color="CCEEFF"/>
            </w:tcBorders>
          </w:tcPr>
          <w:p>
            <w:pPr>
              <w:spacing w:after="0"/>
              <w:rPr>
                <w:sz w:val="4"/>
                <w:szCs w:val="4"/>
                <w:color w:val="auto"/>
              </w:rPr>
            </w:pPr>
          </w:p>
        </w:tc>
        <w:tc>
          <w:tcPr>
            <w:tcW w:w="57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1 - December 31, 2017</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January 1 - January 31, 2018</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February 1 - February 28, 2018</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00" w:hanging="316"/>
        <w:spacing w:after="0" w:line="25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shares withheld to satisfy minimum statutory tax withholding amounts due from employees related to the vesting of restricted shares from equity-based awards.</w:t>
      </w:r>
    </w:p>
    <w:p>
      <w:pPr>
        <w:spacing w:after="0" w:line="1" w:lineRule="exact"/>
        <w:rPr>
          <w:rFonts w:ascii="Arial" w:cs="Arial" w:eastAsia="Arial" w:hAnsi="Arial"/>
          <w:sz w:val="18"/>
          <w:szCs w:val="18"/>
          <w:color w:val="auto"/>
        </w:rPr>
      </w:pPr>
    </w:p>
    <w:p>
      <w:pPr>
        <w:ind w:left="540" w:right="220" w:hanging="316"/>
        <w:spacing w:after="0" w:line="261"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has $11.4 million available to repurchase under the Repurchase Program that was approved by the Board of Directors for the twenty-four month period ending November 6, 2018.</w:t>
      </w:r>
    </w:p>
    <w:p>
      <w:pPr>
        <w:spacing w:after="0" w:line="34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9920" w:type="dxa"/>
            <w:vAlign w:val="bottom"/>
            <w:gridSpan w:val="5"/>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9920" w:type="dxa"/>
            <w:vAlign w:val="bottom"/>
            <w:gridSpan w:val="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99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of Chief Executive Officer pursuant to Title 18, United States Code, Section 1350, as adopted pursuant to Section 906 of the</w:t>
              </w:r>
            </w:hyperlink>
          </w:p>
        </w:tc>
      </w:tr>
      <w:tr>
        <w:trPr>
          <w:trHeight w:val="196"/>
        </w:trPr>
        <w:tc>
          <w:tcPr>
            <w:tcW w:w="960" w:type="dxa"/>
            <w:vAlign w:val="bottom"/>
          </w:tcPr>
          <w:p>
            <w:pPr>
              <w:spacing w:after="0"/>
              <w:rPr>
                <w:sz w:val="17"/>
                <w:szCs w:val="17"/>
                <w:color w:val="auto"/>
              </w:rPr>
            </w:pPr>
          </w:p>
        </w:tc>
        <w:tc>
          <w:tcPr>
            <w:tcW w:w="20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46">
              <w:r>
                <w:rPr>
                  <w:rFonts w:ascii="Arial" w:cs="Arial" w:eastAsia="Arial" w:hAnsi="Arial"/>
                  <w:sz w:val="18"/>
                  <w:szCs w:val="18"/>
                  <w:color w:val="0000FF"/>
                  <w:w w:val="91"/>
                </w:rPr>
                <w:t>Sarbanes-Oxley Act of 2002</w:t>
              </w:r>
            </w:hyperlink>
          </w:p>
        </w:tc>
        <w:tc>
          <w:tcPr>
            <w:tcW w:w="7840" w:type="dxa"/>
            <w:vAlign w:val="bottom"/>
            <w:gridSpan w:val="3"/>
          </w:tcPr>
          <w:p>
            <w:pPr>
              <w:spacing w:after="0"/>
              <w:rPr>
                <w:sz w:val="17"/>
                <w:szCs w:val="17"/>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9920" w:type="dxa"/>
            <w:vAlign w:val="bottom"/>
            <w:gridSpan w:val="5"/>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Chief Financial Officer pursuant to Title 18, United States Code, Section 1350, as adopted pursuant to Section 906 of the</w:t>
              </w:r>
            </w:hyperlink>
          </w:p>
        </w:tc>
      </w:tr>
      <w:tr>
        <w:trPr>
          <w:trHeight w:val="196"/>
        </w:trPr>
        <w:tc>
          <w:tcPr>
            <w:tcW w:w="96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Sarbanes-Oxley Act of 2002</w:t>
              </w:r>
            </w:hyperlink>
          </w:p>
        </w:tc>
        <w:tc>
          <w:tcPr>
            <w:tcW w:w="7800" w:type="dxa"/>
            <w:vAlign w:val="bottom"/>
            <w:tcBorders>
              <w:top w:val="single" w:sz="8" w:color="0000FF"/>
            </w:tcBorders>
            <w:gridSpan w:val="3"/>
          </w:tcPr>
          <w:p>
            <w:pPr>
              <w:spacing w:after="0"/>
              <w:rPr>
                <w:sz w:val="17"/>
                <w:szCs w:val="17"/>
                <w:color w:val="auto"/>
              </w:rPr>
            </w:pPr>
          </w:p>
        </w:tc>
        <w:tc>
          <w:tcPr>
            <w:tcW w:w="60" w:type="dxa"/>
            <w:vAlign w:val="bottom"/>
          </w:tcPr>
          <w:p>
            <w:pPr>
              <w:spacing w:after="0"/>
              <w:rPr>
                <w:sz w:val="17"/>
                <w:szCs w:val="17"/>
                <w:color w:val="auto"/>
              </w:rPr>
            </w:pPr>
          </w:p>
        </w:tc>
      </w:tr>
      <w:tr>
        <w:trPr>
          <w:trHeight w:val="615"/>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101.INS</w:t>
            </w:r>
          </w:p>
        </w:tc>
        <w:tc>
          <w:tcPr>
            <w:tcW w:w="992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0"/>
              </w:rPr>
              <w:t>101.SCH</w:t>
            </w:r>
          </w:p>
        </w:tc>
        <w:tc>
          <w:tcPr>
            <w:tcW w:w="9920" w:type="dxa"/>
            <w:vAlign w:val="bottom"/>
            <w:gridSpan w:val="5"/>
          </w:tcPr>
          <w:p>
            <w:pPr>
              <w:spacing w:after="0"/>
              <w:rPr>
                <w:sz w:val="20"/>
                <w:szCs w:val="20"/>
                <w:color w:val="auto"/>
              </w:rPr>
            </w:pPr>
            <w:r>
              <w:rPr>
                <w:rFonts w:ascii="Arial" w:cs="Arial" w:eastAsia="Arial" w:hAnsi="Arial"/>
                <w:sz w:val="18"/>
                <w:szCs w:val="18"/>
                <w:color w:val="auto"/>
              </w:rPr>
              <w:t>XBRL Schema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4"/>
              </w:rPr>
              <w:t>101.CAL</w:t>
            </w:r>
          </w:p>
        </w:tc>
        <w:tc>
          <w:tcPr>
            <w:tcW w:w="9920" w:type="dxa"/>
            <w:vAlign w:val="bottom"/>
            <w:gridSpan w:val="5"/>
          </w:tcPr>
          <w:p>
            <w:pPr>
              <w:spacing w:after="0"/>
              <w:rPr>
                <w:sz w:val="20"/>
                <w:szCs w:val="20"/>
                <w:color w:val="auto"/>
              </w:rPr>
            </w:pPr>
            <w:r>
              <w:rPr>
                <w:rFonts w:ascii="Arial" w:cs="Arial" w:eastAsia="Arial" w:hAnsi="Arial"/>
                <w:sz w:val="18"/>
                <w:szCs w:val="18"/>
                <w:color w:val="auto"/>
              </w:rPr>
              <w:t>XBRL Calculation Linkbase Documents</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2"/>
              </w:rPr>
              <w:t>101.DEF</w:t>
            </w:r>
          </w:p>
        </w:tc>
        <w:tc>
          <w:tcPr>
            <w:tcW w:w="99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5"/>
              </w:rPr>
              <w:t>101.LAB</w:t>
            </w:r>
          </w:p>
        </w:tc>
        <w:tc>
          <w:tcPr>
            <w:tcW w:w="9920" w:type="dxa"/>
            <w:vAlign w:val="bottom"/>
            <w:gridSpan w:val="5"/>
          </w:tcPr>
          <w:p>
            <w:pPr>
              <w:spacing w:after="0"/>
              <w:rPr>
                <w:sz w:val="20"/>
                <w:szCs w:val="20"/>
                <w:color w:val="auto"/>
              </w:rPr>
            </w:pPr>
            <w:r>
              <w:rPr>
                <w:rFonts w:ascii="Arial" w:cs="Arial" w:eastAsia="Arial" w:hAnsi="Arial"/>
                <w:sz w:val="18"/>
                <w:szCs w:val="18"/>
                <w:color w:val="auto"/>
              </w:rPr>
              <w:t>XBRL Labels Linkbase Documents</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1"/>
              </w:rPr>
              <w:t>101.PRE</w:t>
            </w:r>
          </w:p>
        </w:tc>
        <w:tc>
          <w:tcPr>
            <w:tcW w:w="9920" w:type="dxa"/>
            <w:vAlign w:val="bottom"/>
            <w:gridSpan w:val="5"/>
          </w:tcPr>
          <w:p>
            <w:pPr>
              <w:spacing w:after="0"/>
              <w:rPr>
                <w:sz w:val="20"/>
                <w:szCs w:val="20"/>
                <w:color w:val="auto"/>
              </w:rPr>
            </w:pPr>
            <w:r>
              <w:rPr>
                <w:rFonts w:ascii="Arial" w:cs="Arial" w:eastAsia="Arial" w:hAnsi="Arial"/>
                <w:sz w:val="18"/>
                <w:szCs w:val="18"/>
                <w:color w:val="auto"/>
              </w:rPr>
              <w:t>XBRL Presentation Linkbase Documents</w:t>
            </w:r>
          </w:p>
        </w:tc>
      </w:tr>
      <w:tr>
        <w:trPr>
          <w:trHeight w:val="743"/>
        </w:trPr>
        <w:tc>
          <w:tcPr>
            <w:tcW w:w="960" w:type="dxa"/>
            <w:vAlign w:val="bottom"/>
          </w:tcPr>
          <w:p>
            <w:pPr>
              <w:spacing w:after="0"/>
              <w:rPr>
                <w:sz w:val="24"/>
                <w:szCs w:val="24"/>
                <w:color w:val="auto"/>
              </w:rPr>
            </w:pPr>
          </w:p>
        </w:tc>
        <w:tc>
          <w:tcPr>
            <w:tcW w:w="6820" w:type="dxa"/>
            <w:vAlign w:val="bottom"/>
            <w:gridSpan w:val="3"/>
          </w:tcPr>
          <w:p>
            <w:pPr>
              <w:ind w:left="4440"/>
              <w:spacing w:after="0"/>
              <w:rPr>
                <w:sz w:val="20"/>
                <w:szCs w:val="20"/>
                <w:color w:val="auto"/>
              </w:rPr>
            </w:pPr>
            <w:r>
              <w:rPr>
                <w:rFonts w:ascii="Arial" w:cs="Arial" w:eastAsia="Arial" w:hAnsi="Arial"/>
                <w:sz w:val="18"/>
                <w:szCs w:val="18"/>
                <w:color w:val="auto"/>
              </w:rPr>
              <w:t>41</w:t>
            </w: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240" w:top="122" w:right="5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ANGIODYNAMICS, INC.</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April 5, 2018</w:t>
            </w:r>
          </w:p>
        </w:tc>
        <w:tc>
          <w:tcPr>
            <w:tcW w:w="8200" w:type="dxa"/>
            <w:vAlign w:val="bottom"/>
          </w:tcPr>
          <w:p>
            <w:pPr>
              <w:ind w:left="2900"/>
              <w:spacing w:after="0"/>
              <w:rPr>
                <w:sz w:val="20"/>
                <w:szCs w:val="20"/>
                <w:color w:val="auto"/>
              </w:rPr>
            </w:pPr>
            <w:r>
              <w:rPr>
                <w:rFonts w:ascii="Arial" w:cs="Arial" w:eastAsia="Arial" w:hAnsi="Arial"/>
                <w:sz w:val="18"/>
                <w:szCs w:val="18"/>
                <w:color w:val="auto"/>
              </w:rPr>
              <w:t>/ S /  JAMES C. CLEMMER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89"/>
              </w:rPr>
              <w:t>James C. Clemmer,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April 5, 2018</w:t>
            </w:r>
          </w:p>
        </w:tc>
        <w:tc>
          <w:tcPr>
            <w:tcW w:w="8200" w:type="dxa"/>
            <w:vAlign w:val="bottom"/>
          </w:tcPr>
          <w:p>
            <w:pPr>
              <w:ind w:left="2780"/>
              <w:spacing w:after="0"/>
              <w:rPr>
                <w:sz w:val="20"/>
                <w:szCs w:val="20"/>
                <w:color w:val="auto"/>
              </w:rPr>
            </w:pPr>
            <w:r>
              <w:rPr>
                <w:rFonts w:ascii="Arial" w:cs="Arial" w:eastAsia="Arial" w:hAnsi="Arial"/>
                <w:sz w:val="18"/>
                <w:szCs w:val="18"/>
                <w:color w:val="auto"/>
              </w:rPr>
              <w:t>/ S /  MICHAEL C. GREINER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Michael C. Greiner, Executive Vice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and Accounting Officer)</w:t>
            </w:r>
          </w:p>
        </w:tc>
      </w:tr>
      <w:tr>
        <w:trPr>
          <w:trHeight w:val="702"/>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200" w:type="dxa"/>
            <w:vAlign w:val="bottom"/>
          </w:tcPr>
          <w:p>
            <w:pPr>
              <w:ind w:left="258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240"/>
          </w:cols>
          <w:pgMar w:left="240" w:top="122" w:right="4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171" w:lineRule="exact"/>
        <w:rPr>
          <w:sz w:val="20"/>
          <w:szCs w:val="20"/>
          <w:color w:val="auto"/>
        </w:rPr>
      </w:pPr>
    </w:p>
    <w:p>
      <w:pPr>
        <w:ind w:left="500" w:hanging="465"/>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5, 2018</w:t>
      </w:r>
    </w:p>
    <w:p>
      <w:pPr>
        <w:spacing w:after="0" w:line="225" w:lineRule="exact"/>
        <w:rPr>
          <w:sz w:val="20"/>
          <w:szCs w:val="20"/>
          <w:color w:val="auto"/>
        </w:rPr>
      </w:pPr>
    </w:p>
    <w:p>
      <w:pPr>
        <w:ind w:right="9240" w:firstLine="8"/>
        <w:spacing w:after="0" w:line="312" w:lineRule="auto"/>
        <w:tabs>
          <w:tab w:leader="none" w:pos="95" w:val="left"/>
        </w:tabs>
        <w:numPr>
          <w:ilvl w:val="0"/>
          <w:numId w:val="3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JAMES C. CLEMMER </w:t>
      </w:r>
      <w:r>
        <w:rPr>
          <w:rFonts w:ascii="Arial" w:cs="Arial" w:eastAsia="Arial" w:hAnsi="Arial"/>
          <w:sz w:val="16"/>
          <w:szCs w:val="16"/>
          <w:color w:val="auto"/>
        </w:rPr>
        <w:t>James C. Clemmer, President, Chief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C. Greiner, certify that:</w:t>
      </w:r>
    </w:p>
    <w:p>
      <w:pPr>
        <w:spacing w:after="0" w:line="171" w:lineRule="exact"/>
        <w:rPr>
          <w:sz w:val="20"/>
          <w:szCs w:val="20"/>
          <w:color w:val="auto"/>
        </w:rPr>
      </w:pPr>
    </w:p>
    <w:p>
      <w:pPr>
        <w:ind w:left="500" w:hanging="465"/>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MICHAEL C. GREINER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 Greiner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140" w:hanging="465"/>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February 28, 2018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April 5, 2018</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James C. Clemmer, President,</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Michael C. Greiner, Executive Vice President and Chief Financial Officer of ANGIODYNAMICS, Inc. (the "Company"), certify, pursuant to Section 906 of the Sarbanes-Oxley Act of 2002, 18 U.S.C. Section 1350, that, to the best of my knowledge:</w:t>
      </w:r>
    </w:p>
    <w:p>
      <w:pPr>
        <w:spacing w:after="0" w:line="116" w:lineRule="exact"/>
        <w:rPr>
          <w:sz w:val="20"/>
          <w:szCs w:val="20"/>
          <w:color w:val="auto"/>
        </w:rPr>
      </w:pPr>
    </w:p>
    <w:p>
      <w:pPr>
        <w:ind w:left="500" w:right="140" w:hanging="465"/>
        <w:spacing w:after="0" w:line="277"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February 28, 2018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April 5, 2018</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Michael C. Greiner, Executive Vice President and</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decimal"/>
      <w:start w:val="5"/>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2019-12-28T23:05:54Z</dcterms:created>
  <dcterms:modified xsi:type="dcterms:W3CDTF">2019-12-28T23:05:54Z</dcterms:modified>
</cp:coreProperties>
</file>