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13335</wp:posOffset>
            </wp:positionH>
            <wp:positionV relativeFrom="paragraph">
              <wp:posOffset>681355</wp:posOffset>
            </wp:positionV>
            <wp:extent cx="7115175"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15175" cy="8255"/>
                    </a:xfrm>
                    <a:prstGeom prst="rect">
                      <a:avLst/>
                    </a:prstGeom>
                    <a:noFill/>
                  </pic:spPr>
                </pic:pic>
              </a:graphicData>
            </a:graphic>
          </wp:anchor>
        </w:drawing>
        <w:drawing>
          <wp:anchor simplePos="0" relativeHeight="251657728" behindDoc="1" locked="0" layoutInCell="0" allowOverlap="1">
            <wp:simplePos x="0" y="0"/>
            <wp:positionH relativeFrom="column">
              <wp:posOffset>13335</wp:posOffset>
            </wp:positionH>
            <wp:positionV relativeFrom="paragraph">
              <wp:posOffset>647065</wp:posOffset>
            </wp:positionV>
            <wp:extent cx="711517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15175"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49" w:lineRule="exact"/>
        <w:rPr>
          <w:sz w:val="24"/>
          <w:szCs w:val="24"/>
          <w:color w:val="auto"/>
        </w:rPr>
      </w:pPr>
    </w:p>
    <w:p>
      <w:pPr>
        <w:jc w:val="center"/>
        <w:ind w:right="-59"/>
        <w:spacing w:after="0"/>
        <w:rPr>
          <w:sz w:val="20"/>
          <w:szCs w:val="20"/>
          <w:color w:val="auto"/>
        </w:rPr>
      </w:pPr>
      <w:r>
        <w:rPr>
          <w:rFonts w:ascii="Arial" w:cs="Arial" w:eastAsia="Arial" w:hAnsi="Arial"/>
          <w:sz w:val="36"/>
          <w:szCs w:val="36"/>
          <w:b w:val="1"/>
          <w:bCs w:val="1"/>
          <w:color w:val="auto"/>
        </w:rPr>
        <w:t>UNITED STATES</w:t>
      </w:r>
    </w:p>
    <w:p>
      <w:pPr>
        <w:spacing w:after="0" w:line="57" w:lineRule="exact"/>
        <w:rPr>
          <w:sz w:val="24"/>
          <w:szCs w:val="24"/>
          <w:color w:val="auto"/>
        </w:rPr>
      </w:pPr>
    </w:p>
    <w:p>
      <w:pPr>
        <w:jc w:val="center"/>
        <w:ind w:right="-59"/>
        <w:spacing w:after="0"/>
        <w:rPr>
          <w:sz w:val="20"/>
          <w:szCs w:val="20"/>
          <w:color w:val="auto"/>
        </w:rPr>
      </w:pPr>
      <w:r>
        <w:rPr>
          <w:rFonts w:ascii="Arial" w:cs="Arial" w:eastAsia="Arial" w:hAnsi="Arial"/>
          <w:sz w:val="36"/>
          <w:szCs w:val="36"/>
          <w:b w:val="1"/>
          <w:bCs w:val="1"/>
          <w:color w:val="auto"/>
        </w:rPr>
        <w:t>SECURITIES AND EXCHANGE COMMISSION</w:t>
      </w:r>
    </w:p>
    <w:p>
      <w:pPr>
        <w:spacing w:after="0" w:line="10" w:lineRule="exact"/>
        <w:rPr>
          <w:sz w:val="24"/>
          <w:szCs w:val="24"/>
          <w:color w:val="auto"/>
        </w:rPr>
      </w:pPr>
    </w:p>
    <w:p>
      <w:pPr>
        <w:jc w:val="center"/>
        <w:ind w:right="-59"/>
        <w:spacing w:after="0"/>
        <w:rPr>
          <w:sz w:val="20"/>
          <w:szCs w:val="20"/>
          <w:color w:val="auto"/>
        </w:rPr>
      </w:pPr>
      <w:r>
        <w:rPr>
          <w:rFonts w:ascii="Arial" w:cs="Arial" w:eastAsia="Arial" w:hAnsi="Arial"/>
          <w:sz w:val="25"/>
          <w:szCs w:val="25"/>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1659255</wp:posOffset>
            </wp:positionH>
            <wp:positionV relativeFrom="paragraph">
              <wp:posOffset>53975</wp:posOffset>
            </wp:positionV>
            <wp:extent cx="382333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823335" cy="8255"/>
                    </a:xfrm>
                    <a:prstGeom prst="rect">
                      <a:avLst/>
                    </a:prstGeom>
                    <a:noFill/>
                  </pic:spPr>
                </pic:pic>
              </a:graphicData>
            </a:graphic>
          </wp:anchor>
        </w:drawing>
      </w:r>
    </w:p>
    <w:p>
      <w:pPr>
        <w:spacing w:after="0" w:line="270" w:lineRule="exact"/>
        <w:rPr>
          <w:sz w:val="24"/>
          <w:szCs w:val="24"/>
          <w:color w:val="auto"/>
        </w:rPr>
      </w:pPr>
    </w:p>
    <w:p>
      <w:pPr>
        <w:jc w:val="center"/>
        <w:ind w:right="-59"/>
        <w:spacing w:after="0"/>
        <w:rPr>
          <w:sz w:val="20"/>
          <w:szCs w:val="20"/>
          <w:color w:val="auto"/>
        </w:rPr>
      </w:pPr>
      <w:r>
        <w:rPr>
          <w:rFonts w:ascii="Arial" w:cs="Arial" w:eastAsia="Arial" w:hAnsi="Arial"/>
          <w:sz w:val="36"/>
          <w:szCs w:val="36"/>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1659255</wp:posOffset>
            </wp:positionH>
            <wp:positionV relativeFrom="paragraph">
              <wp:posOffset>78740</wp:posOffset>
            </wp:positionV>
            <wp:extent cx="382333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823335" cy="8255"/>
                    </a:xfrm>
                    <a:prstGeom prst="rect">
                      <a:avLst/>
                    </a:prstGeom>
                    <a:noFill/>
                  </pic:spPr>
                </pic:pic>
              </a:graphicData>
            </a:graphic>
          </wp:anchor>
        </w:drawing>
      </w:r>
    </w:p>
    <w:p>
      <w:pPr>
        <w:spacing w:after="0" w:line="200" w:lineRule="exact"/>
        <w:rPr>
          <w:sz w:val="24"/>
          <w:szCs w:val="24"/>
          <w:color w:val="auto"/>
        </w:rPr>
      </w:pPr>
    </w:p>
    <w:p>
      <w:pPr>
        <w:spacing w:after="0" w:line="282" w:lineRule="exact"/>
        <w:rPr>
          <w:sz w:val="24"/>
          <w:szCs w:val="24"/>
          <w:color w:val="auto"/>
        </w:rPr>
      </w:pPr>
    </w:p>
    <w:p>
      <w:pPr>
        <w:ind w:left="680" w:right="40" w:hanging="654"/>
        <w:spacing w:after="0" w:line="235" w:lineRule="auto"/>
        <w:tabs>
          <w:tab w:leader="none" w:pos="680" w:val="left"/>
        </w:tabs>
        <w:numPr>
          <w:ilvl w:val="0"/>
          <w:numId w:val="1"/>
        </w:numPr>
        <w:rPr>
          <w:rFonts w:ascii="MS PGothic" w:cs="MS PGothic" w:eastAsia="MS PGothic" w:hAnsi="MS PGothic"/>
          <w:sz w:val="22"/>
          <w:szCs w:val="22"/>
          <w:color w:val="auto"/>
        </w:rPr>
      </w:pPr>
      <w:r>
        <w:rPr>
          <w:rFonts w:ascii="Arial" w:cs="Arial" w:eastAsia="Arial" w:hAnsi="Arial"/>
          <w:sz w:val="22"/>
          <w:szCs w:val="22"/>
          <w:b w:val="1"/>
          <w:bCs w:val="1"/>
          <w:color w:val="auto"/>
        </w:rPr>
        <w:t>QUARTERLY REPORT PURSUANT TO SECTION 13 OR 15(d) OF THE SECURITIES EXCHANGE ACT OF 1934</w:t>
      </w:r>
    </w:p>
    <w:p>
      <w:pPr>
        <w:spacing w:after="0" w:line="202"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For the quarterly period ended November 30, 2020</w:t>
      </w:r>
    </w:p>
    <w:p>
      <w:pPr>
        <w:spacing w:after="0" w:line="225"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OR</w:t>
      </w:r>
    </w:p>
    <w:p>
      <w:pPr>
        <w:spacing w:after="0" w:line="256" w:lineRule="exact"/>
        <w:rPr>
          <w:sz w:val="24"/>
          <w:szCs w:val="24"/>
          <w:color w:val="auto"/>
        </w:rPr>
      </w:pPr>
    </w:p>
    <w:p>
      <w:pPr>
        <w:ind w:left="680" w:hanging="641"/>
        <w:spacing w:after="0" w:line="235" w:lineRule="auto"/>
        <w:tabs>
          <w:tab w:leader="none" w:pos="680" w:val="left"/>
        </w:tabs>
        <w:numPr>
          <w:ilvl w:val="0"/>
          <w:numId w:val="2"/>
        </w:numPr>
        <w:rPr>
          <w:rFonts w:ascii="MS PGothic" w:cs="MS PGothic" w:eastAsia="MS PGothic" w:hAnsi="MS PGothic"/>
          <w:sz w:val="22"/>
          <w:szCs w:val="22"/>
          <w:color w:val="auto"/>
        </w:rPr>
      </w:pPr>
      <w:r>
        <w:rPr>
          <w:rFonts w:ascii="Arial" w:cs="Arial" w:eastAsia="Arial" w:hAnsi="Arial"/>
          <w:sz w:val="22"/>
          <w:szCs w:val="22"/>
          <w:b w:val="1"/>
          <w:bCs w:val="1"/>
          <w:color w:val="auto"/>
        </w:rPr>
        <w:t>TRANSITION REPORT PURSUANT TO SECTION 13 OR 15(d) OF THE SECURITIES EXCHANGE ACT OF 1934</w:t>
      </w:r>
    </w:p>
    <w:p>
      <w:pPr>
        <w:spacing w:after="0" w:line="202" w:lineRule="exact"/>
        <w:rPr>
          <w:sz w:val="24"/>
          <w:szCs w:val="24"/>
          <w:color w:val="auto"/>
        </w:rPr>
      </w:pPr>
    </w:p>
    <w:p>
      <w:pPr>
        <w:ind w:left="3600"/>
        <w:spacing w:after="0"/>
        <w:tabs>
          <w:tab w:leader="none" w:pos="6720" w:val="left"/>
        </w:tabs>
        <w:rPr>
          <w:sz w:val="20"/>
          <w:szCs w:val="20"/>
          <w:color w:val="auto"/>
        </w:rPr>
      </w:pPr>
      <w:r>
        <w:rPr>
          <w:rFonts w:ascii="Arial" w:cs="Arial" w:eastAsia="Arial" w:hAnsi="Arial"/>
          <w:sz w:val="18"/>
          <w:szCs w:val="18"/>
          <w:b w:val="1"/>
          <w:bCs w:val="1"/>
          <w:color w:val="auto"/>
        </w:rPr>
        <w:t>For the transition period from</w:t>
      </w:r>
      <w:r>
        <w:rPr>
          <w:sz w:val="20"/>
          <w:szCs w:val="20"/>
          <w:color w:val="auto"/>
        </w:rPr>
        <w:tab/>
      </w:r>
      <w:r>
        <w:rPr>
          <w:rFonts w:ascii="Arial" w:cs="Arial" w:eastAsia="Arial" w:hAnsi="Arial"/>
          <w:sz w:val="13"/>
          <w:szCs w:val="13"/>
          <w:b w:val="1"/>
          <w:bCs w:val="1"/>
          <w:color w:val="auto"/>
        </w:rPr>
        <w:t>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3790950</wp:posOffset>
            </wp:positionH>
            <wp:positionV relativeFrom="paragraph">
              <wp:posOffset>-7620</wp:posOffset>
            </wp:positionV>
            <wp:extent cx="106616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066165" cy="8255"/>
                    </a:xfrm>
                    <a:prstGeom prst="rect">
                      <a:avLst/>
                    </a:prstGeom>
                    <a:noFill/>
                  </pic:spPr>
                </pic:pic>
              </a:graphicData>
            </a:graphic>
          </wp:anchor>
        </w:drawing>
      </w:r>
    </w:p>
    <w:p>
      <w:pPr>
        <w:spacing w:after="0" w:line="7"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Commission file number 0-50761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1659255</wp:posOffset>
            </wp:positionH>
            <wp:positionV relativeFrom="paragraph">
              <wp:posOffset>280035</wp:posOffset>
            </wp:positionV>
            <wp:extent cx="382333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823335" cy="8255"/>
                    </a:xfrm>
                    <a:prstGeom prst="rect">
                      <a:avLst/>
                    </a:prstGeom>
                    <a:noFill/>
                  </pic:spPr>
                </pic:pic>
              </a:graphicData>
            </a:graphic>
          </wp:anchor>
        </w:drawing>
      </w:r>
    </w:p>
    <w:p>
      <w:pPr>
        <w:spacing w:after="0" w:line="200" w:lineRule="exact"/>
        <w:rPr>
          <w:sz w:val="24"/>
          <w:szCs w:val="24"/>
          <w:color w:val="auto"/>
        </w:rPr>
      </w:pPr>
    </w:p>
    <w:p>
      <w:pPr>
        <w:spacing w:after="0" w:line="313" w:lineRule="exact"/>
        <w:rPr>
          <w:sz w:val="24"/>
          <w:szCs w:val="24"/>
          <w:color w:val="auto"/>
        </w:rPr>
      </w:pPr>
    </w:p>
    <w:p>
      <w:pPr>
        <w:jc w:val="center"/>
        <w:ind w:right="-59"/>
        <w:spacing w:after="0"/>
        <w:rPr>
          <w:sz w:val="20"/>
          <w:szCs w:val="20"/>
          <w:color w:val="auto"/>
        </w:rPr>
      </w:pPr>
      <w:r>
        <w:rPr>
          <w:rFonts w:ascii="Arial" w:cs="Arial" w:eastAsia="Arial" w:hAnsi="Arial"/>
          <w:sz w:val="43"/>
          <w:szCs w:val="43"/>
          <w:b w:val="1"/>
          <w:bCs w:val="1"/>
          <w:color w:val="auto"/>
        </w:rPr>
        <w:t>AngioDynamics, Inc.</w:t>
      </w:r>
    </w:p>
    <w:p>
      <w:pPr>
        <w:spacing w:after="0" w:line="50"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1762125</wp:posOffset>
            </wp:positionH>
            <wp:positionV relativeFrom="paragraph">
              <wp:posOffset>4445</wp:posOffset>
            </wp:positionV>
            <wp:extent cx="3617595" cy="54864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617595" cy="548640"/>
                    </a:xfrm>
                    <a:prstGeom prst="rect">
                      <a:avLst/>
                    </a:prstGeom>
                    <a:noFill/>
                  </pic:spPr>
                </pic:pic>
              </a:graphicData>
            </a:graphic>
          </wp:anchor>
        </w:drawing>
        <w:drawing>
          <wp:anchor simplePos="0" relativeHeight="251657728" behindDoc="1" locked="0" layoutInCell="0" allowOverlap="1">
            <wp:simplePos x="0" y="0"/>
            <wp:positionH relativeFrom="column">
              <wp:posOffset>1659255</wp:posOffset>
            </wp:positionH>
            <wp:positionV relativeFrom="paragraph">
              <wp:posOffset>655955</wp:posOffset>
            </wp:positionV>
            <wp:extent cx="382333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823335"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57" w:lineRule="exact"/>
        <w:rPr>
          <w:sz w:val="24"/>
          <w:szCs w:val="24"/>
          <w:color w:val="auto"/>
        </w:rPr>
      </w:pPr>
    </w:p>
    <w:tbl>
      <w:tblPr>
        <w:tblLayout w:type="fixed"/>
        <w:tblInd w:w="1840" w:type="dxa"/>
        <w:tblCellMar>
          <w:top w:w="0" w:type="dxa"/>
          <w:left w:w="0" w:type="dxa"/>
          <w:bottom w:w="0" w:type="dxa"/>
          <w:right w:w="0" w:type="dxa"/>
        </w:tblCellMar>
      </w:tblPr>
      <w:tr>
        <w:trPr>
          <w:trHeight w:val="225"/>
        </w:trPr>
        <w:tc>
          <w:tcPr>
            <w:tcW w:w="4000" w:type="dxa"/>
            <w:vAlign w:val="bottom"/>
          </w:tcPr>
          <w:p>
            <w:pPr>
              <w:jc w:val="center"/>
              <w:ind w:right="2042"/>
              <w:spacing w:after="0"/>
              <w:rPr>
                <w:sz w:val="20"/>
                <w:szCs w:val="20"/>
                <w:color w:val="auto"/>
              </w:rPr>
            </w:pPr>
            <w:r>
              <w:rPr>
                <w:rFonts w:ascii="Arial" w:cs="Arial" w:eastAsia="Arial" w:hAnsi="Arial"/>
                <w:sz w:val="18"/>
                <w:szCs w:val="18"/>
                <w:b w:val="1"/>
                <w:bCs w:val="1"/>
                <w:color w:val="auto"/>
                <w:w w:val="91"/>
              </w:rPr>
              <w:t>Delaware</w:t>
            </w:r>
          </w:p>
        </w:tc>
        <w:tc>
          <w:tcPr>
            <w:tcW w:w="3280" w:type="dxa"/>
            <w:vAlign w:val="bottom"/>
          </w:tcPr>
          <w:p>
            <w:pPr>
              <w:jc w:val="center"/>
              <w:ind w:left="2062"/>
              <w:spacing w:after="0"/>
              <w:rPr>
                <w:sz w:val="20"/>
                <w:szCs w:val="20"/>
                <w:color w:val="auto"/>
              </w:rPr>
            </w:pPr>
            <w:r>
              <w:rPr>
                <w:rFonts w:ascii="Arial" w:cs="Arial" w:eastAsia="Arial" w:hAnsi="Arial"/>
                <w:sz w:val="18"/>
                <w:szCs w:val="18"/>
                <w:b w:val="1"/>
                <w:bCs w:val="1"/>
                <w:color w:val="auto"/>
                <w:w w:val="89"/>
              </w:rPr>
              <w:t>11-3146460</w:t>
            </w:r>
          </w:p>
        </w:tc>
      </w:tr>
      <w:tr>
        <w:trPr>
          <w:trHeight w:val="144"/>
        </w:trPr>
        <w:tc>
          <w:tcPr>
            <w:tcW w:w="4000" w:type="dxa"/>
            <w:vAlign w:val="bottom"/>
          </w:tcPr>
          <w:p>
            <w:pPr>
              <w:jc w:val="center"/>
              <w:ind w:right="2042"/>
              <w:spacing w:after="0" w:line="145" w:lineRule="exact"/>
              <w:rPr>
                <w:sz w:val="20"/>
                <w:szCs w:val="20"/>
                <w:color w:val="auto"/>
              </w:rPr>
            </w:pPr>
            <w:r>
              <w:rPr>
                <w:rFonts w:ascii="Arial" w:cs="Arial" w:eastAsia="Arial" w:hAnsi="Arial"/>
                <w:sz w:val="14"/>
                <w:szCs w:val="14"/>
                <w:b w:val="1"/>
                <w:bCs w:val="1"/>
                <w:color w:val="auto"/>
                <w:w w:val="93"/>
              </w:rPr>
              <w:t>(State or other jurisdiction of</w:t>
            </w:r>
          </w:p>
        </w:tc>
        <w:tc>
          <w:tcPr>
            <w:tcW w:w="3280" w:type="dxa"/>
            <w:vAlign w:val="bottom"/>
          </w:tcPr>
          <w:p>
            <w:pPr>
              <w:jc w:val="center"/>
              <w:ind w:left="2042"/>
              <w:spacing w:after="0" w:line="145" w:lineRule="exact"/>
              <w:rPr>
                <w:sz w:val="20"/>
                <w:szCs w:val="20"/>
                <w:color w:val="auto"/>
              </w:rPr>
            </w:pPr>
            <w:r>
              <w:rPr>
                <w:rFonts w:ascii="Arial" w:cs="Arial" w:eastAsia="Arial" w:hAnsi="Arial"/>
                <w:sz w:val="14"/>
                <w:szCs w:val="14"/>
                <w:b w:val="1"/>
                <w:bCs w:val="1"/>
                <w:color w:val="auto"/>
                <w:w w:val="96"/>
              </w:rPr>
              <w:t>(I.R.S. Employer</w:t>
            </w:r>
          </w:p>
        </w:tc>
      </w:tr>
      <w:tr>
        <w:trPr>
          <w:trHeight w:val="186"/>
        </w:trPr>
        <w:tc>
          <w:tcPr>
            <w:tcW w:w="4000" w:type="dxa"/>
            <w:vAlign w:val="bottom"/>
          </w:tcPr>
          <w:p>
            <w:pPr>
              <w:jc w:val="center"/>
              <w:ind w:right="2042"/>
              <w:spacing w:after="0"/>
              <w:rPr>
                <w:sz w:val="20"/>
                <w:szCs w:val="20"/>
                <w:color w:val="auto"/>
              </w:rPr>
            </w:pPr>
            <w:r>
              <w:rPr>
                <w:rFonts w:ascii="Arial" w:cs="Arial" w:eastAsia="Arial" w:hAnsi="Arial"/>
                <w:sz w:val="14"/>
                <w:szCs w:val="14"/>
                <w:b w:val="1"/>
                <w:bCs w:val="1"/>
                <w:color w:val="auto"/>
                <w:w w:val="94"/>
              </w:rPr>
              <w:t>incorporation or organization)</w:t>
            </w:r>
          </w:p>
        </w:tc>
        <w:tc>
          <w:tcPr>
            <w:tcW w:w="3280" w:type="dxa"/>
            <w:vAlign w:val="bottom"/>
          </w:tcPr>
          <w:p>
            <w:pPr>
              <w:jc w:val="center"/>
              <w:ind w:left="2062"/>
              <w:spacing w:after="0"/>
              <w:rPr>
                <w:sz w:val="20"/>
                <w:szCs w:val="20"/>
                <w:color w:val="auto"/>
              </w:rPr>
            </w:pPr>
            <w:r>
              <w:rPr>
                <w:rFonts w:ascii="Arial" w:cs="Arial" w:eastAsia="Arial" w:hAnsi="Arial"/>
                <w:sz w:val="14"/>
                <w:szCs w:val="14"/>
                <w:b w:val="1"/>
                <w:bCs w:val="1"/>
                <w:color w:val="auto"/>
                <w:w w:val="96"/>
              </w:rPr>
              <w:t>Identification No.)</w:t>
            </w:r>
          </w:p>
        </w:tc>
      </w:tr>
    </w:tbl>
    <w:p>
      <w:pPr>
        <w:spacing w:after="0" w:line="335" w:lineRule="exact"/>
        <w:rPr>
          <w:sz w:val="24"/>
          <w:szCs w:val="24"/>
          <w:color w:val="auto"/>
        </w:rPr>
      </w:pPr>
    </w:p>
    <w:p>
      <w:pPr>
        <w:ind w:left="4040"/>
        <w:spacing w:after="0"/>
        <w:rPr>
          <w:sz w:val="20"/>
          <w:szCs w:val="20"/>
          <w:color w:val="auto"/>
        </w:rPr>
      </w:pPr>
      <w:r>
        <w:rPr>
          <w:rFonts w:ascii="Arial" w:cs="Arial" w:eastAsia="Arial" w:hAnsi="Arial"/>
          <w:sz w:val="18"/>
          <w:szCs w:val="18"/>
          <w:b w:val="1"/>
          <w:bCs w:val="1"/>
          <w:color w:val="auto"/>
        </w:rPr>
        <w:t>14 Plaza Drive, Latham, New York 12110</w:t>
      </w:r>
    </w:p>
    <w:p>
      <w:pPr>
        <w:spacing w:after="0" w:line="21" w:lineRule="exact"/>
        <w:rPr>
          <w:sz w:val="24"/>
          <w:szCs w:val="24"/>
          <w:color w:val="auto"/>
        </w:rPr>
      </w:pPr>
    </w:p>
    <w:p>
      <w:pPr>
        <w:ind w:left="4040"/>
        <w:spacing w:after="0"/>
        <w:rPr>
          <w:sz w:val="20"/>
          <w:szCs w:val="20"/>
          <w:color w:val="auto"/>
        </w:rPr>
      </w:pPr>
      <w:r>
        <w:rPr>
          <w:rFonts w:ascii="Arial" w:cs="Arial" w:eastAsia="Arial" w:hAnsi="Arial"/>
          <w:sz w:val="14"/>
          <w:szCs w:val="14"/>
          <w:b w:val="1"/>
          <w:bCs w:val="1"/>
          <w:color w:val="auto"/>
        </w:rPr>
        <w:t>(Address of principal executive offices and zip code)</w:t>
      </w:r>
    </w:p>
    <w:p>
      <w:pPr>
        <w:spacing w:after="0" w:line="205"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(518) 795-1400</w:t>
      </w:r>
    </w:p>
    <w:p>
      <w:pPr>
        <w:spacing w:after="0" w:line="21" w:lineRule="exact"/>
        <w:rPr>
          <w:sz w:val="24"/>
          <w:szCs w:val="24"/>
          <w:color w:val="auto"/>
        </w:rPr>
      </w:pPr>
    </w:p>
    <w:p>
      <w:pPr>
        <w:jc w:val="center"/>
        <w:ind w:right="-59"/>
        <w:spacing w:after="0"/>
        <w:rPr>
          <w:sz w:val="20"/>
          <w:szCs w:val="20"/>
          <w:color w:val="auto"/>
        </w:rPr>
      </w:pPr>
      <w:r>
        <w:rPr>
          <w:rFonts w:ascii="Arial" w:cs="Arial" w:eastAsia="Arial" w:hAnsi="Arial"/>
          <w:sz w:val="14"/>
          <w:szCs w:val="14"/>
          <w:b w:val="1"/>
          <w:bCs w:val="1"/>
          <w:color w:val="auto"/>
        </w:rPr>
        <w:t>Registrant’s telephone number, including area code</w:t>
      </w:r>
    </w:p>
    <w:p>
      <w:pPr>
        <w:spacing w:after="0" w:line="205"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Securities registered pursuant to Section 12(b) of the Act:</w:t>
      </w:r>
    </w:p>
    <w:p>
      <w:pPr>
        <w:spacing w:after="0" w:line="45" w:lineRule="exact"/>
        <w:rPr>
          <w:sz w:val="24"/>
          <w:szCs w:val="24"/>
          <w:color w:val="auto"/>
        </w:rPr>
      </w:pPr>
    </w:p>
    <w:tbl>
      <w:tblPr>
        <w:tblLayout w:type="fixed"/>
        <w:tblInd w:w="1040" w:type="dxa"/>
        <w:tblCellMar>
          <w:top w:w="0" w:type="dxa"/>
          <w:left w:w="0" w:type="dxa"/>
          <w:bottom w:w="0" w:type="dxa"/>
          <w:right w:w="0" w:type="dxa"/>
        </w:tblCellMar>
      </w:tblPr>
      <w:tr>
        <w:trPr>
          <w:trHeight w:val="186"/>
        </w:trPr>
        <w:tc>
          <w:tcPr>
            <w:tcW w:w="3300" w:type="dxa"/>
            <w:vAlign w:val="bottom"/>
          </w:tcPr>
          <w:p>
            <w:pPr>
              <w:jc w:val="center"/>
              <w:ind w:right="736"/>
              <w:spacing w:after="0"/>
              <w:rPr>
                <w:sz w:val="20"/>
                <w:szCs w:val="20"/>
                <w:color w:val="auto"/>
              </w:rPr>
            </w:pPr>
            <w:r>
              <w:rPr>
                <w:rFonts w:ascii="Arial" w:cs="Arial" w:eastAsia="Arial" w:hAnsi="Arial"/>
                <w:sz w:val="14"/>
                <w:szCs w:val="14"/>
                <w:b w:val="1"/>
                <w:bCs w:val="1"/>
                <w:color w:val="auto"/>
                <w:w w:val="89"/>
              </w:rPr>
              <w:t>Title of each class</w:t>
            </w:r>
          </w:p>
        </w:tc>
        <w:tc>
          <w:tcPr>
            <w:tcW w:w="2500" w:type="dxa"/>
            <w:vAlign w:val="bottom"/>
          </w:tcPr>
          <w:p>
            <w:pPr>
              <w:jc w:val="center"/>
              <w:spacing w:after="0"/>
              <w:rPr>
                <w:sz w:val="20"/>
                <w:szCs w:val="20"/>
                <w:color w:val="auto"/>
              </w:rPr>
            </w:pPr>
            <w:r>
              <w:rPr>
                <w:rFonts w:ascii="Arial" w:cs="Arial" w:eastAsia="Arial" w:hAnsi="Arial"/>
                <w:sz w:val="14"/>
                <w:szCs w:val="14"/>
                <w:b w:val="1"/>
                <w:bCs w:val="1"/>
                <w:color w:val="auto"/>
                <w:w w:val="92"/>
              </w:rPr>
              <w:t>Trading symbol</w:t>
            </w:r>
          </w:p>
        </w:tc>
        <w:tc>
          <w:tcPr>
            <w:tcW w:w="3420" w:type="dxa"/>
            <w:vAlign w:val="bottom"/>
          </w:tcPr>
          <w:p>
            <w:pPr>
              <w:jc w:val="center"/>
              <w:ind w:left="656"/>
              <w:spacing w:after="0"/>
              <w:rPr>
                <w:sz w:val="20"/>
                <w:szCs w:val="20"/>
                <w:color w:val="auto"/>
              </w:rPr>
            </w:pPr>
            <w:r>
              <w:rPr>
                <w:rFonts w:ascii="Arial" w:cs="Arial" w:eastAsia="Arial" w:hAnsi="Arial"/>
                <w:sz w:val="14"/>
                <w:szCs w:val="14"/>
                <w:b w:val="1"/>
                <w:bCs w:val="1"/>
                <w:color w:val="auto"/>
                <w:w w:val="90"/>
              </w:rPr>
              <w:t>Name of each exchange on which registered</w:t>
            </w:r>
          </w:p>
        </w:tc>
      </w:tr>
      <w:tr>
        <w:trPr>
          <w:trHeight w:val="237"/>
        </w:trPr>
        <w:tc>
          <w:tcPr>
            <w:tcW w:w="3300" w:type="dxa"/>
            <w:vAlign w:val="bottom"/>
          </w:tcPr>
          <w:p>
            <w:pPr>
              <w:jc w:val="center"/>
              <w:ind w:right="716"/>
              <w:spacing w:after="0"/>
              <w:rPr>
                <w:sz w:val="20"/>
                <w:szCs w:val="20"/>
                <w:color w:val="auto"/>
              </w:rPr>
            </w:pPr>
            <w:r>
              <w:rPr>
                <w:rFonts w:ascii="Arial" w:cs="Arial" w:eastAsia="Arial" w:hAnsi="Arial"/>
                <w:sz w:val="18"/>
                <w:szCs w:val="18"/>
                <w:b w:val="1"/>
                <w:bCs w:val="1"/>
                <w:color w:val="auto"/>
                <w:w w:val="90"/>
              </w:rPr>
              <w:t>Common stock, par value $.01</w:t>
            </w:r>
          </w:p>
        </w:tc>
        <w:tc>
          <w:tcPr>
            <w:tcW w:w="2500" w:type="dxa"/>
            <w:vAlign w:val="bottom"/>
          </w:tcPr>
          <w:p>
            <w:pPr>
              <w:jc w:val="center"/>
              <w:spacing w:after="0"/>
              <w:rPr>
                <w:sz w:val="20"/>
                <w:szCs w:val="20"/>
                <w:color w:val="auto"/>
              </w:rPr>
            </w:pPr>
            <w:r>
              <w:rPr>
                <w:rFonts w:ascii="Arial" w:cs="Arial" w:eastAsia="Arial" w:hAnsi="Arial"/>
                <w:sz w:val="18"/>
                <w:szCs w:val="18"/>
                <w:b w:val="1"/>
                <w:bCs w:val="1"/>
                <w:color w:val="auto"/>
                <w:w w:val="99"/>
              </w:rPr>
              <w:t>ANGO</w:t>
            </w:r>
          </w:p>
        </w:tc>
        <w:tc>
          <w:tcPr>
            <w:tcW w:w="3420" w:type="dxa"/>
            <w:vAlign w:val="bottom"/>
          </w:tcPr>
          <w:p>
            <w:pPr>
              <w:jc w:val="center"/>
              <w:ind w:left="656"/>
              <w:spacing w:after="0"/>
              <w:rPr>
                <w:sz w:val="20"/>
                <w:szCs w:val="20"/>
                <w:color w:val="auto"/>
              </w:rPr>
            </w:pPr>
            <w:r>
              <w:rPr>
                <w:rFonts w:ascii="Arial" w:cs="Arial" w:eastAsia="Arial" w:hAnsi="Arial"/>
                <w:sz w:val="18"/>
                <w:szCs w:val="18"/>
                <w:b w:val="1"/>
                <w:bCs w:val="1"/>
                <w:color w:val="auto"/>
                <w:w w:val="93"/>
              </w:rPr>
              <w:t>NASDAQ Global Select Market</w:t>
            </w:r>
          </w:p>
        </w:tc>
      </w:tr>
      <w:tr>
        <w:trPr>
          <w:trHeight w:val="234"/>
        </w:trPr>
        <w:tc>
          <w:tcPr>
            <w:tcW w:w="3300" w:type="dxa"/>
            <w:vAlign w:val="bottom"/>
          </w:tcPr>
          <w:p>
            <w:pPr>
              <w:jc w:val="center"/>
              <w:ind w:right="716"/>
              <w:spacing w:after="0"/>
              <w:rPr>
                <w:sz w:val="20"/>
                <w:szCs w:val="20"/>
                <w:color w:val="auto"/>
              </w:rPr>
            </w:pPr>
            <w:r>
              <w:rPr>
                <w:rFonts w:ascii="Arial" w:cs="Arial" w:eastAsia="Arial" w:hAnsi="Arial"/>
                <w:sz w:val="18"/>
                <w:szCs w:val="18"/>
                <w:b w:val="1"/>
                <w:bCs w:val="1"/>
                <w:color w:val="auto"/>
                <w:w w:val="88"/>
              </w:rPr>
              <w:t>Preferred Stock Purchase Rights</w:t>
            </w:r>
          </w:p>
        </w:tc>
        <w:tc>
          <w:tcPr>
            <w:tcW w:w="2500" w:type="dxa"/>
            <w:vAlign w:val="bottom"/>
          </w:tcPr>
          <w:p>
            <w:pPr>
              <w:spacing w:after="0"/>
              <w:rPr>
                <w:sz w:val="20"/>
                <w:szCs w:val="20"/>
                <w:color w:val="auto"/>
              </w:rPr>
            </w:pPr>
          </w:p>
        </w:tc>
        <w:tc>
          <w:tcPr>
            <w:tcW w:w="3420" w:type="dxa"/>
            <w:vAlign w:val="bottom"/>
          </w:tcPr>
          <w:p>
            <w:pPr>
              <w:jc w:val="center"/>
              <w:ind w:left="656"/>
              <w:spacing w:after="0"/>
              <w:rPr>
                <w:sz w:val="20"/>
                <w:szCs w:val="20"/>
                <w:color w:val="auto"/>
              </w:rPr>
            </w:pPr>
            <w:r>
              <w:rPr>
                <w:rFonts w:ascii="Arial" w:cs="Arial" w:eastAsia="Arial" w:hAnsi="Arial"/>
                <w:sz w:val="18"/>
                <w:szCs w:val="18"/>
                <w:b w:val="1"/>
                <w:bCs w:val="1"/>
                <w:color w:val="auto"/>
                <w:w w:val="93"/>
              </w:rPr>
              <w:t>NASDAQ Global Select Market</w:t>
            </w:r>
          </w:p>
        </w:tc>
      </w:tr>
    </w:tbl>
    <w:p>
      <w:pPr>
        <w:spacing w:after="0" w:line="200" w:lineRule="exact"/>
        <w:rPr>
          <w:sz w:val="24"/>
          <w:szCs w:val="24"/>
          <w:color w:val="auto"/>
        </w:rPr>
      </w:pPr>
    </w:p>
    <w:p>
      <w:pPr>
        <w:spacing w:after="0" w:line="349"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Securities registered pursuant to Section 12(g) of the Act:</w:t>
      </w:r>
    </w:p>
    <w:p>
      <w:pPr>
        <w:spacing w:after="0" w:line="225"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None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574675</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229" w:right="379"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182"/>
        </w:trPr>
        <w:tc>
          <w:tcPr>
            <w:tcW w:w="8960" w:type="dxa"/>
            <w:vAlign w:val="bottom"/>
            <w:gridSpan w:val="3"/>
          </w:tcPr>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tc>
        <w:tc>
          <w:tcPr>
            <w:tcW w:w="3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770"/>
        </w:trPr>
        <w:tc>
          <w:tcPr>
            <w:tcW w:w="2620" w:type="dxa"/>
            <w:vAlign w:val="bottom"/>
          </w:tcPr>
          <w:p>
            <w:pPr>
              <w:spacing w:after="0"/>
              <w:rPr>
                <w:sz w:val="24"/>
                <w:szCs w:val="24"/>
                <w:color w:val="auto"/>
              </w:rPr>
            </w:pPr>
          </w:p>
        </w:tc>
        <w:tc>
          <w:tcPr>
            <w:tcW w:w="6340" w:type="dxa"/>
            <w:vAlign w:val="bottom"/>
            <w:gridSpan w:val="2"/>
          </w:tcPr>
          <w:p>
            <w:pPr>
              <w:ind w:left="2560"/>
              <w:spacing w:after="0"/>
              <w:rPr>
                <w:sz w:val="20"/>
                <w:szCs w:val="20"/>
                <w:color w:val="auto"/>
              </w:rPr>
            </w:pPr>
            <w:r>
              <w:rPr>
                <w:rFonts w:ascii="Arial" w:cs="Arial" w:eastAsia="Arial" w:hAnsi="Arial"/>
                <w:sz w:val="14"/>
                <w:szCs w:val="14"/>
                <w:b w:val="1"/>
                <w:bCs w:val="1"/>
                <w:color w:val="auto"/>
              </w:rPr>
              <w:t>(Title of Class)</w:t>
            </w:r>
          </w:p>
        </w:tc>
        <w:tc>
          <w:tcPr>
            <w:tcW w:w="3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6"/>
        </w:trPr>
        <w:tc>
          <w:tcPr>
            <w:tcW w:w="2620" w:type="dxa"/>
            <w:vAlign w:val="bottom"/>
          </w:tcPr>
          <w:p>
            <w:pPr>
              <w:spacing w:after="0"/>
              <w:rPr>
                <w:sz w:val="24"/>
                <w:szCs w:val="24"/>
                <w:color w:val="auto"/>
              </w:rPr>
            </w:pPr>
          </w:p>
        </w:tc>
        <w:tc>
          <w:tcPr>
            <w:tcW w:w="6020" w:type="dxa"/>
            <w:vAlign w:val="bottom"/>
            <w:tcBorders>
              <w:bottom w:val="single" w:sz="8" w:color="auto"/>
            </w:tcBorders>
          </w:tcPr>
          <w:p>
            <w:pPr>
              <w:spacing w:after="0"/>
              <w:rPr>
                <w:sz w:val="24"/>
                <w:szCs w:val="24"/>
                <w:color w:val="auto"/>
              </w:rPr>
            </w:pPr>
          </w:p>
        </w:tc>
        <w:tc>
          <w:tcPr>
            <w:tcW w:w="3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80" w:type="dxa"/>
            <w:vAlign w:val="bottom"/>
            <w:vMerge w:val="restart"/>
          </w:tcPr>
          <w:p>
            <w:pPr>
              <w:ind w:left="80"/>
              <w:spacing w:after="0" w:line="181" w:lineRule="exact"/>
              <w:rPr>
                <w:sz w:val="20"/>
                <w:szCs w:val="20"/>
                <w:color w:val="auto"/>
              </w:rPr>
            </w:pPr>
            <w:r>
              <w:rPr>
                <w:rFonts w:ascii="MS PGothic" w:cs="MS PGothic" w:eastAsia="MS PGothic" w:hAnsi="MS PGothic"/>
                <w:sz w:val="18"/>
                <w:szCs w:val="18"/>
                <w:color w:val="auto"/>
                <w:w w:val="99"/>
              </w:rPr>
              <w:t>☐</w:t>
            </w:r>
          </w:p>
        </w:tc>
        <w:tc>
          <w:tcPr>
            <w:tcW w:w="620" w:type="dxa"/>
            <w:vAlign w:val="bottom"/>
            <w:vMerge w:val="restart"/>
          </w:tcPr>
          <w:p>
            <w:pPr>
              <w:ind w:left="140"/>
              <w:spacing w:after="0" w:line="207" w:lineRule="exact"/>
              <w:rPr>
                <w:sz w:val="20"/>
                <w:szCs w:val="20"/>
                <w:color w:val="auto"/>
              </w:rPr>
            </w:pPr>
            <w:r>
              <w:rPr>
                <w:rFonts w:ascii="Arial" w:cs="Arial" w:eastAsia="Arial" w:hAnsi="Arial"/>
                <w:sz w:val="18"/>
                <w:szCs w:val="18"/>
                <w:color w:val="auto"/>
                <w:w w:val="99"/>
              </w:rPr>
              <w:t xml:space="preserve">No </w:t>
            </w:r>
            <w:r>
              <w:rPr>
                <w:rFonts w:ascii="MS PGothic" w:cs="MS PGothic" w:eastAsia="MS PGothic" w:hAnsi="MS PGothic"/>
                <w:sz w:val="18"/>
                <w:szCs w:val="18"/>
                <w:color w:val="auto"/>
                <w:w w:val="99"/>
              </w:rPr>
              <w:t>☒</w:t>
            </w:r>
          </w:p>
        </w:tc>
        <w:tc>
          <w:tcPr>
            <w:tcW w:w="0" w:type="dxa"/>
            <w:vAlign w:val="bottom"/>
          </w:tcPr>
          <w:p>
            <w:pPr>
              <w:spacing w:after="0"/>
              <w:rPr>
                <w:sz w:val="1"/>
                <w:szCs w:val="1"/>
                <w:color w:val="auto"/>
              </w:rPr>
            </w:pPr>
          </w:p>
        </w:tc>
      </w:tr>
      <w:tr>
        <w:trPr>
          <w:trHeight w:val="446"/>
        </w:trPr>
        <w:tc>
          <w:tcPr>
            <w:tcW w:w="8960" w:type="dxa"/>
            <w:vAlign w:val="bottom"/>
            <w:gridSpan w:val="3"/>
          </w:tcPr>
          <w:p>
            <w:pPr>
              <w:ind w:left="460"/>
              <w:spacing w:after="0"/>
              <w:rPr>
                <w:sz w:val="20"/>
                <w:szCs w:val="20"/>
                <w:color w:val="auto"/>
              </w:rPr>
            </w:pPr>
            <w:r>
              <w:rPr>
                <w:rFonts w:ascii="Arial" w:cs="Arial" w:eastAsia="Arial" w:hAnsi="Arial"/>
                <w:sz w:val="18"/>
                <w:szCs w:val="18"/>
                <w:color w:val="auto"/>
                <w:w w:val="91"/>
              </w:rPr>
              <w:t>Indicate by check mark if the registrant is a well-known seasoned issuer, as defined in Rule 405 of the Securities Act.</w:t>
            </w:r>
          </w:p>
        </w:tc>
        <w:tc>
          <w:tcPr>
            <w:tcW w:w="380" w:type="dxa"/>
            <w:vAlign w:val="bottom"/>
          </w:tcPr>
          <w:p>
            <w:pPr>
              <w:ind w:left="120"/>
              <w:spacing w:after="0"/>
              <w:rPr>
                <w:sz w:val="20"/>
                <w:szCs w:val="20"/>
                <w:color w:val="auto"/>
              </w:rPr>
            </w:pPr>
            <w:r>
              <w:rPr>
                <w:rFonts w:ascii="Arial" w:cs="Arial" w:eastAsia="Arial" w:hAnsi="Arial"/>
                <w:sz w:val="18"/>
                <w:szCs w:val="18"/>
                <w:color w:val="auto"/>
                <w:w w:val="77"/>
              </w:rPr>
              <w:t>Yes</w:t>
            </w:r>
          </w:p>
        </w:tc>
        <w:tc>
          <w:tcPr>
            <w:tcW w:w="280" w:type="dxa"/>
            <w:vAlign w:val="bottom"/>
            <w:vMerge w:val="continue"/>
          </w:tcPr>
          <w:p>
            <w:pPr>
              <w:spacing w:after="0"/>
              <w:rPr>
                <w:sz w:val="24"/>
                <w:szCs w:val="24"/>
                <w:color w:val="auto"/>
              </w:rPr>
            </w:pPr>
          </w:p>
        </w:tc>
        <w:tc>
          <w:tcPr>
            <w:tcW w:w="62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8960" w:type="dxa"/>
            <w:vAlign w:val="bottom"/>
            <w:gridSpan w:val="3"/>
          </w:tcPr>
          <w:p>
            <w:pPr>
              <w:ind w:left="460"/>
              <w:spacing w:after="0"/>
              <w:rPr>
                <w:sz w:val="20"/>
                <w:szCs w:val="20"/>
                <w:color w:val="auto"/>
              </w:rPr>
            </w:pPr>
            <w:r>
              <w:rPr>
                <w:rFonts w:ascii="Arial" w:cs="Arial" w:eastAsia="Arial" w:hAnsi="Arial"/>
                <w:sz w:val="18"/>
                <w:szCs w:val="18"/>
                <w:color w:val="auto"/>
                <w:w w:val="92"/>
              </w:rPr>
              <w:t>Indicate by check mark if the registrant is not required to file reports pursuant to Section 13 or 15(d) of the Act.  Yes</w:t>
            </w:r>
          </w:p>
        </w:tc>
        <w:tc>
          <w:tcPr>
            <w:tcW w:w="380" w:type="dxa"/>
            <w:vAlign w:val="bottom"/>
          </w:tcPr>
          <w:p>
            <w:pPr>
              <w:ind w:left="40"/>
              <w:spacing w:after="0" w:line="181" w:lineRule="exact"/>
              <w:rPr>
                <w:sz w:val="20"/>
                <w:szCs w:val="20"/>
                <w:color w:val="auto"/>
              </w:rPr>
            </w:pPr>
            <w:r>
              <w:rPr>
                <w:rFonts w:ascii="MS PGothic" w:cs="MS PGothic" w:eastAsia="MS PGothic" w:hAnsi="MS PGothic"/>
                <w:sz w:val="18"/>
                <w:szCs w:val="18"/>
                <w:color w:val="auto"/>
              </w:rPr>
              <w:t>☐</w:t>
            </w:r>
          </w:p>
        </w:tc>
        <w:tc>
          <w:tcPr>
            <w:tcW w:w="280" w:type="dxa"/>
            <w:vAlign w:val="bottom"/>
          </w:tcPr>
          <w:p>
            <w:pPr>
              <w:spacing w:after="0"/>
              <w:rPr>
                <w:sz w:val="20"/>
                <w:szCs w:val="20"/>
                <w:color w:val="auto"/>
              </w:rPr>
            </w:pPr>
            <w:r>
              <w:rPr>
                <w:rFonts w:ascii="Arial" w:cs="Arial" w:eastAsia="Arial" w:hAnsi="Arial"/>
                <w:sz w:val="18"/>
                <w:szCs w:val="18"/>
                <w:color w:val="auto"/>
              </w:rPr>
              <w:t>No</w:t>
            </w:r>
          </w:p>
        </w:tc>
        <w:tc>
          <w:tcPr>
            <w:tcW w:w="620" w:type="dxa"/>
            <w:vAlign w:val="bottom"/>
          </w:tcPr>
          <w:p>
            <w:pPr>
              <w:ind w:left="40"/>
              <w:spacing w:after="0" w:line="181" w:lineRule="exact"/>
              <w:rPr>
                <w:sz w:val="20"/>
                <w:szCs w:val="20"/>
                <w:color w:val="auto"/>
              </w:rPr>
            </w:pP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bl>
    <w:p>
      <w:pPr>
        <w:spacing w:after="0" w:line="182" w:lineRule="exact"/>
        <w:rPr>
          <w:sz w:val="20"/>
          <w:szCs w:val="20"/>
          <w:color w:val="auto"/>
        </w:rPr>
      </w:pPr>
    </w:p>
    <w:p>
      <w:pPr>
        <w:ind w:left="460"/>
        <w:spacing w:after="0"/>
        <w:rPr>
          <w:sz w:val="20"/>
          <w:szCs w:val="20"/>
          <w:color w:val="auto"/>
        </w:rPr>
      </w:pPr>
      <w:r>
        <w:rPr>
          <w:rFonts w:ascii="Arial" w:cs="Arial" w:eastAsia="Arial" w:hAnsi="Arial"/>
          <w:sz w:val="16"/>
          <w:szCs w:val="16"/>
          <w:color w:val="auto"/>
        </w:rPr>
        <w:t>Indicate by check mark whether the registrant: (1) has filed all reports required to be filed by Section 13 or 15(d) of the Securities Exchange Act of</w:t>
      </w:r>
    </w:p>
    <w:p>
      <w:pPr>
        <w:spacing w:after="0" w:line="46" w:lineRule="exact"/>
        <w:rPr>
          <w:sz w:val="20"/>
          <w:szCs w:val="20"/>
          <w:color w:val="auto"/>
        </w:rPr>
      </w:pPr>
    </w:p>
    <w:p>
      <w:pPr>
        <w:ind w:right="60"/>
        <w:spacing w:after="0" w:line="226" w:lineRule="exact"/>
        <w:rPr>
          <w:sz w:val="20"/>
          <w:szCs w:val="20"/>
          <w:color w:val="auto"/>
        </w:rPr>
      </w:pPr>
      <w:r>
        <w:rPr>
          <w:rFonts w:ascii="Arial" w:cs="Arial" w:eastAsia="Arial" w:hAnsi="Arial"/>
          <w:sz w:val="18"/>
          <w:szCs w:val="18"/>
          <w:color w:val="auto"/>
        </w:rPr>
        <w:t xml:space="preserve">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82" w:lineRule="exact"/>
        <w:rPr>
          <w:sz w:val="20"/>
          <w:szCs w:val="20"/>
          <w:color w:val="auto"/>
        </w:rPr>
      </w:pPr>
    </w:p>
    <w:p>
      <w:pPr>
        <w:ind w:right="100" w:firstLine="445"/>
        <w:spacing w:after="0" w:line="234" w:lineRule="exact"/>
        <w:rPr>
          <w:sz w:val="20"/>
          <w:szCs w:val="20"/>
          <w:color w:val="auto"/>
        </w:rPr>
      </w:pPr>
      <w:r>
        <w:rPr>
          <w:rFonts w:ascii="Arial" w:cs="Arial" w:eastAsia="Arial" w:hAnsi="Arial"/>
          <w:sz w:val="16"/>
          <w:szCs w:val="16"/>
          <w:color w:val="auto"/>
        </w:rPr>
        <w:t xml:space="preserve">Indicate by check mark whether the registrant has submitted electronically every Interactive Data File required to be submitted pursuant to Rule 405 of Regulation S-T during the preceding 12 months (or for such shorter period that the registrant was required to submit such files).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p>
    <w:p>
      <w:pPr>
        <w:spacing w:after="0" w:line="182" w:lineRule="exact"/>
        <w:rPr>
          <w:sz w:val="20"/>
          <w:szCs w:val="20"/>
          <w:color w:val="auto"/>
        </w:rPr>
      </w:pPr>
    </w:p>
    <w:p>
      <w:pPr>
        <w:ind w:left="460"/>
        <w:spacing w:after="0"/>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or a smaller reporting company.</w:t>
      </w:r>
    </w:p>
    <w:p>
      <w:pPr>
        <w:spacing w:after="0" w:line="46" w:lineRule="exact"/>
        <w:rPr>
          <w:sz w:val="20"/>
          <w:szCs w:val="20"/>
          <w:color w:val="auto"/>
        </w:rPr>
      </w:pPr>
    </w:p>
    <w:p>
      <w:pPr>
        <w:spacing w:after="0"/>
        <w:rPr>
          <w:sz w:val="20"/>
          <w:szCs w:val="20"/>
          <w:color w:val="auto"/>
        </w:rPr>
      </w:pPr>
      <w:r>
        <w:rPr>
          <w:rFonts w:ascii="Arial" w:cs="Arial" w:eastAsia="Arial" w:hAnsi="Arial"/>
          <w:sz w:val="17"/>
          <w:szCs w:val="17"/>
          <w:color w:val="auto"/>
        </w:rPr>
        <w:t>See the definitions of “large accelerated filer”, “accelerated filer” and “smaller reporting company” in Rule 12b-2 of the Exchange Act. (Check one):</w:t>
      </w:r>
    </w:p>
    <w:p>
      <w:pPr>
        <w:spacing w:after="0" w:line="21" w:lineRule="exact"/>
        <w:rPr>
          <w:sz w:val="20"/>
          <w:szCs w:val="20"/>
          <w:color w:val="auto"/>
        </w:rPr>
      </w:pPr>
    </w:p>
    <w:tbl>
      <w:tblPr>
        <w:tblLayout w:type="fixed"/>
        <w:tblInd w:w="20" w:type="dxa"/>
        <w:tblCellMar>
          <w:top w:w="0" w:type="dxa"/>
          <w:left w:w="0" w:type="dxa"/>
          <w:bottom w:w="0" w:type="dxa"/>
          <w:right w:w="0" w:type="dxa"/>
        </w:tblCellMar>
      </w:tblPr>
      <w:tr>
        <w:trPr>
          <w:trHeight w:val="303"/>
        </w:trPr>
        <w:tc>
          <w:tcPr>
            <w:tcW w:w="2500" w:type="dxa"/>
            <w:vAlign w:val="bottom"/>
          </w:tcPr>
          <w:p>
            <w:pPr>
              <w:spacing w:after="0"/>
              <w:rPr>
                <w:sz w:val="20"/>
                <w:szCs w:val="20"/>
                <w:color w:val="auto"/>
              </w:rPr>
            </w:pPr>
            <w:r>
              <w:rPr>
                <w:rFonts w:ascii="Arial" w:cs="Arial" w:eastAsia="Arial" w:hAnsi="Arial"/>
                <w:sz w:val="18"/>
                <w:szCs w:val="18"/>
                <w:color w:val="auto"/>
              </w:rPr>
              <w:t>Large accelerated filer</w:t>
            </w:r>
          </w:p>
        </w:tc>
        <w:tc>
          <w:tcPr>
            <w:tcW w:w="3200" w:type="dxa"/>
            <w:vAlign w:val="bottom"/>
          </w:tcPr>
          <w:p>
            <w:pPr>
              <w:ind w:left="540"/>
              <w:spacing w:after="0" w:line="221" w:lineRule="exact"/>
              <w:rPr>
                <w:sz w:val="20"/>
                <w:szCs w:val="20"/>
                <w:color w:val="auto"/>
              </w:rPr>
            </w:pPr>
            <w:r>
              <w:rPr>
                <w:rFonts w:ascii="MS PGothic" w:cs="MS PGothic" w:eastAsia="MS PGothic" w:hAnsi="MS PGothic"/>
                <w:sz w:val="22"/>
                <w:szCs w:val="22"/>
                <w:color w:val="auto"/>
              </w:rPr>
              <w:t>☐</w:t>
            </w:r>
          </w:p>
        </w:tc>
        <w:tc>
          <w:tcPr>
            <w:tcW w:w="4780" w:type="dxa"/>
            <w:vAlign w:val="bottom"/>
          </w:tcPr>
          <w:p>
            <w:pPr>
              <w:ind w:left="2480"/>
              <w:spacing w:after="0"/>
              <w:rPr>
                <w:sz w:val="20"/>
                <w:szCs w:val="20"/>
                <w:color w:val="auto"/>
              </w:rPr>
            </w:pPr>
            <w:r>
              <w:rPr>
                <w:rFonts w:ascii="Arial" w:cs="Arial" w:eastAsia="Arial" w:hAnsi="Arial"/>
                <w:sz w:val="18"/>
                <w:szCs w:val="18"/>
                <w:color w:val="auto"/>
              </w:rPr>
              <w:t>Accelerated filer</w:t>
            </w:r>
          </w:p>
        </w:tc>
        <w:tc>
          <w:tcPr>
            <w:tcW w:w="540" w:type="dxa"/>
            <w:vAlign w:val="bottom"/>
          </w:tcPr>
          <w:p>
            <w:pPr>
              <w:ind w:left="360"/>
              <w:spacing w:after="0" w:line="221" w:lineRule="exact"/>
              <w:rPr>
                <w:sz w:val="20"/>
                <w:szCs w:val="20"/>
                <w:color w:val="auto"/>
              </w:rPr>
            </w:pPr>
            <w:r>
              <w:rPr>
                <w:rFonts w:ascii="MS PGothic" w:cs="MS PGothic" w:eastAsia="MS PGothic" w:hAnsi="MS PGothic"/>
                <w:sz w:val="22"/>
                <w:szCs w:val="22"/>
                <w:color w:val="auto"/>
                <w:w w:val="72"/>
              </w:rPr>
              <w:t>☒</w:t>
            </w:r>
          </w:p>
        </w:tc>
      </w:tr>
      <w:tr>
        <w:trPr>
          <w:trHeight w:val="324"/>
        </w:trPr>
        <w:tc>
          <w:tcPr>
            <w:tcW w:w="2500" w:type="dxa"/>
            <w:vAlign w:val="bottom"/>
          </w:tcPr>
          <w:p>
            <w:pPr>
              <w:spacing w:after="0"/>
              <w:rPr>
                <w:sz w:val="20"/>
                <w:szCs w:val="20"/>
                <w:color w:val="auto"/>
              </w:rPr>
            </w:pPr>
            <w:r>
              <w:rPr>
                <w:rFonts w:ascii="Arial" w:cs="Arial" w:eastAsia="Arial" w:hAnsi="Arial"/>
                <w:sz w:val="18"/>
                <w:szCs w:val="18"/>
                <w:color w:val="auto"/>
              </w:rPr>
              <w:t>Non-accelerated filer</w:t>
            </w:r>
          </w:p>
        </w:tc>
        <w:tc>
          <w:tcPr>
            <w:tcW w:w="3200" w:type="dxa"/>
            <w:vAlign w:val="bottom"/>
          </w:tcPr>
          <w:p>
            <w:pPr>
              <w:ind w:left="540"/>
              <w:spacing w:after="0" w:line="221" w:lineRule="exact"/>
              <w:rPr>
                <w:sz w:val="20"/>
                <w:szCs w:val="20"/>
                <w:color w:val="auto"/>
              </w:rPr>
            </w:pPr>
            <w:r>
              <w:rPr>
                <w:rFonts w:ascii="MS PGothic" w:cs="MS PGothic" w:eastAsia="MS PGothic" w:hAnsi="MS PGothic"/>
                <w:sz w:val="22"/>
                <w:szCs w:val="22"/>
                <w:color w:val="auto"/>
              </w:rPr>
              <w:t>☐</w:t>
            </w:r>
          </w:p>
        </w:tc>
        <w:tc>
          <w:tcPr>
            <w:tcW w:w="4780" w:type="dxa"/>
            <w:vAlign w:val="bottom"/>
          </w:tcPr>
          <w:p>
            <w:pPr>
              <w:ind w:left="2480"/>
              <w:spacing w:after="0"/>
              <w:rPr>
                <w:sz w:val="20"/>
                <w:szCs w:val="20"/>
                <w:color w:val="auto"/>
              </w:rPr>
            </w:pPr>
            <w:r>
              <w:rPr>
                <w:rFonts w:ascii="Arial" w:cs="Arial" w:eastAsia="Arial" w:hAnsi="Arial"/>
                <w:sz w:val="18"/>
                <w:szCs w:val="18"/>
                <w:color w:val="auto"/>
              </w:rPr>
              <w:t>Smaller reporting company</w:t>
            </w:r>
          </w:p>
        </w:tc>
        <w:tc>
          <w:tcPr>
            <w:tcW w:w="540" w:type="dxa"/>
            <w:vAlign w:val="bottom"/>
          </w:tcPr>
          <w:p>
            <w:pPr>
              <w:ind w:left="360"/>
              <w:spacing w:after="0" w:line="221" w:lineRule="exact"/>
              <w:rPr>
                <w:sz w:val="20"/>
                <w:szCs w:val="20"/>
                <w:color w:val="auto"/>
              </w:rPr>
            </w:pPr>
            <w:r>
              <w:rPr>
                <w:rFonts w:ascii="MS PGothic" w:cs="MS PGothic" w:eastAsia="MS PGothic" w:hAnsi="MS PGothic"/>
                <w:sz w:val="22"/>
                <w:szCs w:val="22"/>
                <w:color w:val="auto"/>
                <w:w w:val="72"/>
              </w:rPr>
              <w:t>☐</w:t>
            </w:r>
          </w:p>
        </w:tc>
      </w:tr>
      <w:tr>
        <w:trPr>
          <w:trHeight w:val="338"/>
        </w:trPr>
        <w:tc>
          <w:tcPr>
            <w:tcW w:w="2500" w:type="dxa"/>
            <w:vAlign w:val="bottom"/>
          </w:tcPr>
          <w:p>
            <w:pPr>
              <w:spacing w:after="0"/>
              <w:rPr>
                <w:sz w:val="20"/>
                <w:szCs w:val="20"/>
                <w:color w:val="auto"/>
              </w:rPr>
            </w:pPr>
            <w:r>
              <w:rPr>
                <w:rFonts w:ascii="Arial" w:cs="Arial" w:eastAsia="Arial" w:hAnsi="Arial"/>
                <w:sz w:val="18"/>
                <w:szCs w:val="18"/>
                <w:color w:val="auto"/>
              </w:rPr>
              <w:t>Emerging growth company</w:t>
            </w:r>
          </w:p>
        </w:tc>
        <w:tc>
          <w:tcPr>
            <w:tcW w:w="3200" w:type="dxa"/>
            <w:vAlign w:val="bottom"/>
          </w:tcPr>
          <w:p>
            <w:pPr>
              <w:ind w:left="540"/>
              <w:spacing w:after="0" w:line="221" w:lineRule="exact"/>
              <w:rPr>
                <w:sz w:val="20"/>
                <w:szCs w:val="20"/>
                <w:color w:val="auto"/>
              </w:rPr>
            </w:pPr>
            <w:r>
              <w:rPr>
                <w:rFonts w:ascii="MS PGothic" w:cs="MS PGothic" w:eastAsia="MS PGothic" w:hAnsi="MS PGothic"/>
                <w:sz w:val="22"/>
                <w:szCs w:val="22"/>
                <w:color w:val="auto"/>
              </w:rPr>
              <w:t>☐</w:t>
            </w:r>
          </w:p>
        </w:tc>
        <w:tc>
          <w:tcPr>
            <w:tcW w:w="4780" w:type="dxa"/>
            <w:vAlign w:val="bottom"/>
          </w:tcPr>
          <w:p>
            <w:pPr>
              <w:spacing w:after="0"/>
              <w:rPr>
                <w:sz w:val="24"/>
                <w:szCs w:val="24"/>
                <w:color w:val="auto"/>
              </w:rPr>
            </w:pPr>
          </w:p>
        </w:tc>
        <w:tc>
          <w:tcPr>
            <w:tcW w:w="540" w:type="dxa"/>
            <w:vAlign w:val="bottom"/>
          </w:tcPr>
          <w:p>
            <w:pPr>
              <w:spacing w:after="0"/>
              <w:rPr>
                <w:sz w:val="24"/>
                <w:szCs w:val="24"/>
                <w:color w:val="auto"/>
              </w:rPr>
            </w:pPr>
          </w:p>
        </w:tc>
      </w:tr>
    </w:tbl>
    <w:p>
      <w:pPr>
        <w:spacing w:after="0" w:line="149" w:lineRule="exact"/>
        <w:rPr>
          <w:sz w:val="20"/>
          <w:szCs w:val="20"/>
          <w:color w:val="auto"/>
        </w:rPr>
      </w:pPr>
    </w:p>
    <w:p>
      <w:pPr>
        <w:ind w:left="460"/>
        <w:spacing w:after="0" w:line="207" w:lineRule="exact"/>
        <w:tabs>
          <w:tab w:leader="none" w:pos="8780" w:val="left"/>
          <w:tab w:leader="none" w:pos="9480" w:val="left"/>
        </w:tabs>
        <w:rPr>
          <w:sz w:val="20"/>
          <w:szCs w:val="20"/>
          <w:color w:val="auto"/>
        </w:rPr>
      </w:pPr>
      <w:r>
        <w:rPr>
          <w:rFonts w:ascii="Arial" w:cs="Arial" w:eastAsia="Arial" w:hAnsi="Arial"/>
          <w:sz w:val="17"/>
          <w:szCs w:val="17"/>
          <w:color w:val="auto"/>
        </w:rPr>
        <w:t>Indicate by check mark whether the registrant is a shell company (as defined in Rule 12b-2 of the Exchange Act).</w:t>
      </w:r>
      <w:r>
        <w:rPr>
          <w:sz w:val="20"/>
          <w:szCs w:val="20"/>
          <w:color w:val="auto"/>
        </w:rPr>
        <w:tab/>
      </w:r>
      <w:r>
        <w:rPr>
          <w:rFonts w:ascii="Arial" w:cs="Arial" w:eastAsia="Arial" w:hAnsi="Arial"/>
          <w:sz w:val="18"/>
          <w:szCs w:val="18"/>
          <w:color w:val="auto"/>
        </w:rPr>
        <w:t xml:space="preserve">Yes </w:t>
      </w:r>
      <w:r>
        <w:rPr>
          <w:rFonts w:ascii="MS PGothic" w:cs="MS PGothic" w:eastAsia="MS PGothic" w:hAnsi="MS PGothic"/>
          <w:sz w:val="18"/>
          <w:szCs w:val="18"/>
          <w:color w:val="auto"/>
        </w:rPr>
        <w:t>☐</w:t>
      </w:r>
      <w:r>
        <w:rPr>
          <w:sz w:val="20"/>
          <w:szCs w:val="20"/>
          <w:color w:val="auto"/>
        </w:rPr>
        <w:tab/>
      </w:r>
      <w:r>
        <w:rPr>
          <w:rFonts w:ascii="Arial" w:cs="Arial" w:eastAsia="Arial" w:hAnsi="Arial"/>
          <w:sz w:val="17"/>
          <w:szCs w:val="17"/>
          <w:color w:val="auto"/>
        </w:rPr>
        <w:t xml:space="preserve">No </w:t>
      </w:r>
      <w:r>
        <w:rPr>
          <w:rFonts w:ascii="MS PGothic" w:cs="MS PGothic" w:eastAsia="MS PGothic" w:hAnsi="MS PGothic"/>
          <w:sz w:val="17"/>
          <w:szCs w:val="17"/>
          <w:color w:val="auto"/>
        </w:rPr>
        <w:t>☒</w:t>
      </w:r>
    </w:p>
    <w:p>
      <w:pPr>
        <w:spacing w:after="0" w:line="25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Indicate the number of shares outstanding of each of the Issuer’s classes of common stock, as of the latest practicable date.</w:t>
      </w:r>
    </w:p>
    <w:p>
      <w:pPr>
        <w:spacing w:after="0" w:line="3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600" w:type="dxa"/>
            <w:vAlign w:val="bottom"/>
          </w:tcPr>
          <w:p>
            <w:pPr>
              <w:spacing w:after="0"/>
              <w:rPr>
                <w:sz w:val="14"/>
                <w:szCs w:val="14"/>
                <w:color w:val="auto"/>
              </w:rPr>
            </w:pPr>
          </w:p>
        </w:tc>
        <w:tc>
          <w:tcPr>
            <w:tcW w:w="320" w:type="dxa"/>
            <w:vAlign w:val="bottom"/>
          </w:tcPr>
          <w:p>
            <w:pPr>
              <w:jc w:val="center"/>
              <w:spacing w:after="0"/>
              <w:rPr>
                <w:sz w:val="20"/>
                <w:szCs w:val="20"/>
                <w:color w:val="auto"/>
              </w:rPr>
            </w:pPr>
            <w:r>
              <w:rPr>
                <w:rFonts w:ascii="Arial" w:cs="Arial" w:eastAsia="Arial" w:hAnsi="Arial"/>
                <w:sz w:val="14"/>
                <w:szCs w:val="14"/>
                <w:b w:val="1"/>
                <w:bCs w:val="1"/>
                <w:color w:val="auto"/>
                <w:w w:val="85"/>
              </w:rPr>
              <w:t>Class</w:t>
            </w:r>
          </w:p>
        </w:tc>
        <w:tc>
          <w:tcPr>
            <w:tcW w:w="2780" w:type="dxa"/>
            <w:vAlign w:val="bottom"/>
          </w:tcPr>
          <w:p>
            <w:pPr>
              <w:spacing w:after="0"/>
              <w:rPr>
                <w:sz w:val="14"/>
                <w:szCs w:val="14"/>
                <w:color w:val="auto"/>
              </w:rPr>
            </w:pPr>
          </w:p>
        </w:tc>
        <w:tc>
          <w:tcPr>
            <w:tcW w:w="5520" w:type="dxa"/>
            <w:vAlign w:val="bottom"/>
            <w:gridSpan w:val="4"/>
          </w:tcPr>
          <w:p>
            <w:pPr>
              <w:jc w:val="center"/>
              <w:ind w:left="59"/>
              <w:spacing w:after="0"/>
              <w:rPr>
                <w:sz w:val="20"/>
                <w:szCs w:val="20"/>
                <w:color w:val="auto"/>
              </w:rPr>
            </w:pPr>
            <w:r>
              <w:rPr>
                <w:rFonts w:ascii="Arial" w:cs="Arial" w:eastAsia="Arial" w:hAnsi="Arial"/>
                <w:sz w:val="14"/>
                <w:szCs w:val="14"/>
                <w:b w:val="1"/>
                <w:bCs w:val="1"/>
                <w:color w:val="auto"/>
                <w:w w:val="92"/>
              </w:rPr>
              <w:t>Outstanding as of January 6, 2021</w:t>
            </w:r>
          </w:p>
        </w:tc>
      </w:tr>
      <w:tr>
        <w:trPr>
          <w:trHeight w:val="20"/>
        </w:trPr>
        <w:tc>
          <w:tcPr>
            <w:tcW w:w="20" w:type="dxa"/>
            <w:vAlign w:val="bottom"/>
          </w:tcPr>
          <w:p>
            <w:pPr>
              <w:spacing w:after="0" w:line="20" w:lineRule="exact"/>
              <w:rPr>
                <w:sz w:val="1"/>
                <w:szCs w:val="1"/>
                <w:color w:val="auto"/>
              </w:rPr>
            </w:pPr>
          </w:p>
        </w:tc>
        <w:tc>
          <w:tcPr>
            <w:tcW w:w="260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278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2100" w:type="dxa"/>
            <w:vAlign w:val="bottom"/>
            <w:shd w:val="clear" w:color="auto" w:fill="000000"/>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20" w:type="dxa"/>
            <w:vAlign w:val="bottom"/>
          </w:tcPr>
          <w:p>
            <w:pPr>
              <w:spacing w:after="0"/>
              <w:rPr>
                <w:sz w:val="21"/>
                <w:szCs w:val="21"/>
                <w:color w:val="auto"/>
              </w:rPr>
            </w:pPr>
          </w:p>
        </w:tc>
        <w:tc>
          <w:tcPr>
            <w:tcW w:w="5700" w:type="dxa"/>
            <w:vAlign w:val="bottom"/>
            <w:gridSpan w:val="3"/>
          </w:tcPr>
          <w:p>
            <w:pPr>
              <w:jc w:val="center"/>
              <w:ind w:right="180"/>
              <w:spacing w:after="0"/>
              <w:rPr>
                <w:sz w:val="20"/>
                <w:szCs w:val="20"/>
                <w:color w:val="auto"/>
              </w:rPr>
            </w:pPr>
            <w:r>
              <w:rPr>
                <w:rFonts w:ascii="Arial" w:cs="Arial" w:eastAsia="Arial" w:hAnsi="Arial"/>
                <w:sz w:val="18"/>
                <w:szCs w:val="18"/>
                <w:b w:val="1"/>
                <w:bCs w:val="1"/>
                <w:color w:val="auto"/>
                <w:w w:val="90"/>
              </w:rPr>
              <w:t>Common Stock, par value $.01</w:t>
            </w:r>
          </w:p>
        </w:tc>
        <w:tc>
          <w:tcPr>
            <w:tcW w:w="3880" w:type="dxa"/>
            <w:vAlign w:val="bottom"/>
            <w:gridSpan w:val="2"/>
          </w:tcPr>
          <w:p>
            <w:pPr>
              <w:jc w:val="right"/>
              <w:ind w:right="640"/>
              <w:spacing w:after="0"/>
              <w:rPr>
                <w:sz w:val="20"/>
                <w:szCs w:val="20"/>
                <w:color w:val="auto"/>
              </w:rPr>
            </w:pPr>
            <w:r>
              <w:rPr>
                <w:rFonts w:ascii="Arial" w:cs="Arial" w:eastAsia="Arial" w:hAnsi="Arial"/>
                <w:sz w:val="18"/>
                <w:szCs w:val="18"/>
                <w:b w:val="1"/>
                <w:bCs w:val="1"/>
                <w:color w:val="auto"/>
              </w:rPr>
              <w:t>37,963,797</w:t>
            </w:r>
          </w:p>
        </w:tc>
        <w:tc>
          <w:tcPr>
            <w:tcW w:w="1620" w:type="dxa"/>
            <w:vAlign w:val="bottom"/>
          </w:tcPr>
          <w:p>
            <w:pPr>
              <w:spacing w:after="0"/>
              <w:rPr>
                <w:sz w:val="21"/>
                <w:szCs w:val="21"/>
                <w:color w:val="auto"/>
              </w:rPr>
            </w:pPr>
          </w:p>
        </w:tc>
        <w:tc>
          <w:tcPr>
            <w:tcW w:w="20" w:type="dxa"/>
            <w:vAlign w:val="bottom"/>
          </w:tcPr>
          <w:p>
            <w:pPr>
              <w:spacing w:after="0"/>
              <w:rPr>
                <w:sz w:val="21"/>
                <w:szCs w:val="21"/>
                <w:color w:val="auto"/>
              </w:rPr>
            </w:pPr>
          </w:p>
        </w:tc>
      </w:tr>
      <w:tr>
        <w:trPr>
          <w:trHeight w:val="878"/>
        </w:trPr>
        <w:tc>
          <w:tcPr>
            <w:tcW w:w="20" w:type="dxa"/>
            <w:vAlign w:val="bottom"/>
          </w:tcPr>
          <w:p>
            <w:pPr>
              <w:spacing w:after="0"/>
              <w:rPr>
                <w:sz w:val="24"/>
                <w:szCs w:val="24"/>
                <w:color w:val="auto"/>
              </w:rPr>
            </w:pPr>
          </w:p>
        </w:tc>
        <w:tc>
          <w:tcPr>
            <w:tcW w:w="260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2780" w:type="dxa"/>
            <w:vAlign w:val="bottom"/>
            <w:tcBorders>
              <w:bottom w:val="single" w:sz="8" w:color="auto"/>
            </w:tcBorders>
          </w:tcPr>
          <w:p>
            <w:pPr>
              <w:spacing w:after="0"/>
              <w:rPr>
                <w:sz w:val="24"/>
                <w:szCs w:val="24"/>
                <w:color w:val="auto"/>
              </w:rPr>
            </w:pPr>
          </w:p>
        </w:tc>
        <w:tc>
          <w:tcPr>
            <w:tcW w:w="1780" w:type="dxa"/>
            <w:vAlign w:val="bottom"/>
            <w:tcBorders>
              <w:bottom w:val="single" w:sz="8" w:color="auto"/>
            </w:tcBorders>
          </w:tcPr>
          <w:p>
            <w:pPr>
              <w:spacing w:after="0"/>
              <w:rPr>
                <w:sz w:val="24"/>
                <w:szCs w:val="24"/>
                <w:color w:val="auto"/>
              </w:rPr>
            </w:pPr>
          </w:p>
        </w:tc>
        <w:tc>
          <w:tcPr>
            <w:tcW w:w="2100" w:type="dxa"/>
            <w:vAlign w:val="bottom"/>
            <w:tcBorders>
              <w:bottom w:val="single" w:sz="8" w:color="auto"/>
            </w:tcBorders>
          </w:tcPr>
          <w:p>
            <w:pPr>
              <w:spacing w:after="0"/>
              <w:rPr>
                <w:sz w:val="24"/>
                <w:szCs w:val="24"/>
                <w:color w:val="auto"/>
              </w:rPr>
            </w:pPr>
          </w:p>
        </w:tc>
        <w:tc>
          <w:tcPr>
            <w:tcW w:w="162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r>
      <w:tr>
        <w:trPr>
          <w:trHeight w:val="34"/>
        </w:trPr>
        <w:tc>
          <w:tcPr>
            <w:tcW w:w="20" w:type="dxa"/>
            <w:vAlign w:val="bottom"/>
          </w:tcPr>
          <w:p>
            <w:pPr>
              <w:spacing w:after="0"/>
              <w:rPr>
                <w:sz w:val="2"/>
                <w:szCs w:val="2"/>
                <w:color w:val="auto"/>
              </w:rPr>
            </w:pPr>
          </w:p>
        </w:tc>
        <w:tc>
          <w:tcPr>
            <w:tcW w:w="26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2780" w:type="dxa"/>
            <w:vAlign w:val="bottom"/>
            <w:tcBorders>
              <w:bottom w:val="single" w:sz="8" w:color="auto"/>
            </w:tcBorders>
          </w:tcPr>
          <w:p>
            <w:pPr>
              <w:spacing w:after="0"/>
              <w:rPr>
                <w:sz w:val="2"/>
                <w:szCs w:val="2"/>
                <w:color w:val="auto"/>
              </w:rPr>
            </w:pPr>
          </w:p>
        </w:tc>
        <w:tc>
          <w:tcPr>
            <w:tcW w:w="1780" w:type="dxa"/>
            <w:vAlign w:val="bottom"/>
            <w:tcBorders>
              <w:bottom w:val="single" w:sz="8" w:color="auto"/>
            </w:tcBorders>
          </w:tcPr>
          <w:p>
            <w:pPr>
              <w:spacing w:after="0"/>
              <w:rPr>
                <w:sz w:val="2"/>
                <w:szCs w:val="2"/>
                <w:color w:val="auto"/>
              </w:rPr>
            </w:pPr>
          </w:p>
        </w:tc>
        <w:tc>
          <w:tcPr>
            <w:tcW w:w="210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r>
      <w:tr>
        <w:trPr>
          <w:trHeight w:val="1742"/>
        </w:trPr>
        <w:tc>
          <w:tcPr>
            <w:tcW w:w="20" w:type="dxa"/>
            <w:vAlign w:val="bottom"/>
            <w:tcBorders>
              <w:bottom w:val="single" w:sz="8" w:color="9A9A9A"/>
            </w:tcBorders>
          </w:tcPr>
          <w:p>
            <w:pPr>
              <w:spacing w:after="0"/>
              <w:rPr>
                <w:sz w:val="24"/>
                <w:szCs w:val="24"/>
                <w:color w:val="auto"/>
              </w:rPr>
            </w:pPr>
          </w:p>
        </w:tc>
        <w:tc>
          <w:tcPr>
            <w:tcW w:w="260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2780" w:type="dxa"/>
            <w:vAlign w:val="bottom"/>
            <w:tcBorders>
              <w:bottom w:val="single" w:sz="8" w:color="9A9A9A"/>
            </w:tcBorders>
          </w:tcPr>
          <w:p>
            <w:pPr>
              <w:spacing w:after="0"/>
              <w:rPr>
                <w:sz w:val="24"/>
                <w:szCs w:val="24"/>
                <w:color w:val="auto"/>
              </w:rPr>
            </w:pPr>
          </w:p>
        </w:tc>
        <w:tc>
          <w:tcPr>
            <w:tcW w:w="1780" w:type="dxa"/>
            <w:vAlign w:val="bottom"/>
            <w:tcBorders>
              <w:bottom w:val="single" w:sz="8" w:color="9A9A9A"/>
            </w:tcBorders>
          </w:tcPr>
          <w:p>
            <w:pPr>
              <w:spacing w:after="0"/>
              <w:rPr>
                <w:sz w:val="24"/>
                <w:szCs w:val="24"/>
                <w:color w:val="auto"/>
              </w:rPr>
            </w:pPr>
          </w:p>
        </w:tc>
        <w:tc>
          <w:tcPr>
            <w:tcW w:w="2100" w:type="dxa"/>
            <w:vAlign w:val="bottom"/>
            <w:tcBorders>
              <w:bottom w:val="single" w:sz="8" w:color="9A9A9A"/>
            </w:tcBorders>
          </w:tcPr>
          <w:p>
            <w:pPr>
              <w:spacing w:after="0"/>
              <w:rPr>
                <w:sz w:val="24"/>
                <w:szCs w:val="24"/>
                <w:color w:val="auto"/>
              </w:rPr>
            </w:pPr>
          </w:p>
        </w:tc>
        <w:tc>
          <w:tcPr>
            <w:tcW w:w="16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-8255</wp:posOffset>
            </wp:positionV>
            <wp:extent cx="8255"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 w:name="page3"/>
    <w:bookmarkEnd w:id="2"/>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AngioDynamics, Inc. and Subsidiaries</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TABLE OF CONTENTS</w:t>
      </w:r>
    </w:p>
    <w:p>
      <w:pPr>
        <w:spacing w:after="0" w:line="302" w:lineRule="exact"/>
        <w:rPr>
          <w:sz w:val="20"/>
          <w:szCs w:val="20"/>
          <w:color w:val="auto"/>
        </w:rPr>
      </w:pPr>
    </w:p>
    <w:tbl>
      <w:tblPr>
        <w:tblLayout w:type="fixed"/>
        <w:tblInd w:w="20" w:type="dxa"/>
        <w:tblCellMar>
          <w:top w:w="0" w:type="dxa"/>
          <w:left w:w="0" w:type="dxa"/>
          <w:bottom w:w="0" w:type="dxa"/>
          <w:right w:w="0" w:type="dxa"/>
        </w:tblCellMar>
      </w:tblPr>
      <w:tr>
        <w:trPr>
          <w:trHeight w:val="192"/>
        </w:trPr>
        <w:tc>
          <w:tcPr>
            <w:tcW w:w="820" w:type="dxa"/>
            <w:vAlign w:val="bottom"/>
          </w:tcPr>
          <w:p>
            <w:pPr>
              <w:spacing w:after="0"/>
              <w:rPr>
                <w:sz w:val="16"/>
                <w:szCs w:val="16"/>
                <w:color w:val="auto"/>
              </w:rPr>
            </w:pPr>
          </w:p>
        </w:tc>
        <w:tc>
          <w:tcPr>
            <w:tcW w:w="9460" w:type="dxa"/>
            <w:vAlign w:val="bottom"/>
          </w:tcPr>
          <w:p>
            <w:pPr>
              <w:spacing w:after="0"/>
              <w:rPr>
                <w:sz w:val="16"/>
                <w:szCs w:val="16"/>
                <w:color w:val="auto"/>
              </w:rPr>
            </w:pPr>
          </w:p>
        </w:tc>
        <w:tc>
          <w:tcPr>
            <w:tcW w:w="920" w:type="dxa"/>
            <w:vAlign w:val="bottom"/>
            <w:tcBorders>
              <w:bottom w:val="single" w:sz="8" w:color="auto"/>
            </w:tcBorders>
          </w:tcPr>
          <w:p>
            <w:pPr>
              <w:jc w:val="right"/>
              <w:ind w:right="231"/>
              <w:spacing w:after="0"/>
              <w:rPr>
                <w:sz w:val="20"/>
                <w:szCs w:val="20"/>
                <w:color w:val="auto"/>
              </w:rPr>
            </w:pPr>
            <w:r>
              <w:rPr>
                <w:rFonts w:ascii="Arial" w:cs="Arial" w:eastAsia="Arial" w:hAnsi="Arial"/>
                <w:sz w:val="14"/>
                <w:szCs w:val="14"/>
                <w:b w:val="1"/>
                <w:bCs w:val="1"/>
                <w:color w:val="auto"/>
              </w:rPr>
              <w:t>Page</w:t>
            </w:r>
          </w:p>
        </w:tc>
      </w:tr>
      <w:tr>
        <w:trPr>
          <w:trHeight w:val="216"/>
        </w:trPr>
        <w:tc>
          <w:tcPr>
            <w:tcW w:w="820" w:type="dxa"/>
            <w:vAlign w:val="bottom"/>
          </w:tcPr>
          <w:p>
            <w:pPr>
              <w:spacing w:after="0"/>
              <w:rPr>
                <w:sz w:val="18"/>
                <w:szCs w:val="18"/>
                <w:color w:val="auto"/>
              </w:rPr>
            </w:pPr>
          </w:p>
        </w:tc>
        <w:tc>
          <w:tcPr>
            <w:tcW w:w="9460" w:type="dxa"/>
            <w:vAlign w:val="bottom"/>
          </w:tcPr>
          <w:p>
            <w:pPr>
              <w:ind w:left="3660"/>
              <w:spacing w:after="0"/>
              <w:rPr>
                <w:rFonts w:ascii="Arial" w:cs="Arial" w:eastAsia="Arial" w:hAnsi="Arial"/>
                <w:sz w:val="18"/>
                <w:szCs w:val="18"/>
                <w:b w:val="1"/>
                <w:bCs w:val="1"/>
                <w:u w:val="single" w:color="auto"/>
                <w:color w:val="0000FF"/>
              </w:rPr>
            </w:pPr>
            <w:hyperlink w:anchor="page3">
              <w:r>
                <w:rPr>
                  <w:rFonts w:ascii="Arial" w:cs="Arial" w:eastAsia="Arial" w:hAnsi="Arial"/>
                  <w:sz w:val="18"/>
                  <w:szCs w:val="18"/>
                  <w:b w:val="1"/>
                  <w:bCs w:val="1"/>
                  <w:u w:val="single" w:color="auto"/>
                  <w:color w:val="0000FF"/>
                </w:rPr>
                <w:t>Part I: Financial Information</w:t>
              </w:r>
            </w:hyperlink>
          </w:p>
        </w:tc>
        <w:tc>
          <w:tcPr>
            <w:tcW w:w="920" w:type="dxa"/>
            <w:vAlign w:val="bottom"/>
          </w:tcPr>
          <w:p>
            <w:pPr>
              <w:spacing w:after="0"/>
              <w:rPr>
                <w:sz w:val="18"/>
                <w:szCs w:val="18"/>
                <w:color w:val="auto"/>
              </w:rPr>
            </w:pPr>
          </w:p>
        </w:tc>
      </w:tr>
      <w:tr>
        <w:trPr>
          <w:trHeight w:val="283"/>
        </w:trPr>
        <w:tc>
          <w:tcPr>
            <w:tcW w:w="820" w:type="dxa"/>
            <w:vAlign w:val="bottom"/>
          </w:tcPr>
          <w:p>
            <w:pPr>
              <w:spacing w:after="0"/>
              <w:rPr>
                <w:sz w:val="20"/>
                <w:szCs w:val="20"/>
                <w:color w:val="auto"/>
              </w:rPr>
            </w:pPr>
            <w:r>
              <w:rPr>
                <w:rFonts w:ascii="Arial" w:cs="Arial" w:eastAsia="Arial" w:hAnsi="Arial"/>
                <w:sz w:val="18"/>
                <w:szCs w:val="18"/>
                <w:b w:val="1"/>
                <w:bCs w:val="1"/>
                <w:color w:val="auto"/>
              </w:rPr>
              <w:t>Item 1.</w:t>
            </w:r>
          </w:p>
        </w:tc>
        <w:tc>
          <w:tcPr>
            <w:tcW w:w="9460" w:type="dxa"/>
            <w:vAlign w:val="bottom"/>
          </w:tcPr>
          <w:p>
            <w:pPr>
              <w:ind w:left="140"/>
              <w:spacing w:after="0"/>
              <w:rPr>
                <w:rFonts w:ascii="Arial" w:cs="Arial" w:eastAsia="Arial" w:hAnsi="Arial"/>
                <w:sz w:val="18"/>
                <w:szCs w:val="18"/>
                <w:b w:val="1"/>
                <w:bCs w:val="1"/>
                <w:u w:val="single" w:color="auto"/>
                <w:color w:val="0000FF"/>
              </w:rPr>
            </w:pPr>
            <w:hyperlink w:anchor="page4">
              <w:r>
                <w:rPr>
                  <w:rFonts w:ascii="Arial" w:cs="Arial" w:eastAsia="Arial" w:hAnsi="Arial"/>
                  <w:sz w:val="18"/>
                  <w:szCs w:val="18"/>
                  <w:b w:val="1"/>
                  <w:bCs w:val="1"/>
                  <w:u w:val="single" w:color="auto"/>
                  <w:color w:val="0000FF"/>
                </w:rPr>
                <w:t>Financial Statements</w:t>
              </w:r>
            </w:hyperlink>
          </w:p>
        </w:tc>
        <w:tc>
          <w:tcPr>
            <w:tcW w:w="920" w:type="dxa"/>
            <w:vAlign w:val="bottom"/>
          </w:tcPr>
          <w:p>
            <w:pPr>
              <w:spacing w:after="0"/>
              <w:rPr>
                <w:sz w:val="24"/>
                <w:szCs w:val="24"/>
                <w:color w:val="auto"/>
              </w:rPr>
            </w:pPr>
          </w:p>
        </w:tc>
      </w:tr>
      <w:tr>
        <w:trPr>
          <w:trHeight w:val="283"/>
        </w:trPr>
        <w:tc>
          <w:tcPr>
            <w:tcW w:w="820" w:type="dxa"/>
            <w:vAlign w:val="bottom"/>
          </w:tcPr>
          <w:p>
            <w:pPr>
              <w:spacing w:after="0"/>
              <w:rPr>
                <w:sz w:val="24"/>
                <w:szCs w:val="24"/>
                <w:color w:val="auto"/>
              </w:rPr>
            </w:pPr>
          </w:p>
        </w:tc>
        <w:tc>
          <w:tcPr>
            <w:tcW w:w="9460" w:type="dxa"/>
            <w:vAlign w:val="bottom"/>
          </w:tcPr>
          <w:p>
            <w:pPr>
              <w:ind w:left="140"/>
              <w:spacing w:after="0"/>
              <w:rPr>
                <w:rFonts w:ascii="Arial" w:cs="Arial" w:eastAsia="Arial" w:hAnsi="Arial"/>
                <w:sz w:val="18"/>
                <w:szCs w:val="18"/>
                <w:u w:val="single" w:color="auto"/>
                <w:color w:val="0000FF"/>
              </w:rPr>
            </w:pPr>
            <w:hyperlink w:anchor="page4">
              <w:r>
                <w:rPr>
                  <w:rFonts w:ascii="Arial" w:cs="Arial" w:eastAsia="Arial" w:hAnsi="Arial"/>
                  <w:sz w:val="18"/>
                  <w:szCs w:val="18"/>
                  <w:u w:val="single" w:color="auto"/>
                  <w:color w:val="0000FF"/>
                </w:rPr>
                <w:t>Consolidated Statements of Operations (unaudited)</w:t>
              </w:r>
            </w:hyperlink>
          </w:p>
        </w:tc>
        <w:tc>
          <w:tcPr>
            <w:tcW w:w="920" w:type="dxa"/>
            <w:vAlign w:val="bottom"/>
          </w:tcPr>
          <w:p>
            <w:pPr>
              <w:jc w:val="right"/>
              <w:spacing w:after="0"/>
              <w:rPr>
                <w:rFonts w:ascii="Arial" w:cs="Arial" w:eastAsia="Arial" w:hAnsi="Arial"/>
                <w:sz w:val="18"/>
                <w:szCs w:val="18"/>
                <w:u w:val="single" w:color="auto"/>
                <w:color w:val="0000FF"/>
              </w:rPr>
            </w:pPr>
            <w:hyperlink w:anchor="page4">
              <w:r>
                <w:rPr>
                  <w:rFonts w:ascii="Arial" w:cs="Arial" w:eastAsia="Arial" w:hAnsi="Arial"/>
                  <w:sz w:val="18"/>
                  <w:szCs w:val="18"/>
                  <w:u w:val="single" w:color="auto"/>
                  <w:color w:val="0000FF"/>
                </w:rPr>
                <w:t>3</w:t>
              </w:r>
            </w:hyperlink>
          </w:p>
        </w:tc>
      </w:tr>
      <w:tr>
        <w:trPr>
          <w:trHeight w:val="283"/>
        </w:trPr>
        <w:tc>
          <w:tcPr>
            <w:tcW w:w="820" w:type="dxa"/>
            <w:vAlign w:val="bottom"/>
          </w:tcPr>
          <w:p>
            <w:pPr>
              <w:spacing w:after="0"/>
              <w:rPr>
                <w:sz w:val="24"/>
                <w:szCs w:val="24"/>
                <w:color w:val="auto"/>
              </w:rPr>
            </w:pPr>
          </w:p>
        </w:tc>
        <w:tc>
          <w:tcPr>
            <w:tcW w:w="9460" w:type="dxa"/>
            <w:vAlign w:val="bottom"/>
          </w:tcPr>
          <w:p>
            <w:pPr>
              <w:ind w:left="140"/>
              <w:spacing w:after="0"/>
              <w:rPr>
                <w:rFonts w:ascii="Arial" w:cs="Arial" w:eastAsia="Arial" w:hAnsi="Arial"/>
                <w:sz w:val="18"/>
                <w:szCs w:val="18"/>
                <w:u w:val="single" w:color="auto"/>
                <w:color w:val="0000FF"/>
              </w:rPr>
            </w:pPr>
            <w:hyperlink w:anchor="page4">
              <w:r>
                <w:rPr>
                  <w:rFonts w:ascii="Arial" w:cs="Arial" w:eastAsia="Arial" w:hAnsi="Arial"/>
                  <w:sz w:val="18"/>
                  <w:szCs w:val="18"/>
                  <w:u w:val="single" w:color="auto"/>
                  <w:color w:val="0000FF"/>
                </w:rPr>
                <w:t>Consolidated Statements of Comprehensive Loss (unaudited)</w:t>
              </w:r>
            </w:hyperlink>
          </w:p>
        </w:tc>
        <w:tc>
          <w:tcPr>
            <w:tcW w:w="920" w:type="dxa"/>
            <w:vAlign w:val="bottom"/>
          </w:tcPr>
          <w:p>
            <w:pPr>
              <w:jc w:val="right"/>
              <w:spacing w:after="0"/>
              <w:rPr>
                <w:rFonts w:ascii="Arial" w:cs="Arial" w:eastAsia="Arial" w:hAnsi="Arial"/>
                <w:sz w:val="18"/>
                <w:szCs w:val="18"/>
                <w:u w:val="single" w:color="auto"/>
                <w:color w:val="0000FF"/>
              </w:rPr>
            </w:pPr>
            <w:hyperlink w:anchor="page4">
              <w:r>
                <w:rPr>
                  <w:rFonts w:ascii="Arial" w:cs="Arial" w:eastAsia="Arial" w:hAnsi="Arial"/>
                  <w:sz w:val="18"/>
                  <w:szCs w:val="18"/>
                  <w:u w:val="single" w:color="auto"/>
                  <w:color w:val="0000FF"/>
                </w:rPr>
                <w:t>4</w:t>
              </w:r>
            </w:hyperlink>
          </w:p>
        </w:tc>
      </w:tr>
      <w:tr>
        <w:trPr>
          <w:trHeight w:val="284"/>
        </w:trPr>
        <w:tc>
          <w:tcPr>
            <w:tcW w:w="820" w:type="dxa"/>
            <w:vAlign w:val="bottom"/>
          </w:tcPr>
          <w:p>
            <w:pPr>
              <w:spacing w:after="0"/>
              <w:rPr>
                <w:sz w:val="24"/>
                <w:szCs w:val="24"/>
                <w:color w:val="auto"/>
              </w:rPr>
            </w:pPr>
          </w:p>
        </w:tc>
        <w:tc>
          <w:tcPr>
            <w:tcW w:w="9460" w:type="dxa"/>
            <w:vAlign w:val="bottom"/>
          </w:tcPr>
          <w:p>
            <w:pPr>
              <w:ind w:left="140"/>
              <w:spacing w:after="0"/>
              <w:rPr>
                <w:rFonts w:ascii="Arial" w:cs="Arial" w:eastAsia="Arial" w:hAnsi="Arial"/>
                <w:sz w:val="18"/>
                <w:szCs w:val="18"/>
                <w:u w:val="single" w:color="auto"/>
                <w:color w:val="0000FF"/>
              </w:rPr>
            </w:pPr>
            <w:hyperlink w:anchor="page5">
              <w:r>
                <w:rPr>
                  <w:rFonts w:ascii="Arial" w:cs="Arial" w:eastAsia="Arial" w:hAnsi="Arial"/>
                  <w:sz w:val="18"/>
                  <w:szCs w:val="18"/>
                  <w:u w:val="single" w:color="auto"/>
                  <w:color w:val="0000FF"/>
                </w:rPr>
                <w:t>Consolidated Balance Sheets (unaudited)</w:t>
              </w:r>
            </w:hyperlink>
          </w:p>
        </w:tc>
        <w:tc>
          <w:tcPr>
            <w:tcW w:w="920" w:type="dxa"/>
            <w:vAlign w:val="bottom"/>
          </w:tcPr>
          <w:p>
            <w:pPr>
              <w:jc w:val="right"/>
              <w:spacing w:after="0"/>
              <w:rPr>
                <w:rFonts w:ascii="Arial" w:cs="Arial" w:eastAsia="Arial" w:hAnsi="Arial"/>
                <w:sz w:val="18"/>
                <w:szCs w:val="18"/>
                <w:u w:val="single" w:color="auto"/>
                <w:color w:val="0000FF"/>
              </w:rPr>
            </w:pPr>
            <w:hyperlink w:anchor="page5">
              <w:r>
                <w:rPr>
                  <w:rFonts w:ascii="Arial" w:cs="Arial" w:eastAsia="Arial" w:hAnsi="Arial"/>
                  <w:sz w:val="18"/>
                  <w:szCs w:val="18"/>
                  <w:u w:val="single" w:color="auto"/>
                  <w:color w:val="0000FF"/>
                </w:rPr>
                <w:t>5</w:t>
              </w:r>
            </w:hyperlink>
          </w:p>
        </w:tc>
      </w:tr>
      <w:tr>
        <w:trPr>
          <w:trHeight w:val="283"/>
        </w:trPr>
        <w:tc>
          <w:tcPr>
            <w:tcW w:w="820" w:type="dxa"/>
            <w:vAlign w:val="bottom"/>
          </w:tcPr>
          <w:p>
            <w:pPr>
              <w:spacing w:after="0"/>
              <w:rPr>
                <w:sz w:val="24"/>
                <w:szCs w:val="24"/>
                <w:color w:val="auto"/>
              </w:rPr>
            </w:pPr>
          </w:p>
        </w:tc>
        <w:tc>
          <w:tcPr>
            <w:tcW w:w="9460" w:type="dxa"/>
            <w:vAlign w:val="bottom"/>
          </w:tcPr>
          <w:p>
            <w:pPr>
              <w:ind w:left="140"/>
              <w:spacing w:after="0"/>
              <w:rPr>
                <w:rFonts w:ascii="Arial" w:cs="Arial" w:eastAsia="Arial" w:hAnsi="Arial"/>
                <w:sz w:val="18"/>
                <w:szCs w:val="18"/>
                <w:u w:val="single" w:color="auto"/>
                <w:color w:val="0000FF"/>
              </w:rPr>
            </w:pPr>
            <w:hyperlink w:anchor="page6">
              <w:r>
                <w:rPr>
                  <w:rFonts w:ascii="Arial" w:cs="Arial" w:eastAsia="Arial" w:hAnsi="Arial"/>
                  <w:sz w:val="18"/>
                  <w:szCs w:val="18"/>
                  <w:u w:val="single" w:color="auto"/>
                  <w:color w:val="0000FF"/>
                </w:rPr>
                <w:t>Consolidated Statements of Cash Flows (unaudited)</w:t>
              </w:r>
            </w:hyperlink>
          </w:p>
        </w:tc>
        <w:tc>
          <w:tcPr>
            <w:tcW w:w="920" w:type="dxa"/>
            <w:vAlign w:val="bottom"/>
          </w:tcPr>
          <w:p>
            <w:pPr>
              <w:jc w:val="right"/>
              <w:spacing w:after="0"/>
              <w:rPr>
                <w:rFonts w:ascii="Arial" w:cs="Arial" w:eastAsia="Arial" w:hAnsi="Arial"/>
                <w:sz w:val="18"/>
                <w:szCs w:val="18"/>
                <w:u w:val="single" w:color="auto"/>
                <w:color w:val="0000FF"/>
              </w:rPr>
            </w:pPr>
            <w:hyperlink w:anchor="page6">
              <w:r>
                <w:rPr>
                  <w:rFonts w:ascii="Arial" w:cs="Arial" w:eastAsia="Arial" w:hAnsi="Arial"/>
                  <w:sz w:val="18"/>
                  <w:szCs w:val="18"/>
                  <w:u w:val="single" w:color="auto"/>
                  <w:color w:val="0000FF"/>
                </w:rPr>
                <w:t>6</w:t>
              </w:r>
            </w:hyperlink>
          </w:p>
        </w:tc>
      </w:tr>
      <w:tr>
        <w:trPr>
          <w:trHeight w:val="283"/>
        </w:trPr>
        <w:tc>
          <w:tcPr>
            <w:tcW w:w="820" w:type="dxa"/>
            <w:vAlign w:val="bottom"/>
          </w:tcPr>
          <w:p>
            <w:pPr>
              <w:spacing w:after="0"/>
              <w:rPr>
                <w:sz w:val="24"/>
                <w:szCs w:val="24"/>
                <w:color w:val="auto"/>
              </w:rPr>
            </w:pPr>
          </w:p>
        </w:tc>
        <w:tc>
          <w:tcPr>
            <w:tcW w:w="9460" w:type="dxa"/>
            <w:vAlign w:val="bottom"/>
          </w:tcPr>
          <w:p>
            <w:pPr>
              <w:ind w:left="140"/>
              <w:spacing w:after="0"/>
              <w:rPr>
                <w:rFonts w:ascii="Arial" w:cs="Arial" w:eastAsia="Arial" w:hAnsi="Arial"/>
                <w:sz w:val="18"/>
                <w:szCs w:val="18"/>
                <w:u w:val="single" w:color="auto"/>
                <w:color w:val="0000FF"/>
              </w:rPr>
            </w:pPr>
            <w:hyperlink w:anchor="page7">
              <w:r>
                <w:rPr>
                  <w:rFonts w:ascii="Arial" w:cs="Arial" w:eastAsia="Arial" w:hAnsi="Arial"/>
                  <w:sz w:val="18"/>
                  <w:szCs w:val="18"/>
                  <w:u w:val="single" w:color="auto"/>
                  <w:color w:val="0000FF"/>
                </w:rPr>
                <w:t>Consolidated Statements of Stockholders’ Equity (unaudited)</w:t>
              </w:r>
            </w:hyperlink>
          </w:p>
        </w:tc>
        <w:tc>
          <w:tcPr>
            <w:tcW w:w="920" w:type="dxa"/>
            <w:vAlign w:val="bottom"/>
          </w:tcPr>
          <w:p>
            <w:pPr>
              <w:jc w:val="right"/>
              <w:spacing w:after="0"/>
              <w:rPr>
                <w:rFonts w:ascii="Arial" w:cs="Arial" w:eastAsia="Arial" w:hAnsi="Arial"/>
                <w:sz w:val="18"/>
                <w:szCs w:val="18"/>
                <w:u w:val="single" w:color="auto"/>
                <w:color w:val="0000FF"/>
              </w:rPr>
            </w:pPr>
            <w:hyperlink w:anchor="page7">
              <w:r>
                <w:rPr>
                  <w:rFonts w:ascii="Arial" w:cs="Arial" w:eastAsia="Arial" w:hAnsi="Arial"/>
                  <w:sz w:val="18"/>
                  <w:szCs w:val="18"/>
                  <w:u w:val="single" w:color="auto"/>
                  <w:color w:val="0000FF"/>
                </w:rPr>
                <w:t>7</w:t>
              </w:r>
            </w:hyperlink>
          </w:p>
        </w:tc>
      </w:tr>
      <w:tr>
        <w:trPr>
          <w:trHeight w:val="283"/>
        </w:trPr>
        <w:tc>
          <w:tcPr>
            <w:tcW w:w="820" w:type="dxa"/>
            <w:vAlign w:val="bottom"/>
          </w:tcPr>
          <w:p>
            <w:pPr>
              <w:spacing w:after="0"/>
              <w:rPr>
                <w:sz w:val="24"/>
                <w:szCs w:val="24"/>
                <w:color w:val="auto"/>
              </w:rPr>
            </w:pPr>
          </w:p>
        </w:tc>
        <w:tc>
          <w:tcPr>
            <w:tcW w:w="9460" w:type="dxa"/>
            <w:vAlign w:val="bottom"/>
          </w:tcPr>
          <w:p>
            <w:pPr>
              <w:ind w:left="140"/>
              <w:spacing w:after="0"/>
              <w:rPr>
                <w:rFonts w:ascii="Arial" w:cs="Arial" w:eastAsia="Arial" w:hAnsi="Arial"/>
                <w:sz w:val="18"/>
                <w:szCs w:val="18"/>
                <w:u w:val="single" w:color="auto"/>
                <w:color w:val="0000FF"/>
              </w:rPr>
            </w:pPr>
            <w:hyperlink w:anchor="page8">
              <w:r>
                <w:rPr>
                  <w:rFonts w:ascii="Arial" w:cs="Arial" w:eastAsia="Arial" w:hAnsi="Arial"/>
                  <w:sz w:val="18"/>
                  <w:szCs w:val="18"/>
                  <w:u w:val="single" w:color="auto"/>
                  <w:color w:val="0000FF"/>
                </w:rPr>
                <w:t>Notes to Consolidated Financial Statements (unaudited)</w:t>
              </w:r>
            </w:hyperlink>
          </w:p>
        </w:tc>
        <w:tc>
          <w:tcPr>
            <w:tcW w:w="920" w:type="dxa"/>
            <w:vAlign w:val="bottom"/>
          </w:tcPr>
          <w:p>
            <w:pPr>
              <w:jc w:val="right"/>
              <w:spacing w:after="0"/>
              <w:rPr>
                <w:rFonts w:ascii="Arial" w:cs="Arial" w:eastAsia="Arial" w:hAnsi="Arial"/>
                <w:sz w:val="18"/>
                <w:szCs w:val="18"/>
                <w:u w:val="single" w:color="auto"/>
                <w:color w:val="0000FF"/>
              </w:rPr>
            </w:pPr>
            <w:hyperlink w:anchor="page8">
              <w:r>
                <w:rPr>
                  <w:rFonts w:ascii="Arial" w:cs="Arial" w:eastAsia="Arial" w:hAnsi="Arial"/>
                  <w:sz w:val="18"/>
                  <w:szCs w:val="18"/>
                  <w:u w:val="single" w:color="auto"/>
                  <w:color w:val="0000FF"/>
                </w:rPr>
                <w:t>8</w:t>
              </w:r>
            </w:hyperlink>
          </w:p>
        </w:tc>
      </w:tr>
      <w:tr>
        <w:trPr>
          <w:trHeight w:val="283"/>
        </w:trPr>
        <w:tc>
          <w:tcPr>
            <w:tcW w:w="820" w:type="dxa"/>
            <w:vAlign w:val="bottom"/>
          </w:tcPr>
          <w:p>
            <w:pPr>
              <w:spacing w:after="0"/>
              <w:rPr>
                <w:sz w:val="20"/>
                <w:szCs w:val="20"/>
                <w:color w:val="auto"/>
              </w:rPr>
            </w:pPr>
            <w:r>
              <w:rPr>
                <w:rFonts w:ascii="Arial" w:cs="Arial" w:eastAsia="Arial" w:hAnsi="Arial"/>
                <w:sz w:val="18"/>
                <w:szCs w:val="18"/>
                <w:b w:val="1"/>
                <w:bCs w:val="1"/>
                <w:color w:val="auto"/>
              </w:rPr>
              <w:t>Item 2.</w:t>
            </w:r>
          </w:p>
        </w:tc>
        <w:tc>
          <w:tcPr>
            <w:tcW w:w="9460" w:type="dxa"/>
            <w:vAlign w:val="bottom"/>
          </w:tcPr>
          <w:p>
            <w:pPr>
              <w:ind w:left="140"/>
              <w:spacing w:after="0"/>
              <w:rPr>
                <w:rFonts w:ascii="Arial" w:cs="Arial" w:eastAsia="Arial" w:hAnsi="Arial"/>
                <w:sz w:val="18"/>
                <w:szCs w:val="18"/>
                <w:b w:val="1"/>
                <w:bCs w:val="1"/>
                <w:u w:val="single" w:color="auto"/>
                <w:color w:val="0000FF"/>
              </w:rPr>
            </w:pPr>
            <w:hyperlink w:anchor="page23">
              <w:r>
                <w:rPr>
                  <w:rFonts w:ascii="Arial" w:cs="Arial" w:eastAsia="Arial" w:hAnsi="Arial"/>
                  <w:sz w:val="18"/>
                  <w:szCs w:val="18"/>
                  <w:b w:val="1"/>
                  <w:bCs w:val="1"/>
                  <w:u w:val="single" w:color="auto"/>
                  <w:color w:val="0000FF"/>
                </w:rPr>
                <w:t>Management’s Discussion and Analysis of Financial Condition and Results of Operations</w:t>
              </w:r>
            </w:hyperlink>
          </w:p>
        </w:tc>
        <w:tc>
          <w:tcPr>
            <w:tcW w:w="920" w:type="dxa"/>
            <w:vAlign w:val="bottom"/>
          </w:tcPr>
          <w:p>
            <w:pPr>
              <w:jc w:val="right"/>
              <w:spacing w:after="0"/>
              <w:rPr>
                <w:rFonts w:ascii="Arial" w:cs="Arial" w:eastAsia="Arial" w:hAnsi="Arial"/>
                <w:sz w:val="18"/>
                <w:szCs w:val="18"/>
                <w:u w:val="single" w:color="auto"/>
                <w:color w:val="0000FF"/>
              </w:rPr>
            </w:pPr>
            <w:hyperlink w:anchor="page23">
              <w:r>
                <w:rPr>
                  <w:rFonts w:ascii="Arial" w:cs="Arial" w:eastAsia="Arial" w:hAnsi="Arial"/>
                  <w:sz w:val="18"/>
                  <w:szCs w:val="18"/>
                  <w:u w:val="single" w:color="auto"/>
                  <w:color w:val="0000FF"/>
                </w:rPr>
                <w:t>23</w:t>
              </w:r>
            </w:hyperlink>
          </w:p>
        </w:tc>
      </w:tr>
      <w:tr>
        <w:trPr>
          <w:trHeight w:val="283"/>
        </w:trPr>
        <w:tc>
          <w:tcPr>
            <w:tcW w:w="820" w:type="dxa"/>
            <w:vAlign w:val="bottom"/>
          </w:tcPr>
          <w:p>
            <w:pPr>
              <w:spacing w:after="0"/>
              <w:rPr>
                <w:sz w:val="20"/>
                <w:szCs w:val="20"/>
                <w:color w:val="auto"/>
              </w:rPr>
            </w:pPr>
            <w:r>
              <w:rPr>
                <w:rFonts w:ascii="Arial" w:cs="Arial" w:eastAsia="Arial" w:hAnsi="Arial"/>
                <w:sz w:val="18"/>
                <w:szCs w:val="18"/>
                <w:b w:val="1"/>
                <w:bCs w:val="1"/>
                <w:color w:val="auto"/>
              </w:rPr>
              <w:t>Item 3.</w:t>
            </w:r>
          </w:p>
        </w:tc>
        <w:tc>
          <w:tcPr>
            <w:tcW w:w="9460" w:type="dxa"/>
            <w:vAlign w:val="bottom"/>
          </w:tcPr>
          <w:p>
            <w:pPr>
              <w:ind w:left="140"/>
              <w:spacing w:after="0"/>
              <w:rPr>
                <w:rFonts w:ascii="Arial" w:cs="Arial" w:eastAsia="Arial" w:hAnsi="Arial"/>
                <w:sz w:val="18"/>
                <w:szCs w:val="18"/>
                <w:b w:val="1"/>
                <w:bCs w:val="1"/>
                <w:u w:val="single" w:color="auto"/>
                <w:color w:val="0000FF"/>
              </w:rPr>
            </w:pPr>
            <w:hyperlink w:anchor="page33">
              <w:r>
                <w:rPr>
                  <w:rFonts w:ascii="Arial" w:cs="Arial" w:eastAsia="Arial" w:hAnsi="Arial"/>
                  <w:sz w:val="18"/>
                  <w:szCs w:val="18"/>
                  <w:b w:val="1"/>
                  <w:bCs w:val="1"/>
                  <w:u w:val="single" w:color="auto"/>
                  <w:color w:val="0000FF"/>
                </w:rPr>
                <w:t>Quantitative and Qualitative Disclosures About Market Risk</w:t>
              </w:r>
            </w:hyperlink>
          </w:p>
        </w:tc>
        <w:tc>
          <w:tcPr>
            <w:tcW w:w="920" w:type="dxa"/>
            <w:vAlign w:val="bottom"/>
          </w:tcPr>
          <w:p>
            <w:pPr>
              <w:jc w:val="right"/>
              <w:spacing w:after="0"/>
              <w:rPr>
                <w:rFonts w:ascii="Arial" w:cs="Arial" w:eastAsia="Arial" w:hAnsi="Arial"/>
                <w:sz w:val="18"/>
                <w:szCs w:val="18"/>
                <w:u w:val="single" w:color="auto"/>
                <w:color w:val="0000FF"/>
              </w:rPr>
            </w:pPr>
            <w:hyperlink w:anchor="page33">
              <w:r>
                <w:rPr>
                  <w:rFonts w:ascii="Arial" w:cs="Arial" w:eastAsia="Arial" w:hAnsi="Arial"/>
                  <w:sz w:val="18"/>
                  <w:szCs w:val="18"/>
                  <w:u w:val="single" w:color="auto"/>
                  <w:color w:val="0000FF"/>
                </w:rPr>
                <w:t>33</w:t>
              </w:r>
            </w:hyperlink>
          </w:p>
        </w:tc>
      </w:tr>
      <w:tr>
        <w:trPr>
          <w:trHeight w:val="284"/>
        </w:trPr>
        <w:tc>
          <w:tcPr>
            <w:tcW w:w="820" w:type="dxa"/>
            <w:vAlign w:val="bottom"/>
          </w:tcPr>
          <w:p>
            <w:pPr>
              <w:spacing w:after="0"/>
              <w:rPr>
                <w:sz w:val="20"/>
                <w:szCs w:val="20"/>
                <w:color w:val="auto"/>
              </w:rPr>
            </w:pPr>
            <w:r>
              <w:rPr>
                <w:rFonts w:ascii="Arial" w:cs="Arial" w:eastAsia="Arial" w:hAnsi="Arial"/>
                <w:sz w:val="18"/>
                <w:szCs w:val="18"/>
                <w:b w:val="1"/>
                <w:bCs w:val="1"/>
                <w:color w:val="auto"/>
              </w:rPr>
              <w:t>Item 4.</w:t>
            </w:r>
          </w:p>
        </w:tc>
        <w:tc>
          <w:tcPr>
            <w:tcW w:w="9460" w:type="dxa"/>
            <w:vAlign w:val="bottom"/>
          </w:tcPr>
          <w:p>
            <w:pPr>
              <w:ind w:left="140"/>
              <w:spacing w:after="0"/>
              <w:rPr>
                <w:rFonts w:ascii="Arial" w:cs="Arial" w:eastAsia="Arial" w:hAnsi="Arial"/>
                <w:sz w:val="18"/>
                <w:szCs w:val="18"/>
                <w:b w:val="1"/>
                <w:bCs w:val="1"/>
                <w:u w:val="single" w:color="auto"/>
                <w:color w:val="0000FF"/>
              </w:rPr>
            </w:pPr>
            <w:hyperlink w:anchor="page34">
              <w:r>
                <w:rPr>
                  <w:rFonts w:ascii="Arial" w:cs="Arial" w:eastAsia="Arial" w:hAnsi="Arial"/>
                  <w:sz w:val="18"/>
                  <w:szCs w:val="18"/>
                  <w:b w:val="1"/>
                  <w:bCs w:val="1"/>
                  <w:u w:val="single" w:color="auto"/>
                  <w:color w:val="0000FF"/>
                </w:rPr>
                <w:t>Controls and Procedures</w:t>
              </w:r>
            </w:hyperlink>
          </w:p>
        </w:tc>
        <w:tc>
          <w:tcPr>
            <w:tcW w:w="920" w:type="dxa"/>
            <w:vAlign w:val="bottom"/>
          </w:tcPr>
          <w:p>
            <w:pPr>
              <w:jc w:val="right"/>
              <w:spacing w:after="0"/>
              <w:rPr>
                <w:rFonts w:ascii="Arial" w:cs="Arial" w:eastAsia="Arial" w:hAnsi="Arial"/>
                <w:sz w:val="18"/>
                <w:szCs w:val="18"/>
                <w:u w:val="single" w:color="auto"/>
                <w:color w:val="0000FF"/>
              </w:rPr>
            </w:pPr>
            <w:hyperlink w:anchor="page34">
              <w:r>
                <w:rPr>
                  <w:rFonts w:ascii="Arial" w:cs="Arial" w:eastAsia="Arial" w:hAnsi="Arial"/>
                  <w:sz w:val="18"/>
                  <w:szCs w:val="18"/>
                  <w:u w:val="single" w:color="auto"/>
                  <w:color w:val="0000FF"/>
                </w:rPr>
                <w:t>34</w:t>
              </w:r>
            </w:hyperlink>
          </w:p>
        </w:tc>
      </w:tr>
      <w:tr>
        <w:trPr>
          <w:trHeight w:val="283"/>
        </w:trPr>
        <w:tc>
          <w:tcPr>
            <w:tcW w:w="820" w:type="dxa"/>
            <w:vAlign w:val="bottom"/>
          </w:tcPr>
          <w:p>
            <w:pPr>
              <w:spacing w:after="0"/>
              <w:rPr>
                <w:sz w:val="24"/>
                <w:szCs w:val="24"/>
                <w:color w:val="auto"/>
              </w:rPr>
            </w:pPr>
          </w:p>
        </w:tc>
        <w:tc>
          <w:tcPr>
            <w:tcW w:w="9460" w:type="dxa"/>
            <w:vAlign w:val="bottom"/>
          </w:tcPr>
          <w:p>
            <w:pPr>
              <w:ind w:left="3760"/>
              <w:spacing w:after="0"/>
              <w:rPr>
                <w:rFonts w:ascii="Arial" w:cs="Arial" w:eastAsia="Arial" w:hAnsi="Arial"/>
                <w:sz w:val="18"/>
                <w:szCs w:val="18"/>
                <w:b w:val="1"/>
                <w:bCs w:val="1"/>
                <w:u w:val="single" w:color="auto"/>
                <w:color w:val="0000FF"/>
              </w:rPr>
            </w:pPr>
            <w:hyperlink w:anchor="page35">
              <w:r>
                <w:rPr>
                  <w:rFonts w:ascii="Arial" w:cs="Arial" w:eastAsia="Arial" w:hAnsi="Arial"/>
                  <w:sz w:val="18"/>
                  <w:szCs w:val="18"/>
                  <w:b w:val="1"/>
                  <w:bCs w:val="1"/>
                  <w:u w:val="single" w:color="auto"/>
                  <w:color w:val="0000FF"/>
                </w:rPr>
                <w:t>Part II: Other Information</w:t>
              </w:r>
            </w:hyperlink>
          </w:p>
        </w:tc>
        <w:tc>
          <w:tcPr>
            <w:tcW w:w="920" w:type="dxa"/>
            <w:vAlign w:val="bottom"/>
          </w:tcPr>
          <w:p>
            <w:pPr>
              <w:spacing w:after="0"/>
              <w:rPr>
                <w:sz w:val="24"/>
                <w:szCs w:val="24"/>
                <w:color w:val="auto"/>
              </w:rPr>
            </w:pPr>
          </w:p>
        </w:tc>
      </w:tr>
      <w:tr>
        <w:trPr>
          <w:trHeight w:val="283"/>
        </w:trPr>
        <w:tc>
          <w:tcPr>
            <w:tcW w:w="820" w:type="dxa"/>
            <w:vAlign w:val="bottom"/>
          </w:tcPr>
          <w:p>
            <w:pPr>
              <w:spacing w:after="0"/>
              <w:rPr>
                <w:sz w:val="20"/>
                <w:szCs w:val="20"/>
                <w:color w:val="auto"/>
              </w:rPr>
            </w:pPr>
            <w:r>
              <w:rPr>
                <w:rFonts w:ascii="Arial" w:cs="Arial" w:eastAsia="Arial" w:hAnsi="Arial"/>
                <w:sz w:val="18"/>
                <w:szCs w:val="18"/>
                <w:b w:val="1"/>
                <w:bCs w:val="1"/>
                <w:color w:val="auto"/>
              </w:rPr>
              <w:t>Item 1.</w:t>
            </w:r>
          </w:p>
        </w:tc>
        <w:tc>
          <w:tcPr>
            <w:tcW w:w="9460" w:type="dxa"/>
            <w:vAlign w:val="bottom"/>
          </w:tcPr>
          <w:p>
            <w:pPr>
              <w:ind w:left="140"/>
              <w:spacing w:after="0"/>
              <w:rPr>
                <w:rFonts w:ascii="Arial" w:cs="Arial" w:eastAsia="Arial" w:hAnsi="Arial"/>
                <w:sz w:val="18"/>
                <w:szCs w:val="18"/>
                <w:b w:val="1"/>
                <w:bCs w:val="1"/>
                <w:u w:val="single" w:color="auto"/>
                <w:color w:val="0000FF"/>
              </w:rPr>
            </w:pPr>
            <w:hyperlink w:anchor="page36">
              <w:r>
                <w:rPr>
                  <w:rFonts w:ascii="Arial" w:cs="Arial" w:eastAsia="Arial" w:hAnsi="Arial"/>
                  <w:sz w:val="18"/>
                  <w:szCs w:val="18"/>
                  <w:b w:val="1"/>
                  <w:bCs w:val="1"/>
                  <w:u w:val="single" w:color="auto"/>
                  <w:color w:val="0000FF"/>
                </w:rPr>
                <w:t>Legal Proceedings</w:t>
              </w:r>
            </w:hyperlink>
          </w:p>
        </w:tc>
        <w:tc>
          <w:tcPr>
            <w:tcW w:w="920" w:type="dxa"/>
            <w:vAlign w:val="bottom"/>
          </w:tcPr>
          <w:p>
            <w:pPr>
              <w:jc w:val="right"/>
              <w:spacing w:after="0"/>
              <w:rPr>
                <w:rFonts w:ascii="Arial" w:cs="Arial" w:eastAsia="Arial" w:hAnsi="Arial"/>
                <w:sz w:val="18"/>
                <w:szCs w:val="18"/>
                <w:u w:val="single" w:color="auto"/>
                <w:color w:val="0000FF"/>
              </w:rPr>
            </w:pPr>
            <w:hyperlink w:anchor="page36">
              <w:r>
                <w:rPr>
                  <w:rFonts w:ascii="Arial" w:cs="Arial" w:eastAsia="Arial" w:hAnsi="Arial"/>
                  <w:sz w:val="18"/>
                  <w:szCs w:val="18"/>
                  <w:u w:val="single" w:color="auto"/>
                  <w:color w:val="0000FF"/>
                </w:rPr>
                <w:t>35</w:t>
              </w:r>
            </w:hyperlink>
          </w:p>
        </w:tc>
      </w:tr>
      <w:tr>
        <w:trPr>
          <w:trHeight w:val="283"/>
        </w:trPr>
        <w:tc>
          <w:tcPr>
            <w:tcW w:w="820" w:type="dxa"/>
            <w:vAlign w:val="bottom"/>
          </w:tcPr>
          <w:p>
            <w:pPr>
              <w:spacing w:after="0"/>
              <w:rPr>
                <w:sz w:val="20"/>
                <w:szCs w:val="20"/>
                <w:color w:val="auto"/>
              </w:rPr>
            </w:pPr>
            <w:r>
              <w:rPr>
                <w:rFonts w:ascii="Arial" w:cs="Arial" w:eastAsia="Arial" w:hAnsi="Arial"/>
                <w:sz w:val="18"/>
                <w:szCs w:val="18"/>
                <w:b w:val="1"/>
                <w:bCs w:val="1"/>
                <w:color w:val="auto"/>
              </w:rPr>
              <w:t>Item 1A.</w:t>
            </w:r>
          </w:p>
        </w:tc>
        <w:tc>
          <w:tcPr>
            <w:tcW w:w="9460" w:type="dxa"/>
            <w:vAlign w:val="bottom"/>
          </w:tcPr>
          <w:p>
            <w:pPr>
              <w:ind w:left="140"/>
              <w:spacing w:after="0"/>
              <w:rPr>
                <w:rFonts w:ascii="Arial" w:cs="Arial" w:eastAsia="Arial" w:hAnsi="Arial"/>
                <w:sz w:val="18"/>
                <w:szCs w:val="18"/>
                <w:b w:val="1"/>
                <w:bCs w:val="1"/>
                <w:u w:val="single" w:color="auto"/>
                <w:color w:val="0000FF"/>
              </w:rPr>
            </w:pPr>
            <w:hyperlink w:anchor="page37">
              <w:r>
                <w:rPr>
                  <w:rFonts w:ascii="Arial" w:cs="Arial" w:eastAsia="Arial" w:hAnsi="Arial"/>
                  <w:sz w:val="18"/>
                  <w:szCs w:val="18"/>
                  <w:b w:val="1"/>
                  <w:bCs w:val="1"/>
                  <w:u w:val="single" w:color="auto"/>
                  <w:color w:val="0000FF"/>
                </w:rPr>
                <w:t>Risk Factors</w:t>
              </w:r>
            </w:hyperlink>
          </w:p>
        </w:tc>
        <w:tc>
          <w:tcPr>
            <w:tcW w:w="920" w:type="dxa"/>
            <w:vAlign w:val="bottom"/>
          </w:tcPr>
          <w:p>
            <w:pPr>
              <w:jc w:val="right"/>
              <w:spacing w:after="0"/>
              <w:rPr>
                <w:rFonts w:ascii="Arial" w:cs="Arial" w:eastAsia="Arial" w:hAnsi="Arial"/>
                <w:sz w:val="18"/>
                <w:szCs w:val="18"/>
                <w:u w:val="single" w:color="auto"/>
                <w:color w:val="0000FF"/>
              </w:rPr>
            </w:pPr>
            <w:hyperlink w:anchor="page37">
              <w:r>
                <w:rPr>
                  <w:rFonts w:ascii="Arial" w:cs="Arial" w:eastAsia="Arial" w:hAnsi="Arial"/>
                  <w:sz w:val="18"/>
                  <w:szCs w:val="18"/>
                  <w:u w:val="single" w:color="auto"/>
                  <w:color w:val="0000FF"/>
                </w:rPr>
                <w:t>37</w:t>
              </w:r>
            </w:hyperlink>
          </w:p>
        </w:tc>
      </w:tr>
      <w:tr>
        <w:trPr>
          <w:trHeight w:val="283"/>
        </w:trPr>
        <w:tc>
          <w:tcPr>
            <w:tcW w:w="820" w:type="dxa"/>
            <w:vAlign w:val="bottom"/>
          </w:tcPr>
          <w:p>
            <w:pPr>
              <w:spacing w:after="0"/>
              <w:rPr>
                <w:sz w:val="20"/>
                <w:szCs w:val="20"/>
                <w:color w:val="auto"/>
              </w:rPr>
            </w:pPr>
            <w:r>
              <w:rPr>
                <w:rFonts w:ascii="Arial" w:cs="Arial" w:eastAsia="Arial" w:hAnsi="Arial"/>
                <w:sz w:val="18"/>
                <w:szCs w:val="18"/>
                <w:b w:val="1"/>
                <w:bCs w:val="1"/>
                <w:color w:val="auto"/>
              </w:rPr>
              <w:t>Item 2.</w:t>
            </w:r>
          </w:p>
        </w:tc>
        <w:tc>
          <w:tcPr>
            <w:tcW w:w="9460" w:type="dxa"/>
            <w:vAlign w:val="bottom"/>
          </w:tcPr>
          <w:p>
            <w:pPr>
              <w:ind w:left="140"/>
              <w:spacing w:after="0"/>
              <w:rPr>
                <w:rFonts w:ascii="Arial" w:cs="Arial" w:eastAsia="Arial" w:hAnsi="Arial"/>
                <w:sz w:val="18"/>
                <w:szCs w:val="18"/>
                <w:b w:val="1"/>
                <w:bCs w:val="1"/>
                <w:u w:val="single" w:color="auto"/>
                <w:color w:val="0000FF"/>
              </w:rPr>
            </w:pPr>
            <w:hyperlink w:anchor="page38">
              <w:r>
                <w:rPr>
                  <w:rFonts w:ascii="Arial" w:cs="Arial" w:eastAsia="Arial" w:hAnsi="Arial"/>
                  <w:sz w:val="18"/>
                  <w:szCs w:val="18"/>
                  <w:b w:val="1"/>
                  <w:bCs w:val="1"/>
                  <w:u w:val="single" w:color="auto"/>
                  <w:color w:val="0000FF"/>
                </w:rPr>
                <w:t>Unregistered Sales of Equity Securities and Use of Proceeds</w:t>
              </w:r>
            </w:hyperlink>
          </w:p>
        </w:tc>
        <w:tc>
          <w:tcPr>
            <w:tcW w:w="920" w:type="dxa"/>
            <w:vAlign w:val="bottom"/>
          </w:tcPr>
          <w:p>
            <w:pPr>
              <w:jc w:val="right"/>
              <w:spacing w:after="0"/>
              <w:rPr>
                <w:rFonts w:ascii="Arial" w:cs="Arial" w:eastAsia="Arial" w:hAnsi="Arial"/>
                <w:sz w:val="18"/>
                <w:szCs w:val="18"/>
                <w:u w:val="single" w:color="auto"/>
                <w:color w:val="0000FF"/>
              </w:rPr>
            </w:pPr>
            <w:hyperlink w:anchor="page38">
              <w:r>
                <w:rPr>
                  <w:rFonts w:ascii="Arial" w:cs="Arial" w:eastAsia="Arial" w:hAnsi="Arial"/>
                  <w:sz w:val="18"/>
                  <w:szCs w:val="18"/>
                  <w:u w:val="single" w:color="auto"/>
                  <w:color w:val="0000FF"/>
                </w:rPr>
                <w:t>38</w:t>
              </w:r>
            </w:hyperlink>
          </w:p>
        </w:tc>
      </w:tr>
      <w:tr>
        <w:trPr>
          <w:trHeight w:val="283"/>
        </w:trPr>
        <w:tc>
          <w:tcPr>
            <w:tcW w:w="820" w:type="dxa"/>
            <w:vAlign w:val="bottom"/>
          </w:tcPr>
          <w:p>
            <w:pPr>
              <w:spacing w:after="0"/>
              <w:rPr>
                <w:sz w:val="20"/>
                <w:szCs w:val="20"/>
                <w:color w:val="auto"/>
              </w:rPr>
            </w:pPr>
            <w:r>
              <w:rPr>
                <w:rFonts w:ascii="Arial" w:cs="Arial" w:eastAsia="Arial" w:hAnsi="Arial"/>
                <w:sz w:val="18"/>
                <w:szCs w:val="18"/>
                <w:b w:val="1"/>
                <w:bCs w:val="1"/>
                <w:color w:val="auto"/>
              </w:rPr>
              <w:t>Item 3.</w:t>
            </w:r>
          </w:p>
        </w:tc>
        <w:tc>
          <w:tcPr>
            <w:tcW w:w="9460" w:type="dxa"/>
            <w:vAlign w:val="bottom"/>
          </w:tcPr>
          <w:p>
            <w:pPr>
              <w:ind w:left="140"/>
              <w:spacing w:after="0"/>
              <w:rPr>
                <w:rFonts w:ascii="Arial" w:cs="Arial" w:eastAsia="Arial" w:hAnsi="Arial"/>
                <w:sz w:val="18"/>
                <w:szCs w:val="18"/>
                <w:b w:val="1"/>
                <w:bCs w:val="1"/>
                <w:u w:val="single" w:color="auto"/>
                <w:color w:val="0000FF"/>
              </w:rPr>
            </w:pPr>
            <w:hyperlink w:anchor="page39">
              <w:r>
                <w:rPr>
                  <w:rFonts w:ascii="Arial" w:cs="Arial" w:eastAsia="Arial" w:hAnsi="Arial"/>
                  <w:sz w:val="18"/>
                  <w:szCs w:val="18"/>
                  <w:b w:val="1"/>
                  <w:bCs w:val="1"/>
                  <w:u w:val="single" w:color="auto"/>
                  <w:color w:val="0000FF"/>
                </w:rPr>
                <w:t>Defaults on Senior Securities</w:t>
              </w:r>
            </w:hyperlink>
          </w:p>
        </w:tc>
        <w:tc>
          <w:tcPr>
            <w:tcW w:w="920" w:type="dxa"/>
            <w:vAlign w:val="bottom"/>
          </w:tcPr>
          <w:p>
            <w:pPr>
              <w:jc w:val="right"/>
              <w:spacing w:after="0"/>
              <w:rPr>
                <w:rFonts w:ascii="Arial" w:cs="Arial" w:eastAsia="Arial" w:hAnsi="Arial"/>
                <w:sz w:val="18"/>
                <w:szCs w:val="18"/>
                <w:u w:val="single" w:color="auto"/>
                <w:color w:val="0000FF"/>
              </w:rPr>
            </w:pPr>
            <w:hyperlink w:anchor="page39">
              <w:r>
                <w:rPr>
                  <w:rFonts w:ascii="Arial" w:cs="Arial" w:eastAsia="Arial" w:hAnsi="Arial"/>
                  <w:sz w:val="18"/>
                  <w:szCs w:val="18"/>
                  <w:u w:val="single" w:color="auto"/>
                  <w:color w:val="0000FF"/>
                </w:rPr>
                <w:t>38</w:t>
              </w:r>
            </w:hyperlink>
          </w:p>
        </w:tc>
      </w:tr>
      <w:tr>
        <w:trPr>
          <w:trHeight w:val="284"/>
        </w:trPr>
        <w:tc>
          <w:tcPr>
            <w:tcW w:w="820" w:type="dxa"/>
            <w:vAlign w:val="bottom"/>
          </w:tcPr>
          <w:p>
            <w:pPr>
              <w:spacing w:after="0"/>
              <w:rPr>
                <w:sz w:val="20"/>
                <w:szCs w:val="20"/>
                <w:color w:val="auto"/>
              </w:rPr>
            </w:pPr>
            <w:r>
              <w:rPr>
                <w:rFonts w:ascii="Arial" w:cs="Arial" w:eastAsia="Arial" w:hAnsi="Arial"/>
                <w:sz w:val="18"/>
                <w:szCs w:val="18"/>
                <w:b w:val="1"/>
                <w:bCs w:val="1"/>
                <w:color w:val="auto"/>
              </w:rPr>
              <w:t>Item 4.</w:t>
            </w:r>
          </w:p>
        </w:tc>
        <w:tc>
          <w:tcPr>
            <w:tcW w:w="9460" w:type="dxa"/>
            <w:vAlign w:val="bottom"/>
          </w:tcPr>
          <w:p>
            <w:pPr>
              <w:ind w:left="140"/>
              <w:spacing w:after="0"/>
              <w:rPr>
                <w:rFonts w:ascii="Arial" w:cs="Arial" w:eastAsia="Arial" w:hAnsi="Arial"/>
                <w:sz w:val="18"/>
                <w:szCs w:val="18"/>
                <w:b w:val="1"/>
                <w:bCs w:val="1"/>
                <w:u w:val="single" w:color="auto"/>
                <w:color w:val="0000FF"/>
              </w:rPr>
            </w:pPr>
            <w:hyperlink w:anchor="page39">
              <w:r>
                <w:rPr>
                  <w:rFonts w:ascii="Arial" w:cs="Arial" w:eastAsia="Arial" w:hAnsi="Arial"/>
                  <w:sz w:val="18"/>
                  <w:szCs w:val="18"/>
                  <w:b w:val="1"/>
                  <w:bCs w:val="1"/>
                  <w:u w:val="single" w:color="auto"/>
                  <w:color w:val="0000FF"/>
                </w:rPr>
                <w:t>Mine Safety Disclosures</w:t>
              </w:r>
            </w:hyperlink>
          </w:p>
        </w:tc>
        <w:tc>
          <w:tcPr>
            <w:tcW w:w="920" w:type="dxa"/>
            <w:vAlign w:val="bottom"/>
          </w:tcPr>
          <w:p>
            <w:pPr>
              <w:jc w:val="right"/>
              <w:spacing w:after="0"/>
              <w:rPr>
                <w:rFonts w:ascii="Arial" w:cs="Arial" w:eastAsia="Arial" w:hAnsi="Arial"/>
                <w:sz w:val="18"/>
                <w:szCs w:val="18"/>
                <w:u w:val="single" w:color="auto"/>
                <w:color w:val="0000FF"/>
              </w:rPr>
            </w:pPr>
            <w:hyperlink w:anchor="page39">
              <w:r>
                <w:rPr>
                  <w:rFonts w:ascii="Arial" w:cs="Arial" w:eastAsia="Arial" w:hAnsi="Arial"/>
                  <w:sz w:val="18"/>
                  <w:szCs w:val="18"/>
                  <w:u w:val="single" w:color="auto"/>
                  <w:color w:val="0000FF"/>
                </w:rPr>
                <w:t>38</w:t>
              </w:r>
            </w:hyperlink>
          </w:p>
        </w:tc>
      </w:tr>
      <w:tr>
        <w:trPr>
          <w:trHeight w:val="284"/>
        </w:trPr>
        <w:tc>
          <w:tcPr>
            <w:tcW w:w="820" w:type="dxa"/>
            <w:vAlign w:val="bottom"/>
          </w:tcPr>
          <w:p>
            <w:pPr>
              <w:spacing w:after="0"/>
              <w:rPr>
                <w:sz w:val="20"/>
                <w:szCs w:val="20"/>
                <w:color w:val="auto"/>
              </w:rPr>
            </w:pPr>
            <w:r>
              <w:rPr>
                <w:rFonts w:ascii="Arial" w:cs="Arial" w:eastAsia="Arial" w:hAnsi="Arial"/>
                <w:sz w:val="18"/>
                <w:szCs w:val="18"/>
                <w:b w:val="1"/>
                <w:bCs w:val="1"/>
                <w:color w:val="auto"/>
              </w:rPr>
              <w:t>Item 5.</w:t>
            </w:r>
          </w:p>
        </w:tc>
        <w:tc>
          <w:tcPr>
            <w:tcW w:w="9460" w:type="dxa"/>
            <w:vAlign w:val="bottom"/>
          </w:tcPr>
          <w:p>
            <w:pPr>
              <w:ind w:left="140"/>
              <w:spacing w:after="0"/>
              <w:rPr>
                <w:rFonts w:ascii="Arial" w:cs="Arial" w:eastAsia="Arial" w:hAnsi="Arial"/>
                <w:sz w:val="18"/>
                <w:szCs w:val="18"/>
                <w:b w:val="1"/>
                <w:bCs w:val="1"/>
                <w:u w:val="single" w:color="auto"/>
                <w:color w:val="0000FF"/>
              </w:rPr>
            </w:pPr>
            <w:hyperlink w:anchor="page39">
              <w:r>
                <w:rPr>
                  <w:rFonts w:ascii="Arial" w:cs="Arial" w:eastAsia="Arial" w:hAnsi="Arial"/>
                  <w:sz w:val="18"/>
                  <w:szCs w:val="18"/>
                  <w:b w:val="1"/>
                  <w:bCs w:val="1"/>
                  <w:u w:val="single" w:color="auto"/>
                  <w:color w:val="0000FF"/>
                </w:rPr>
                <w:t>Other Information</w:t>
              </w:r>
            </w:hyperlink>
          </w:p>
        </w:tc>
        <w:tc>
          <w:tcPr>
            <w:tcW w:w="920" w:type="dxa"/>
            <w:vAlign w:val="bottom"/>
          </w:tcPr>
          <w:p>
            <w:pPr>
              <w:jc w:val="right"/>
              <w:spacing w:after="0"/>
              <w:rPr>
                <w:rFonts w:ascii="Arial" w:cs="Arial" w:eastAsia="Arial" w:hAnsi="Arial"/>
                <w:sz w:val="18"/>
                <w:szCs w:val="18"/>
                <w:u w:val="single" w:color="auto"/>
                <w:color w:val="0000FF"/>
              </w:rPr>
            </w:pPr>
            <w:hyperlink w:anchor="page39">
              <w:r>
                <w:rPr>
                  <w:rFonts w:ascii="Arial" w:cs="Arial" w:eastAsia="Arial" w:hAnsi="Arial"/>
                  <w:sz w:val="18"/>
                  <w:szCs w:val="18"/>
                  <w:u w:val="single" w:color="auto"/>
                  <w:color w:val="0000FF"/>
                </w:rPr>
                <w:t>38</w:t>
              </w:r>
            </w:hyperlink>
          </w:p>
        </w:tc>
      </w:tr>
      <w:tr>
        <w:trPr>
          <w:trHeight w:val="283"/>
        </w:trPr>
        <w:tc>
          <w:tcPr>
            <w:tcW w:w="820" w:type="dxa"/>
            <w:vAlign w:val="bottom"/>
          </w:tcPr>
          <w:p>
            <w:pPr>
              <w:spacing w:after="0"/>
              <w:rPr>
                <w:sz w:val="20"/>
                <w:szCs w:val="20"/>
                <w:color w:val="auto"/>
              </w:rPr>
            </w:pPr>
            <w:r>
              <w:rPr>
                <w:rFonts w:ascii="Arial" w:cs="Arial" w:eastAsia="Arial" w:hAnsi="Arial"/>
                <w:sz w:val="18"/>
                <w:szCs w:val="18"/>
                <w:b w:val="1"/>
                <w:bCs w:val="1"/>
                <w:color w:val="auto"/>
              </w:rPr>
              <w:t>Item 6.</w:t>
            </w:r>
          </w:p>
        </w:tc>
        <w:tc>
          <w:tcPr>
            <w:tcW w:w="9460" w:type="dxa"/>
            <w:vAlign w:val="bottom"/>
          </w:tcPr>
          <w:p>
            <w:pPr>
              <w:ind w:left="140"/>
              <w:spacing w:after="0"/>
              <w:rPr>
                <w:rFonts w:ascii="Arial" w:cs="Arial" w:eastAsia="Arial" w:hAnsi="Arial"/>
                <w:sz w:val="18"/>
                <w:szCs w:val="18"/>
                <w:b w:val="1"/>
                <w:bCs w:val="1"/>
                <w:u w:val="single" w:color="auto"/>
                <w:color w:val="0000FF"/>
              </w:rPr>
            </w:pPr>
            <w:hyperlink w:anchor="page39">
              <w:r>
                <w:rPr>
                  <w:rFonts w:ascii="Arial" w:cs="Arial" w:eastAsia="Arial" w:hAnsi="Arial"/>
                  <w:sz w:val="18"/>
                  <w:szCs w:val="18"/>
                  <w:b w:val="1"/>
                  <w:bCs w:val="1"/>
                  <w:u w:val="single" w:color="auto"/>
                  <w:color w:val="0000FF"/>
                </w:rPr>
                <w:t>Exhibits</w:t>
              </w:r>
            </w:hyperlink>
          </w:p>
        </w:tc>
        <w:tc>
          <w:tcPr>
            <w:tcW w:w="920" w:type="dxa"/>
            <w:vAlign w:val="bottom"/>
          </w:tcPr>
          <w:p>
            <w:pPr>
              <w:jc w:val="right"/>
              <w:spacing w:after="0"/>
              <w:rPr>
                <w:rFonts w:ascii="Arial" w:cs="Arial" w:eastAsia="Arial" w:hAnsi="Arial"/>
                <w:sz w:val="18"/>
                <w:szCs w:val="18"/>
                <w:u w:val="single" w:color="auto"/>
                <w:color w:val="0000FF"/>
              </w:rPr>
            </w:pPr>
            <w:hyperlink w:anchor="page39">
              <w:r>
                <w:rPr>
                  <w:rFonts w:ascii="Arial" w:cs="Arial" w:eastAsia="Arial" w:hAnsi="Arial"/>
                  <w:sz w:val="18"/>
                  <w:szCs w:val="18"/>
                  <w:u w:val="single" w:color="auto"/>
                  <w:color w:val="0000FF"/>
                </w:rPr>
                <w:t>39</w:t>
              </w:r>
            </w:hyperlink>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3" w:name="page4"/>
    <w:bookmarkEnd w:id="3"/>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1. FINANCIAL INFORMATION</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Financial Statements.</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AngioDynamics, Inc. and Subsidiaries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OPERATIONS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of dollars, except per share data)</w:t>
      </w:r>
    </w:p>
    <w:p>
      <w:pPr>
        <w:spacing w:after="0" w:line="287"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53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800" w:type="dxa"/>
            <w:vAlign w:val="bottom"/>
            <w:gridSpan w:val="5"/>
          </w:tcPr>
          <w:p>
            <w:pPr>
              <w:ind w:left="640"/>
              <w:spacing w:after="0"/>
              <w:rPr>
                <w:sz w:val="20"/>
                <w:szCs w:val="20"/>
                <w:color w:val="auto"/>
              </w:rPr>
            </w:pPr>
            <w:r>
              <w:rPr>
                <w:rFonts w:ascii="Arial" w:cs="Arial" w:eastAsia="Arial" w:hAnsi="Arial"/>
                <w:sz w:val="14"/>
                <w:szCs w:val="14"/>
                <w:color w:val="auto"/>
              </w:rPr>
              <w:t>Three Months Ended</w:t>
            </w:r>
          </w:p>
        </w:tc>
        <w:tc>
          <w:tcPr>
            <w:tcW w:w="200" w:type="dxa"/>
            <w:vAlign w:val="bottom"/>
          </w:tcPr>
          <w:p>
            <w:pPr>
              <w:spacing w:after="0"/>
              <w:rPr>
                <w:sz w:val="16"/>
                <w:szCs w:val="16"/>
                <w:color w:val="auto"/>
              </w:rPr>
            </w:pPr>
          </w:p>
        </w:tc>
        <w:tc>
          <w:tcPr>
            <w:tcW w:w="2700" w:type="dxa"/>
            <w:vAlign w:val="bottom"/>
            <w:gridSpan w:val="4"/>
          </w:tcPr>
          <w:p>
            <w:pPr>
              <w:jc w:val="right"/>
              <w:ind w:right="831"/>
              <w:spacing w:after="0"/>
              <w:rPr>
                <w:sz w:val="20"/>
                <w:szCs w:val="20"/>
                <w:color w:val="auto"/>
              </w:rPr>
            </w:pPr>
            <w:r>
              <w:rPr>
                <w:rFonts w:ascii="Arial" w:cs="Arial" w:eastAsia="Arial" w:hAnsi="Arial"/>
                <w:sz w:val="14"/>
                <w:szCs w:val="14"/>
                <w:color w:val="auto"/>
              </w:rPr>
              <w:t>Six Months Ended</w:t>
            </w:r>
          </w:p>
        </w:tc>
        <w:tc>
          <w:tcPr>
            <w:tcW w:w="0" w:type="dxa"/>
            <w:vAlign w:val="bottom"/>
          </w:tcPr>
          <w:p>
            <w:pPr>
              <w:spacing w:after="0"/>
              <w:rPr>
                <w:sz w:val="1"/>
                <w:szCs w:val="1"/>
                <w:color w:val="auto"/>
              </w:rPr>
            </w:pPr>
          </w:p>
        </w:tc>
      </w:tr>
      <w:tr>
        <w:trPr>
          <w:trHeight w:val="185"/>
        </w:trPr>
        <w:tc>
          <w:tcPr>
            <w:tcW w:w="5340" w:type="dxa"/>
            <w:vAlign w:val="bottom"/>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1300" w:type="dxa"/>
            <w:vAlign w:val="bottom"/>
            <w:tcBorders>
              <w:top w:val="single" w:sz="8" w:color="auto"/>
            </w:tcBorders>
            <w:gridSpan w:val="2"/>
          </w:tcPr>
          <w:p>
            <w:pPr>
              <w:ind w:left="100"/>
              <w:spacing w:after="0"/>
              <w:rPr>
                <w:sz w:val="20"/>
                <w:szCs w:val="20"/>
                <w:color w:val="auto"/>
              </w:rPr>
            </w:pPr>
            <w:r>
              <w:rPr>
                <w:rFonts w:ascii="Arial" w:cs="Arial" w:eastAsia="Arial" w:hAnsi="Arial"/>
                <w:sz w:val="14"/>
                <w:szCs w:val="14"/>
                <w:color w:val="auto"/>
              </w:rPr>
              <w:t>Nov 30, 2020</w:t>
            </w:r>
          </w:p>
        </w:tc>
        <w:tc>
          <w:tcPr>
            <w:tcW w:w="200" w:type="dxa"/>
            <w:vAlign w:val="bottom"/>
            <w:tcBorders>
              <w:top w:val="single" w:sz="8" w:color="auto"/>
            </w:tcBorders>
          </w:tcPr>
          <w:p>
            <w:pPr>
              <w:spacing w:after="0"/>
              <w:rPr>
                <w:sz w:val="16"/>
                <w:szCs w:val="16"/>
                <w:color w:val="auto"/>
              </w:rPr>
            </w:pPr>
          </w:p>
        </w:tc>
        <w:tc>
          <w:tcPr>
            <w:tcW w:w="1180" w:type="dxa"/>
            <w:vAlign w:val="bottom"/>
            <w:tcBorders>
              <w:top w:val="single" w:sz="8" w:color="auto"/>
            </w:tcBorders>
          </w:tcPr>
          <w:p>
            <w:pPr>
              <w:jc w:val="right"/>
              <w:ind w:right="211"/>
              <w:spacing w:after="0"/>
              <w:rPr>
                <w:sz w:val="20"/>
                <w:szCs w:val="20"/>
                <w:color w:val="auto"/>
              </w:rPr>
            </w:pPr>
            <w:r>
              <w:rPr>
                <w:rFonts w:ascii="Arial" w:cs="Arial" w:eastAsia="Arial" w:hAnsi="Arial"/>
                <w:sz w:val="14"/>
                <w:szCs w:val="14"/>
                <w:color w:val="auto"/>
              </w:rPr>
              <w:t>Nov 30, 2019</w:t>
            </w:r>
          </w:p>
        </w:tc>
        <w:tc>
          <w:tcPr>
            <w:tcW w:w="120" w:type="dxa"/>
            <w:vAlign w:val="bottom"/>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1300" w:type="dxa"/>
            <w:vAlign w:val="bottom"/>
            <w:tcBorders>
              <w:top w:val="single" w:sz="8" w:color="auto"/>
            </w:tcBorders>
            <w:gridSpan w:val="2"/>
          </w:tcPr>
          <w:p>
            <w:pPr>
              <w:ind w:left="100"/>
              <w:spacing w:after="0"/>
              <w:rPr>
                <w:sz w:val="20"/>
                <w:szCs w:val="20"/>
                <w:color w:val="auto"/>
              </w:rPr>
            </w:pPr>
            <w:r>
              <w:rPr>
                <w:rFonts w:ascii="Arial" w:cs="Arial" w:eastAsia="Arial" w:hAnsi="Arial"/>
                <w:sz w:val="14"/>
                <w:szCs w:val="14"/>
                <w:color w:val="auto"/>
              </w:rPr>
              <w:t>Nov 30, 2020</w:t>
            </w:r>
          </w:p>
        </w:tc>
        <w:tc>
          <w:tcPr>
            <w:tcW w:w="200" w:type="dxa"/>
            <w:vAlign w:val="bottom"/>
            <w:tcBorders>
              <w:top w:val="single" w:sz="8" w:color="auto"/>
            </w:tcBorders>
          </w:tcPr>
          <w:p>
            <w:pPr>
              <w:spacing w:after="0"/>
              <w:rPr>
                <w:sz w:val="16"/>
                <w:szCs w:val="16"/>
                <w:color w:val="auto"/>
              </w:rPr>
            </w:pPr>
          </w:p>
        </w:tc>
        <w:tc>
          <w:tcPr>
            <w:tcW w:w="1200" w:type="dxa"/>
            <w:vAlign w:val="bottom"/>
            <w:tcBorders>
              <w:top w:val="single" w:sz="8" w:color="auto"/>
            </w:tcBorders>
          </w:tcPr>
          <w:p>
            <w:pPr>
              <w:jc w:val="right"/>
              <w:ind w:right="211"/>
              <w:spacing w:after="0"/>
              <w:rPr>
                <w:sz w:val="20"/>
                <w:szCs w:val="20"/>
                <w:color w:val="auto"/>
              </w:rPr>
            </w:pPr>
            <w:r>
              <w:rPr>
                <w:rFonts w:ascii="Arial" w:cs="Arial" w:eastAsia="Arial" w:hAnsi="Arial"/>
                <w:sz w:val="14"/>
                <w:szCs w:val="14"/>
                <w:color w:val="auto"/>
              </w:rPr>
              <w:t>Nov 30, 2019</w:t>
            </w:r>
          </w:p>
        </w:tc>
        <w:tc>
          <w:tcPr>
            <w:tcW w:w="0" w:type="dxa"/>
            <w:vAlign w:val="bottom"/>
          </w:tcPr>
          <w:p>
            <w:pPr>
              <w:spacing w:after="0"/>
              <w:rPr>
                <w:sz w:val="1"/>
                <w:szCs w:val="1"/>
                <w:color w:val="auto"/>
              </w:rPr>
            </w:pPr>
          </w:p>
        </w:tc>
      </w:tr>
      <w:tr>
        <w:trPr>
          <w:trHeight w:val="226"/>
        </w:trPr>
        <w:tc>
          <w:tcPr>
            <w:tcW w:w="53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Net sales</w:t>
            </w: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72,770</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70,003</w:t>
            </w:r>
          </w:p>
        </w:tc>
        <w:tc>
          <w:tcPr>
            <w:tcW w:w="12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142,986</w:t>
            </w:r>
          </w:p>
        </w:tc>
        <w:tc>
          <w:tcPr>
            <w:tcW w:w="12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136,045</w:t>
            </w:r>
          </w:p>
        </w:tc>
        <w:tc>
          <w:tcPr>
            <w:tcW w:w="0" w:type="dxa"/>
            <w:vAlign w:val="bottom"/>
          </w:tcPr>
          <w:p>
            <w:pPr>
              <w:spacing w:after="0"/>
              <w:rPr>
                <w:sz w:val="1"/>
                <w:szCs w:val="1"/>
                <w:color w:val="auto"/>
              </w:rPr>
            </w:pPr>
          </w:p>
        </w:tc>
      </w:tr>
      <w:tr>
        <w:trPr>
          <w:trHeight w:val="229"/>
        </w:trPr>
        <w:tc>
          <w:tcPr>
            <w:tcW w:w="5340" w:type="dxa"/>
            <w:vAlign w:val="bottom"/>
            <w:tcBorders>
              <w:bottom w:val="single" w:sz="8" w:color="CCEEFF"/>
            </w:tcBorders>
          </w:tcPr>
          <w:p>
            <w:pPr>
              <w:ind w:left="20"/>
              <w:spacing w:after="0"/>
              <w:rPr>
                <w:sz w:val="20"/>
                <w:szCs w:val="20"/>
                <w:color w:val="auto"/>
              </w:rPr>
            </w:pPr>
            <w:r>
              <w:rPr>
                <w:rFonts w:ascii="Arial" w:cs="Arial" w:eastAsia="Arial" w:hAnsi="Arial"/>
                <w:sz w:val="18"/>
                <w:szCs w:val="18"/>
                <w:b w:val="1"/>
                <w:bCs w:val="1"/>
                <w:color w:val="auto"/>
              </w:rPr>
              <w:t>Cost of sales (exclusive of intangible amortization)</w:t>
            </w:r>
          </w:p>
        </w:tc>
        <w:tc>
          <w:tcPr>
            <w:tcW w:w="20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32,596</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28,459</w:t>
            </w:r>
          </w:p>
        </w:tc>
        <w:tc>
          <w:tcPr>
            <w:tcW w:w="12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67,048</w:t>
            </w:r>
          </w:p>
        </w:tc>
        <w:tc>
          <w:tcPr>
            <w:tcW w:w="12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56,284</w:t>
            </w:r>
          </w:p>
        </w:tc>
        <w:tc>
          <w:tcPr>
            <w:tcW w:w="0" w:type="dxa"/>
            <w:vAlign w:val="bottom"/>
          </w:tcPr>
          <w:p>
            <w:pPr>
              <w:spacing w:after="0"/>
              <w:rPr>
                <w:sz w:val="1"/>
                <w:szCs w:val="1"/>
                <w:color w:val="auto"/>
              </w:rPr>
            </w:pPr>
          </w:p>
        </w:tc>
      </w:tr>
      <w:tr>
        <w:trPr>
          <w:trHeight w:val="223"/>
        </w:trPr>
        <w:tc>
          <w:tcPr>
            <w:tcW w:w="5340" w:type="dxa"/>
            <w:vAlign w:val="bottom"/>
            <w:shd w:val="clear" w:color="auto" w:fill="CCEEFF"/>
          </w:tcPr>
          <w:p>
            <w:pPr>
              <w:ind w:left="680"/>
              <w:spacing w:after="0"/>
              <w:rPr>
                <w:sz w:val="20"/>
                <w:szCs w:val="20"/>
                <w:color w:val="auto"/>
              </w:rPr>
            </w:pPr>
            <w:r>
              <w:rPr>
                <w:rFonts w:ascii="Arial" w:cs="Arial" w:eastAsia="Arial" w:hAnsi="Arial"/>
                <w:sz w:val="18"/>
                <w:szCs w:val="18"/>
                <w:color w:val="auto"/>
              </w:rPr>
              <w:t>Gross profit</w:t>
            </w:r>
          </w:p>
        </w:tc>
        <w:tc>
          <w:tcPr>
            <w:tcW w:w="20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40,174</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41,544</w:t>
            </w:r>
          </w:p>
        </w:tc>
        <w:tc>
          <w:tcPr>
            <w:tcW w:w="12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75,938</w:t>
            </w:r>
          </w:p>
        </w:tc>
        <w:tc>
          <w:tcPr>
            <w:tcW w:w="12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79,761</w:t>
            </w:r>
          </w:p>
        </w:tc>
        <w:tc>
          <w:tcPr>
            <w:tcW w:w="0" w:type="dxa"/>
            <w:vAlign w:val="bottom"/>
          </w:tcPr>
          <w:p>
            <w:pPr>
              <w:spacing w:after="0"/>
              <w:rPr>
                <w:sz w:val="1"/>
                <w:szCs w:val="1"/>
                <w:color w:val="auto"/>
              </w:rPr>
            </w:pPr>
          </w:p>
        </w:tc>
      </w:tr>
      <w:tr>
        <w:trPr>
          <w:trHeight w:val="209"/>
        </w:trPr>
        <w:tc>
          <w:tcPr>
            <w:tcW w:w="5340" w:type="dxa"/>
            <w:vAlign w:val="bottom"/>
          </w:tcPr>
          <w:p>
            <w:pPr>
              <w:ind w:left="20"/>
              <w:spacing w:after="0"/>
              <w:rPr>
                <w:sz w:val="20"/>
                <w:szCs w:val="20"/>
                <w:color w:val="auto"/>
              </w:rPr>
            </w:pPr>
            <w:r>
              <w:rPr>
                <w:rFonts w:ascii="Arial" w:cs="Arial" w:eastAsia="Arial" w:hAnsi="Arial"/>
                <w:sz w:val="18"/>
                <w:szCs w:val="18"/>
                <w:b w:val="1"/>
                <w:bCs w:val="1"/>
                <w:color w:val="auto"/>
              </w:rPr>
              <w:t>Operating expenses:</w:t>
            </w:r>
          </w:p>
        </w:tc>
        <w:tc>
          <w:tcPr>
            <w:tcW w:w="2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3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Research and development</w:t>
            </w:r>
          </w:p>
        </w:tc>
        <w:tc>
          <w:tcPr>
            <w:tcW w:w="20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9,712</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7,764</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18,721</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14,055</w:t>
            </w:r>
          </w:p>
        </w:tc>
        <w:tc>
          <w:tcPr>
            <w:tcW w:w="0" w:type="dxa"/>
            <w:vAlign w:val="bottom"/>
          </w:tcPr>
          <w:p>
            <w:pPr>
              <w:spacing w:after="0"/>
              <w:rPr>
                <w:sz w:val="1"/>
                <w:szCs w:val="1"/>
                <w:color w:val="auto"/>
              </w:rPr>
            </w:pPr>
          </w:p>
        </w:tc>
      </w:tr>
      <w:tr>
        <w:trPr>
          <w:trHeight w:val="229"/>
        </w:trPr>
        <w:tc>
          <w:tcPr>
            <w:tcW w:w="5340" w:type="dxa"/>
            <w:vAlign w:val="bottom"/>
          </w:tcPr>
          <w:p>
            <w:pPr>
              <w:ind w:left="360"/>
              <w:spacing w:after="0"/>
              <w:rPr>
                <w:sz w:val="20"/>
                <w:szCs w:val="20"/>
                <w:color w:val="auto"/>
              </w:rPr>
            </w:pPr>
            <w:r>
              <w:rPr>
                <w:rFonts w:ascii="Arial" w:cs="Arial" w:eastAsia="Arial" w:hAnsi="Arial"/>
                <w:sz w:val="18"/>
                <w:szCs w:val="18"/>
                <w:color w:val="auto"/>
              </w:rPr>
              <w:t>Sales and marketing</w:t>
            </w:r>
          </w:p>
        </w:tc>
        <w:tc>
          <w:tcPr>
            <w:tcW w:w="2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20,174</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20,113</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37,879</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39,493</w:t>
            </w:r>
          </w:p>
        </w:tc>
        <w:tc>
          <w:tcPr>
            <w:tcW w:w="0" w:type="dxa"/>
            <w:vAlign w:val="bottom"/>
          </w:tcPr>
          <w:p>
            <w:pPr>
              <w:spacing w:after="0"/>
              <w:rPr>
                <w:sz w:val="1"/>
                <w:szCs w:val="1"/>
                <w:color w:val="auto"/>
              </w:rPr>
            </w:pPr>
          </w:p>
        </w:tc>
      </w:tr>
      <w:tr>
        <w:trPr>
          <w:trHeight w:val="229"/>
        </w:trPr>
        <w:tc>
          <w:tcPr>
            <w:tcW w:w="53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General and administrative</w:t>
            </w:r>
          </w:p>
        </w:tc>
        <w:tc>
          <w:tcPr>
            <w:tcW w:w="20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9,219</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10,994</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17,776</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19,448</w:t>
            </w:r>
          </w:p>
        </w:tc>
        <w:tc>
          <w:tcPr>
            <w:tcW w:w="0" w:type="dxa"/>
            <w:vAlign w:val="bottom"/>
          </w:tcPr>
          <w:p>
            <w:pPr>
              <w:spacing w:after="0"/>
              <w:rPr>
                <w:sz w:val="1"/>
                <w:szCs w:val="1"/>
                <w:color w:val="auto"/>
              </w:rPr>
            </w:pPr>
          </w:p>
        </w:tc>
      </w:tr>
      <w:tr>
        <w:trPr>
          <w:trHeight w:val="230"/>
        </w:trPr>
        <w:tc>
          <w:tcPr>
            <w:tcW w:w="5340" w:type="dxa"/>
            <w:vAlign w:val="bottom"/>
          </w:tcPr>
          <w:p>
            <w:pPr>
              <w:ind w:left="360"/>
              <w:spacing w:after="0"/>
              <w:rPr>
                <w:sz w:val="20"/>
                <w:szCs w:val="20"/>
                <w:color w:val="auto"/>
              </w:rPr>
            </w:pPr>
            <w:r>
              <w:rPr>
                <w:rFonts w:ascii="Arial" w:cs="Arial" w:eastAsia="Arial" w:hAnsi="Arial"/>
                <w:sz w:val="18"/>
                <w:szCs w:val="18"/>
                <w:color w:val="auto"/>
              </w:rPr>
              <w:t>Amortization of intangibles</w:t>
            </w:r>
          </w:p>
        </w:tc>
        <w:tc>
          <w:tcPr>
            <w:tcW w:w="2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4,593</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4,530</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9,546</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8,398</w:t>
            </w:r>
          </w:p>
        </w:tc>
        <w:tc>
          <w:tcPr>
            <w:tcW w:w="0" w:type="dxa"/>
            <w:vAlign w:val="bottom"/>
          </w:tcPr>
          <w:p>
            <w:pPr>
              <w:spacing w:after="0"/>
              <w:rPr>
                <w:sz w:val="1"/>
                <w:szCs w:val="1"/>
                <w:color w:val="auto"/>
              </w:rPr>
            </w:pPr>
          </w:p>
        </w:tc>
      </w:tr>
      <w:tr>
        <w:trPr>
          <w:trHeight w:val="229"/>
        </w:trPr>
        <w:tc>
          <w:tcPr>
            <w:tcW w:w="53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Change in fair value of contingent consideration</w:t>
            </w:r>
          </w:p>
        </w:tc>
        <w:tc>
          <w:tcPr>
            <w:tcW w:w="20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184</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145</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(473)</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(303)</w:t>
            </w:r>
          </w:p>
        </w:tc>
        <w:tc>
          <w:tcPr>
            <w:tcW w:w="0" w:type="dxa"/>
            <w:vAlign w:val="bottom"/>
          </w:tcPr>
          <w:p>
            <w:pPr>
              <w:spacing w:after="0"/>
              <w:rPr>
                <w:sz w:val="1"/>
                <w:szCs w:val="1"/>
                <w:color w:val="auto"/>
              </w:rPr>
            </w:pPr>
          </w:p>
        </w:tc>
      </w:tr>
      <w:tr>
        <w:trPr>
          <w:trHeight w:val="230"/>
        </w:trPr>
        <w:tc>
          <w:tcPr>
            <w:tcW w:w="5340" w:type="dxa"/>
            <w:vAlign w:val="bottom"/>
            <w:tcBorders>
              <w:bottom w:val="single" w:sz="8" w:color="CCEEFF"/>
            </w:tcBorders>
          </w:tcPr>
          <w:p>
            <w:pPr>
              <w:ind w:left="360"/>
              <w:spacing w:after="0"/>
              <w:rPr>
                <w:sz w:val="20"/>
                <w:szCs w:val="20"/>
                <w:color w:val="auto"/>
              </w:rPr>
            </w:pPr>
            <w:r>
              <w:rPr>
                <w:rFonts w:ascii="Arial" w:cs="Arial" w:eastAsia="Arial" w:hAnsi="Arial"/>
                <w:sz w:val="18"/>
                <w:szCs w:val="18"/>
                <w:color w:val="auto"/>
              </w:rPr>
              <w:t>Acquisition, restructuring and other items, net</w:t>
            </w:r>
          </w:p>
        </w:tc>
        <w:tc>
          <w:tcPr>
            <w:tcW w:w="20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1,128</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1,421</w:t>
            </w:r>
          </w:p>
        </w:tc>
        <w:tc>
          <w:tcPr>
            <w:tcW w:w="12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2,447</w:t>
            </w:r>
          </w:p>
        </w:tc>
        <w:tc>
          <w:tcPr>
            <w:tcW w:w="12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2,921</w:t>
            </w:r>
          </w:p>
        </w:tc>
        <w:tc>
          <w:tcPr>
            <w:tcW w:w="0" w:type="dxa"/>
            <w:vAlign w:val="bottom"/>
          </w:tcPr>
          <w:p>
            <w:pPr>
              <w:spacing w:after="0"/>
              <w:rPr>
                <w:sz w:val="1"/>
                <w:szCs w:val="1"/>
                <w:color w:val="auto"/>
              </w:rPr>
            </w:pPr>
          </w:p>
        </w:tc>
      </w:tr>
      <w:tr>
        <w:trPr>
          <w:trHeight w:val="223"/>
        </w:trPr>
        <w:tc>
          <w:tcPr>
            <w:tcW w:w="5340" w:type="dxa"/>
            <w:vAlign w:val="bottom"/>
            <w:shd w:val="clear" w:color="auto" w:fill="CCEEFF"/>
          </w:tcPr>
          <w:p>
            <w:pPr>
              <w:ind w:left="680"/>
              <w:spacing w:after="0"/>
              <w:rPr>
                <w:sz w:val="20"/>
                <w:szCs w:val="20"/>
                <w:color w:val="auto"/>
              </w:rPr>
            </w:pPr>
            <w:r>
              <w:rPr>
                <w:rFonts w:ascii="Arial" w:cs="Arial" w:eastAsia="Arial" w:hAnsi="Arial"/>
                <w:sz w:val="18"/>
                <w:szCs w:val="18"/>
                <w:color w:val="auto"/>
              </w:rPr>
              <w:t>Total operating expenses</w:t>
            </w:r>
          </w:p>
        </w:tc>
        <w:tc>
          <w:tcPr>
            <w:tcW w:w="20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45,010</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44,967</w:t>
            </w:r>
          </w:p>
        </w:tc>
        <w:tc>
          <w:tcPr>
            <w:tcW w:w="12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85,896</w:t>
            </w:r>
          </w:p>
        </w:tc>
        <w:tc>
          <w:tcPr>
            <w:tcW w:w="12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84,012</w:t>
            </w:r>
          </w:p>
        </w:tc>
        <w:tc>
          <w:tcPr>
            <w:tcW w:w="0" w:type="dxa"/>
            <w:vAlign w:val="bottom"/>
          </w:tcPr>
          <w:p>
            <w:pPr>
              <w:spacing w:after="0"/>
              <w:rPr>
                <w:sz w:val="1"/>
                <w:szCs w:val="1"/>
                <w:color w:val="auto"/>
              </w:rPr>
            </w:pPr>
          </w:p>
        </w:tc>
      </w:tr>
      <w:tr>
        <w:trPr>
          <w:trHeight w:val="223"/>
        </w:trPr>
        <w:tc>
          <w:tcPr>
            <w:tcW w:w="5340" w:type="dxa"/>
            <w:vAlign w:val="bottom"/>
            <w:tcBorders>
              <w:bottom w:val="single" w:sz="8" w:color="CCEEFF"/>
            </w:tcBorders>
          </w:tcPr>
          <w:p>
            <w:pPr>
              <w:ind w:left="680"/>
              <w:spacing w:after="0"/>
              <w:rPr>
                <w:sz w:val="20"/>
                <w:szCs w:val="20"/>
                <w:color w:val="auto"/>
              </w:rPr>
            </w:pPr>
            <w:r>
              <w:rPr>
                <w:rFonts w:ascii="Arial" w:cs="Arial" w:eastAsia="Arial" w:hAnsi="Arial"/>
                <w:sz w:val="18"/>
                <w:szCs w:val="18"/>
                <w:color w:val="auto"/>
              </w:rPr>
              <w:t>Operating loss</w:t>
            </w:r>
          </w:p>
        </w:tc>
        <w:tc>
          <w:tcPr>
            <w:tcW w:w="20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(4,836)</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(3,423)</w:t>
            </w:r>
          </w:p>
        </w:tc>
        <w:tc>
          <w:tcPr>
            <w:tcW w:w="12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(9,958)</w:t>
            </w:r>
          </w:p>
        </w:tc>
        <w:tc>
          <w:tcPr>
            <w:tcW w:w="12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(4,251)</w:t>
            </w:r>
          </w:p>
        </w:tc>
        <w:tc>
          <w:tcPr>
            <w:tcW w:w="0" w:type="dxa"/>
            <w:vAlign w:val="bottom"/>
          </w:tcPr>
          <w:p>
            <w:pPr>
              <w:spacing w:after="0"/>
              <w:rPr>
                <w:sz w:val="1"/>
                <w:szCs w:val="1"/>
                <w:color w:val="auto"/>
              </w:rPr>
            </w:pPr>
          </w:p>
        </w:tc>
      </w:tr>
      <w:tr>
        <w:trPr>
          <w:trHeight w:val="209"/>
        </w:trPr>
        <w:tc>
          <w:tcPr>
            <w:tcW w:w="53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Other income (expense):</w:t>
            </w:r>
          </w:p>
        </w:tc>
        <w:tc>
          <w:tcPr>
            <w:tcW w:w="20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340" w:type="dxa"/>
            <w:vAlign w:val="bottom"/>
          </w:tcPr>
          <w:p>
            <w:pPr>
              <w:ind w:left="360"/>
              <w:spacing w:after="0"/>
              <w:rPr>
                <w:sz w:val="20"/>
                <w:szCs w:val="20"/>
                <w:color w:val="auto"/>
              </w:rPr>
            </w:pPr>
            <w:r>
              <w:rPr>
                <w:rFonts w:ascii="Arial" w:cs="Arial" w:eastAsia="Arial" w:hAnsi="Arial"/>
                <w:sz w:val="18"/>
                <w:szCs w:val="18"/>
                <w:color w:val="auto"/>
              </w:rPr>
              <w:t>Interest expense, net</w:t>
            </w:r>
          </w:p>
        </w:tc>
        <w:tc>
          <w:tcPr>
            <w:tcW w:w="2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(235)</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(41)</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(450)</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(506)</w:t>
            </w:r>
          </w:p>
        </w:tc>
        <w:tc>
          <w:tcPr>
            <w:tcW w:w="0" w:type="dxa"/>
            <w:vAlign w:val="bottom"/>
          </w:tcPr>
          <w:p>
            <w:pPr>
              <w:spacing w:after="0"/>
              <w:rPr>
                <w:sz w:val="1"/>
                <w:szCs w:val="1"/>
                <w:color w:val="auto"/>
              </w:rPr>
            </w:pPr>
          </w:p>
        </w:tc>
      </w:tr>
      <w:tr>
        <w:trPr>
          <w:trHeight w:val="230"/>
        </w:trPr>
        <w:tc>
          <w:tcPr>
            <w:tcW w:w="53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Other income (expense), net</w:t>
            </w:r>
          </w:p>
        </w:tc>
        <w:tc>
          <w:tcPr>
            <w:tcW w:w="20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(102)</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162</w:t>
            </w:r>
          </w:p>
        </w:tc>
        <w:tc>
          <w:tcPr>
            <w:tcW w:w="12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422</w:t>
            </w:r>
          </w:p>
        </w:tc>
        <w:tc>
          <w:tcPr>
            <w:tcW w:w="12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64</w:t>
            </w:r>
          </w:p>
        </w:tc>
        <w:tc>
          <w:tcPr>
            <w:tcW w:w="0" w:type="dxa"/>
            <w:vAlign w:val="bottom"/>
          </w:tcPr>
          <w:p>
            <w:pPr>
              <w:spacing w:after="0"/>
              <w:rPr>
                <w:sz w:val="1"/>
                <w:szCs w:val="1"/>
                <w:color w:val="auto"/>
              </w:rPr>
            </w:pPr>
          </w:p>
        </w:tc>
      </w:tr>
      <w:tr>
        <w:trPr>
          <w:trHeight w:val="223"/>
        </w:trPr>
        <w:tc>
          <w:tcPr>
            <w:tcW w:w="5340" w:type="dxa"/>
            <w:vAlign w:val="bottom"/>
            <w:tcBorders>
              <w:bottom w:val="single" w:sz="8" w:color="CCEEFF"/>
            </w:tcBorders>
          </w:tcPr>
          <w:p>
            <w:pPr>
              <w:ind w:left="680"/>
              <w:spacing w:after="0"/>
              <w:rPr>
                <w:sz w:val="20"/>
                <w:szCs w:val="20"/>
                <w:color w:val="auto"/>
              </w:rPr>
            </w:pPr>
            <w:r>
              <w:rPr>
                <w:rFonts w:ascii="Arial" w:cs="Arial" w:eastAsia="Arial" w:hAnsi="Arial"/>
                <w:sz w:val="18"/>
                <w:szCs w:val="18"/>
                <w:color w:val="auto"/>
              </w:rPr>
              <w:t>Total other income (expense), net</w:t>
            </w:r>
          </w:p>
        </w:tc>
        <w:tc>
          <w:tcPr>
            <w:tcW w:w="20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(337)</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121</w:t>
            </w:r>
          </w:p>
        </w:tc>
        <w:tc>
          <w:tcPr>
            <w:tcW w:w="12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w:t>
            </w:r>
          </w:p>
        </w:tc>
        <w:tc>
          <w:tcPr>
            <w:tcW w:w="12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(442)</w:t>
            </w:r>
          </w:p>
        </w:tc>
        <w:tc>
          <w:tcPr>
            <w:tcW w:w="0" w:type="dxa"/>
            <w:vAlign w:val="bottom"/>
          </w:tcPr>
          <w:p>
            <w:pPr>
              <w:spacing w:after="0"/>
              <w:rPr>
                <w:sz w:val="1"/>
                <w:szCs w:val="1"/>
                <w:color w:val="auto"/>
              </w:rPr>
            </w:pPr>
          </w:p>
        </w:tc>
      </w:tr>
      <w:tr>
        <w:trPr>
          <w:trHeight w:val="223"/>
        </w:trPr>
        <w:tc>
          <w:tcPr>
            <w:tcW w:w="53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Loss before income tax benefit</w:t>
            </w:r>
          </w:p>
        </w:tc>
        <w:tc>
          <w:tcPr>
            <w:tcW w:w="20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(5,173)</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(3,302)</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(9,986)</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(4,693)</w:t>
            </w:r>
          </w:p>
        </w:tc>
        <w:tc>
          <w:tcPr>
            <w:tcW w:w="0" w:type="dxa"/>
            <w:vAlign w:val="bottom"/>
          </w:tcPr>
          <w:p>
            <w:pPr>
              <w:spacing w:after="0"/>
              <w:rPr>
                <w:sz w:val="1"/>
                <w:szCs w:val="1"/>
                <w:color w:val="auto"/>
              </w:rPr>
            </w:pPr>
          </w:p>
        </w:tc>
      </w:tr>
      <w:tr>
        <w:trPr>
          <w:trHeight w:val="230"/>
        </w:trPr>
        <w:tc>
          <w:tcPr>
            <w:tcW w:w="5340" w:type="dxa"/>
            <w:vAlign w:val="bottom"/>
            <w:tcBorders>
              <w:bottom w:val="single" w:sz="8" w:color="CCEEFF"/>
            </w:tcBorders>
          </w:tcPr>
          <w:p>
            <w:pPr>
              <w:ind w:left="20"/>
              <w:spacing w:after="0"/>
              <w:rPr>
                <w:sz w:val="20"/>
                <w:szCs w:val="20"/>
                <w:color w:val="auto"/>
              </w:rPr>
            </w:pPr>
            <w:r>
              <w:rPr>
                <w:rFonts w:ascii="Arial" w:cs="Arial" w:eastAsia="Arial" w:hAnsi="Arial"/>
                <w:sz w:val="18"/>
                <w:szCs w:val="18"/>
                <w:b w:val="1"/>
                <w:bCs w:val="1"/>
                <w:color w:val="auto"/>
              </w:rPr>
              <w:t>Income tax benefit</w:t>
            </w:r>
          </w:p>
        </w:tc>
        <w:tc>
          <w:tcPr>
            <w:tcW w:w="20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(905)</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(566)</w:t>
            </w:r>
          </w:p>
        </w:tc>
        <w:tc>
          <w:tcPr>
            <w:tcW w:w="12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(1,450)</w:t>
            </w:r>
          </w:p>
        </w:tc>
        <w:tc>
          <w:tcPr>
            <w:tcW w:w="12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(682)</w:t>
            </w:r>
          </w:p>
        </w:tc>
        <w:tc>
          <w:tcPr>
            <w:tcW w:w="0" w:type="dxa"/>
            <w:vAlign w:val="bottom"/>
          </w:tcPr>
          <w:p>
            <w:pPr>
              <w:spacing w:after="0"/>
              <w:rPr>
                <w:sz w:val="1"/>
                <w:szCs w:val="1"/>
                <w:color w:val="auto"/>
              </w:rPr>
            </w:pPr>
          </w:p>
        </w:tc>
      </w:tr>
      <w:tr>
        <w:trPr>
          <w:trHeight w:val="221"/>
        </w:trPr>
        <w:tc>
          <w:tcPr>
            <w:tcW w:w="5340" w:type="dxa"/>
            <w:vAlign w:val="bottom"/>
            <w:tcBorders>
              <w:bottom w:val="single" w:sz="8" w:color="CCEEFF"/>
            </w:tcBorders>
            <w:shd w:val="clear" w:color="auto" w:fill="CCEEFF"/>
          </w:tcPr>
          <w:p>
            <w:pPr>
              <w:ind w:left="680"/>
              <w:spacing w:after="0" w:line="196" w:lineRule="exact"/>
              <w:rPr>
                <w:sz w:val="20"/>
                <w:szCs w:val="20"/>
                <w:color w:val="auto"/>
              </w:rPr>
            </w:pPr>
            <w:r>
              <w:rPr>
                <w:rFonts w:ascii="Arial" w:cs="Arial" w:eastAsia="Arial" w:hAnsi="Arial"/>
                <w:sz w:val="18"/>
                <w:szCs w:val="18"/>
                <w:color w:val="auto"/>
              </w:rPr>
              <w:t>Net loss</w:t>
            </w:r>
          </w:p>
        </w:tc>
        <w:tc>
          <w:tcPr>
            <w:tcW w:w="200" w:type="dxa"/>
            <w:vAlign w:val="bottom"/>
            <w:tcBorders>
              <w:bottom w:val="single" w:sz="8" w:color="auto"/>
            </w:tcBorders>
            <w:shd w:val="clear" w:color="auto" w:fill="CCEEFF"/>
          </w:tcPr>
          <w:p>
            <w:pPr>
              <w:jc w:val="right"/>
              <w:ind w:right="10"/>
              <w:spacing w:after="0" w:line="196" w:lineRule="exact"/>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(4,268)</w:t>
            </w:r>
          </w:p>
        </w:tc>
        <w:tc>
          <w:tcPr>
            <w:tcW w:w="10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jc w:val="right"/>
              <w:ind w:right="10"/>
              <w:spacing w:after="0" w:line="196" w:lineRule="exact"/>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(2,736)</w:t>
            </w:r>
          </w:p>
        </w:tc>
        <w:tc>
          <w:tcPr>
            <w:tcW w:w="12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jc w:val="right"/>
              <w:ind w:right="10"/>
              <w:spacing w:after="0" w:line="196" w:lineRule="exact"/>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(8,536)</w:t>
            </w:r>
          </w:p>
        </w:tc>
        <w:tc>
          <w:tcPr>
            <w:tcW w:w="12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jc w:val="right"/>
              <w:ind w:right="10"/>
              <w:spacing w:after="0" w:line="196" w:lineRule="exact"/>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(4,011)</w:t>
            </w:r>
          </w:p>
        </w:tc>
        <w:tc>
          <w:tcPr>
            <w:tcW w:w="0" w:type="dxa"/>
            <w:vAlign w:val="bottom"/>
          </w:tcPr>
          <w:p>
            <w:pPr>
              <w:spacing w:after="0"/>
              <w:rPr>
                <w:sz w:val="1"/>
                <w:szCs w:val="1"/>
                <w:color w:val="auto"/>
              </w:rPr>
            </w:pPr>
          </w:p>
        </w:tc>
      </w:tr>
      <w:tr>
        <w:trPr>
          <w:trHeight w:val="20"/>
        </w:trPr>
        <w:tc>
          <w:tcPr>
            <w:tcW w:w="534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b w:val="1"/>
                <w:bCs w:val="1"/>
                <w:color w:val="auto"/>
              </w:rPr>
              <w:t>Loss per share</w:t>
            </w: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5340" w:type="dxa"/>
            <w:vAlign w:val="bottom"/>
            <w:vMerge w:val="continue"/>
          </w:tcPr>
          <w:p>
            <w:pPr>
              <w:spacing w:after="0"/>
              <w:rPr>
                <w:sz w:val="15"/>
                <w:szCs w:val="15"/>
                <w:color w:val="auto"/>
              </w:rPr>
            </w:pPr>
          </w:p>
        </w:tc>
        <w:tc>
          <w:tcPr>
            <w:tcW w:w="20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55"/>
        </w:trPr>
        <w:tc>
          <w:tcPr>
            <w:tcW w:w="534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Basic</w:t>
            </w: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(0.11)</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(0.07)</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(0.22)</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(0.11)</w:t>
            </w:r>
          </w:p>
        </w:tc>
        <w:tc>
          <w:tcPr>
            <w:tcW w:w="0" w:type="dxa"/>
            <w:vAlign w:val="bottom"/>
          </w:tcPr>
          <w:p>
            <w:pPr>
              <w:spacing w:after="0"/>
              <w:rPr>
                <w:sz w:val="1"/>
                <w:szCs w:val="1"/>
                <w:color w:val="auto"/>
              </w:rPr>
            </w:pPr>
          </w:p>
        </w:tc>
      </w:tr>
      <w:tr>
        <w:trPr>
          <w:trHeight w:val="20"/>
        </w:trPr>
        <w:tc>
          <w:tcPr>
            <w:tcW w:w="5340" w:type="dxa"/>
            <w:vAlign w:val="bottom"/>
            <w:tcBorders>
              <w:top w:val="single" w:sz="8" w:color="CCEEFF"/>
              <w:bottom w:val="single" w:sz="8" w:color="CCEEFF"/>
            </w:tcBorders>
            <w:vMerge w:val="restart"/>
          </w:tcPr>
          <w:p>
            <w:pPr>
              <w:ind w:left="360"/>
              <w:spacing w:after="0"/>
              <w:rPr>
                <w:sz w:val="20"/>
                <w:szCs w:val="20"/>
                <w:color w:val="auto"/>
              </w:rPr>
            </w:pPr>
            <w:r>
              <w:rPr>
                <w:rFonts w:ascii="Arial" w:cs="Arial" w:eastAsia="Arial" w:hAnsi="Arial"/>
                <w:sz w:val="18"/>
                <w:szCs w:val="18"/>
                <w:color w:val="auto"/>
              </w:rPr>
              <w:t>Diluted</w:t>
            </w: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5340" w:type="dxa"/>
            <w:vAlign w:val="bottom"/>
            <w:vMerge w:val="continue"/>
          </w:tcPr>
          <w:p>
            <w:pPr>
              <w:spacing w:after="0"/>
              <w:rPr>
                <w:sz w:val="15"/>
                <w:szCs w:val="15"/>
                <w:color w:val="auto"/>
              </w:rPr>
            </w:pPr>
          </w:p>
        </w:tc>
        <w:tc>
          <w:tcPr>
            <w:tcW w:w="200" w:type="dxa"/>
            <w:vAlign w:val="bottom"/>
            <w:tcBorders>
              <w:bottom w:val="single" w:sz="8" w:color="auto"/>
            </w:tcBorders>
          </w:tcPr>
          <w:p>
            <w:pPr>
              <w:jc w:val="right"/>
              <w:ind w:right="10"/>
              <w:spacing w:after="0" w:line="176" w:lineRule="exact"/>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tcPr>
          <w:p>
            <w:pPr>
              <w:jc w:val="right"/>
              <w:spacing w:after="0" w:line="176" w:lineRule="exact"/>
              <w:rPr>
                <w:sz w:val="20"/>
                <w:szCs w:val="20"/>
                <w:color w:val="auto"/>
              </w:rPr>
            </w:pPr>
            <w:r>
              <w:rPr>
                <w:rFonts w:ascii="Arial" w:cs="Arial" w:eastAsia="Arial" w:hAnsi="Arial"/>
                <w:sz w:val="18"/>
                <w:szCs w:val="18"/>
                <w:color w:val="auto"/>
              </w:rPr>
              <w:t>(0.11)</w:t>
            </w:r>
          </w:p>
        </w:tc>
        <w:tc>
          <w:tcPr>
            <w:tcW w:w="100" w:type="dxa"/>
            <w:vAlign w:val="bottom"/>
          </w:tcPr>
          <w:p>
            <w:pPr>
              <w:spacing w:after="0"/>
              <w:rPr>
                <w:sz w:val="15"/>
                <w:szCs w:val="15"/>
                <w:color w:val="auto"/>
              </w:rPr>
            </w:pPr>
          </w:p>
        </w:tc>
        <w:tc>
          <w:tcPr>
            <w:tcW w:w="200" w:type="dxa"/>
            <w:vAlign w:val="bottom"/>
            <w:tcBorders>
              <w:bottom w:val="single" w:sz="8" w:color="auto"/>
            </w:tcBorders>
          </w:tcPr>
          <w:p>
            <w:pPr>
              <w:jc w:val="right"/>
              <w:ind w:right="10"/>
              <w:spacing w:after="0" w:line="176" w:lineRule="exact"/>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tcPr>
          <w:p>
            <w:pPr>
              <w:jc w:val="right"/>
              <w:spacing w:after="0" w:line="176" w:lineRule="exact"/>
              <w:rPr>
                <w:sz w:val="20"/>
                <w:szCs w:val="20"/>
                <w:color w:val="auto"/>
              </w:rPr>
            </w:pPr>
            <w:r>
              <w:rPr>
                <w:rFonts w:ascii="Arial" w:cs="Arial" w:eastAsia="Arial" w:hAnsi="Arial"/>
                <w:sz w:val="18"/>
                <w:szCs w:val="18"/>
                <w:color w:val="auto"/>
              </w:rPr>
              <w:t>(0.07)</w:t>
            </w:r>
          </w:p>
        </w:tc>
        <w:tc>
          <w:tcPr>
            <w:tcW w:w="120" w:type="dxa"/>
            <w:vAlign w:val="bottom"/>
          </w:tcPr>
          <w:p>
            <w:pPr>
              <w:spacing w:after="0"/>
              <w:rPr>
                <w:sz w:val="15"/>
                <w:szCs w:val="15"/>
                <w:color w:val="auto"/>
              </w:rPr>
            </w:pPr>
          </w:p>
        </w:tc>
        <w:tc>
          <w:tcPr>
            <w:tcW w:w="200" w:type="dxa"/>
            <w:vAlign w:val="bottom"/>
            <w:tcBorders>
              <w:bottom w:val="single" w:sz="8" w:color="auto"/>
            </w:tcBorders>
          </w:tcPr>
          <w:p>
            <w:pPr>
              <w:jc w:val="right"/>
              <w:ind w:right="10"/>
              <w:spacing w:after="0" w:line="176" w:lineRule="exact"/>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tcPr>
          <w:p>
            <w:pPr>
              <w:jc w:val="right"/>
              <w:spacing w:after="0" w:line="176" w:lineRule="exact"/>
              <w:rPr>
                <w:sz w:val="20"/>
                <w:szCs w:val="20"/>
                <w:color w:val="auto"/>
              </w:rPr>
            </w:pPr>
            <w:r>
              <w:rPr>
                <w:rFonts w:ascii="Arial" w:cs="Arial" w:eastAsia="Arial" w:hAnsi="Arial"/>
                <w:sz w:val="18"/>
                <w:szCs w:val="18"/>
                <w:color w:val="auto"/>
              </w:rPr>
              <w:t>(0.22)</w:t>
            </w:r>
          </w:p>
        </w:tc>
        <w:tc>
          <w:tcPr>
            <w:tcW w:w="120" w:type="dxa"/>
            <w:vAlign w:val="bottom"/>
          </w:tcPr>
          <w:p>
            <w:pPr>
              <w:spacing w:after="0"/>
              <w:rPr>
                <w:sz w:val="15"/>
                <w:szCs w:val="15"/>
                <w:color w:val="auto"/>
              </w:rPr>
            </w:pPr>
          </w:p>
        </w:tc>
        <w:tc>
          <w:tcPr>
            <w:tcW w:w="200" w:type="dxa"/>
            <w:vAlign w:val="bottom"/>
            <w:tcBorders>
              <w:bottom w:val="single" w:sz="8" w:color="auto"/>
            </w:tcBorders>
          </w:tcPr>
          <w:p>
            <w:pPr>
              <w:jc w:val="right"/>
              <w:ind w:right="10"/>
              <w:spacing w:after="0" w:line="176" w:lineRule="exact"/>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tcPr>
          <w:p>
            <w:pPr>
              <w:jc w:val="right"/>
              <w:spacing w:after="0" w:line="176" w:lineRule="exact"/>
              <w:rPr>
                <w:sz w:val="20"/>
                <w:szCs w:val="20"/>
                <w:color w:val="auto"/>
              </w:rPr>
            </w:pPr>
            <w:r>
              <w:rPr>
                <w:rFonts w:ascii="Arial" w:cs="Arial" w:eastAsia="Arial" w:hAnsi="Arial"/>
                <w:sz w:val="18"/>
                <w:szCs w:val="18"/>
                <w:color w:val="auto"/>
              </w:rPr>
              <w:t>(0.11)</w:t>
            </w:r>
          </w:p>
        </w:tc>
        <w:tc>
          <w:tcPr>
            <w:tcW w:w="0" w:type="dxa"/>
            <w:vAlign w:val="bottom"/>
          </w:tcPr>
          <w:p>
            <w:pPr>
              <w:spacing w:after="0"/>
              <w:rPr>
                <w:sz w:val="1"/>
                <w:szCs w:val="1"/>
                <w:color w:val="auto"/>
              </w:rPr>
            </w:pPr>
          </w:p>
        </w:tc>
      </w:tr>
      <w:tr>
        <w:trPr>
          <w:trHeight w:val="20"/>
        </w:trPr>
        <w:tc>
          <w:tcPr>
            <w:tcW w:w="534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5340" w:type="dxa"/>
            <w:vAlign w:val="bottom"/>
            <w:shd w:val="clear" w:color="auto" w:fill="CCEEFF"/>
          </w:tcPr>
          <w:p>
            <w:pPr>
              <w:ind w:left="20"/>
              <w:spacing w:after="0" w:line="196" w:lineRule="exact"/>
              <w:rPr>
                <w:sz w:val="20"/>
                <w:szCs w:val="20"/>
                <w:color w:val="auto"/>
              </w:rPr>
            </w:pPr>
            <w:r>
              <w:rPr>
                <w:rFonts w:ascii="Arial" w:cs="Arial" w:eastAsia="Arial" w:hAnsi="Arial"/>
                <w:sz w:val="18"/>
                <w:szCs w:val="18"/>
                <w:b w:val="1"/>
                <w:bCs w:val="1"/>
                <w:color w:val="auto"/>
              </w:rPr>
              <w:t>Weighted average shares outstanding</w:t>
            </w:r>
          </w:p>
        </w:tc>
        <w:tc>
          <w:tcPr>
            <w:tcW w:w="20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5340" w:type="dxa"/>
            <w:vAlign w:val="bottom"/>
          </w:tcPr>
          <w:p>
            <w:pPr>
              <w:ind w:left="360"/>
              <w:spacing w:after="0"/>
              <w:rPr>
                <w:sz w:val="20"/>
                <w:szCs w:val="20"/>
                <w:color w:val="auto"/>
              </w:rPr>
            </w:pPr>
            <w:r>
              <w:rPr>
                <w:rFonts w:ascii="Arial" w:cs="Arial" w:eastAsia="Arial" w:hAnsi="Arial"/>
                <w:sz w:val="18"/>
                <w:szCs w:val="18"/>
                <w:color w:val="auto"/>
              </w:rPr>
              <w:t>Basic</w:t>
            </w:r>
          </w:p>
        </w:tc>
        <w:tc>
          <w:tcPr>
            <w:tcW w:w="2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38,327</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37,992</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38,242</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37,887</w:t>
            </w:r>
          </w:p>
        </w:tc>
        <w:tc>
          <w:tcPr>
            <w:tcW w:w="0" w:type="dxa"/>
            <w:vAlign w:val="bottom"/>
          </w:tcPr>
          <w:p>
            <w:pPr>
              <w:spacing w:after="0"/>
              <w:rPr>
                <w:sz w:val="1"/>
                <w:szCs w:val="1"/>
                <w:color w:val="auto"/>
              </w:rPr>
            </w:pPr>
          </w:p>
        </w:tc>
      </w:tr>
      <w:tr>
        <w:trPr>
          <w:trHeight w:val="230"/>
        </w:trPr>
        <w:tc>
          <w:tcPr>
            <w:tcW w:w="53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Diluted</w:t>
            </w:r>
          </w:p>
        </w:tc>
        <w:tc>
          <w:tcPr>
            <w:tcW w:w="20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38,327</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37,992</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38,242</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37,887</w:t>
            </w:r>
          </w:p>
        </w:tc>
        <w:tc>
          <w:tcPr>
            <w:tcW w:w="0" w:type="dxa"/>
            <w:vAlign w:val="bottom"/>
          </w:tcPr>
          <w:p>
            <w:pPr>
              <w:spacing w:after="0"/>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4" w:name="page5"/>
    <w:bookmarkEnd w:id="4"/>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AngioDynamics, Inc. and Subsidiaries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COMPREHENSIVE LOSS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of dollars)</w:t>
      </w:r>
    </w:p>
    <w:p>
      <w:pPr>
        <w:spacing w:after="0" w:line="287"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53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800" w:type="dxa"/>
            <w:vAlign w:val="bottom"/>
            <w:gridSpan w:val="5"/>
          </w:tcPr>
          <w:p>
            <w:pPr>
              <w:ind w:left="640"/>
              <w:spacing w:after="0"/>
              <w:rPr>
                <w:sz w:val="20"/>
                <w:szCs w:val="20"/>
                <w:color w:val="auto"/>
              </w:rPr>
            </w:pPr>
            <w:r>
              <w:rPr>
                <w:rFonts w:ascii="Arial" w:cs="Arial" w:eastAsia="Arial" w:hAnsi="Arial"/>
                <w:sz w:val="14"/>
                <w:szCs w:val="14"/>
                <w:color w:val="auto"/>
              </w:rPr>
              <w:t>Three Months Ended</w:t>
            </w:r>
          </w:p>
        </w:tc>
        <w:tc>
          <w:tcPr>
            <w:tcW w:w="200" w:type="dxa"/>
            <w:vAlign w:val="bottom"/>
          </w:tcPr>
          <w:p>
            <w:pPr>
              <w:spacing w:after="0"/>
              <w:rPr>
                <w:sz w:val="16"/>
                <w:szCs w:val="16"/>
                <w:color w:val="auto"/>
              </w:rPr>
            </w:pPr>
          </w:p>
        </w:tc>
        <w:tc>
          <w:tcPr>
            <w:tcW w:w="2680" w:type="dxa"/>
            <w:vAlign w:val="bottom"/>
            <w:gridSpan w:val="4"/>
          </w:tcPr>
          <w:p>
            <w:pPr>
              <w:jc w:val="right"/>
              <w:ind w:right="813"/>
              <w:spacing w:after="0"/>
              <w:rPr>
                <w:sz w:val="20"/>
                <w:szCs w:val="20"/>
                <w:color w:val="auto"/>
              </w:rPr>
            </w:pPr>
            <w:r>
              <w:rPr>
                <w:rFonts w:ascii="Arial" w:cs="Arial" w:eastAsia="Arial" w:hAnsi="Arial"/>
                <w:sz w:val="14"/>
                <w:szCs w:val="14"/>
                <w:color w:val="auto"/>
              </w:rPr>
              <w:t>Six Months Ended</w:t>
            </w:r>
          </w:p>
        </w:tc>
        <w:tc>
          <w:tcPr>
            <w:tcW w:w="0" w:type="dxa"/>
            <w:vAlign w:val="bottom"/>
          </w:tcPr>
          <w:p>
            <w:pPr>
              <w:spacing w:after="0"/>
              <w:rPr>
                <w:sz w:val="1"/>
                <w:szCs w:val="1"/>
                <w:color w:val="auto"/>
              </w:rPr>
            </w:pPr>
          </w:p>
        </w:tc>
      </w:tr>
      <w:tr>
        <w:trPr>
          <w:trHeight w:val="185"/>
        </w:trPr>
        <w:tc>
          <w:tcPr>
            <w:tcW w:w="5360" w:type="dxa"/>
            <w:vAlign w:val="bottom"/>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1300" w:type="dxa"/>
            <w:vAlign w:val="bottom"/>
            <w:tcBorders>
              <w:top w:val="single" w:sz="8" w:color="auto"/>
            </w:tcBorders>
            <w:gridSpan w:val="2"/>
          </w:tcPr>
          <w:p>
            <w:pPr>
              <w:ind w:left="100"/>
              <w:spacing w:after="0"/>
              <w:rPr>
                <w:sz w:val="20"/>
                <w:szCs w:val="20"/>
                <w:color w:val="auto"/>
              </w:rPr>
            </w:pPr>
            <w:r>
              <w:rPr>
                <w:rFonts w:ascii="Arial" w:cs="Arial" w:eastAsia="Arial" w:hAnsi="Arial"/>
                <w:sz w:val="14"/>
                <w:szCs w:val="14"/>
                <w:color w:val="auto"/>
              </w:rPr>
              <w:t>Nov 30, 2020</w:t>
            </w:r>
          </w:p>
        </w:tc>
        <w:tc>
          <w:tcPr>
            <w:tcW w:w="200" w:type="dxa"/>
            <w:vAlign w:val="bottom"/>
            <w:tcBorders>
              <w:top w:val="single" w:sz="8" w:color="auto"/>
            </w:tcBorders>
          </w:tcPr>
          <w:p>
            <w:pPr>
              <w:spacing w:after="0"/>
              <w:rPr>
                <w:sz w:val="16"/>
                <w:szCs w:val="16"/>
                <w:color w:val="auto"/>
              </w:rPr>
            </w:pPr>
          </w:p>
        </w:tc>
        <w:tc>
          <w:tcPr>
            <w:tcW w:w="1180" w:type="dxa"/>
            <w:vAlign w:val="bottom"/>
            <w:tcBorders>
              <w:top w:val="single" w:sz="8" w:color="auto"/>
            </w:tcBorders>
          </w:tcPr>
          <w:p>
            <w:pPr>
              <w:jc w:val="right"/>
              <w:ind w:right="213"/>
              <w:spacing w:after="0"/>
              <w:rPr>
                <w:sz w:val="20"/>
                <w:szCs w:val="20"/>
                <w:color w:val="auto"/>
              </w:rPr>
            </w:pPr>
            <w:r>
              <w:rPr>
                <w:rFonts w:ascii="Arial" w:cs="Arial" w:eastAsia="Arial" w:hAnsi="Arial"/>
                <w:sz w:val="14"/>
                <w:szCs w:val="14"/>
                <w:color w:val="auto"/>
              </w:rPr>
              <w:t>Nov 30, 2019</w:t>
            </w:r>
          </w:p>
        </w:tc>
        <w:tc>
          <w:tcPr>
            <w:tcW w:w="120" w:type="dxa"/>
            <w:vAlign w:val="bottom"/>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1280" w:type="dxa"/>
            <w:vAlign w:val="bottom"/>
            <w:tcBorders>
              <w:top w:val="single" w:sz="8" w:color="auto"/>
            </w:tcBorders>
            <w:gridSpan w:val="2"/>
          </w:tcPr>
          <w:p>
            <w:pPr>
              <w:ind w:left="100"/>
              <w:spacing w:after="0"/>
              <w:rPr>
                <w:sz w:val="20"/>
                <w:szCs w:val="20"/>
                <w:color w:val="auto"/>
              </w:rPr>
            </w:pPr>
            <w:r>
              <w:rPr>
                <w:rFonts w:ascii="Arial" w:cs="Arial" w:eastAsia="Arial" w:hAnsi="Arial"/>
                <w:sz w:val="14"/>
                <w:szCs w:val="14"/>
                <w:color w:val="auto"/>
              </w:rPr>
              <w:t>Nov 30, 2020</w:t>
            </w:r>
          </w:p>
        </w:tc>
        <w:tc>
          <w:tcPr>
            <w:tcW w:w="220" w:type="dxa"/>
            <w:vAlign w:val="bottom"/>
            <w:tcBorders>
              <w:top w:val="single" w:sz="8" w:color="auto"/>
            </w:tcBorders>
          </w:tcPr>
          <w:p>
            <w:pPr>
              <w:spacing w:after="0"/>
              <w:rPr>
                <w:sz w:val="16"/>
                <w:szCs w:val="16"/>
                <w:color w:val="auto"/>
              </w:rPr>
            </w:pPr>
          </w:p>
        </w:tc>
        <w:tc>
          <w:tcPr>
            <w:tcW w:w="1180" w:type="dxa"/>
            <w:vAlign w:val="bottom"/>
            <w:tcBorders>
              <w:top w:val="single" w:sz="8" w:color="auto"/>
            </w:tcBorders>
          </w:tcPr>
          <w:p>
            <w:pPr>
              <w:jc w:val="right"/>
              <w:ind w:right="213"/>
              <w:spacing w:after="0"/>
              <w:rPr>
                <w:sz w:val="20"/>
                <w:szCs w:val="20"/>
                <w:color w:val="auto"/>
              </w:rPr>
            </w:pPr>
            <w:r>
              <w:rPr>
                <w:rFonts w:ascii="Arial" w:cs="Arial" w:eastAsia="Arial" w:hAnsi="Arial"/>
                <w:sz w:val="14"/>
                <w:szCs w:val="14"/>
                <w:color w:val="auto"/>
              </w:rPr>
              <w:t>Nov 30, 2019</w:t>
            </w:r>
          </w:p>
        </w:tc>
        <w:tc>
          <w:tcPr>
            <w:tcW w:w="0" w:type="dxa"/>
            <w:vAlign w:val="bottom"/>
          </w:tcPr>
          <w:p>
            <w:pPr>
              <w:spacing w:after="0"/>
              <w:rPr>
                <w:sz w:val="1"/>
                <w:szCs w:val="1"/>
                <w:color w:val="auto"/>
              </w:rPr>
            </w:pPr>
          </w:p>
        </w:tc>
      </w:tr>
      <w:tr>
        <w:trPr>
          <w:trHeight w:val="226"/>
        </w:trPr>
        <w:tc>
          <w:tcPr>
            <w:tcW w:w="53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Net loss</w:t>
            </w: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tcBorders>
            <w:shd w:val="clear" w:color="auto" w:fill="CCEEFF"/>
          </w:tcPr>
          <w:p>
            <w:pPr>
              <w:ind w:left="640"/>
              <w:spacing w:after="0"/>
              <w:rPr>
                <w:sz w:val="20"/>
                <w:szCs w:val="20"/>
                <w:color w:val="auto"/>
              </w:rPr>
            </w:pPr>
            <w:r>
              <w:rPr>
                <w:rFonts w:ascii="Arial" w:cs="Arial" w:eastAsia="Arial" w:hAnsi="Arial"/>
                <w:sz w:val="18"/>
                <w:szCs w:val="18"/>
                <w:color w:val="auto"/>
                <w:w w:val="91"/>
              </w:rPr>
              <w:t>(4,268)</w:t>
            </w:r>
          </w:p>
        </w:tc>
        <w:tc>
          <w:tcPr>
            <w:tcW w:w="12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(2,736)</w:t>
            </w:r>
          </w:p>
        </w:tc>
        <w:tc>
          <w:tcPr>
            <w:tcW w:w="12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(8,536)</w:t>
            </w: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(4,011)</w:t>
            </w:r>
          </w:p>
        </w:tc>
        <w:tc>
          <w:tcPr>
            <w:tcW w:w="0" w:type="dxa"/>
            <w:vAlign w:val="bottom"/>
          </w:tcPr>
          <w:p>
            <w:pPr>
              <w:spacing w:after="0"/>
              <w:rPr>
                <w:sz w:val="1"/>
                <w:szCs w:val="1"/>
                <w:color w:val="auto"/>
              </w:rPr>
            </w:pPr>
          </w:p>
        </w:tc>
      </w:tr>
      <w:tr>
        <w:trPr>
          <w:trHeight w:val="230"/>
        </w:trPr>
        <w:tc>
          <w:tcPr>
            <w:tcW w:w="5360" w:type="dxa"/>
            <w:vAlign w:val="bottom"/>
          </w:tcPr>
          <w:p>
            <w:pPr>
              <w:ind w:left="360"/>
              <w:spacing w:after="0"/>
              <w:rPr>
                <w:sz w:val="20"/>
                <w:szCs w:val="20"/>
                <w:color w:val="auto"/>
              </w:rPr>
            </w:pPr>
            <w:r>
              <w:rPr>
                <w:rFonts w:ascii="Arial" w:cs="Arial" w:eastAsia="Arial" w:hAnsi="Arial"/>
                <w:sz w:val="18"/>
                <w:szCs w:val="18"/>
                <w:color w:val="auto"/>
              </w:rPr>
              <w:t>Other comprehensive income (loss), before tax:</w:t>
            </w:r>
          </w:p>
        </w:tc>
        <w:tc>
          <w:tcPr>
            <w:tcW w:w="20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360" w:type="dxa"/>
            <w:vAlign w:val="bottom"/>
            <w:shd w:val="clear" w:color="auto" w:fill="CCEEFF"/>
          </w:tcPr>
          <w:p>
            <w:pPr>
              <w:ind w:left="680"/>
              <w:spacing w:after="0"/>
              <w:rPr>
                <w:sz w:val="20"/>
                <w:szCs w:val="20"/>
                <w:color w:val="auto"/>
              </w:rPr>
            </w:pPr>
            <w:r>
              <w:rPr>
                <w:rFonts w:ascii="Arial" w:cs="Arial" w:eastAsia="Arial" w:hAnsi="Arial"/>
                <w:sz w:val="18"/>
                <w:szCs w:val="18"/>
                <w:color w:val="auto"/>
              </w:rPr>
              <w:t>Foreign currency translation</w:t>
            </w:r>
          </w:p>
        </w:tc>
        <w:tc>
          <w:tcPr>
            <w:tcW w:w="20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1,180</w:t>
            </w:r>
          </w:p>
        </w:tc>
        <w:tc>
          <w:tcPr>
            <w:tcW w:w="12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231</w:t>
            </w:r>
          </w:p>
        </w:tc>
        <w:tc>
          <w:tcPr>
            <w:tcW w:w="12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3,275</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80</w:t>
            </w:r>
          </w:p>
        </w:tc>
        <w:tc>
          <w:tcPr>
            <w:tcW w:w="0" w:type="dxa"/>
            <w:vAlign w:val="bottom"/>
          </w:tcPr>
          <w:p>
            <w:pPr>
              <w:spacing w:after="0"/>
              <w:rPr>
                <w:sz w:val="1"/>
                <w:szCs w:val="1"/>
                <w:color w:val="auto"/>
              </w:rPr>
            </w:pPr>
          </w:p>
        </w:tc>
      </w:tr>
      <w:tr>
        <w:trPr>
          <w:trHeight w:val="223"/>
        </w:trPr>
        <w:tc>
          <w:tcPr>
            <w:tcW w:w="5360" w:type="dxa"/>
            <w:vAlign w:val="bottom"/>
          </w:tcPr>
          <w:p>
            <w:pPr>
              <w:ind w:left="360"/>
              <w:spacing w:after="0"/>
              <w:rPr>
                <w:sz w:val="20"/>
                <w:szCs w:val="20"/>
                <w:color w:val="auto"/>
              </w:rPr>
            </w:pPr>
            <w:r>
              <w:rPr>
                <w:rFonts w:ascii="Arial" w:cs="Arial" w:eastAsia="Arial" w:hAnsi="Arial"/>
                <w:sz w:val="18"/>
                <w:szCs w:val="18"/>
                <w:color w:val="auto"/>
              </w:rPr>
              <w:t>Other comprehensive income, before tax</w:t>
            </w:r>
          </w:p>
        </w:tc>
        <w:tc>
          <w:tcPr>
            <w:tcW w:w="2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1,180</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231</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3,275</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80</w:t>
            </w:r>
          </w:p>
        </w:tc>
        <w:tc>
          <w:tcPr>
            <w:tcW w:w="0" w:type="dxa"/>
            <w:vAlign w:val="bottom"/>
          </w:tcPr>
          <w:p>
            <w:pPr>
              <w:spacing w:after="0"/>
              <w:rPr>
                <w:sz w:val="1"/>
                <w:szCs w:val="1"/>
                <w:color w:val="auto"/>
              </w:rPr>
            </w:pPr>
          </w:p>
        </w:tc>
      </w:tr>
      <w:tr>
        <w:trPr>
          <w:trHeight w:val="175"/>
        </w:trPr>
        <w:tc>
          <w:tcPr>
            <w:tcW w:w="5360" w:type="dxa"/>
            <w:vAlign w:val="bottom"/>
            <w:shd w:val="clear" w:color="auto" w:fill="CCEEFF"/>
          </w:tcPr>
          <w:p>
            <w:pPr>
              <w:ind w:left="680"/>
              <w:spacing w:after="0" w:line="176" w:lineRule="exact"/>
              <w:rPr>
                <w:sz w:val="20"/>
                <w:szCs w:val="20"/>
                <w:color w:val="auto"/>
              </w:rPr>
            </w:pPr>
            <w:r>
              <w:rPr>
                <w:rFonts w:ascii="Arial" w:cs="Arial" w:eastAsia="Arial" w:hAnsi="Arial"/>
                <w:sz w:val="18"/>
                <w:szCs w:val="18"/>
                <w:color w:val="auto"/>
                <w:w w:val="96"/>
              </w:rPr>
              <w:t>Income tax expense related to items of other comprehensive</w:t>
            </w:r>
          </w:p>
        </w:tc>
        <w:tc>
          <w:tcPr>
            <w:tcW w:w="200" w:type="dxa"/>
            <w:vAlign w:val="bottom"/>
            <w:shd w:val="clear" w:color="auto" w:fill="CCEEFF"/>
          </w:tcPr>
          <w:p>
            <w:pPr>
              <w:spacing w:after="0"/>
              <w:rPr>
                <w:sz w:val="15"/>
                <w:szCs w:val="15"/>
                <w:color w:val="auto"/>
              </w:rPr>
            </w:pPr>
          </w:p>
        </w:tc>
        <w:tc>
          <w:tcPr>
            <w:tcW w:w="130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5"/>
                <w:szCs w:val="15"/>
                <w:color w:val="auto"/>
              </w:rPr>
            </w:pPr>
          </w:p>
        </w:tc>
        <w:tc>
          <w:tcPr>
            <w:tcW w:w="130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5"/>
                <w:szCs w:val="15"/>
                <w:color w:val="auto"/>
              </w:rPr>
            </w:pPr>
          </w:p>
        </w:tc>
        <w:tc>
          <w:tcPr>
            <w:tcW w:w="128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5"/>
                <w:szCs w:val="15"/>
                <w:color w:val="auto"/>
              </w:rPr>
            </w:pPr>
          </w:p>
        </w:tc>
        <w:tc>
          <w:tcPr>
            <w:tcW w:w="11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5360" w:type="dxa"/>
            <w:vAlign w:val="bottom"/>
            <w:shd w:val="clear" w:color="auto" w:fill="CCEEFF"/>
          </w:tcPr>
          <w:p>
            <w:pPr>
              <w:ind w:left="680"/>
              <w:spacing w:after="0"/>
              <w:rPr>
                <w:sz w:val="20"/>
                <w:szCs w:val="20"/>
                <w:color w:val="auto"/>
              </w:rPr>
            </w:pPr>
            <w:r>
              <w:rPr>
                <w:rFonts w:ascii="Arial" w:cs="Arial" w:eastAsia="Arial" w:hAnsi="Arial"/>
                <w:sz w:val="18"/>
                <w:szCs w:val="18"/>
                <w:color w:val="auto"/>
              </w:rPr>
              <w:t>income (loss)</w:t>
            </w:r>
          </w:p>
        </w:tc>
        <w:tc>
          <w:tcPr>
            <w:tcW w:w="200" w:type="dxa"/>
            <w:vAlign w:val="bottom"/>
            <w:shd w:val="clear" w:color="auto" w:fill="CCEEFF"/>
          </w:tcPr>
          <w:p>
            <w:pPr>
              <w:spacing w:after="0"/>
              <w:rPr>
                <w:sz w:val="19"/>
                <w:szCs w:val="19"/>
                <w:color w:val="auto"/>
              </w:rPr>
            </w:pPr>
          </w:p>
        </w:tc>
        <w:tc>
          <w:tcPr>
            <w:tcW w:w="1300" w:type="dxa"/>
            <w:vAlign w:val="bottom"/>
            <w:gridSpan w:val="2"/>
            <w:vMerge w:val="continue"/>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00" w:type="dxa"/>
            <w:vAlign w:val="bottom"/>
            <w:gridSpan w:val="2"/>
            <w:vMerge w:val="continue"/>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80" w:type="dxa"/>
            <w:vAlign w:val="bottom"/>
            <w:gridSpan w:val="2"/>
            <w:vMerge w:val="continue"/>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8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360" w:type="dxa"/>
            <w:vAlign w:val="bottom"/>
            <w:tcBorders>
              <w:bottom w:val="single" w:sz="8" w:color="CCEEFF"/>
            </w:tcBorders>
          </w:tcPr>
          <w:p>
            <w:pPr>
              <w:ind w:left="360"/>
              <w:spacing w:after="0"/>
              <w:rPr>
                <w:sz w:val="20"/>
                <w:szCs w:val="20"/>
                <w:color w:val="auto"/>
              </w:rPr>
            </w:pPr>
            <w:r>
              <w:rPr>
                <w:rFonts w:ascii="Arial" w:cs="Arial" w:eastAsia="Arial" w:hAnsi="Arial"/>
                <w:sz w:val="18"/>
                <w:szCs w:val="18"/>
                <w:color w:val="auto"/>
              </w:rPr>
              <w:t>Other comprehensive income, net of tax</w:t>
            </w:r>
          </w:p>
        </w:tc>
        <w:tc>
          <w:tcPr>
            <w:tcW w:w="200" w:type="dxa"/>
            <w:vAlign w:val="bottom"/>
            <w:tcBorders>
              <w:top w:val="single" w:sz="8" w:color="auto"/>
              <w:bottom w:val="single" w:sz="8" w:color="auto"/>
            </w:tcBorders>
          </w:tcPr>
          <w:p>
            <w:pPr>
              <w:spacing w:after="0"/>
              <w:rPr>
                <w:sz w:val="19"/>
                <w:szCs w:val="19"/>
                <w:color w:val="auto"/>
              </w:rPr>
            </w:pP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1,180</w:t>
            </w:r>
          </w:p>
        </w:tc>
        <w:tc>
          <w:tcPr>
            <w:tcW w:w="120" w:type="dxa"/>
            <w:vAlign w:val="bottom"/>
            <w:tcBorders>
              <w:bottom w:val="single" w:sz="8" w:color="CCEEFF"/>
            </w:tcBorders>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231</w:t>
            </w:r>
          </w:p>
        </w:tc>
        <w:tc>
          <w:tcPr>
            <w:tcW w:w="120" w:type="dxa"/>
            <w:vAlign w:val="bottom"/>
            <w:tcBorders>
              <w:bottom w:val="single" w:sz="8" w:color="CCEEFF"/>
            </w:tcBorders>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3,275</w:t>
            </w:r>
          </w:p>
        </w:tc>
        <w:tc>
          <w:tcPr>
            <w:tcW w:w="100" w:type="dxa"/>
            <w:vAlign w:val="bottom"/>
            <w:tcBorders>
              <w:bottom w:val="single" w:sz="8" w:color="CCEEFF"/>
            </w:tcBorders>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80</w:t>
            </w:r>
          </w:p>
        </w:tc>
        <w:tc>
          <w:tcPr>
            <w:tcW w:w="0" w:type="dxa"/>
            <w:vAlign w:val="bottom"/>
          </w:tcPr>
          <w:p>
            <w:pPr>
              <w:spacing w:after="0"/>
              <w:rPr>
                <w:sz w:val="1"/>
                <w:szCs w:val="1"/>
                <w:color w:val="auto"/>
              </w:rPr>
            </w:pPr>
          </w:p>
        </w:tc>
      </w:tr>
      <w:tr>
        <w:trPr>
          <w:trHeight w:val="248"/>
        </w:trPr>
        <w:tc>
          <w:tcPr>
            <w:tcW w:w="53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Total comprehensive loss, net of tax</w:t>
            </w: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shd w:val="clear" w:color="auto" w:fill="CCEEFF"/>
          </w:tcPr>
          <w:p>
            <w:pPr>
              <w:ind w:left="640"/>
              <w:spacing w:after="0"/>
              <w:rPr>
                <w:sz w:val="20"/>
                <w:szCs w:val="20"/>
                <w:color w:val="auto"/>
              </w:rPr>
            </w:pPr>
            <w:r>
              <w:rPr>
                <w:rFonts w:ascii="Arial" w:cs="Arial" w:eastAsia="Arial" w:hAnsi="Arial"/>
                <w:sz w:val="18"/>
                <w:szCs w:val="18"/>
                <w:color w:val="auto"/>
                <w:w w:val="91"/>
              </w:rPr>
              <w:t>(3,088)</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(2,505)</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(5,261)</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(3,931)</w:t>
            </w:r>
          </w:p>
        </w:tc>
        <w:tc>
          <w:tcPr>
            <w:tcW w:w="0" w:type="dxa"/>
            <w:vAlign w:val="bottom"/>
          </w:tcPr>
          <w:p>
            <w:pPr>
              <w:spacing w:after="0"/>
              <w:rPr>
                <w:sz w:val="1"/>
                <w:szCs w:val="1"/>
                <w:color w:val="auto"/>
              </w:rPr>
            </w:pPr>
          </w:p>
        </w:tc>
      </w:tr>
      <w:tr>
        <w:trPr>
          <w:trHeight w:val="20"/>
        </w:trPr>
        <w:tc>
          <w:tcPr>
            <w:tcW w:w="536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5" w:name="page6"/>
    <w:bookmarkEnd w:id="5"/>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8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AngioDynamics, Inc. and Subsidiaries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BALANCE SHEETS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of dollars, except share data)</w:t>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83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00" w:type="dxa"/>
            <w:vAlign w:val="bottom"/>
            <w:gridSpan w:val="2"/>
          </w:tcPr>
          <w:p>
            <w:pPr>
              <w:ind w:left="100"/>
              <w:spacing w:after="0"/>
              <w:rPr>
                <w:sz w:val="20"/>
                <w:szCs w:val="20"/>
                <w:color w:val="auto"/>
              </w:rPr>
            </w:pPr>
            <w:r>
              <w:rPr>
                <w:rFonts w:ascii="Arial" w:cs="Arial" w:eastAsia="Arial" w:hAnsi="Arial"/>
                <w:sz w:val="14"/>
                <w:szCs w:val="14"/>
                <w:color w:val="auto"/>
              </w:rPr>
              <w:t>Nov 30, 2020</w:t>
            </w:r>
          </w:p>
        </w:tc>
        <w:tc>
          <w:tcPr>
            <w:tcW w:w="200" w:type="dxa"/>
            <w:vAlign w:val="bottom"/>
          </w:tcPr>
          <w:p>
            <w:pPr>
              <w:spacing w:after="0"/>
              <w:rPr>
                <w:sz w:val="16"/>
                <w:szCs w:val="16"/>
                <w:color w:val="auto"/>
              </w:rPr>
            </w:pPr>
          </w:p>
        </w:tc>
        <w:tc>
          <w:tcPr>
            <w:tcW w:w="1200" w:type="dxa"/>
            <w:vAlign w:val="bottom"/>
          </w:tcPr>
          <w:p>
            <w:pPr>
              <w:jc w:val="right"/>
              <w:ind w:right="211"/>
              <w:spacing w:after="0"/>
              <w:rPr>
                <w:sz w:val="20"/>
                <w:szCs w:val="20"/>
                <w:color w:val="auto"/>
              </w:rPr>
            </w:pPr>
            <w:r>
              <w:rPr>
                <w:rFonts w:ascii="Arial" w:cs="Arial" w:eastAsia="Arial" w:hAnsi="Arial"/>
                <w:sz w:val="14"/>
                <w:szCs w:val="14"/>
                <w:color w:val="auto"/>
              </w:rPr>
              <w:t>May 31, 2020</w:t>
            </w:r>
          </w:p>
        </w:tc>
        <w:tc>
          <w:tcPr>
            <w:tcW w:w="0" w:type="dxa"/>
            <w:vAlign w:val="bottom"/>
          </w:tcPr>
          <w:p>
            <w:pPr>
              <w:spacing w:after="0"/>
              <w:rPr>
                <w:sz w:val="1"/>
                <w:szCs w:val="1"/>
                <w:color w:val="auto"/>
              </w:rPr>
            </w:pPr>
          </w:p>
        </w:tc>
      </w:tr>
      <w:tr>
        <w:trPr>
          <w:trHeight w:val="216"/>
        </w:trPr>
        <w:tc>
          <w:tcPr>
            <w:tcW w:w="83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Assets</w:t>
            </w:r>
          </w:p>
        </w:tc>
        <w:tc>
          <w:tcPr>
            <w:tcW w:w="220" w:type="dxa"/>
            <w:vAlign w:val="bottom"/>
            <w:tcBorders>
              <w:top w:val="single" w:sz="8" w:color="auto"/>
            </w:tcBorders>
            <w:shd w:val="clear" w:color="auto" w:fill="CCEEFF"/>
          </w:tcPr>
          <w:p>
            <w:pPr>
              <w:spacing w:after="0"/>
              <w:rPr>
                <w:sz w:val="18"/>
                <w:szCs w:val="18"/>
                <w:color w:val="auto"/>
              </w:rPr>
            </w:pPr>
          </w:p>
        </w:tc>
        <w:tc>
          <w:tcPr>
            <w:tcW w:w="118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120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8320" w:type="dxa"/>
            <w:vAlign w:val="bottom"/>
          </w:tcPr>
          <w:p>
            <w:pPr>
              <w:ind w:left="20"/>
              <w:spacing w:after="0"/>
              <w:rPr>
                <w:sz w:val="20"/>
                <w:szCs w:val="20"/>
                <w:color w:val="auto"/>
              </w:rPr>
            </w:pPr>
            <w:r>
              <w:rPr>
                <w:rFonts w:ascii="Arial" w:cs="Arial" w:eastAsia="Arial" w:hAnsi="Arial"/>
                <w:sz w:val="18"/>
                <w:szCs w:val="18"/>
                <w:color w:val="auto"/>
              </w:rPr>
              <w:t>Current assets</w:t>
            </w:r>
          </w:p>
        </w:tc>
        <w:tc>
          <w:tcPr>
            <w:tcW w:w="2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3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Cash and cash equivalents</w:t>
            </w: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58,025</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54,435</w:t>
            </w:r>
          </w:p>
        </w:tc>
        <w:tc>
          <w:tcPr>
            <w:tcW w:w="0" w:type="dxa"/>
            <w:vAlign w:val="bottom"/>
          </w:tcPr>
          <w:p>
            <w:pPr>
              <w:spacing w:after="0"/>
              <w:rPr>
                <w:sz w:val="1"/>
                <w:szCs w:val="1"/>
                <w:color w:val="auto"/>
              </w:rPr>
            </w:pPr>
          </w:p>
        </w:tc>
      </w:tr>
      <w:tr>
        <w:trPr>
          <w:trHeight w:val="229"/>
        </w:trPr>
        <w:tc>
          <w:tcPr>
            <w:tcW w:w="8320" w:type="dxa"/>
            <w:vAlign w:val="bottom"/>
          </w:tcPr>
          <w:p>
            <w:pPr>
              <w:ind w:left="360"/>
              <w:spacing w:after="0"/>
              <w:rPr>
                <w:sz w:val="20"/>
                <w:szCs w:val="20"/>
                <w:color w:val="auto"/>
              </w:rPr>
            </w:pPr>
            <w:r>
              <w:rPr>
                <w:rFonts w:ascii="Arial" w:cs="Arial" w:eastAsia="Arial" w:hAnsi="Arial"/>
                <w:sz w:val="18"/>
                <w:szCs w:val="18"/>
                <w:color w:val="auto"/>
              </w:rPr>
              <w:t>Accounts receivable, net of allowances of $1,941 and $2,150 respectively</w:t>
            </w:r>
          </w:p>
        </w:tc>
        <w:tc>
          <w:tcPr>
            <w:tcW w:w="2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33,604</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31,263</w:t>
            </w:r>
          </w:p>
        </w:tc>
        <w:tc>
          <w:tcPr>
            <w:tcW w:w="0" w:type="dxa"/>
            <w:vAlign w:val="bottom"/>
          </w:tcPr>
          <w:p>
            <w:pPr>
              <w:spacing w:after="0"/>
              <w:rPr>
                <w:sz w:val="1"/>
                <w:szCs w:val="1"/>
                <w:color w:val="auto"/>
              </w:rPr>
            </w:pPr>
          </w:p>
        </w:tc>
      </w:tr>
      <w:tr>
        <w:trPr>
          <w:trHeight w:val="229"/>
        </w:trPr>
        <w:tc>
          <w:tcPr>
            <w:tcW w:w="83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Inventories</w:t>
            </w:r>
          </w:p>
        </w:tc>
        <w:tc>
          <w:tcPr>
            <w:tcW w:w="22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49,582</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59,905</w:t>
            </w:r>
          </w:p>
        </w:tc>
        <w:tc>
          <w:tcPr>
            <w:tcW w:w="0" w:type="dxa"/>
            <w:vAlign w:val="bottom"/>
          </w:tcPr>
          <w:p>
            <w:pPr>
              <w:spacing w:after="0"/>
              <w:rPr>
                <w:sz w:val="1"/>
                <w:szCs w:val="1"/>
                <w:color w:val="auto"/>
              </w:rPr>
            </w:pPr>
          </w:p>
        </w:tc>
      </w:tr>
      <w:tr>
        <w:trPr>
          <w:trHeight w:val="230"/>
        </w:trPr>
        <w:tc>
          <w:tcPr>
            <w:tcW w:w="8320" w:type="dxa"/>
            <w:vAlign w:val="bottom"/>
            <w:tcBorders>
              <w:bottom w:val="single" w:sz="8" w:color="CCEEFF"/>
            </w:tcBorders>
          </w:tcPr>
          <w:p>
            <w:pPr>
              <w:ind w:left="360"/>
              <w:spacing w:after="0"/>
              <w:rPr>
                <w:sz w:val="20"/>
                <w:szCs w:val="20"/>
                <w:color w:val="auto"/>
              </w:rPr>
            </w:pPr>
            <w:r>
              <w:rPr>
                <w:rFonts w:ascii="Arial" w:cs="Arial" w:eastAsia="Arial" w:hAnsi="Arial"/>
                <w:sz w:val="18"/>
                <w:szCs w:val="18"/>
                <w:color w:val="auto"/>
              </w:rPr>
              <w:t>Prepaid expenses and other</w:t>
            </w:r>
          </w:p>
        </w:tc>
        <w:tc>
          <w:tcPr>
            <w:tcW w:w="22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8,493</w:t>
            </w:r>
          </w:p>
        </w:tc>
        <w:tc>
          <w:tcPr>
            <w:tcW w:w="12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7,310</w:t>
            </w:r>
          </w:p>
        </w:tc>
        <w:tc>
          <w:tcPr>
            <w:tcW w:w="0" w:type="dxa"/>
            <w:vAlign w:val="bottom"/>
          </w:tcPr>
          <w:p>
            <w:pPr>
              <w:spacing w:after="0"/>
              <w:rPr>
                <w:sz w:val="1"/>
                <w:szCs w:val="1"/>
                <w:color w:val="auto"/>
              </w:rPr>
            </w:pPr>
          </w:p>
        </w:tc>
      </w:tr>
      <w:tr>
        <w:trPr>
          <w:trHeight w:val="223"/>
        </w:trPr>
        <w:tc>
          <w:tcPr>
            <w:tcW w:w="8320" w:type="dxa"/>
            <w:vAlign w:val="bottom"/>
            <w:shd w:val="clear" w:color="auto" w:fill="CCEEFF"/>
          </w:tcPr>
          <w:p>
            <w:pPr>
              <w:ind w:left="680"/>
              <w:spacing w:after="0"/>
              <w:rPr>
                <w:sz w:val="20"/>
                <w:szCs w:val="20"/>
                <w:color w:val="auto"/>
              </w:rPr>
            </w:pPr>
            <w:r>
              <w:rPr>
                <w:rFonts w:ascii="Arial" w:cs="Arial" w:eastAsia="Arial" w:hAnsi="Arial"/>
                <w:sz w:val="18"/>
                <w:szCs w:val="18"/>
                <w:color w:val="auto"/>
              </w:rPr>
              <w:t>Total current assets</w:t>
            </w:r>
          </w:p>
        </w:tc>
        <w:tc>
          <w:tcPr>
            <w:tcW w:w="22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149,704</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152,913</w:t>
            </w:r>
          </w:p>
        </w:tc>
        <w:tc>
          <w:tcPr>
            <w:tcW w:w="0" w:type="dxa"/>
            <w:vAlign w:val="bottom"/>
          </w:tcPr>
          <w:p>
            <w:pPr>
              <w:spacing w:after="0"/>
              <w:rPr>
                <w:sz w:val="1"/>
                <w:szCs w:val="1"/>
                <w:color w:val="auto"/>
              </w:rPr>
            </w:pPr>
          </w:p>
        </w:tc>
      </w:tr>
      <w:tr>
        <w:trPr>
          <w:trHeight w:val="230"/>
        </w:trPr>
        <w:tc>
          <w:tcPr>
            <w:tcW w:w="8320" w:type="dxa"/>
            <w:vAlign w:val="bottom"/>
          </w:tcPr>
          <w:p>
            <w:pPr>
              <w:ind w:left="20"/>
              <w:spacing w:after="0"/>
              <w:rPr>
                <w:sz w:val="20"/>
                <w:szCs w:val="20"/>
                <w:color w:val="auto"/>
              </w:rPr>
            </w:pPr>
            <w:r>
              <w:rPr>
                <w:rFonts w:ascii="Arial" w:cs="Arial" w:eastAsia="Arial" w:hAnsi="Arial"/>
                <w:sz w:val="18"/>
                <w:szCs w:val="18"/>
                <w:color w:val="auto"/>
              </w:rPr>
              <w:t>Property, plant and equipment, net</w:t>
            </w:r>
          </w:p>
        </w:tc>
        <w:tc>
          <w:tcPr>
            <w:tcW w:w="2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29,628</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28,312</w:t>
            </w:r>
          </w:p>
        </w:tc>
        <w:tc>
          <w:tcPr>
            <w:tcW w:w="0" w:type="dxa"/>
            <w:vAlign w:val="bottom"/>
          </w:tcPr>
          <w:p>
            <w:pPr>
              <w:spacing w:after="0"/>
              <w:rPr>
                <w:sz w:val="1"/>
                <w:szCs w:val="1"/>
                <w:color w:val="auto"/>
              </w:rPr>
            </w:pPr>
          </w:p>
        </w:tc>
      </w:tr>
      <w:tr>
        <w:trPr>
          <w:trHeight w:val="229"/>
        </w:trPr>
        <w:tc>
          <w:tcPr>
            <w:tcW w:w="832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assets</w:t>
            </w:r>
          </w:p>
        </w:tc>
        <w:tc>
          <w:tcPr>
            <w:tcW w:w="22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17,513</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15,338</w:t>
            </w:r>
          </w:p>
        </w:tc>
        <w:tc>
          <w:tcPr>
            <w:tcW w:w="0" w:type="dxa"/>
            <w:vAlign w:val="bottom"/>
          </w:tcPr>
          <w:p>
            <w:pPr>
              <w:spacing w:after="0"/>
              <w:rPr>
                <w:sz w:val="1"/>
                <w:szCs w:val="1"/>
                <w:color w:val="auto"/>
              </w:rPr>
            </w:pPr>
          </w:p>
        </w:tc>
      </w:tr>
      <w:tr>
        <w:trPr>
          <w:trHeight w:val="229"/>
        </w:trPr>
        <w:tc>
          <w:tcPr>
            <w:tcW w:w="8320" w:type="dxa"/>
            <w:vAlign w:val="bottom"/>
          </w:tcPr>
          <w:p>
            <w:pPr>
              <w:ind w:left="20"/>
              <w:spacing w:after="0"/>
              <w:rPr>
                <w:sz w:val="20"/>
                <w:szCs w:val="20"/>
                <w:color w:val="auto"/>
              </w:rPr>
            </w:pPr>
            <w:r>
              <w:rPr>
                <w:rFonts w:ascii="Arial" w:cs="Arial" w:eastAsia="Arial" w:hAnsi="Arial"/>
                <w:sz w:val="18"/>
                <w:szCs w:val="18"/>
                <w:color w:val="auto"/>
              </w:rPr>
              <w:t>Intangible assets, net</w:t>
            </w:r>
          </w:p>
        </w:tc>
        <w:tc>
          <w:tcPr>
            <w:tcW w:w="2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190,559</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197,136</w:t>
            </w:r>
          </w:p>
        </w:tc>
        <w:tc>
          <w:tcPr>
            <w:tcW w:w="0" w:type="dxa"/>
            <w:vAlign w:val="bottom"/>
          </w:tcPr>
          <w:p>
            <w:pPr>
              <w:spacing w:after="0"/>
              <w:rPr>
                <w:sz w:val="1"/>
                <w:szCs w:val="1"/>
                <w:color w:val="auto"/>
              </w:rPr>
            </w:pPr>
          </w:p>
        </w:tc>
      </w:tr>
      <w:tr>
        <w:trPr>
          <w:trHeight w:val="230"/>
        </w:trPr>
        <w:tc>
          <w:tcPr>
            <w:tcW w:w="8320" w:type="dxa"/>
            <w:vAlign w:val="bottom"/>
            <w:shd w:val="clear" w:color="auto" w:fill="CCEEFF"/>
          </w:tcPr>
          <w:p>
            <w:pPr>
              <w:ind w:left="20"/>
              <w:spacing w:after="0"/>
              <w:rPr>
                <w:sz w:val="20"/>
                <w:szCs w:val="20"/>
                <w:color w:val="auto"/>
              </w:rPr>
            </w:pPr>
            <w:r>
              <w:rPr>
                <w:rFonts w:ascii="Arial" w:cs="Arial" w:eastAsia="Arial" w:hAnsi="Arial"/>
                <w:sz w:val="18"/>
                <w:szCs w:val="18"/>
                <w:color w:val="auto"/>
              </w:rPr>
              <w:t>Goodwill</w:t>
            </w:r>
          </w:p>
        </w:tc>
        <w:tc>
          <w:tcPr>
            <w:tcW w:w="22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201,117</w:t>
            </w:r>
          </w:p>
        </w:tc>
        <w:tc>
          <w:tcPr>
            <w:tcW w:w="12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200,515</w:t>
            </w:r>
          </w:p>
        </w:tc>
        <w:tc>
          <w:tcPr>
            <w:tcW w:w="0" w:type="dxa"/>
            <w:vAlign w:val="bottom"/>
          </w:tcPr>
          <w:p>
            <w:pPr>
              <w:spacing w:after="0"/>
              <w:rPr>
                <w:sz w:val="1"/>
                <w:szCs w:val="1"/>
                <w:color w:val="auto"/>
              </w:rPr>
            </w:pPr>
          </w:p>
        </w:tc>
      </w:tr>
      <w:tr>
        <w:trPr>
          <w:trHeight w:val="223"/>
        </w:trPr>
        <w:tc>
          <w:tcPr>
            <w:tcW w:w="8320" w:type="dxa"/>
            <w:vAlign w:val="bottom"/>
          </w:tcPr>
          <w:p>
            <w:pPr>
              <w:ind w:left="680"/>
              <w:spacing w:after="0"/>
              <w:rPr>
                <w:sz w:val="20"/>
                <w:szCs w:val="20"/>
                <w:color w:val="auto"/>
              </w:rPr>
            </w:pPr>
            <w:r>
              <w:rPr>
                <w:rFonts w:ascii="Arial" w:cs="Arial" w:eastAsia="Arial" w:hAnsi="Arial"/>
                <w:sz w:val="18"/>
                <w:szCs w:val="18"/>
                <w:color w:val="auto"/>
              </w:rPr>
              <w:t>Total assets</w:t>
            </w:r>
          </w:p>
        </w:tc>
        <w:tc>
          <w:tcPr>
            <w:tcW w:w="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588,521</w:t>
            </w:r>
          </w:p>
        </w:tc>
        <w:tc>
          <w:tcPr>
            <w:tcW w:w="120" w:type="dxa"/>
            <w:vAlign w:val="bottom"/>
          </w:tcPr>
          <w:p>
            <w:pPr>
              <w:spacing w:after="0"/>
              <w:rPr>
                <w:sz w:val="19"/>
                <w:szCs w:val="19"/>
                <w:color w:val="auto"/>
              </w:rPr>
            </w:pPr>
          </w:p>
        </w:tc>
        <w:tc>
          <w:tcPr>
            <w:tcW w:w="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594,214</w:t>
            </w:r>
          </w:p>
        </w:tc>
        <w:tc>
          <w:tcPr>
            <w:tcW w:w="0" w:type="dxa"/>
            <w:vAlign w:val="bottom"/>
          </w:tcPr>
          <w:p>
            <w:pPr>
              <w:spacing w:after="0"/>
              <w:rPr>
                <w:sz w:val="1"/>
                <w:szCs w:val="1"/>
                <w:color w:val="auto"/>
              </w:rPr>
            </w:pPr>
          </w:p>
        </w:tc>
      </w:tr>
      <w:tr>
        <w:trPr>
          <w:trHeight w:val="20"/>
        </w:trPr>
        <w:tc>
          <w:tcPr>
            <w:tcW w:w="832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8320" w:type="dxa"/>
            <w:vAlign w:val="bottom"/>
            <w:shd w:val="clear" w:color="auto" w:fill="CCEEFF"/>
          </w:tcPr>
          <w:p>
            <w:pPr>
              <w:ind w:left="20"/>
              <w:spacing w:after="0" w:line="196" w:lineRule="exact"/>
              <w:rPr>
                <w:sz w:val="20"/>
                <w:szCs w:val="20"/>
                <w:color w:val="auto"/>
              </w:rPr>
            </w:pPr>
            <w:r>
              <w:rPr>
                <w:rFonts w:ascii="Arial" w:cs="Arial" w:eastAsia="Arial" w:hAnsi="Arial"/>
                <w:sz w:val="18"/>
                <w:szCs w:val="18"/>
                <w:color w:val="auto"/>
              </w:rPr>
              <w:t>Liabilities and stockholders' equity</w:t>
            </w:r>
          </w:p>
        </w:tc>
        <w:tc>
          <w:tcPr>
            <w:tcW w:w="22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8320" w:type="dxa"/>
            <w:vAlign w:val="bottom"/>
          </w:tcPr>
          <w:p>
            <w:pPr>
              <w:ind w:left="20"/>
              <w:spacing w:after="0"/>
              <w:rPr>
                <w:sz w:val="20"/>
                <w:szCs w:val="20"/>
                <w:color w:val="auto"/>
              </w:rPr>
            </w:pPr>
            <w:r>
              <w:rPr>
                <w:rFonts w:ascii="Arial" w:cs="Arial" w:eastAsia="Arial" w:hAnsi="Arial"/>
                <w:sz w:val="18"/>
                <w:szCs w:val="18"/>
                <w:color w:val="auto"/>
              </w:rPr>
              <w:t>Current liabilities</w:t>
            </w:r>
          </w:p>
        </w:tc>
        <w:tc>
          <w:tcPr>
            <w:tcW w:w="2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3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Accounts payable</w:t>
            </w: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15,979</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19,096</w:t>
            </w:r>
          </w:p>
        </w:tc>
        <w:tc>
          <w:tcPr>
            <w:tcW w:w="0" w:type="dxa"/>
            <w:vAlign w:val="bottom"/>
          </w:tcPr>
          <w:p>
            <w:pPr>
              <w:spacing w:after="0"/>
              <w:rPr>
                <w:sz w:val="1"/>
                <w:szCs w:val="1"/>
                <w:color w:val="auto"/>
              </w:rPr>
            </w:pPr>
          </w:p>
        </w:tc>
      </w:tr>
      <w:tr>
        <w:trPr>
          <w:trHeight w:val="229"/>
        </w:trPr>
        <w:tc>
          <w:tcPr>
            <w:tcW w:w="8320" w:type="dxa"/>
            <w:vAlign w:val="bottom"/>
          </w:tcPr>
          <w:p>
            <w:pPr>
              <w:ind w:left="360"/>
              <w:spacing w:after="0"/>
              <w:rPr>
                <w:sz w:val="20"/>
                <w:szCs w:val="20"/>
                <w:color w:val="auto"/>
              </w:rPr>
            </w:pPr>
            <w:r>
              <w:rPr>
                <w:rFonts w:ascii="Arial" w:cs="Arial" w:eastAsia="Arial" w:hAnsi="Arial"/>
                <w:sz w:val="18"/>
                <w:szCs w:val="18"/>
                <w:color w:val="auto"/>
              </w:rPr>
              <w:t>Accrued liabilities</w:t>
            </w:r>
          </w:p>
        </w:tc>
        <w:tc>
          <w:tcPr>
            <w:tcW w:w="2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27,610</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29,380</w:t>
            </w:r>
          </w:p>
        </w:tc>
        <w:tc>
          <w:tcPr>
            <w:tcW w:w="0" w:type="dxa"/>
            <w:vAlign w:val="bottom"/>
          </w:tcPr>
          <w:p>
            <w:pPr>
              <w:spacing w:after="0"/>
              <w:rPr>
                <w:sz w:val="1"/>
                <w:szCs w:val="1"/>
                <w:color w:val="auto"/>
              </w:rPr>
            </w:pPr>
          </w:p>
        </w:tc>
      </w:tr>
      <w:tr>
        <w:trPr>
          <w:trHeight w:val="230"/>
        </w:trPr>
        <w:tc>
          <w:tcPr>
            <w:tcW w:w="83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Current portion of contingent consideration</w:t>
            </w:r>
          </w:p>
        </w:tc>
        <w:tc>
          <w:tcPr>
            <w:tcW w:w="22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836</w:t>
            </w:r>
          </w:p>
        </w:tc>
        <w:tc>
          <w:tcPr>
            <w:tcW w:w="0" w:type="dxa"/>
            <w:vAlign w:val="bottom"/>
          </w:tcPr>
          <w:p>
            <w:pPr>
              <w:spacing w:after="0"/>
              <w:rPr>
                <w:sz w:val="1"/>
                <w:szCs w:val="1"/>
                <w:color w:val="auto"/>
              </w:rPr>
            </w:pPr>
          </w:p>
        </w:tc>
      </w:tr>
      <w:tr>
        <w:trPr>
          <w:trHeight w:val="229"/>
        </w:trPr>
        <w:tc>
          <w:tcPr>
            <w:tcW w:w="8320" w:type="dxa"/>
            <w:vAlign w:val="bottom"/>
            <w:tcBorders>
              <w:bottom w:val="single" w:sz="8" w:color="CCEEFF"/>
            </w:tcBorders>
          </w:tcPr>
          <w:p>
            <w:pPr>
              <w:ind w:left="360"/>
              <w:spacing w:after="0"/>
              <w:rPr>
                <w:sz w:val="20"/>
                <w:szCs w:val="20"/>
                <w:color w:val="auto"/>
              </w:rPr>
            </w:pPr>
            <w:r>
              <w:rPr>
                <w:rFonts w:ascii="Arial" w:cs="Arial" w:eastAsia="Arial" w:hAnsi="Arial"/>
                <w:sz w:val="18"/>
                <w:szCs w:val="18"/>
                <w:color w:val="auto"/>
              </w:rPr>
              <w:t>Other current liabilities</w:t>
            </w:r>
          </w:p>
        </w:tc>
        <w:tc>
          <w:tcPr>
            <w:tcW w:w="22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2,223</w:t>
            </w:r>
          </w:p>
        </w:tc>
        <w:tc>
          <w:tcPr>
            <w:tcW w:w="12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2,133</w:t>
            </w:r>
          </w:p>
        </w:tc>
        <w:tc>
          <w:tcPr>
            <w:tcW w:w="0" w:type="dxa"/>
            <w:vAlign w:val="bottom"/>
          </w:tcPr>
          <w:p>
            <w:pPr>
              <w:spacing w:after="0"/>
              <w:rPr>
                <w:sz w:val="1"/>
                <w:szCs w:val="1"/>
                <w:color w:val="auto"/>
              </w:rPr>
            </w:pPr>
          </w:p>
        </w:tc>
      </w:tr>
      <w:tr>
        <w:trPr>
          <w:trHeight w:val="223"/>
        </w:trPr>
        <w:tc>
          <w:tcPr>
            <w:tcW w:w="8320" w:type="dxa"/>
            <w:vAlign w:val="bottom"/>
            <w:shd w:val="clear" w:color="auto" w:fill="CCEEFF"/>
          </w:tcPr>
          <w:p>
            <w:pPr>
              <w:ind w:left="680"/>
              <w:spacing w:after="0"/>
              <w:rPr>
                <w:sz w:val="20"/>
                <w:szCs w:val="20"/>
                <w:color w:val="auto"/>
              </w:rPr>
            </w:pPr>
            <w:r>
              <w:rPr>
                <w:rFonts w:ascii="Arial" w:cs="Arial" w:eastAsia="Arial" w:hAnsi="Arial"/>
                <w:sz w:val="18"/>
                <w:szCs w:val="18"/>
                <w:color w:val="auto"/>
              </w:rPr>
              <w:t>Total current liabilities</w:t>
            </w:r>
          </w:p>
        </w:tc>
        <w:tc>
          <w:tcPr>
            <w:tcW w:w="22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45,812</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51,445</w:t>
            </w:r>
          </w:p>
        </w:tc>
        <w:tc>
          <w:tcPr>
            <w:tcW w:w="0" w:type="dxa"/>
            <w:vAlign w:val="bottom"/>
          </w:tcPr>
          <w:p>
            <w:pPr>
              <w:spacing w:after="0"/>
              <w:rPr>
                <w:sz w:val="1"/>
                <w:szCs w:val="1"/>
                <w:color w:val="auto"/>
              </w:rPr>
            </w:pPr>
          </w:p>
        </w:tc>
      </w:tr>
      <w:tr>
        <w:trPr>
          <w:trHeight w:val="229"/>
        </w:trPr>
        <w:tc>
          <w:tcPr>
            <w:tcW w:w="8320" w:type="dxa"/>
            <w:vAlign w:val="bottom"/>
          </w:tcPr>
          <w:p>
            <w:pPr>
              <w:ind w:left="20"/>
              <w:spacing w:after="0"/>
              <w:rPr>
                <w:sz w:val="20"/>
                <w:szCs w:val="20"/>
                <w:color w:val="auto"/>
              </w:rPr>
            </w:pPr>
            <w:r>
              <w:rPr>
                <w:rFonts w:ascii="Arial" w:cs="Arial" w:eastAsia="Arial" w:hAnsi="Arial"/>
                <w:sz w:val="18"/>
                <w:szCs w:val="18"/>
                <w:color w:val="auto"/>
              </w:rPr>
              <w:t>Long-term debt, net of current portion</w:t>
            </w:r>
          </w:p>
        </w:tc>
        <w:tc>
          <w:tcPr>
            <w:tcW w:w="2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40,000</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40,000</w:t>
            </w:r>
          </w:p>
        </w:tc>
        <w:tc>
          <w:tcPr>
            <w:tcW w:w="0" w:type="dxa"/>
            <w:vAlign w:val="bottom"/>
          </w:tcPr>
          <w:p>
            <w:pPr>
              <w:spacing w:after="0"/>
              <w:rPr>
                <w:sz w:val="1"/>
                <w:szCs w:val="1"/>
                <w:color w:val="auto"/>
              </w:rPr>
            </w:pPr>
          </w:p>
        </w:tc>
      </w:tr>
      <w:tr>
        <w:trPr>
          <w:trHeight w:val="230"/>
        </w:trPr>
        <w:tc>
          <w:tcPr>
            <w:tcW w:w="832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Deferred income taxes</w:t>
            </w:r>
          </w:p>
        </w:tc>
        <w:tc>
          <w:tcPr>
            <w:tcW w:w="22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23,018</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24,057</w:t>
            </w:r>
          </w:p>
        </w:tc>
        <w:tc>
          <w:tcPr>
            <w:tcW w:w="0" w:type="dxa"/>
            <w:vAlign w:val="bottom"/>
          </w:tcPr>
          <w:p>
            <w:pPr>
              <w:spacing w:after="0"/>
              <w:rPr>
                <w:sz w:val="1"/>
                <w:szCs w:val="1"/>
                <w:color w:val="auto"/>
              </w:rPr>
            </w:pPr>
          </w:p>
        </w:tc>
      </w:tr>
      <w:tr>
        <w:trPr>
          <w:trHeight w:val="230"/>
        </w:trPr>
        <w:tc>
          <w:tcPr>
            <w:tcW w:w="8320" w:type="dxa"/>
            <w:vAlign w:val="bottom"/>
          </w:tcPr>
          <w:p>
            <w:pPr>
              <w:ind w:left="20"/>
              <w:spacing w:after="0"/>
              <w:rPr>
                <w:sz w:val="20"/>
                <w:szCs w:val="20"/>
                <w:color w:val="auto"/>
              </w:rPr>
            </w:pPr>
            <w:r>
              <w:rPr>
                <w:rFonts w:ascii="Arial" w:cs="Arial" w:eastAsia="Arial" w:hAnsi="Arial"/>
                <w:sz w:val="18"/>
                <w:szCs w:val="18"/>
                <w:color w:val="auto"/>
              </w:rPr>
              <w:t>Contingent consideration, net of current portion</w:t>
            </w:r>
          </w:p>
        </w:tc>
        <w:tc>
          <w:tcPr>
            <w:tcW w:w="2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15,178</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14,811</w:t>
            </w:r>
          </w:p>
        </w:tc>
        <w:tc>
          <w:tcPr>
            <w:tcW w:w="0" w:type="dxa"/>
            <w:vAlign w:val="bottom"/>
          </w:tcPr>
          <w:p>
            <w:pPr>
              <w:spacing w:after="0"/>
              <w:rPr>
                <w:sz w:val="1"/>
                <w:szCs w:val="1"/>
                <w:color w:val="auto"/>
              </w:rPr>
            </w:pPr>
          </w:p>
        </w:tc>
      </w:tr>
      <w:tr>
        <w:trPr>
          <w:trHeight w:val="229"/>
        </w:trPr>
        <w:tc>
          <w:tcPr>
            <w:tcW w:w="832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long-term liabilities</w:t>
            </w:r>
          </w:p>
        </w:tc>
        <w:tc>
          <w:tcPr>
            <w:tcW w:w="22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10,170</w:t>
            </w:r>
          </w:p>
        </w:tc>
        <w:tc>
          <w:tcPr>
            <w:tcW w:w="12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9,029</w:t>
            </w:r>
          </w:p>
        </w:tc>
        <w:tc>
          <w:tcPr>
            <w:tcW w:w="0" w:type="dxa"/>
            <w:vAlign w:val="bottom"/>
          </w:tcPr>
          <w:p>
            <w:pPr>
              <w:spacing w:after="0"/>
              <w:rPr>
                <w:sz w:val="1"/>
                <w:szCs w:val="1"/>
                <w:color w:val="auto"/>
              </w:rPr>
            </w:pPr>
          </w:p>
        </w:tc>
      </w:tr>
      <w:tr>
        <w:trPr>
          <w:trHeight w:val="223"/>
        </w:trPr>
        <w:tc>
          <w:tcPr>
            <w:tcW w:w="8320" w:type="dxa"/>
            <w:vAlign w:val="bottom"/>
            <w:tcBorders>
              <w:bottom w:val="single" w:sz="8" w:color="CCEEFF"/>
            </w:tcBorders>
          </w:tcPr>
          <w:p>
            <w:pPr>
              <w:ind w:left="680"/>
              <w:spacing w:after="0"/>
              <w:rPr>
                <w:sz w:val="20"/>
                <w:szCs w:val="20"/>
                <w:color w:val="auto"/>
              </w:rPr>
            </w:pPr>
            <w:r>
              <w:rPr>
                <w:rFonts w:ascii="Arial" w:cs="Arial" w:eastAsia="Arial" w:hAnsi="Arial"/>
                <w:sz w:val="18"/>
                <w:szCs w:val="18"/>
                <w:color w:val="auto"/>
              </w:rPr>
              <w:t>Total liabilities</w:t>
            </w:r>
          </w:p>
        </w:tc>
        <w:tc>
          <w:tcPr>
            <w:tcW w:w="22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134,178</w:t>
            </w:r>
          </w:p>
        </w:tc>
        <w:tc>
          <w:tcPr>
            <w:tcW w:w="12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139,342</w:t>
            </w:r>
          </w:p>
        </w:tc>
        <w:tc>
          <w:tcPr>
            <w:tcW w:w="0" w:type="dxa"/>
            <w:vAlign w:val="bottom"/>
          </w:tcPr>
          <w:p>
            <w:pPr>
              <w:spacing w:after="0"/>
              <w:rPr>
                <w:sz w:val="1"/>
                <w:szCs w:val="1"/>
                <w:color w:val="auto"/>
              </w:rPr>
            </w:pPr>
          </w:p>
        </w:tc>
      </w:tr>
      <w:tr>
        <w:trPr>
          <w:trHeight w:val="209"/>
        </w:trPr>
        <w:tc>
          <w:tcPr>
            <w:tcW w:w="832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Commitments and contingencies (Note 14)</w:t>
            </w:r>
          </w:p>
        </w:tc>
        <w:tc>
          <w:tcPr>
            <w:tcW w:w="22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8320" w:type="dxa"/>
            <w:vAlign w:val="bottom"/>
          </w:tcPr>
          <w:p>
            <w:pPr>
              <w:ind w:left="20"/>
              <w:spacing w:after="0"/>
              <w:rPr>
                <w:sz w:val="20"/>
                <w:szCs w:val="20"/>
                <w:color w:val="auto"/>
              </w:rPr>
            </w:pPr>
            <w:r>
              <w:rPr>
                <w:rFonts w:ascii="Arial" w:cs="Arial" w:eastAsia="Arial" w:hAnsi="Arial"/>
                <w:sz w:val="18"/>
                <w:szCs w:val="18"/>
                <w:color w:val="auto"/>
              </w:rPr>
              <w:t>Stockholders' equity</w:t>
            </w:r>
          </w:p>
        </w:tc>
        <w:tc>
          <w:tcPr>
            <w:tcW w:w="2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320" w:type="dxa"/>
            <w:vAlign w:val="bottom"/>
            <w:shd w:val="clear" w:color="auto" w:fill="CCEEFF"/>
          </w:tcPr>
          <w:p>
            <w:pPr>
              <w:ind w:left="360"/>
              <w:spacing w:after="0"/>
              <w:rPr>
                <w:sz w:val="20"/>
                <w:szCs w:val="20"/>
                <w:color w:val="auto"/>
              </w:rPr>
            </w:pPr>
            <w:r>
              <w:rPr>
                <w:rFonts w:ascii="Arial" w:cs="Arial" w:eastAsia="Arial" w:hAnsi="Arial"/>
                <w:sz w:val="18"/>
                <w:szCs w:val="18"/>
                <w:color w:val="auto"/>
                <w:w w:val="92"/>
              </w:rPr>
              <w:t>Preferred stock, par value $0.01 per share, 5,000,000 shares authorized; no shares issued and outstanding</w:t>
            </w:r>
          </w:p>
        </w:tc>
        <w:tc>
          <w:tcPr>
            <w:tcW w:w="22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75"/>
        </w:trPr>
        <w:tc>
          <w:tcPr>
            <w:tcW w:w="8320" w:type="dxa"/>
            <w:vAlign w:val="bottom"/>
          </w:tcPr>
          <w:p>
            <w:pPr>
              <w:ind w:left="360"/>
              <w:spacing w:after="0" w:line="176" w:lineRule="exact"/>
              <w:rPr>
                <w:sz w:val="20"/>
                <w:szCs w:val="20"/>
                <w:color w:val="auto"/>
              </w:rPr>
            </w:pPr>
            <w:r>
              <w:rPr>
                <w:rFonts w:ascii="Arial" w:cs="Arial" w:eastAsia="Arial" w:hAnsi="Arial"/>
                <w:sz w:val="18"/>
                <w:szCs w:val="18"/>
                <w:color w:val="auto"/>
                <w:w w:val="90"/>
              </w:rPr>
              <w:t>Common stock, par value $0.01 per share, 75,000,000 shares authorized; 38,702,030 and 38,448,536 shares</w:t>
            </w:r>
          </w:p>
        </w:tc>
        <w:tc>
          <w:tcPr>
            <w:tcW w:w="22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8320" w:type="dxa"/>
            <w:vAlign w:val="bottom"/>
          </w:tcPr>
          <w:p>
            <w:pPr>
              <w:ind w:left="360"/>
              <w:spacing w:after="0" w:line="176" w:lineRule="exact"/>
              <w:rPr>
                <w:sz w:val="20"/>
                <w:szCs w:val="20"/>
                <w:color w:val="auto"/>
              </w:rPr>
            </w:pPr>
            <w:r>
              <w:rPr>
                <w:rFonts w:ascii="Arial" w:cs="Arial" w:eastAsia="Arial" w:hAnsi="Arial"/>
                <w:sz w:val="18"/>
                <w:szCs w:val="18"/>
                <w:color w:val="auto"/>
                <w:w w:val="98"/>
              </w:rPr>
              <w:t>issued and 38,332,030 and 38,078,536 shares outstanding at November 30, 2020 and May 31, 2020,</w:t>
            </w:r>
          </w:p>
        </w:tc>
        <w:tc>
          <w:tcPr>
            <w:tcW w:w="220" w:type="dxa"/>
            <w:vAlign w:val="bottom"/>
          </w:tcPr>
          <w:p>
            <w:pPr>
              <w:spacing w:after="0"/>
              <w:rPr>
                <w:sz w:val="15"/>
                <w:szCs w:val="15"/>
                <w:color w:val="auto"/>
              </w:rPr>
            </w:pPr>
          </w:p>
        </w:tc>
        <w:tc>
          <w:tcPr>
            <w:tcW w:w="1180" w:type="dxa"/>
            <w:vAlign w:val="bottom"/>
            <w:vMerge w:val="restart"/>
          </w:tcPr>
          <w:p>
            <w:pPr>
              <w:jc w:val="right"/>
              <w:spacing w:after="0"/>
              <w:rPr>
                <w:sz w:val="20"/>
                <w:szCs w:val="20"/>
                <w:color w:val="auto"/>
              </w:rPr>
            </w:pPr>
            <w:r>
              <w:rPr>
                <w:rFonts w:ascii="Arial" w:cs="Arial" w:eastAsia="Arial" w:hAnsi="Arial"/>
                <w:sz w:val="18"/>
                <w:szCs w:val="18"/>
                <w:color w:val="auto"/>
              </w:rPr>
              <w:t>375</w:t>
            </w: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00" w:type="dxa"/>
            <w:vAlign w:val="bottom"/>
            <w:vMerge w:val="restart"/>
          </w:tcPr>
          <w:p>
            <w:pPr>
              <w:jc w:val="right"/>
              <w:spacing w:after="0"/>
              <w:rPr>
                <w:sz w:val="20"/>
                <w:szCs w:val="20"/>
                <w:color w:val="auto"/>
              </w:rPr>
            </w:pPr>
            <w:r>
              <w:rPr>
                <w:rFonts w:ascii="Arial" w:cs="Arial" w:eastAsia="Arial" w:hAnsi="Arial"/>
                <w:sz w:val="18"/>
                <w:szCs w:val="18"/>
                <w:color w:val="auto"/>
              </w:rPr>
              <w:t>374</w:t>
            </w:r>
          </w:p>
        </w:tc>
        <w:tc>
          <w:tcPr>
            <w:tcW w:w="0" w:type="dxa"/>
            <w:vAlign w:val="bottom"/>
          </w:tcPr>
          <w:p>
            <w:pPr>
              <w:spacing w:after="0"/>
              <w:rPr>
                <w:sz w:val="1"/>
                <w:szCs w:val="1"/>
                <w:color w:val="auto"/>
              </w:rPr>
            </w:pPr>
          </w:p>
        </w:tc>
      </w:tr>
      <w:tr>
        <w:trPr>
          <w:trHeight w:val="230"/>
        </w:trPr>
        <w:tc>
          <w:tcPr>
            <w:tcW w:w="8320" w:type="dxa"/>
            <w:vAlign w:val="bottom"/>
          </w:tcPr>
          <w:p>
            <w:pPr>
              <w:ind w:left="360"/>
              <w:spacing w:after="0"/>
              <w:rPr>
                <w:sz w:val="20"/>
                <w:szCs w:val="20"/>
                <w:color w:val="auto"/>
              </w:rPr>
            </w:pPr>
            <w:r>
              <w:rPr>
                <w:rFonts w:ascii="Arial" w:cs="Arial" w:eastAsia="Arial" w:hAnsi="Arial"/>
                <w:sz w:val="18"/>
                <w:szCs w:val="18"/>
                <w:color w:val="auto"/>
              </w:rPr>
              <w:t>respectively</w:t>
            </w:r>
          </w:p>
        </w:tc>
        <w:tc>
          <w:tcPr>
            <w:tcW w:w="220" w:type="dxa"/>
            <w:vAlign w:val="bottom"/>
          </w:tcPr>
          <w:p>
            <w:pPr>
              <w:spacing w:after="0"/>
              <w:rPr>
                <w:sz w:val="19"/>
                <w:szCs w:val="19"/>
                <w:color w:val="auto"/>
              </w:rPr>
            </w:pPr>
          </w:p>
        </w:tc>
        <w:tc>
          <w:tcPr>
            <w:tcW w:w="118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3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Additional paid-in capital</w:t>
            </w:r>
          </w:p>
        </w:tc>
        <w:tc>
          <w:tcPr>
            <w:tcW w:w="22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566,602</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561,871</w:t>
            </w:r>
          </w:p>
        </w:tc>
        <w:tc>
          <w:tcPr>
            <w:tcW w:w="0" w:type="dxa"/>
            <w:vAlign w:val="bottom"/>
          </w:tcPr>
          <w:p>
            <w:pPr>
              <w:spacing w:after="0"/>
              <w:rPr>
                <w:sz w:val="1"/>
                <w:szCs w:val="1"/>
                <w:color w:val="auto"/>
              </w:rPr>
            </w:pPr>
          </w:p>
        </w:tc>
      </w:tr>
      <w:tr>
        <w:trPr>
          <w:trHeight w:val="229"/>
        </w:trPr>
        <w:tc>
          <w:tcPr>
            <w:tcW w:w="8320" w:type="dxa"/>
            <w:vAlign w:val="bottom"/>
          </w:tcPr>
          <w:p>
            <w:pPr>
              <w:ind w:left="360"/>
              <w:spacing w:after="0"/>
              <w:rPr>
                <w:sz w:val="20"/>
                <w:szCs w:val="20"/>
                <w:color w:val="auto"/>
              </w:rPr>
            </w:pPr>
            <w:r>
              <w:rPr>
                <w:rFonts w:ascii="Arial" w:cs="Arial" w:eastAsia="Arial" w:hAnsi="Arial"/>
                <w:sz w:val="18"/>
                <w:szCs w:val="18"/>
                <w:color w:val="auto"/>
              </w:rPr>
              <w:t>Accumulated deficit</w:t>
            </w:r>
          </w:p>
        </w:tc>
        <w:tc>
          <w:tcPr>
            <w:tcW w:w="2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(108,854)</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(100,318)</w:t>
            </w:r>
          </w:p>
        </w:tc>
        <w:tc>
          <w:tcPr>
            <w:tcW w:w="0" w:type="dxa"/>
            <w:vAlign w:val="bottom"/>
          </w:tcPr>
          <w:p>
            <w:pPr>
              <w:spacing w:after="0"/>
              <w:rPr>
                <w:sz w:val="1"/>
                <w:szCs w:val="1"/>
                <w:color w:val="auto"/>
              </w:rPr>
            </w:pPr>
          </w:p>
        </w:tc>
      </w:tr>
      <w:tr>
        <w:trPr>
          <w:trHeight w:val="230"/>
        </w:trPr>
        <w:tc>
          <w:tcPr>
            <w:tcW w:w="83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Treasury stock, 370,000 shares at November 30, 2020 and May 31, 2020, respectively</w:t>
            </w:r>
          </w:p>
        </w:tc>
        <w:tc>
          <w:tcPr>
            <w:tcW w:w="22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(5,714)</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(5,714)</w:t>
            </w:r>
          </w:p>
        </w:tc>
        <w:tc>
          <w:tcPr>
            <w:tcW w:w="0" w:type="dxa"/>
            <w:vAlign w:val="bottom"/>
          </w:tcPr>
          <w:p>
            <w:pPr>
              <w:spacing w:after="0"/>
              <w:rPr>
                <w:sz w:val="1"/>
                <w:szCs w:val="1"/>
                <w:color w:val="auto"/>
              </w:rPr>
            </w:pPr>
          </w:p>
        </w:tc>
      </w:tr>
      <w:tr>
        <w:trPr>
          <w:trHeight w:val="230"/>
        </w:trPr>
        <w:tc>
          <w:tcPr>
            <w:tcW w:w="8320" w:type="dxa"/>
            <w:vAlign w:val="bottom"/>
            <w:tcBorders>
              <w:bottom w:val="single" w:sz="8" w:color="CCEEFF"/>
            </w:tcBorders>
          </w:tcPr>
          <w:p>
            <w:pPr>
              <w:ind w:left="360"/>
              <w:spacing w:after="0"/>
              <w:rPr>
                <w:sz w:val="20"/>
                <w:szCs w:val="20"/>
                <w:color w:val="auto"/>
              </w:rPr>
            </w:pPr>
            <w:r>
              <w:rPr>
                <w:rFonts w:ascii="Arial" w:cs="Arial" w:eastAsia="Arial" w:hAnsi="Arial"/>
                <w:sz w:val="18"/>
                <w:szCs w:val="18"/>
                <w:color w:val="auto"/>
              </w:rPr>
              <w:t>Accumulated other comprehensive income (loss)</w:t>
            </w:r>
          </w:p>
        </w:tc>
        <w:tc>
          <w:tcPr>
            <w:tcW w:w="22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1,934</w:t>
            </w:r>
          </w:p>
        </w:tc>
        <w:tc>
          <w:tcPr>
            <w:tcW w:w="12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(1,341)</w:t>
            </w:r>
          </w:p>
        </w:tc>
        <w:tc>
          <w:tcPr>
            <w:tcW w:w="0" w:type="dxa"/>
            <w:vAlign w:val="bottom"/>
          </w:tcPr>
          <w:p>
            <w:pPr>
              <w:spacing w:after="0"/>
              <w:rPr>
                <w:sz w:val="1"/>
                <w:szCs w:val="1"/>
                <w:color w:val="auto"/>
              </w:rPr>
            </w:pPr>
          </w:p>
        </w:tc>
      </w:tr>
      <w:tr>
        <w:trPr>
          <w:trHeight w:val="223"/>
        </w:trPr>
        <w:tc>
          <w:tcPr>
            <w:tcW w:w="8320" w:type="dxa"/>
            <w:vAlign w:val="bottom"/>
            <w:shd w:val="clear" w:color="auto" w:fill="CCEEFF"/>
          </w:tcPr>
          <w:p>
            <w:pPr>
              <w:ind w:left="680"/>
              <w:spacing w:after="0"/>
              <w:rPr>
                <w:sz w:val="20"/>
                <w:szCs w:val="20"/>
                <w:color w:val="auto"/>
              </w:rPr>
            </w:pPr>
            <w:r>
              <w:rPr>
                <w:rFonts w:ascii="Arial" w:cs="Arial" w:eastAsia="Arial" w:hAnsi="Arial"/>
                <w:sz w:val="18"/>
                <w:szCs w:val="18"/>
                <w:color w:val="auto"/>
              </w:rPr>
              <w:t>Total Stockholders’ Equity</w:t>
            </w:r>
          </w:p>
        </w:tc>
        <w:tc>
          <w:tcPr>
            <w:tcW w:w="22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454,343</w:t>
            </w:r>
          </w:p>
        </w:tc>
        <w:tc>
          <w:tcPr>
            <w:tcW w:w="12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454,872</w:t>
            </w:r>
          </w:p>
        </w:tc>
        <w:tc>
          <w:tcPr>
            <w:tcW w:w="0" w:type="dxa"/>
            <w:vAlign w:val="bottom"/>
          </w:tcPr>
          <w:p>
            <w:pPr>
              <w:spacing w:after="0"/>
              <w:rPr>
                <w:sz w:val="1"/>
                <w:szCs w:val="1"/>
                <w:color w:val="auto"/>
              </w:rPr>
            </w:pPr>
          </w:p>
        </w:tc>
      </w:tr>
      <w:tr>
        <w:trPr>
          <w:trHeight w:val="223"/>
        </w:trPr>
        <w:tc>
          <w:tcPr>
            <w:tcW w:w="8320" w:type="dxa"/>
            <w:vAlign w:val="bottom"/>
          </w:tcPr>
          <w:p>
            <w:pPr>
              <w:ind w:left="680"/>
              <w:spacing w:after="0"/>
              <w:rPr>
                <w:sz w:val="20"/>
                <w:szCs w:val="20"/>
                <w:color w:val="auto"/>
              </w:rPr>
            </w:pPr>
            <w:r>
              <w:rPr>
                <w:rFonts w:ascii="Arial" w:cs="Arial" w:eastAsia="Arial" w:hAnsi="Arial"/>
                <w:sz w:val="18"/>
                <w:szCs w:val="18"/>
                <w:color w:val="auto"/>
              </w:rPr>
              <w:t>Total Liabilities and Stockholders' Equity</w:t>
            </w:r>
          </w:p>
        </w:tc>
        <w:tc>
          <w:tcPr>
            <w:tcW w:w="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588,521</w:t>
            </w:r>
          </w:p>
        </w:tc>
        <w:tc>
          <w:tcPr>
            <w:tcW w:w="120" w:type="dxa"/>
            <w:vAlign w:val="bottom"/>
          </w:tcPr>
          <w:p>
            <w:pPr>
              <w:spacing w:after="0"/>
              <w:rPr>
                <w:sz w:val="19"/>
                <w:szCs w:val="19"/>
                <w:color w:val="auto"/>
              </w:rPr>
            </w:pPr>
          </w:p>
        </w:tc>
        <w:tc>
          <w:tcPr>
            <w:tcW w:w="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594,214</w:t>
            </w:r>
          </w:p>
        </w:tc>
        <w:tc>
          <w:tcPr>
            <w:tcW w:w="0" w:type="dxa"/>
            <w:vAlign w:val="bottom"/>
          </w:tcPr>
          <w:p>
            <w:pPr>
              <w:spacing w:after="0"/>
              <w:rPr>
                <w:sz w:val="1"/>
                <w:szCs w:val="1"/>
                <w:color w:val="auto"/>
              </w:rPr>
            </w:pPr>
          </w:p>
        </w:tc>
      </w:tr>
      <w:tr>
        <w:trPr>
          <w:trHeight w:val="20"/>
        </w:trPr>
        <w:tc>
          <w:tcPr>
            <w:tcW w:w="83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 w:name="page7"/>
    <w:bookmarkEnd w:id="6"/>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AngioDynamics, Inc. and Subsidiaries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of dollars)</w:t>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832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2700" w:type="dxa"/>
            <w:vAlign w:val="bottom"/>
            <w:tcBorders>
              <w:bottom w:val="single" w:sz="8" w:color="auto"/>
            </w:tcBorders>
            <w:gridSpan w:val="4"/>
          </w:tcPr>
          <w:p>
            <w:pPr>
              <w:jc w:val="right"/>
              <w:ind w:right="831"/>
              <w:spacing w:after="0"/>
              <w:rPr>
                <w:sz w:val="20"/>
                <w:szCs w:val="20"/>
                <w:color w:val="auto"/>
              </w:rPr>
            </w:pPr>
            <w:r>
              <w:rPr>
                <w:rFonts w:ascii="Arial" w:cs="Arial" w:eastAsia="Arial" w:hAnsi="Arial"/>
                <w:sz w:val="14"/>
                <w:szCs w:val="14"/>
                <w:color w:val="auto"/>
              </w:rPr>
              <w:t>Six Months Ended</w:t>
            </w:r>
          </w:p>
        </w:tc>
      </w:tr>
      <w:tr>
        <w:trPr>
          <w:trHeight w:val="185"/>
        </w:trPr>
        <w:tc>
          <w:tcPr>
            <w:tcW w:w="83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00" w:type="dxa"/>
            <w:vAlign w:val="bottom"/>
            <w:gridSpan w:val="2"/>
          </w:tcPr>
          <w:p>
            <w:pPr>
              <w:ind w:left="100"/>
              <w:spacing w:after="0"/>
              <w:rPr>
                <w:sz w:val="20"/>
                <w:szCs w:val="20"/>
                <w:color w:val="auto"/>
              </w:rPr>
            </w:pPr>
            <w:r>
              <w:rPr>
                <w:rFonts w:ascii="Arial" w:cs="Arial" w:eastAsia="Arial" w:hAnsi="Arial"/>
                <w:sz w:val="14"/>
                <w:szCs w:val="14"/>
                <w:color w:val="auto"/>
              </w:rPr>
              <w:t>Nov 30, 2020</w:t>
            </w:r>
          </w:p>
        </w:tc>
        <w:tc>
          <w:tcPr>
            <w:tcW w:w="200" w:type="dxa"/>
            <w:vAlign w:val="bottom"/>
          </w:tcPr>
          <w:p>
            <w:pPr>
              <w:spacing w:after="0"/>
              <w:rPr>
                <w:sz w:val="16"/>
                <w:szCs w:val="16"/>
                <w:color w:val="auto"/>
              </w:rPr>
            </w:pPr>
          </w:p>
        </w:tc>
        <w:tc>
          <w:tcPr>
            <w:tcW w:w="1200" w:type="dxa"/>
            <w:vAlign w:val="bottom"/>
          </w:tcPr>
          <w:p>
            <w:pPr>
              <w:jc w:val="right"/>
              <w:ind w:right="211"/>
              <w:spacing w:after="0"/>
              <w:rPr>
                <w:sz w:val="20"/>
                <w:szCs w:val="20"/>
                <w:color w:val="auto"/>
              </w:rPr>
            </w:pPr>
            <w:r>
              <w:rPr>
                <w:rFonts w:ascii="Arial" w:cs="Arial" w:eastAsia="Arial" w:hAnsi="Arial"/>
                <w:sz w:val="14"/>
                <w:szCs w:val="14"/>
                <w:color w:val="auto"/>
              </w:rPr>
              <w:t>Nov 30, 2019</w:t>
            </w:r>
          </w:p>
        </w:tc>
      </w:tr>
      <w:tr>
        <w:trPr>
          <w:trHeight w:val="213"/>
        </w:trPr>
        <w:tc>
          <w:tcPr>
            <w:tcW w:w="83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Cash flows from operating activities:</w:t>
            </w:r>
          </w:p>
        </w:tc>
        <w:tc>
          <w:tcPr>
            <w:tcW w:w="220" w:type="dxa"/>
            <w:vAlign w:val="bottom"/>
            <w:tcBorders>
              <w:top w:val="single" w:sz="8" w:color="auto"/>
            </w:tcBorders>
            <w:shd w:val="clear" w:color="auto" w:fill="CCEEFF"/>
          </w:tcPr>
          <w:p>
            <w:pPr>
              <w:spacing w:after="0"/>
              <w:rPr>
                <w:sz w:val="18"/>
                <w:szCs w:val="18"/>
                <w:color w:val="auto"/>
              </w:rPr>
            </w:pPr>
          </w:p>
        </w:tc>
        <w:tc>
          <w:tcPr>
            <w:tcW w:w="118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1200" w:type="dxa"/>
            <w:vAlign w:val="bottom"/>
            <w:tcBorders>
              <w:top w:val="single" w:sz="8" w:color="auto"/>
            </w:tcBorders>
            <w:shd w:val="clear" w:color="auto" w:fill="CCEEFF"/>
          </w:tcPr>
          <w:p>
            <w:pPr>
              <w:spacing w:after="0"/>
              <w:rPr>
                <w:sz w:val="18"/>
                <w:szCs w:val="18"/>
                <w:color w:val="auto"/>
              </w:rPr>
            </w:pPr>
          </w:p>
        </w:tc>
      </w:tr>
      <w:tr>
        <w:trPr>
          <w:trHeight w:val="230"/>
        </w:trPr>
        <w:tc>
          <w:tcPr>
            <w:tcW w:w="8320" w:type="dxa"/>
            <w:vAlign w:val="bottom"/>
          </w:tcPr>
          <w:p>
            <w:pPr>
              <w:ind w:left="360"/>
              <w:spacing w:after="0"/>
              <w:rPr>
                <w:sz w:val="20"/>
                <w:szCs w:val="20"/>
                <w:color w:val="auto"/>
              </w:rPr>
            </w:pPr>
            <w:r>
              <w:rPr>
                <w:rFonts w:ascii="Arial" w:cs="Arial" w:eastAsia="Arial" w:hAnsi="Arial"/>
                <w:sz w:val="18"/>
                <w:szCs w:val="18"/>
                <w:color w:val="auto"/>
              </w:rPr>
              <w:t>Net loss</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(8,536)</w:t>
            </w:r>
          </w:p>
        </w:tc>
        <w:tc>
          <w:tcPr>
            <w:tcW w:w="120" w:type="dxa"/>
            <w:vAlign w:val="bottom"/>
          </w:tcPr>
          <w:p>
            <w:pPr>
              <w:spacing w:after="0"/>
              <w:rPr>
                <w:sz w:val="19"/>
                <w:szCs w:val="19"/>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(4,011)</w:t>
            </w:r>
          </w:p>
        </w:tc>
      </w:tr>
      <w:tr>
        <w:trPr>
          <w:trHeight w:val="229"/>
        </w:trPr>
        <w:tc>
          <w:tcPr>
            <w:tcW w:w="83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Adjustments to reconcile net loss to net cash provided by (used in) operating activities:</w:t>
            </w:r>
          </w:p>
        </w:tc>
        <w:tc>
          <w:tcPr>
            <w:tcW w:w="22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r>
      <w:tr>
        <w:trPr>
          <w:trHeight w:val="229"/>
        </w:trPr>
        <w:tc>
          <w:tcPr>
            <w:tcW w:w="8320" w:type="dxa"/>
            <w:vAlign w:val="bottom"/>
          </w:tcPr>
          <w:p>
            <w:pPr>
              <w:ind w:left="680"/>
              <w:spacing w:after="0"/>
              <w:rPr>
                <w:sz w:val="20"/>
                <w:szCs w:val="20"/>
                <w:color w:val="auto"/>
              </w:rPr>
            </w:pPr>
            <w:r>
              <w:rPr>
                <w:rFonts w:ascii="Arial" w:cs="Arial" w:eastAsia="Arial" w:hAnsi="Arial"/>
                <w:sz w:val="18"/>
                <w:szCs w:val="18"/>
                <w:color w:val="auto"/>
              </w:rPr>
              <w:t>Depreciation and amortization</w:t>
            </w:r>
          </w:p>
        </w:tc>
        <w:tc>
          <w:tcPr>
            <w:tcW w:w="2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13,013</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11,110</w:t>
            </w:r>
          </w:p>
        </w:tc>
      </w:tr>
      <w:tr>
        <w:trPr>
          <w:trHeight w:val="230"/>
        </w:trPr>
        <w:tc>
          <w:tcPr>
            <w:tcW w:w="8320" w:type="dxa"/>
            <w:vAlign w:val="bottom"/>
            <w:shd w:val="clear" w:color="auto" w:fill="CCEEFF"/>
          </w:tcPr>
          <w:p>
            <w:pPr>
              <w:ind w:left="680"/>
              <w:spacing w:after="0"/>
              <w:rPr>
                <w:sz w:val="20"/>
                <w:szCs w:val="20"/>
                <w:color w:val="auto"/>
              </w:rPr>
            </w:pPr>
            <w:r>
              <w:rPr>
                <w:rFonts w:ascii="Arial" w:cs="Arial" w:eastAsia="Arial" w:hAnsi="Arial"/>
                <w:sz w:val="18"/>
                <w:szCs w:val="18"/>
                <w:color w:val="auto"/>
              </w:rPr>
              <w:t>Non-cash lease expense</w:t>
            </w:r>
          </w:p>
        </w:tc>
        <w:tc>
          <w:tcPr>
            <w:tcW w:w="22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1,265</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904</w:t>
            </w:r>
          </w:p>
        </w:tc>
      </w:tr>
      <w:tr>
        <w:trPr>
          <w:trHeight w:val="229"/>
        </w:trPr>
        <w:tc>
          <w:tcPr>
            <w:tcW w:w="8320" w:type="dxa"/>
            <w:vAlign w:val="bottom"/>
          </w:tcPr>
          <w:p>
            <w:pPr>
              <w:ind w:left="680"/>
              <w:spacing w:after="0"/>
              <w:rPr>
                <w:sz w:val="20"/>
                <w:szCs w:val="20"/>
                <w:color w:val="auto"/>
              </w:rPr>
            </w:pPr>
            <w:r>
              <w:rPr>
                <w:rFonts w:ascii="Arial" w:cs="Arial" w:eastAsia="Arial" w:hAnsi="Arial"/>
                <w:sz w:val="18"/>
                <w:szCs w:val="18"/>
                <w:color w:val="auto"/>
              </w:rPr>
              <w:t>Stock based compensation</w:t>
            </w:r>
          </w:p>
        </w:tc>
        <w:tc>
          <w:tcPr>
            <w:tcW w:w="2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4,251</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4,226</w:t>
            </w:r>
          </w:p>
        </w:tc>
      </w:tr>
      <w:tr>
        <w:trPr>
          <w:trHeight w:val="230"/>
        </w:trPr>
        <w:tc>
          <w:tcPr>
            <w:tcW w:w="8320" w:type="dxa"/>
            <w:vAlign w:val="bottom"/>
            <w:shd w:val="clear" w:color="auto" w:fill="CCEEFF"/>
          </w:tcPr>
          <w:p>
            <w:pPr>
              <w:ind w:left="680"/>
              <w:spacing w:after="0"/>
              <w:rPr>
                <w:sz w:val="20"/>
                <w:szCs w:val="20"/>
                <w:color w:val="auto"/>
              </w:rPr>
            </w:pPr>
            <w:r>
              <w:rPr>
                <w:rFonts w:ascii="Arial" w:cs="Arial" w:eastAsia="Arial" w:hAnsi="Arial"/>
                <w:sz w:val="18"/>
                <w:szCs w:val="18"/>
                <w:color w:val="auto"/>
              </w:rPr>
              <w:t>Change in fair value of contingent consideration</w:t>
            </w:r>
          </w:p>
        </w:tc>
        <w:tc>
          <w:tcPr>
            <w:tcW w:w="22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(473)</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(303)</w:t>
            </w:r>
          </w:p>
        </w:tc>
      </w:tr>
      <w:tr>
        <w:trPr>
          <w:trHeight w:val="229"/>
        </w:trPr>
        <w:tc>
          <w:tcPr>
            <w:tcW w:w="8320" w:type="dxa"/>
            <w:vAlign w:val="bottom"/>
          </w:tcPr>
          <w:p>
            <w:pPr>
              <w:ind w:left="680"/>
              <w:spacing w:after="0"/>
              <w:rPr>
                <w:sz w:val="20"/>
                <w:szCs w:val="20"/>
                <w:color w:val="auto"/>
              </w:rPr>
            </w:pPr>
            <w:r>
              <w:rPr>
                <w:rFonts w:ascii="Arial" w:cs="Arial" w:eastAsia="Arial" w:hAnsi="Arial"/>
                <w:sz w:val="18"/>
                <w:szCs w:val="18"/>
                <w:color w:val="auto"/>
              </w:rPr>
              <w:t>Deferred income taxes</w:t>
            </w:r>
          </w:p>
        </w:tc>
        <w:tc>
          <w:tcPr>
            <w:tcW w:w="2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(1,553)</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(734)</w:t>
            </w:r>
          </w:p>
        </w:tc>
      </w:tr>
      <w:tr>
        <w:trPr>
          <w:trHeight w:val="229"/>
        </w:trPr>
        <w:tc>
          <w:tcPr>
            <w:tcW w:w="8320" w:type="dxa"/>
            <w:vAlign w:val="bottom"/>
            <w:shd w:val="clear" w:color="auto" w:fill="CCEEFF"/>
          </w:tcPr>
          <w:p>
            <w:pPr>
              <w:ind w:left="680"/>
              <w:spacing w:after="0"/>
              <w:rPr>
                <w:sz w:val="20"/>
                <w:szCs w:val="20"/>
                <w:color w:val="auto"/>
              </w:rPr>
            </w:pPr>
            <w:r>
              <w:rPr>
                <w:rFonts w:ascii="Arial" w:cs="Arial" w:eastAsia="Arial" w:hAnsi="Arial"/>
                <w:sz w:val="18"/>
                <w:szCs w:val="18"/>
                <w:color w:val="auto"/>
              </w:rPr>
              <w:t>Change in accounts receivable allowances</w:t>
            </w:r>
          </w:p>
        </w:tc>
        <w:tc>
          <w:tcPr>
            <w:tcW w:w="22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199</w:t>
            </w:r>
          </w:p>
        </w:tc>
      </w:tr>
      <w:tr>
        <w:trPr>
          <w:trHeight w:val="230"/>
        </w:trPr>
        <w:tc>
          <w:tcPr>
            <w:tcW w:w="8320" w:type="dxa"/>
            <w:vAlign w:val="bottom"/>
          </w:tcPr>
          <w:p>
            <w:pPr>
              <w:ind w:left="680"/>
              <w:spacing w:after="0"/>
              <w:rPr>
                <w:sz w:val="20"/>
                <w:szCs w:val="20"/>
                <w:color w:val="auto"/>
              </w:rPr>
            </w:pPr>
            <w:r>
              <w:rPr>
                <w:rFonts w:ascii="Arial" w:cs="Arial" w:eastAsia="Arial" w:hAnsi="Arial"/>
                <w:sz w:val="18"/>
                <w:szCs w:val="18"/>
                <w:color w:val="auto"/>
              </w:rPr>
              <w:t>Fixed and intangible asset impairments and disposals</w:t>
            </w:r>
          </w:p>
        </w:tc>
        <w:tc>
          <w:tcPr>
            <w:tcW w:w="2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180</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369</w:t>
            </w:r>
          </w:p>
        </w:tc>
      </w:tr>
      <w:tr>
        <w:trPr>
          <w:trHeight w:val="229"/>
        </w:trPr>
        <w:tc>
          <w:tcPr>
            <w:tcW w:w="8320" w:type="dxa"/>
            <w:vAlign w:val="bottom"/>
            <w:shd w:val="clear" w:color="auto" w:fill="CCEEFF"/>
          </w:tcPr>
          <w:p>
            <w:pPr>
              <w:ind w:left="660"/>
              <w:spacing w:after="0"/>
              <w:rPr>
                <w:sz w:val="20"/>
                <w:szCs w:val="20"/>
                <w:color w:val="auto"/>
              </w:rPr>
            </w:pPr>
            <w:r>
              <w:rPr>
                <w:rFonts w:ascii="Arial" w:cs="Arial" w:eastAsia="Arial" w:hAnsi="Arial"/>
                <w:sz w:val="18"/>
                <w:szCs w:val="18"/>
                <w:color w:val="auto"/>
              </w:rPr>
              <w:t>Write-off of other assets</w:t>
            </w:r>
          </w:p>
        </w:tc>
        <w:tc>
          <w:tcPr>
            <w:tcW w:w="22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593</w:t>
            </w:r>
          </w:p>
        </w:tc>
      </w:tr>
      <w:tr>
        <w:trPr>
          <w:trHeight w:val="229"/>
        </w:trPr>
        <w:tc>
          <w:tcPr>
            <w:tcW w:w="8320" w:type="dxa"/>
            <w:vAlign w:val="bottom"/>
          </w:tcPr>
          <w:p>
            <w:pPr>
              <w:ind w:left="680"/>
              <w:spacing w:after="0"/>
              <w:rPr>
                <w:sz w:val="20"/>
                <w:szCs w:val="20"/>
                <w:color w:val="auto"/>
              </w:rPr>
            </w:pPr>
            <w:r>
              <w:rPr>
                <w:rFonts w:ascii="Arial" w:cs="Arial" w:eastAsia="Arial" w:hAnsi="Arial"/>
                <w:sz w:val="18"/>
                <w:szCs w:val="18"/>
                <w:color w:val="auto"/>
              </w:rPr>
              <w:t>Other</w:t>
            </w:r>
          </w:p>
        </w:tc>
        <w:tc>
          <w:tcPr>
            <w:tcW w:w="2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(230)</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(27)</w:t>
            </w:r>
          </w:p>
        </w:tc>
      </w:tr>
      <w:tr>
        <w:trPr>
          <w:trHeight w:val="230"/>
        </w:trPr>
        <w:tc>
          <w:tcPr>
            <w:tcW w:w="8320" w:type="dxa"/>
            <w:vAlign w:val="bottom"/>
            <w:shd w:val="clear" w:color="auto" w:fill="CCEEFF"/>
          </w:tcPr>
          <w:p>
            <w:pPr>
              <w:ind w:left="680"/>
              <w:spacing w:after="0"/>
              <w:rPr>
                <w:sz w:val="20"/>
                <w:szCs w:val="20"/>
                <w:color w:val="auto"/>
              </w:rPr>
            </w:pPr>
            <w:r>
              <w:rPr>
                <w:rFonts w:ascii="Arial" w:cs="Arial" w:eastAsia="Arial" w:hAnsi="Arial"/>
                <w:sz w:val="18"/>
                <w:szCs w:val="18"/>
                <w:color w:val="auto"/>
              </w:rPr>
              <w:t>Changes in operating assets and liabilities:</w:t>
            </w:r>
          </w:p>
        </w:tc>
        <w:tc>
          <w:tcPr>
            <w:tcW w:w="22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r>
      <w:tr>
        <w:trPr>
          <w:trHeight w:val="229"/>
        </w:trPr>
        <w:tc>
          <w:tcPr>
            <w:tcW w:w="8320" w:type="dxa"/>
            <w:vAlign w:val="bottom"/>
          </w:tcPr>
          <w:p>
            <w:pPr>
              <w:ind w:left="1120"/>
              <w:spacing w:after="0"/>
              <w:rPr>
                <w:sz w:val="20"/>
                <w:szCs w:val="20"/>
                <w:color w:val="auto"/>
              </w:rPr>
            </w:pPr>
            <w:r>
              <w:rPr>
                <w:rFonts w:ascii="Arial" w:cs="Arial" w:eastAsia="Arial" w:hAnsi="Arial"/>
                <w:sz w:val="18"/>
                <w:szCs w:val="18"/>
                <w:color w:val="auto"/>
              </w:rPr>
              <w:t>Accounts receivable</w:t>
            </w:r>
          </w:p>
        </w:tc>
        <w:tc>
          <w:tcPr>
            <w:tcW w:w="2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(2,281)</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9,464</w:t>
            </w:r>
          </w:p>
        </w:tc>
      </w:tr>
      <w:tr>
        <w:trPr>
          <w:trHeight w:val="230"/>
        </w:trPr>
        <w:tc>
          <w:tcPr>
            <w:tcW w:w="8320" w:type="dxa"/>
            <w:vAlign w:val="bottom"/>
            <w:shd w:val="clear" w:color="auto" w:fill="CCEEFF"/>
          </w:tcPr>
          <w:p>
            <w:pPr>
              <w:ind w:left="1120"/>
              <w:spacing w:after="0"/>
              <w:rPr>
                <w:sz w:val="20"/>
                <w:szCs w:val="20"/>
                <w:color w:val="auto"/>
              </w:rPr>
            </w:pPr>
            <w:r>
              <w:rPr>
                <w:rFonts w:ascii="Arial" w:cs="Arial" w:eastAsia="Arial" w:hAnsi="Arial"/>
                <w:sz w:val="18"/>
                <w:szCs w:val="18"/>
                <w:color w:val="auto"/>
              </w:rPr>
              <w:t>Inventories</w:t>
            </w:r>
          </w:p>
        </w:tc>
        <w:tc>
          <w:tcPr>
            <w:tcW w:w="22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10,528</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(10,009)</w:t>
            </w:r>
          </w:p>
        </w:tc>
      </w:tr>
      <w:tr>
        <w:trPr>
          <w:trHeight w:val="229"/>
        </w:trPr>
        <w:tc>
          <w:tcPr>
            <w:tcW w:w="8320" w:type="dxa"/>
            <w:vAlign w:val="bottom"/>
          </w:tcPr>
          <w:p>
            <w:pPr>
              <w:ind w:left="1120"/>
              <w:spacing w:after="0"/>
              <w:rPr>
                <w:sz w:val="20"/>
                <w:szCs w:val="20"/>
                <w:color w:val="auto"/>
              </w:rPr>
            </w:pPr>
            <w:r>
              <w:rPr>
                <w:rFonts w:ascii="Arial" w:cs="Arial" w:eastAsia="Arial" w:hAnsi="Arial"/>
                <w:sz w:val="18"/>
                <w:szCs w:val="18"/>
                <w:color w:val="auto"/>
              </w:rPr>
              <w:t>Prepaid expenses and other</w:t>
            </w:r>
          </w:p>
        </w:tc>
        <w:tc>
          <w:tcPr>
            <w:tcW w:w="2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(6,323)</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(3,544)</w:t>
            </w:r>
          </w:p>
        </w:tc>
      </w:tr>
      <w:tr>
        <w:trPr>
          <w:trHeight w:val="229"/>
        </w:trPr>
        <w:tc>
          <w:tcPr>
            <w:tcW w:w="8320" w:type="dxa"/>
            <w:vAlign w:val="bottom"/>
            <w:shd w:val="clear" w:color="auto" w:fill="CCEEFF"/>
          </w:tcPr>
          <w:p>
            <w:pPr>
              <w:ind w:left="1120"/>
              <w:spacing w:after="0"/>
              <w:rPr>
                <w:sz w:val="20"/>
                <w:szCs w:val="20"/>
                <w:color w:val="auto"/>
              </w:rPr>
            </w:pPr>
            <w:r>
              <w:rPr>
                <w:rFonts w:ascii="Arial" w:cs="Arial" w:eastAsia="Arial" w:hAnsi="Arial"/>
                <w:sz w:val="18"/>
                <w:szCs w:val="18"/>
                <w:color w:val="auto"/>
              </w:rPr>
              <w:t>Accounts payable, accrued and other liabilities</w:t>
            </w:r>
          </w:p>
        </w:tc>
        <w:tc>
          <w:tcPr>
            <w:tcW w:w="22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(3,847)</w:t>
            </w:r>
          </w:p>
        </w:tc>
        <w:tc>
          <w:tcPr>
            <w:tcW w:w="12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(8,834)</w:t>
            </w:r>
          </w:p>
        </w:tc>
      </w:tr>
      <w:tr>
        <w:trPr>
          <w:trHeight w:val="223"/>
        </w:trPr>
        <w:tc>
          <w:tcPr>
            <w:tcW w:w="8320" w:type="dxa"/>
            <w:vAlign w:val="bottom"/>
            <w:tcBorders>
              <w:bottom w:val="single" w:sz="8" w:color="CCEEFF"/>
            </w:tcBorders>
          </w:tcPr>
          <w:p>
            <w:pPr>
              <w:ind w:left="360"/>
              <w:spacing w:after="0"/>
              <w:rPr>
                <w:sz w:val="20"/>
                <w:szCs w:val="20"/>
                <w:color w:val="auto"/>
              </w:rPr>
            </w:pPr>
            <w:r>
              <w:rPr>
                <w:rFonts w:ascii="Arial" w:cs="Arial" w:eastAsia="Arial" w:hAnsi="Arial"/>
                <w:sz w:val="18"/>
                <w:szCs w:val="18"/>
                <w:color w:val="auto"/>
              </w:rPr>
              <w:t>Net cash provided by (used in) operating activities</w:t>
            </w:r>
          </w:p>
        </w:tc>
        <w:tc>
          <w:tcPr>
            <w:tcW w:w="22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6,023</w:t>
            </w:r>
          </w:p>
        </w:tc>
        <w:tc>
          <w:tcPr>
            <w:tcW w:w="12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(597)</w:t>
            </w:r>
          </w:p>
        </w:tc>
      </w:tr>
      <w:tr>
        <w:trPr>
          <w:trHeight w:val="209"/>
        </w:trPr>
        <w:tc>
          <w:tcPr>
            <w:tcW w:w="832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Cash flows from investing activities:</w:t>
            </w:r>
          </w:p>
        </w:tc>
        <w:tc>
          <w:tcPr>
            <w:tcW w:w="22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r>
      <w:tr>
        <w:trPr>
          <w:trHeight w:val="230"/>
        </w:trPr>
        <w:tc>
          <w:tcPr>
            <w:tcW w:w="8320" w:type="dxa"/>
            <w:vAlign w:val="bottom"/>
          </w:tcPr>
          <w:p>
            <w:pPr>
              <w:ind w:left="360"/>
              <w:spacing w:after="0"/>
              <w:rPr>
                <w:sz w:val="20"/>
                <w:szCs w:val="20"/>
                <w:color w:val="auto"/>
              </w:rPr>
            </w:pPr>
            <w:r>
              <w:rPr>
                <w:rFonts w:ascii="Arial" w:cs="Arial" w:eastAsia="Arial" w:hAnsi="Arial"/>
                <w:sz w:val="18"/>
                <w:szCs w:val="18"/>
                <w:color w:val="auto"/>
              </w:rPr>
              <w:t>Additions to property, plant and equipment</w:t>
            </w:r>
          </w:p>
        </w:tc>
        <w:tc>
          <w:tcPr>
            <w:tcW w:w="2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(3,185)</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(4,014)</w:t>
            </w:r>
          </w:p>
        </w:tc>
      </w:tr>
      <w:tr>
        <w:trPr>
          <w:trHeight w:val="230"/>
        </w:trPr>
        <w:tc>
          <w:tcPr>
            <w:tcW w:w="83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Acquisition of intangibles</w:t>
            </w:r>
          </w:p>
        </w:tc>
        <w:tc>
          <w:tcPr>
            <w:tcW w:w="22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(350)</w:t>
            </w:r>
          </w:p>
        </w:tc>
      </w:tr>
      <w:tr>
        <w:trPr>
          <w:trHeight w:val="230"/>
        </w:trPr>
        <w:tc>
          <w:tcPr>
            <w:tcW w:w="8320" w:type="dxa"/>
            <w:vAlign w:val="bottom"/>
          </w:tcPr>
          <w:p>
            <w:pPr>
              <w:ind w:left="360"/>
              <w:spacing w:after="0"/>
              <w:rPr>
                <w:sz w:val="20"/>
                <w:szCs w:val="20"/>
                <w:color w:val="auto"/>
              </w:rPr>
            </w:pPr>
            <w:r>
              <w:rPr>
                <w:rFonts w:ascii="Arial" w:cs="Arial" w:eastAsia="Arial" w:hAnsi="Arial"/>
                <w:sz w:val="18"/>
                <w:szCs w:val="18"/>
                <w:color w:val="auto"/>
              </w:rPr>
              <w:t>Cash paid for acquisitions</w:t>
            </w:r>
          </w:p>
        </w:tc>
        <w:tc>
          <w:tcPr>
            <w:tcW w:w="220" w:type="dxa"/>
            <w:vAlign w:val="bottom"/>
          </w:tcPr>
          <w:p>
            <w:pPr>
              <w:spacing w:after="0"/>
              <w:rPr>
                <w:sz w:val="19"/>
                <w:szCs w:val="19"/>
                <w:color w:val="auto"/>
              </w:rPr>
            </w:pPr>
          </w:p>
        </w:tc>
        <w:tc>
          <w:tcPr>
            <w:tcW w:w="13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(45,760)</w:t>
            </w:r>
          </w:p>
        </w:tc>
      </w:tr>
      <w:tr>
        <w:trPr>
          <w:trHeight w:val="223"/>
        </w:trPr>
        <w:tc>
          <w:tcPr>
            <w:tcW w:w="8320" w:type="dxa"/>
            <w:vAlign w:val="bottom"/>
            <w:tcBorders>
              <w:top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Net cash used in investing activities</w:t>
            </w:r>
          </w:p>
        </w:tc>
        <w:tc>
          <w:tcPr>
            <w:tcW w:w="220" w:type="dxa"/>
            <w:vAlign w:val="bottom"/>
            <w:tcBorders>
              <w:top w:val="single" w:sz="8" w:color="auto"/>
              <w:bottom w:val="single" w:sz="8" w:color="auto"/>
            </w:tcBorders>
            <w:shd w:val="clear" w:color="auto" w:fill="CCEEFF"/>
          </w:tcPr>
          <w:p>
            <w:pPr>
              <w:spacing w:after="0"/>
              <w:rPr>
                <w:sz w:val="19"/>
                <w:szCs w:val="19"/>
                <w:color w:val="auto"/>
              </w:rPr>
            </w:pP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(3,185)</w:t>
            </w:r>
          </w:p>
        </w:tc>
        <w:tc>
          <w:tcPr>
            <w:tcW w:w="12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spacing w:after="0"/>
              <w:rPr>
                <w:sz w:val="19"/>
                <w:szCs w:val="19"/>
                <w:color w:val="auto"/>
              </w:rPr>
            </w:pP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(50,124)</w:t>
            </w:r>
          </w:p>
        </w:tc>
      </w:tr>
      <w:tr>
        <w:trPr>
          <w:trHeight w:val="210"/>
        </w:trPr>
        <w:tc>
          <w:tcPr>
            <w:tcW w:w="8320" w:type="dxa"/>
            <w:vAlign w:val="bottom"/>
          </w:tcPr>
          <w:p>
            <w:pPr>
              <w:ind w:left="20"/>
              <w:spacing w:after="0"/>
              <w:rPr>
                <w:sz w:val="20"/>
                <w:szCs w:val="20"/>
                <w:color w:val="auto"/>
              </w:rPr>
            </w:pPr>
            <w:r>
              <w:rPr>
                <w:rFonts w:ascii="Arial" w:cs="Arial" w:eastAsia="Arial" w:hAnsi="Arial"/>
                <w:sz w:val="18"/>
                <w:szCs w:val="18"/>
                <w:b w:val="1"/>
                <w:bCs w:val="1"/>
                <w:color w:val="auto"/>
              </w:rPr>
              <w:t>Cash flows from financing activities:</w:t>
            </w:r>
          </w:p>
        </w:tc>
        <w:tc>
          <w:tcPr>
            <w:tcW w:w="2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0" w:type="dxa"/>
            <w:vAlign w:val="bottom"/>
          </w:tcPr>
          <w:p>
            <w:pPr>
              <w:spacing w:after="0"/>
              <w:rPr>
                <w:sz w:val="18"/>
                <w:szCs w:val="18"/>
                <w:color w:val="auto"/>
              </w:rPr>
            </w:pPr>
          </w:p>
        </w:tc>
      </w:tr>
      <w:tr>
        <w:trPr>
          <w:trHeight w:val="230"/>
        </w:trPr>
        <w:tc>
          <w:tcPr>
            <w:tcW w:w="83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Repayment of long-term debt</w:t>
            </w:r>
          </w:p>
        </w:tc>
        <w:tc>
          <w:tcPr>
            <w:tcW w:w="22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(132,500)</w:t>
            </w:r>
          </w:p>
        </w:tc>
      </w:tr>
      <w:tr>
        <w:trPr>
          <w:trHeight w:val="229"/>
        </w:trPr>
        <w:tc>
          <w:tcPr>
            <w:tcW w:w="8320" w:type="dxa"/>
            <w:vAlign w:val="bottom"/>
          </w:tcPr>
          <w:p>
            <w:pPr>
              <w:ind w:left="360"/>
              <w:spacing w:after="0"/>
              <w:rPr>
                <w:sz w:val="20"/>
                <w:szCs w:val="20"/>
                <w:color w:val="auto"/>
              </w:rPr>
            </w:pPr>
            <w:r>
              <w:rPr>
                <w:rFonts w:ascii="Arial" w:cs="Arial" w:eastAsia="Arial" w:hAnsi="Arial"/>
                <w:sz w:val="18"/>
                <w:szCs w:val="18"/>
                <w:color w:val="auto"/>
              </w:rPr>
              <w:t>Deferred financing costs on long-term debt</w:t>
            </w:r>
          </w:p>
        </w:tc>
        <w:tc>
          <w:tcPr>
            <w:tcW w:w="220" w:type="dxa"/>
            <w:vAlign w:val="bottom"/>
          </w:tcPr>
          <w:p>
            <w:pPr>
              <w:spacing w:after="0"/>
              <w:rPr>
                <w:sz w:val="19"/>
                <w:szCs w:val="19"/>
                <w:color w:val="auto"/>
              </w:rPr>
            </w:pPr>
          </w:p>
        </w:tc>
        <w:tc>
          <w:tcPr>
            <w:tcW w:w="13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(741)</w:t>
            </w:r>
          </w:p>
        </w:tc>
      </w:tr>
      <w:tr>
        <w:trPr>
          <w:trHeight w:val="230"/>
        </w:trPr>
        <w:tc>
          <w:tcPr>
            <w:tcW w:w="83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Payment of acquisition related contingent consideration</w:t>
            </w:r>
          </w:p>
        </w:tc>
        <w:tc>
          <w:tcPr>
            <w:tcW w:w="22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(1,208)</w:t>
            </w:r>
          </w:p>
        </w:tc>
      </w:tr>
      <w:tr>
        <w:trPr>
          <w:trHeight w:val="230"/>
        </w:trPr>
        <w:tc>
          <w:tcPr>
            <w:tcW w:w="8320" w:type="dxa"/>
            <w:vAlign w:val="bottom"/>
            <w:tcBorders>
              <w:bottom w:val="single" w:sz="8" w:color="CCEEFF"/>
            </w:tcBorders>
          </w:tcPr>
          <w:p>
            <w:pPr>
              <w:ind w:left="360"/>
              <w:spacing w:after="0"/>
              <w:rPr>
                <w:sz w:val="20"/>
                <w:szCs w:val="20"/>
                <w:color w:val="auto"/>
              </w:rPr>
            </w:pPr>
            <w:r>
              <w:rPr>
                <w:rFonts w:ascii="Arial" w:cs="Arial" w:eastAsia="Arial" w:hAnsi="Arial"/>
                <w:sz w:val="18"/>
                <w:szCs w:val="18"/>
                <w:color w:val="auto"/>
              </w:rPr>
              <w:t>Proceeds (outlays) from exercise of stock options and employee stock purchase plan</w:t>
            </w:r>
          </w:p>
        </w:tc>
        <w:tc>
          <w:tcPr>
            <w:tcW w:w="22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481</w:t>
            </w:r>
          </w:p>
        </w:tc>
        <w:tc>
          <w:tcPr>
            <w:tcW w:w="12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(1,300)</w:t>
            </w:r>
          </w:p>
        </w:tc>
      </w:tr>
      <w:tr>
        <w:trPr>
          <w:trHeight w:val="223"/>
        </w:trPr>
        <w:tc>
          <w:tcPr>
            <w:tcW w:w="83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Net cash provided by (used in) financing activities</w:t>
            </w:r>
          </w:p>
        </w:tc>
        <w:tc>
          <w:tcPr>
            <w:tcW w:w="22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481</w:t>
            </w:r>
          </w:p>
        </w:tc>
        <w:tc>
          <w:tcPr>
            <w:tcW w:w="12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(135,749)</w:t>
            </w:r>
          </w:p>
        </w:tc>
      </w:tr>
      <w:tr>
        <w:trPr>
          <w:trHeight w:val="223"/>
        </w:trPr>
        <w:tc>
          <w:tcPr>
            <w:tcW w:w="8320" w:type="dxa"/>
            <w:vAlign w:val="bottom"/>
            <w:tcBorders>
              <w:bottom w:val="single" w:sz="8" w:color="CCEEFF"/>
            </w:tcBorders>
          </w:tcPr>
          <w:p>
            <w:pPr>
              <w:ind w:left="1120"/>
              <w:spacing w:after="0"/>
              <w:rPr>
                <w:sz w:val="20"/>
                <w:szCs w:val="20"/>
                <w:color w:val="auto"/>
              </w:rPr>
            </w:pPr>
            <w:r>
              <w:rPr>
                <w:rFonts w:ascii="Arial" w:cs="Arial" w:eastAsia="Arial" w:hAnsi="Arial"/>
                <w:sz w:val="18"/>
                <w:szCs w:val="18"/>
                <w:color w:val="auto"/>
              </w:rPr>
              <w:t>Effect of exchange rate changes on cash and cash equivalents</w:t>
            </w:r>
          </w:p>
        </w:tc>
        <w:tc>
          <w:tcPr>
            <w:tcW w:w="22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271</w:t>
            </w:r>
          </w:p>
        </w:tc>
        <w:tc>
          <w:tcPr>
            <w:tcW w:w="12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76</w:t>
            </w:r>
          </w:p>
        </w:tc>
      </w:tr>
      <w:tr>
        <w:trPr>
          <w:trHeight w:val="223"/>
        </w:trPr>
        <w:tc>
          <w:tcPr>
            <w:tcW w:w="8320" w:type="dxa"/>
            <w:vAlign w:val="bottom"/>
            <w:shd w:val="clear" w:color="auto" w:fill="CCEEFF"/>
          </w:tcPr>
          <w:p>
            <w:pPr>
              <w:ind w:left="1120"/>
              <w:spacing w:after="0"/>
              <w:rPr>
                <w:sz w:val="20"/>
                <w:szCs w:val="20"/>
                <w:color w:val="auto"/>
              </w:rPr>
            </w:pPr>
            <w:r>
              <w:rPr>
                <w:rFonts w:ascii="Arial" w:cs="Arial" w:eastAsia="Arial" w:hAnsi="Arial"/>
                <w:sz w:val="18"/>
                <w:szCs w:val="18"/>
                <w:color w:val="auto"/>
              </w:rPr>
              <w:t>Increase (decrease) in cash and cash equivalents</w:t>
            </w:r>
          </w:p>
        </w:tc>
        <w:tc>
          <w:tcPr>
            <w:tcW w:w="22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3,590</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(186,394)</w:t>
            </w:r>
          </w:p>
        </w:tc>
      </w:tr>
      <w:tr>
        <w:trPr>
          <w:trHeight w:val="230"/>
        </w:trPr>
        <w:tc>
          <w:tcPr>
            <w:tcW w:w="8320" w:type="dxa"/>
            <w:vAlign w:val="bottom"/>
            <w:tcBorders>
              <w:bottom w:val="single" w:sz="8" w:color="CCEEFF"/>
            </w:tcBorders>
          </w:tcPr>
          <w:p>
            <w:pPr>
              <w:ind w:left="360"/>
              <w:spacing w:after="0"/>
              <w:rPr>
                <w:sz w:val="20"/>
                <w:szCs w:val="20"/>
                <w:color w:val="auto"/>
              </w:rPr>
            </w:pPr>
            <w:r>
              <w:rPr>
                <w:rFonts w:ascii="Arial" w:cs="Arial" w:eastAsia="Arial" w:hAnsi="Arial"/>
                <w:sz w:val="18"/>
                <w:szCs w:val="18"/>
                <w:color w:val="auto"/>
              </w:rPr>
              <w:t>Cash and cash equivalents at beginning of period</w:t>
            </w:r>
          </w:p>
        </w:tc>
        <w:tc>
          <w:tcPr>
            <w:tcW w:w="22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54,435</w:t>
            </w:r>
          </w:p>
        </w:tc>
        <w:tc>
          <w:tcPr>
            <w:tcW w:w="12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227,641</w:t>
            </w:r>
          </w:p>
        </w:tc>
      </w:tr>
      <w:tr>
        <w:trPr>
          <w:trHeight w:val="248"/>
        </w:trPr>
        <w:tc>
          <w:tcPr>
            <w:tcW w:w="832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Cash and cash equivalents at end of period</w:t>
            </w: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58,025</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41,247</w:t>
            </w:r>
          </w:p>
        </w:tc>
      </w:tr>
      <w:tr>
        <w:trPr>
          <w:trHeight w:val="20"/>
        </w:trPr>
        <w:tc>
          <w:tcPr>
            <w:tcW w:w="83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r>
      <w:tr>
        <w:trPr>
          <w:trHeight w:val="217"/>
        </w:trPr>
        <w:tc>
          <w:tcPr>
            <w:tcW w:w="8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0" w:type="dxa"/>
            <w:vAlign w:val="bottom"/>
          </w:tcPr>
          <w:p>
            <w:pPr>
              <w:spacing w:after="0"/>
              <w:rPr>
                <w:sz w:val="18"/>
                <w:szCs w:val="18"/>
                <w:color w:val="auto"/>
              </w:rPr>
            </w:pPr>
          </w:p>
        </w:tc>
      </w:tr>
      <w:tr>
        <w:trPr>
          <w:trHeight w:val="230"/>
        </w:trPr>
        <w:tc>
          <w:tcPr>
            <w:tcW w:w="832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Supplemental disclosure of non-cash investing and financing activities:</w:t>
            </w:r>
          </w:p>
        </w:tc>
        <w:tc>
          <w:tcPr>
            <w:tcW w:w="22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r>
      <w:tr>
        <w:trPr>
          <w:trHeight w:val="216"/>
        </w:trPr>
        <w:tc>
          <w:tcPr>
            <w:tcW w:w="8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0" w:type="dxa"/>
            <w:vAlign w:val="bottom"/>
          </w:tcPr>
          <w:p>
            <w:pPr>
              <w:spacing w:after="0"/>
              <w:rPr>
                <w:sz w:val="18"/>
                <w:szCs w:val="18"/>
                <w:color w:val="auto"/>
              </w:rPr>
            </w:pPr>
          </w:p>
        </w:tc>
      </w:tr>
      <w:tr>
        <w:trPr>
          <w:trHeight w:val="230"/>
        </w:trPr>
        <w:tc>
          <w:tcPr>
            <w:tcW w:w="83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Accrual for capital expenditures incurred during the period</w:t>
            </w: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444</w:t>
            </w:r>
          </w:p>
        </w:tc>
      </w:tr>
      <w:tr>
        <w:trPr>
          <w:trHeight w:val="230"/>
        </w:trPr>
        <w:tc>
          <w:tcPr>
            <w:tcW w:w="8320" w:type="dxa"/>
            <w:vAlign w:val="bottom"/>
          </w:tcPr>
          <w:p>
            <w:pPr>
              <w:ind w:left="360"/>
              <w:spacing w:after="0"/>
              <w:rPr>
                <w:sz w:val="20"/>
                <w:szCs w:val="20"/>
                <w:color w:val="auto"/>
              </w:rPr>
            </w:pPr>
            <w:r>
              <w:rPr>
                <w:rFonts w:ascii="Arial" w:cs="Arial" w:eastAsia="Arial" w:hAnsi="Arial"/>
                <w:sz w:val="18"/>
                <w:szCs w:val="18"/>
                <w:color w:val="auto"/>
              </w:rPr>
              <w:t>Fair value of contingent consideration for acquisitions</w:t>
            </w:r>
          </w:p>
        </w:tc>
        <w:tc>
          <w:tcPr>
            <w:tcW w:w="220" w:type="dxa"/>
            <w:vAlign w:val="bottom"/>
          </w:tcPr>
          <w:p>
            <w:pPr>
              <w:spacing w:after="0"/>
              <w:rPr>
                <w:sz w:val="20"/>
                <w:szCs w:val="20"/>
                <w:color w:val="auto"/>
              </w:rPr>
            </w:pPr>
          </w:p>
        </w:tc>
        <w:tc>
          <w:tcPr>
            <w:tcW w:w="13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14,900</w:t>
            </w:r>
          </w:p>
        </w:tc>
      </w:tr>
    </w:tbl>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3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 w:name="page8"/>
    <w:bookmarkEnd w:id="7"/>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AngioDynamics, Inc. and Subsidiaries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STOCKHOLDERS’ EQUITY</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of dollars, except share data)</w:t>
      </w: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500" w:type="dxa"/>
            <w:vAlign w:val="bottom"/>
            <w:gridSpan w:val="5"/>
          </w:tcPr>
          <w:p>
            <w:pPr>
              <w:jc w:val="right"/>
              <w:ind w:right="22"/>
              <w:spacing w:after="0"/>
              <w:rPr>
                <w:sz w:val="20"/>
                <w:szCs w:val="20"/>
                <w:color w:val="auto"/>
              </w:rPr>
            </w:pPr>
            <w:r>
              <w:rPr>
                <w:rFonts w:ascii="Arial" w:cs="Arial" w:eastAsia="Arial" w:hAnsi="Arial"/>
                <w:sz w:val="14"/>
                <w:szCs w:val="14"/>
                <w:color w:val="auto"/>
              </w:rPr>
              <w:t>Common Stock</w:t>
            </w:r>
          </w:p>
        </w:tc>
        <w:tc>
          <w:tcPr>
            <w:tcW w:w="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60" w:type="dxa"/>
            <w:vAlign w:val="bottom"/>
            <w:gridSpan w:val="2"/>
          </w:tcPr>
          <w:p>
            <w:pPr>
              <w:jc w:val="center"/>
              <w:ind w:right="240"/>
              <w:spacing w:after="0"/>
              <w:rPr>
                <w:sz w:val="20"/>
                <w:szCs w:val="20"/>
                <w:color w:val="auto"/>
              </w:rPr>
            </w:pPr>
            <w:r>
              <w:rPr>
                <w:rFonts w:ascii="Arial" w:cs="Arial" w:eastAsia="Arial" w:hAnsi="Arial"/>
                <w:sz w:val="14"/>
                <w:szCs w:val="14"/>
                <w:color w:val="auto"/>
                <w:w w:val="93"/>
              </w:rPr>
              <w:t>Accumulated</w:t>
            </w:r>
          </w:p>
        </w:tc>
        <w:tc>
          <w:tcPr>
            <w:tcW w:w="1980" w:type="dxa"/>
            <w:vAlign w:val="bottom"/>
            <w:gridSpan w:val="5"/>
          </w:tcPr>
          <w:p>
            <w:pPr>
              <w:ind w:left="500"/>
              <w:spacing w:after="0"/>
              <w:rPr>
                <w:sz w:val="20"/>
                <w:szCs w:val="20"/>
                <w:color w:val="auto"/>
              </w:rPr>
            </w:pPr>
            <w:r>
              <w:rPr>
                <w:rFonts w:ascii="Arial" w:cs="Arial" w:eastAsia="Arial" w:hAnsi="Arial"/>
                <w:sz w:val="14"/>
                <w:szCs w:val="14"/>
                <w:color w:val="auto"/>
              </w:rPr>
              <w:t>Treasury Stock</w:t>
            </w:r>
          </w:p>
        </w:tc>
        <w:tc>
          <w:tcPr>
            <w:tcW w:w="2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1"/>
        </w:trPr>
        <w:tc>
          <w:tcPr>
            <w:tcW w:w="2720" w:type="dxa"/>
            <w:vAlign w:val="bottom"/>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108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42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20" w:type="dxa"/>
            <w:vAlign w:val="bottom"/>
          </w:tcPr>
          <w:p>
            <w:pPr>
              <w:spacing w:after="0"/>
              <w:rPr>
                <w:sz w:val="3"/>
                <w:szCs w:val="3"/>
                <w:color w:val="auto"/>
              </w:rPr>
            </w:pPr>
          </w:p>
        </w:tc>
        <w:tc>
          <w:tcPr>
            <w:tcW w:w="120" w:type="dxa"/>
            <w:vAlign w:val="bottom"/>
          </w:tcPr>
          <w:p>
            <w:pPr>
              <w:spacing w:after="0"/>
              <w:rPr>
                <w:sz w:val="3"/>
                <w:szCs w:val="3"/>
                <w:color w:val="auto"/>
              </w:rPr>
            </w:pPr>
          </w:p>
        </w:tc>
        <w:tc>
          <w:tcPr>
            <w:tcW w:w="900" w:type="dxa"/>
            <w:vAlign w:val="bottom"/>
            <w:gridSpan w:val="2"/>
            <w:vMerge w:val="restart"/>
          </w:tcPr>
          <w:p>
            <w:pPr>
              <w:jc w:val="center"/>
              <w:ind w:right="240"/>
              <w:spacing w:after="0" w:line="135" w:lineRule="exact"/>
              <w:rPr>
                <w:sz w:val="20"/>
                <w:szCs w:val="20"/>
                <w:color w:val="auto"/>
              </w:rPr>
            </w:pPr>
            <w:r>
              <w:rPr>
                <w:rFonts w:ascii="Arial" w:cs="Arial" w:eastAsia="Arial" w:hAnsi="Arial"/>
                <w:sz w:val="14"/>
                <w:szCs w:val="14"/>
                <w:color w:val="auto"/>
              </w:rPr>
              <w:t>Additional</w:t>
            </w:r>
          </w:p>
        </w:tc>
        <w:tc>
          <w:tcPr>
            <w:tcW w:w="2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20" w:type="dxa"/>
            <w:vAlign w:val="bottom"/>
            <w:gridSpan w:val="2"/>
            <w:vMerge w:val="restart"/>
          </w:tcPr>
          <w:p>
            <w:pPr>
              <w:jc w:val="center"/>
              <w:ind w:right="260"/>
              <w:spacing w:after="0"/>
              <w:rPr>
                <w:sz w:val="20"/>
                <w:szCs w:val="20"/>
                <w:color w:val="auto"/>
              </w:rPr>
            </w:pPr>
            <w:r>
              <w:rPr>
                <w:rFonts w:ascii="Arial" w:cs="Arial" w:eastAsia="Arial" w:hAnsi="Arial"/>
                <w:sz w:val="14"/>
                <w:szCs w:val="14"/>
                <w:color w:val="auto"/>
                <w:w w:val="93"/>
              </w:rPr>
              <w:t>Accumulated</w:t>
            </w:r>
          </w:p>
        </w:tc>
        <w:tc>
          <w:tcPr>
            <w:tcW w:w="140" w:type="dxa"/>
            <w:vAlign w:val="bottom"/>
          </w:tcPr>
          <w:p>
            <w:pPr>
              <w:spacing w:after="0"/>
              <w:rPr>
                <w:sz w:val="3"/>
                <w:szCs w:val="3"/>
                <w:color w:val="auto"/>
              </w:rPr>
            </w:pPr>
          </w:p>
        </w:tc>
        <w:tc>
          <w:tcPr>
            <w:tcW w:w="1160" w:type="dxa"/>
            <w:vAlign w:val="bottom"/>
            <w:gridSpan w:val="2"/>
            <w:vMerge w:val="restart"/>
          </w:tcPr>
          <w:p>
            <w:pPr>
              <w:jc w:val="center"/>
              <w:ind w:right="260"/>
              <w:spacing w:after="0" w:line="135" w:lineRule="exact"/>
              <w:rPr>
                <w:sz w:val="20"/>
                <w:szCs w:val="20"/>
                <w:color w:val="auto"/>
              </w:rPr>
            </w:pPr>
            <w:r>
              <w:rPr>
                <w:rFonts w:ascii="Arial" w:cs="Arial" w:eastAsia="Arial" w:hAnsi="Arial"/>
                <w:sz w:val="14"/>
                <w:szCs w:val="14"/>
                <w:color w:val="auto"/>
                <w:w w:val="93"/>
              </w:rPr>
              <w:t>other</w:t>
            </w:r>
          </w:p>
        </w:tc>
        <w:tc>
          <w:tcPr>
            <w:tcW w:w="96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66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220" w:type="dxa"/>
            <w:vAlign w:val="bottom"/>
          </w:tcPr>
          <w:p>
            <w:pPr>
              <w:spacing w:after="0"/>
              <w:rPr>
                <w:sz w:val="3"/>
                <w:szCs w:val="3"/>
                <w:color w:val="auto"/>
              </w:rPr>
            </w:pPr>
          </w:p>
        </w:tc>
        <w:tc>
          <w:tcPr>
            <w:tcW w:w="7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74"/>
        </w:trPr>
        <w:tc>
          <w:tcPr>
            <w:tcW w:w="2720" w:type="dxa"/>
            <w:vAlign w:val="bottom"/>
          </w:tcPr>
          <w:p>
            <w:pPr>
              <w:spacing w:after="0"/>
              <w:rPr>
                <w:sz w:val="6"/>
                <w:szCs w:val="6"/>
                <w:color w:val="auto"/>
              </w:rPr>
            </w:pPr>
          </w:p>
        </w:tc>
        <w:tc>
          <w:tcPr>
            <w:tcW w:w="20" w:type="dxa"/>
            <w:vAlign w:val="bottom"/>
          </w:tcPr>
          <w:p>
            <w:pPr>
              <w:spacing w:after="0"/>
              <w:rPr>
                <w:sz w:val="6"/>
                <w:szCs w:val="6"/>
                <w:color w:val="auto"/>
              </w:rPr>
            </w:pPr>
          </w:p>
        </w:tc>
        <w:tc>
          <w:tcPr>
            <w:tcW w:w="108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20" w:type="dxa"/>
            <w:vAlign w:val="bottom"/>
          </w:tcPr>
          <w:p>
            <w:pPr>
              <w:spacing w:after="0"/>
              <w:rPr>
                <w:sz w:val="6"/>
                <w:szCs w:val="6"/>
                <w:color w:val="auto"/>
              </w:rPr>
            </w:pPr>
          </w:p>
        </w:tc>
        <w:tc>
          <w:tcPr>
            <w:tcW w:w="280" w:type="dxa"/>
            <w:vAlign w:val="bottom"/>
          </w:tcPr>
          <w:p>
            <w:pPr>
              <w:spacing w:after="0"/>
              <w:rPr>
                <w:sz w:val="6"/>
                <w:szCs w:val="6"/>
                <w:color w:val="auto"/>
              </w:rPr>
            </w:pPr>
          </w:p>
        </w:tc>
        <w:tc>
          <w:tcPr>
            <w:tcW w:w="420" w:type="dxa"/>
            <w:vAlign w:val="bottom"/>
          </w:tcPr>
          <w:p>
            <w:pPr>
              <w:spacing w:after="0"/>
              <w:rPr>
                <w:sz w:val="6"/>
                <w:szCs w:val="6"/>
                <w:color w:val="auto"/>
              </w:rPr>
            </w:pPr>
          </w:p>
        </w:tc>
        <w:tc>
          <w:tcPr>
            <w:tcW w:w="100" w:type="dxa"/>
            <w:vAlign w:val="bottom"/>
          </w:tcPr>
          <w:p>
            <w:pPr>
              <w:spacing w:after="0"/>
              <w:rPr>
                <w:sz w:val="6"/>
                <w:szCs w:val="6"/>
                <w:color w:val="auto"/>
              </w:rPr>
            </w:pPr>
          </w:p>
        </w:tc>
        <w:tc>
          <w:tcPr>
            <w:tcW w:w="20" w:type="dxa"/>
            <w:vAlign w:val="bottom"/>
          </w:tcPr>
          <w:p>
            <w:pPr>
              <w:spacing w:after="0"/>
              <w:rPr>
                <w:sz w:val="6"/>
                <w:szCs w:val="6"/>
                <w:color w:val="auto"/>
              </w:rPr>
            </w:pPr>
          </w:p>
        </w:tc>
        <w:tc>
          <w:tcPr>
            <w:tcW w:w="120" w:type="dxa"/>
            <w:vAlign w:val="bottom"/>
          </w:tcPr>
          <w:p>
            <w:pPr>
              <w:spacing w:after="0"/>
              <w:rPr>
                <w:sz w:val="6"/>
                <w:szCs w:val="6"/>
                <w:color w:val="auto"/>
              </w:rPr>
            </w:pPr>
          </w:p>
        </w:tc>
        <w:tc>
          <w:tcPr>
            <w:tcW w:w="900" w:type="dxa"/>
            <w:vAlign w:val="bottom"/>
            <w:gridSpan w:val="2"/>
            <w:vMerge w:val="continue"/>
          </w:tcPr>
          <w:p>
            <w:pPr>
              <w:spacing w:after="0"/>
              <w:rPr>
                <w:sz w:val="6"/>
                <w:szCs w:val="6"/>
                <w:color w:val="auto"/>
              </w:rPr>
            </w:pPr>
          </w:p>
        </w:tc>
        <w:tc>
          <w:tcPr>
            <w:tcW w:w="20" w:type="dxa"/>
            <w:vAlign w:val="bottom"/>
          </w:tcPr>
          <w:p>
            <w:pPr>
              <w:spacing w:after="0"/>
              <w:rPr>
                <w:sz w:val="6"/>
                <w:szCs w:val="6"/>
                <w:color w:val="auto"/>
              </w:rPr>
            </w:pPr>
          </w:p>
        </w:tc>
        <w:tc>
          <w:tcPr>
            <w:tcW w:w="120" w:type="dxa"/>
            <w:vAlign w:val="bottom"/>
          </w:tcPr>
          <w:p>
            <w:pPr>
              <w:spacing w:after="0"/>
              <w:rPr>
                <w:sz w:val="6"/>
                <w:szCs w:val="6"/>
                <w:color w:val="auto"/>
              </w:rPr>
            </w:pPr>
          </w:p>
        </w:tc>
        <w:tc>
          <w:tcPr>
            <w:tcW w:w="1020" w:type="dxa"/>
            <w:vAlign w:val="bottom"/>
            <w:gridSpan w:val="2"/>
            <w:vMerge w:val="continue"/>
          </w:tcPr>
          <w:p>
            <w:pPr>
              <w:spacing w:after="0"/>
              <w:rPr>
                <w:sz w:val="6"/>
                <w:szCs w:val="6"/>
                <w:color w:val="auto"/>
              </w:rPr>
            </w:pPr>
          </w:p>
        </w:tc>
        <w:tc>
          <w:tcPr>
            <w:tcW w:w="140" w:type="dxa"/>
            <w:vAlign w:val="bottom"/>
          </w:tcPr>
          <w:p>
            <w:pPr>
              <w:spacing w:after="0"/>
              <w:rPr>
                <w:sz w:val="6"/>
                <w:szCs w:val="6"/>
                <w:color w:val="auto"/>
              </w:rPr>
            </w:pPr>
          </w:p>
        </w:tc>
        <w:tc>
          <w:tcPr>
            <w:tcW w:w="1160" w:type="dxa"/>
            <w:vAlign w:val="bottom"/>
            <w:gridSpan w:val="2"/>
            <w:vMerge w:val="continue"/>
          </w:tcPr>
          <w:p>
            <w:pPr>
              <w:spacing w:after="0"/>
              <w:rPr>
                <w:sz w:val="6"/>
                <w:szCs w:val="6"/>
                <w:color w:val="auto"/>
              </w:rPr>
            </w:pPr>
          </w:p>
        </w:tc>
        <w:tc>
          <w:tcPr>
            <w:tcW w:w="960" w:type="dxa"/>
            <w:vAlign w:val="bottom"/>
          </w:tcPr>
          <w:p>
            <w:pPr>
              <w:spacing w:after="0"/>
              <w:rPr>
                <w:sz w:val="6"/>
                <w:szCs w:val="6"/>
                <w:color w:val="auto"/>
              </w:rPr>
            </w:pPr>
          </w:p>
        </w:tc>
        <w:tc>
          <w:tcPr>
            <w:tcW w:w="120" w:type="dxa"/>
            <w:vAlign w:val="bottom"/>
          </w:tcPr>
          <w:p>
            <w:pPr>
              <w:spacing w:after="0"/>
              <w:rPr>
                <w:sz w:val="6"/>
                <w:szCs w:val="6"/>
                <w:color w:val="auto"/>
              </w:rPr>
            </w:pPr>
          </w:p>
        </w:tc>
        <w:tc>
          <w:tcPr>
            <w:tcW w:w="140" w:type="dxa"/>
            <w:vAlign w:val="bottom"/>
          </w:tcPr>
          <w:p>
            <w:pPr>
              <w:spacing w:after="0"/>
              <w:rPr>
                <w:sz w:val="6"/>
                <w:szCs w:val="6"/>
                <w:color w:val="auto"/>
              </w:rPr>
            </w:pPr>
          </w:p>
        </w:tc>
        <w:tc>
          <w:tcPr>
            <w:tcW w:w="660" w:type="dxa"/>
            <w:vAlign w:val="bottom"/>
          </w:tcPr>
          <w:p>
            <w:pPr>
              <w:spacing w:after="0"/>
              <w:rPr>
                <w:sz w:val="6"/>
                <w:szCs w:val="6"/>
                <w:color w:val="auto"/>
              </w:rPr>
            </w:pPr>
          </w:p>
        </w:tc>
        <w:tc>
          <w:tcPr>
            <w:tcW w:w="100" w:type="dxa"/>
            <w:vAlign w:val="bottom"/>
          </w:tcPr>
          <w:p>
            <w:pPr>
              <w:spacing w:after="0"/>
              <w:rPr>
                <w:sz w:val="6"/>
                <w:szCs w:val="6"/>
                <w:color w:val="auto"/>
              </w:rPr>
            </w:pPr>
          </w:p>
        </w:tc>
        <w:tc>
          <w:tcPr>
            <w:tcW w:w="220" w:type="dxa"/>
            <w:vAlign w:val="bottom"/>
          </w:tcPr>
          <w:p>
            <w:pPr>
              <w:spacing w:after="0"/>
              <w:rPr>
                <w:sz w:val="6"/>
                <w:szCs w:val="6"/>
                <w:color w:val="auto"/>
              </w:rPr>
            </w:pPr>
          </w:p>
        </w:tc>
        <w:tc>
          <w:tcPr>
            <w:tcW w:w="7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35"/>
        </w:trPr>
        <w:tc>
          <w:tcPr>
            <w:tcW w:w="2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0" w:type="dxa"/>
            <w:vAlign w:val="bottom"/>
            <w:gridSpan w:val="3"/>
            <w:vMerge w:val="restart"/>
          </w:tcPr>
          <w:p>
            <w:pPr>
              <w:ind w:left="340"/>
              <w:spacing w:after="0"/>
              <w:rPr>
                <w:sz w:val="20"/>
                <w:szCs w:val="20"/>
                <w:color w:val="auto"/>
              </w:rPr>
            </w:pPr>
            <w:r>
              <w:rPr>
                <w:rFonts w:ascii="Arial" w:cs="Arial" w:eastAsia="Arial" w:hAnsi="Arial"/>
                <w:sz w:val="14"/>
                <w:szCs w:val="14"/>
                <w:color w:val="auto"/>
              </w:rPr>
              <w:t>Shares</w:t>
            </w:r>
          </w:p>
        </w:tc>
        <w:tc>
          <w:tcPr>
            <w:tcW w:w="20" w:type="dxa"/>
            <w:vAlign w:val="bottom"/>
          </w:tcPr>
          <w:p>
            <w:pPr>
              <w:spacing w:after="0"/>
              <w:rPr>
                <w:sz w:val="11"/>
                <w:szCs w:val="11"/>
                <w:color w:val="auto"/>
              </w:rPr>
            </w:pPr>
          </w:p>
        </w:tc>
        <w:tc>
          <w:tcPr>
            <w:tcW w:w="800" w:type="dxa"/>
            <w:vAlign w:val="bottom"/>
            <w:gridSpan w:val="3"/>
            <w:vMerge w:val="restart"/>
          </w:tcPr>
          <w:p>
            <w:pPr>
              <w:ind w:left="100"/>
              <w:spacing w:after="0"/>
              <w:rPr>
                <w:sz w:val="20"/>
                <w:szCs w:val="20"/>
                <w:color w:val="auto"/>
              </w:rPr>
            </w:pPr>
            <w:r>
              <w:rPr>
                <w:rFonts w:ascii="Arial" w:cs="Arial" w:eastAsia="Arial" w:hAnsi="Arial"/>
                <w:sz w:val="14"/>
                <w:szCs w:val="14"/>
                <w:color w:val="auto"/>
              </w:rPr>
              <w:t>Amount</w:t>
            </w: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00" w:type="dxa"/>
            <w:vAlign w:val="bottom"/>
            <w:gridSpan w:val="2"/>
          </w:tcPr>
          <w:p>
            <w:pPr>
              <w:jc w:val="center"/>
              <w:ind w:right="260"/>
              <w:spacing w:after="0" w:line="135" w:lineRule="exact"/>
              <w:rPr>
                <w:sz w:val="20"/>
                <w:szCs w:val="20"/>
                <w:color w:val="auto"/>
              </w:rPr>
            </w:pPr>
            <w:r>
              <w:rPr>
                <w:rFonts w:ascii="Arial" w:cs="Arial" w:eastAsia="Arial" w:hAnsi="Arial"/>
                <w:sz w:val="14"/>
                <w:szCs w:val="14"/>
                <w:color w:val="auto"/>
                <w:w w:val="96"/>
              </w:rPr>
              <w:t>paid in</w:t>
            </w: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20" w:type="dxa"/>
            <w:vAlign w:val="bottom"/>
            <w:gridSpan w:val="2"/>
            <w:vMerge w:val="continue"/>
          </w:tcPr>
          <w:p>
            <w:pPr>
              <w:spacing w:after="0"/>
              <w:rPr>
                <w:sz w:val="11"/>
                <w:szCs w:val="11"/>
                <w:color w:val="auto"/>
              </w:rPr>
            </w:pPr>
          </w:p>
        </w:tc>
        <w:tc>
          <w:tcPr>
            <w:tcW w:w="140" w:type="dxa"/>
            <w:vAlign w:val="bottom"/>
          </w:tcPr>
          <w:p>
            <w:pPr>
              <w:spacing w:after="0"/>
              <w:rPr>
                <w:sz w:val="11"/>
                <w:szCs w:val="11"/>
                <w:color w:val="auto"/>
              </w:rPr>
            </w:pPr>
          </w:p>
        </w:tc>
        <w:tc>
          <w:tcPr>
            <w:tcW w:w="1160" w:type="dxa"/>
            <w:vAlign w:val="bottom"/>
            <w:gridSpan w:val="2"/>
          </w:tcPr>
          <w:p>
            <w:pPr>
              <w:jc w:val="center"/>
              <w:ind w:right="240"/>
              <w:spacing w:after="0" w:line="135" w:lineRule="exact"/>
              <w:rPr>
                <w:sz w:val="20"/>
                <w:szCs w:val="20"/>
                <w:color w:val="auto"/>
              </w:rPr>
            </w:pPr>
            <w:r>
              <w:rPr>
                <w:rFonts w:ascii="Arial" w:cs="Arial" w:eastAsia="Arial" w:hAnsi="Arial"/>
                <w:sz w:val="14"/>
                <w:szCs w:val="14"/>
                <w:color w:val="auto"/>
                <w:w w:val="92"/>
              </w:rPr>
              <w:t>comprehensive</w:t>
            </w:r>
          </w:p>
        </w:tc>
        <w:tc>
          <w:tcPr>
            <w:tcW w:w="1080" w:type="dxa"/>
            <w:vAlign w:val="bottom"/>
            <w:gridSpan w:val="2"/>
            <w:vMerge w:val="restart"/>
          </w:tcPr>
          <w:p>
            <w:pPr>
              <w:ind w:left="300"/>
              <w:spacing w:after="0"/>
              <w:rPr>
                <w:sz w:val="20"/>
                <w:szCs w:val="20"/>
                <w:color w:val="auto"/>
              </w:rPr>
            </w:pPr>
            <w:r>
              <w:rPr>
                <w:rFonts w:ascii="Arial" w:cs="Arial" w:eastAsia="Arial" w:hAnsi="Arial"/>
                <w:sz w:val="14"/>
                <w:szCs w:val="14"/>
                <w:color w:val="auto"/>
              </w:rPr>
              <w:t>Shares</w:t>
            </w:r>
          </w:p>
        </w:tc>
        <w:tc>
          <w:tcPr>
            <w:tcW w:w="140" w:type="dxa"/>
            <w:vAlign w:val="bottom"/>
          </w:tcPr>
          <w:p>
            <w:pPr>
              <w:spacing w:after="0"/>
              <w:rPr>
                <w:sz w:val="11"/>
                <w:szCs w:val="11"/>
                <w:color w:val="auto"/>
              </w:rPr>
            </w:pPr>
          </w:p>
        </w:tc>
        <w:tc>
          <w:tcPr>
            <w:tcW w:w="760" w:type="dxa"/>
            <w:vAlign w:val="bottom"/>
            <w:gridSpan w:val="2"/>
            <w:vMerge w:val="restart"/>
          </w:tcPr>
          <w:p>
            <w:pPr>
              <w:ind w:left="20"/>
              <w:spacing w:after="0"/>
              <w:rPr>
                <w:sz w:val="20"/>
                <w:szCs w:val="20"/>
                <w:color w:val="auto"/>
              </w:rPr>
            </w:pPr>
            <w:r>
              <w:rPr>
                <w:rFonts w:ascii="Arial" w:cs="Arial" w:eastAsia="Arial" w:hAnsi="Arial"/>
                <w:sz w:val="14"/>
                <w:szCs w:val="14"/>
                <w:color w:val="auto"/>
              </w:rPr>
              <w:t>Amount</w:t>
            </w:r>
          </w:p>
        </w:tc>
        <w:tc>
          <w:tcPr>
            <w:tcW w:w="220" w:type="dxa"/>
            <w:vAlign w:val="bottom"/>
          </w:tcPr>
          <w:p>
            <w:pPr>
              <w:spacing w:after="0"/>
              <w:rPr>
                <w:sz w:val="11"/>
                <w:szCs w:val="11"/>
                <w:color w:val="auto"/>
              </w:rPr>
            </w:pPr>
          </w:p>
        </w:tc>
        <w:tc>
          <w:tcPr>
            <w:tcW w:w="780" w:type="dxa"/>
            <w:vAlign w:val="bottom"/>
            <w:vMerge w:val="restart"/>
          </w:tcPr>
          <w:p>
            <w:pPr>
              <w:jc w:val="right"/>
              <w:ind w:right="278"/>
              <w:spacing w:after="0"/>
              <w:rPr>
                <w:sz w:val="20"/>
                <w:szCs w:val="20"/>
                <w:color w:val="auto"/>
              </w:rPr>
            </w:pPr>
            <w:r>
              <w:rPr>
                <w:rFonts w:ascii="Arial" w:cs="Arial" w:eastAsia="Arial" w:hAnsi="Arial"/>
                <w:sz w:val="14"/>
                <w:szCs w:val="14"/>
                <w:color w:val="auto"/>
              </w:rPr>
              <w:t>Total</w:t>
            </w:r>
          </w:p>
        </w:tc>
        <w:tc>
          <w:tcPr>
            <w:tcW w:w="0" w:type="dxa"/>
            <w:vAlign w:val="bottom"/>
          </w:tcPr>
          <w:p>
            <w:pPr>
              <w:spacing w:after="0"/>
              <w:rPr>
                <w:sz w:val="1"/>
                <w:szCs w:val="1"/>
                <w:color w:val="auto"/>
              </w:rPr>
            </w:pPr>
          </w:p>
        </w:tc>
      </w:tr>
      <w:tr>
        <w:trPr>
          <w:trHeight w:val="186"/>
        </w:trPr>
        <w:tc>
          <w:tcPr>
            <w:tcW w:w="2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0" w:type="dxa"/>
            <w:vAlign w:val="bottom"/>
            <w:gridSpan w:val="3"/>
            <w:vMerge w:val="continue"/>
          </w:tcPr>
          <w:p>
            <w:pPr>
              <w:spacing w:after="0"/>
              <w:rPr>
                <w:sz w:val="16"/>
                <w:szCs w:val="16"/>
                <w:color w:val="auto"/>
              </w:rPr>
            </w:pPr>
          </w:p>
        </w:tc>
        <w:tc>
          <w:tcPr>
            <w:tcW w:w="20" w:type="dxa"/>
            <w:vAlign w:val="bottom"/>
          </w:tcPr>
          <w:p>
            <w:pPr>
              <w:spacing w:after="0"/>
              <w:rPr>
                <w:sz w:val="16"/>
                <w:szCs w:val="16"/>
                <w:color w:val="auto"/>
              </w:rPr>
            </w:pPr>
          </w:p>
        </w:tc>
        <w:tc>
          <w:tcPr>
            <w:tcW w:w="800" w:type="dxa"/>
            <w:vAlign w:val="bottom"/>
            <w:gridSpan w:val="3"/>
            <w:vMerge w:val="continue"/>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00" w:type="dxa"/>
            <w:vAlign w:val="bottom"/>
            <w:gridSpan w:val="2"/>
          </w:tcPr>
          <w:p>
            <w:pPr>
              <w:jc w:val="center"/>
              <w:ind w:right="240"/>
              <w:spacing w:after="0"/>
              <w:rPr>
                <w:sz w:val="20"/>
                <w:szCs w:val="20"/>
                <w:color w:val="auto"/>
              </w:rPr>
            </w:pPr>
            <w:r>
              <w:rPr>
                <w:rFonts w:ascii="Arial" w:cs="Arial" w:eastAsia="Arial" w:hAnsi="Arial"/>
                <w:sz w:val="14"/>
                <w:szCs w:val="14"/>
                <w:color w:val="auto"/>
                <w:w w:val="93"/>
              </w:rPr>
              <w:t>capital</w:t>
            </w: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20" w:type="dxa"/>
            <w:vAlign w:val="bottom"/>
            <w:gridSpan w:val="2"/>
          </w:tcPr>
          <w:p>
            <w:pPr>
              <w:jc w:val="center"/>
              <w:ind w:right="260"/>
              <w:spacing w:after="0"/>
              <w:rPr>
                <w:sz w:val="20"/>
                <w:szCs w:val="20"/>
                <w:color w:val="auto"/>
              </w:rPr>
            </w:pPr>
            <w:r>
              <w:rPr>
                <w:rFonts w:ascii="Arial" w:cs="Arial" w:eastAsia="Arial" w:hAnsi="Arial"/>
                <w:sz w:val="14"/>
                <w:szCs w:val="14"/>
                <w:color w:val="auto"/>
                <w:w w:val="98"/>
              </w:rPr>
              <w:t>deficit</w:t>
            </w:r>
          </w:p>
        </w:tc>
        <w:tc>
          <w:tcPr>
            <w:tcW w:w="140" w:type="dxa"/>
            <w:vAlign w:val="bottom"/>
          </w:tcPr>
          <w:p>
            <w:pPr>
              <w:spacing w:after="0"/>
              <w:rPr>
                <w:sz w:val="16"/>
                <w:szCs w:val="16"/>
                <w:color w:val="auto"/>
              </w:rPr>
            </w:pPr>
          </w:p>
        </w:tc>
        <w:tc>
          <w:tcPr>
            <w:tcW w:w="1160" w:type="dxa"/>
            <w:vAlign w:val="bottom"/>
            <w:gridSpan w:val="2"/>
          </w:tcPr>
          <w:p>
            <w:pPr>
              <w:jc w:val="center"/>
              <w:ind w:right="260"/>
              <w:spacing w:after="0"/>
              <w:rPr>
                <w:sz w:val="20"/>
                <w:szCs w:val="20"/>
                <w:color w:val="auto"/>
              </w:rPr>
            </w:pPr>
            <w:r>
              <w:rPr>
                <w:rFonts w:ascii="Arial" w:cs="Arial" w:eastAsia="Arial" w:hAnsi="Arial"/>
                <w:sz w:val="14"/>
                <w:szCs w:val="14"/>
                <w:color w:val="auto"/>
                <w:w w:val="93"/>
              </w:rPr>
              <w:t>income (loss)</w:t>
            </w:r>
          </w:p>
        </w:tc>
        <w:tc>
          <w:tcPr>
            <w:tcW w:w="108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760" w:type="dxa"/>
            <w:vAlign w:val="bottom"/>
            <w:gridSpan w:val="2"/>
            <w:vMerge w:val="continue"/>
          </w:tcPr>
          <w:p>
            <w:pPr>
              <w:spacing w:after="0"/>
              <w:rPr>
                <w:sz w:val="16"/>
                <w:szCs w:val="16"/>
                <w:color w:val="auto"/>
              </w:rPr>
            </w:pPr>
          </w:p>
        </w:tc>
        <w:tc>
          <w:tcPr>
            <w:tcW w:w="220" w:type="dxa"/>
            <w:vAlign w:val="bottom"/>
          </w:tcPr>
          <w:p>
            <w:pPr>
              <w:spacing w:after="0"/>
              <w:rPr>
                <w:sz w:val="16"/>
                <w:szCs w:val="16"/>
                <w:color w:val="auto"/>
              </w:rPr>
            </w:pPr>
          </w:p>
        </w:tc>
        <w:tc>
          <w:tcPr>
            <w:tcW w:w="7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3"/>
        </w:trPr>
        <w:tc>
          <w:tcPr>
            <w:tcW w:w="27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Balance at May 31, 2020</w:t>
            </w:r>
          </w:p>
        </w:tc>
        <w:tc>
          <w:tcPr>
            <w:tcW w:w="110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6"/>
                <w:szCs w:val="16"/>
                <w:color w:val="auto"/>
              </w:rPr>
              <w:t>38,448,536</w:t>
            </w:r>
          </w:p>
        </w:tc>
        <w:tc>
          <w:tcPr>
            <w:tcW w:w="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gridSpan w:val="2"/>
            <w:shd w:val="clear" w:color="auto" w:fill="CCEEFF"/>
          </w:tcPr>
          <w:p>
            <w:pPr>
              <w:jc w:val="right"/>
              <w:ind w:right="122"/>
              <w:spacing w:after="0"/>
              <w:rPr>
                <w:sz w:val="20"/>
                <w:szCs w:val="20"/>
                <w:color w:val="auto"/>
              </w:rPr>
            </w:pPr>
            <w:r>
              <w:rPr>
                <w:rFonts w:ascii="Arial" w:cs="Arial" w:eastAsia="Arial" w:hAnsi="Arial"/>
                <w:sz w:val="16"/>
                <w:szCs w:val="16"/>
                <w:color w:val="auto"/>
                <w:w w:val="89"/>
              </w:rPr>
              <w:t>$</w:t>
            </w:r>
          </w:p>
        </w:tc>
        <w:tc>
          <w:tcPr>
            <w:tcW w:w="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374</w:t>
            </w: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00" w:type="dxa"/>
            <w:vAlign w:val="bottom"/>
            <w:tcBorders>
              <w:top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561,871</w:t>
            </w: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(100,318)</w:t>
            </w: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(1,341)</w:t>
            </w:r>
          </w:p>
        </w:tc>
        <w:tc>
          <w:tcPr>
            <w:tcW w:w="120" w:type="dxa"/>
            <w:vAlign w:val="bottom"/>
            <w:tcBorders>
              <w:top w:val="single" w:sz="8" w:color="CCEEFF"/>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(370,000)</w:t>
            </w:r>
          </w:p>
        </w:tc>
        <w:tc>
          <w:tcPr>
            <w:tcW w:w="1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(5,714)</w:t>
            </w:r>
          </w:p>
        </w:tc>
        <w:tc>
          <w:tcPr>
            <w:tcW w:w="1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454,872</w:t>
            </w:r>
          </w:p>
        </w:tc>
        <w:tc>
          <w:tcPr>
            <w:tcW w:w="0" w:type="dxa"/>
            <w:vAlign w:val="bottom"/>
          </w:tcPr>
          <w:p>
            <w:pPr>
              <w:spacing w:after="0"/>
              <w:rPr>
                <w:sz w:val="1"/>
                <w:szCs w:val="1"/>
                <w:color w:val="auto"/>
              </w:rPr>
            </w:pPr>
          </w:p>
        </w:tc>
      </w:tr>
      <w:tr>
        <w:trPr>
          <w:trHeight w:val="213"/>
        </w:trPr>
        <w:tc>
          <w:tcPr>
            <w:tcW w:w="2720" w:type="dxa"/>
            <w:vAlign w:val="bottom"/>
          </w:tcPr>
          <w:p>
            <w:pPr>
              <w:ind w:left="20"/>
              <w:spacing w:after="0"/>
              <w:rPr>
                <w:sz w:val="20"/>
                <w:szCs w:val="20"/>
                <w:color w:val="auto"/>
              </w:rPr>
            </w:pPr>
            <w:r>
              <w:rPr>
                <w:rFonts w:ascii="Arial" w:cs="Arial" w:eastAsia="Arial" w:hAnsi="Arial"/>
                <w:sz w:val="16"/>
                <w:szCs w:val="16"/>
                <w:color w:val="auto"/>
              </w:rPr>
              <w:t>Net loss</w:t>
            </w:r>
          </w:p>
        </w:tc>
        <w:tc>
          <w:tcPr>
            <w:tcW w:w="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(4,268)</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(4,268)</w:t>
            </w:r>
          </w:p>
        </w:tc>
        <w:tc>
          <w:tcPr>
            <w:tcW w:w="0" w:type="dxa"/>
            <w:vAlign w:val="bottom"/>
          </w:tcPr>
          <w:p>
            <w:pPr>
              <w:spacing w:after="0"/>
              <w:rPr>
                <w:sz w:val="1"/>
                <w:szCs w:val="1"/>
                <w:color w:val="auto"/>
              </w:rPr>
            </w:pPr>
          </w:p>
        </w:tc>
      </w:tr>
      <w:tr>
        <w:trPr>
          <w:trHeight w:val="169"/>
        </w:trPr>
        <w:tc>
          <w:tcPr>
            <w:tcW w:w="2720" w:type="dxa"/>
            <w:vAlign w:val="bottom"/>
            <w:shd w:val="clear" w:color="auto" w:fill="CCEEFF"/>
          </w:tcPr>
          <w:p>
            <w:pPr>
              <w:ind w:left="20"/>
              <w:spacing w:after="0" w:line="169" w:lineRule="exact"/>
              <w:rPr>
                <w:sz w:val="20"/>
                <w:szCs w:val="20"/>
                <w:color w:val="auto"/>
              </w:rPr>
            </w:pPr>
            <w:r>
              <w:rPr>
                <w:rFonts w:ascii="Arial" w:cs="Arial" w:eastAsia="Arial" w:hAnsi="Arial"/>
                <w:sz w:val="16"/>
                <w:szCs w:val="16"/>
                <w:color w:val="auto"/>
                <w:w w:val="93"/>
              </w:rPr>
              <w:t>Issuance/Cancellation of restricted stock</w:t>
            </w:r>
          </w:p>
        </w:tc>
        <w:tc>
          <w:tcPr>
            <w:tcW w:w="1100" w:type="dxa"/>
            <w:vAlign w:val="bottom"/>
            <w:gridSpan w:val="2"/>
            <w:vMerge w:val="restart"/>
            <w:shd w:val="clear" w:color="auto" w:fill="CCEEFF"/>
          </w:tcPr>
          <w:p>
            <w:pPr>
              <w:jc w:val="right"/>
              <w:spacing w:after="0"/>
              <w:rPr>
                <w:sz w:val="20"/>
                <w:szCs w:val="20"/>
                <w:color w:val="auto"/>
              </w:rPr>
            </w:pPr>
            <w:r>
              <w:rPr>
                <w:rFonts w:ascii="Arial" w:cs="Arial" w:eastAsia="Arial" w:hAnsi="Arial"/>
                <w:sz w:val="16"/>
                <w:szCs w:val="16"/>
                <w:color w:val="auto"/>
              </w:rPr>
              <w:t>164,946</w:t>
            </w:r>
          </w:p>
        </w:tc>
        <w:tc>
          <w:tcPr>
            <w:tcW w:w="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(143)</w:t>
            </w:r>
          </w:p>
        </w:tc>
        <w:tc>
          <w:tcPr>
            <w:tcW w:w="10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7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(143)</w:t>
            </w:r>
          </w:p>
        </w:tc>
        <w:tc>
          <w:tcPr>
            <w:tcW w:w="0" w:type="dxa"/>
            <w:vAlign w:val="bottom"/>
          </w:tcPr>
          <w:p>
            <w:pPr>
              <w:spacing w:after="0"/>
              <w:rPr>
                <w:sz w:val="1"/>
                <w:szCs w:val="1"/>
                <w:color w:val="auto"/>
              </w:rPr>
            </w:pPr>
          </w:p>
        </w:tc>
      </w:tr>
      <w:tr>
        <w:trPr>
          <w:trHeight w:val="212"/>
        </w:trPr>
        <w:tc>
          <w:tcPr>
            <w:tcW w:w="2720" w:type="dxa"/>
            <w:vAlign w:val="bottom"/>
            <w:shd w:val="clear" w:color="auto" w:fill="CCEEFF"/>
          </w:tcPr>
          <w:p>
            <w:pPr>
              <w:ind w:left="20"/>
              <w:spacing w:after="0"/>
              <w:rPr>
                <w:sz w:val="20"/>
                <w:szCs w:val="20"/>
                <w:color w:val="auto"/>
              </w:rPr>
            </w:pPr>
            <w:r>
              <w:rPr>
                <w:rFonts w:ascii="Arial" w:cs="Arial" w:eastAsia="Arial" w:hAnsi="Arial"/>
                <w:sz w:val="16"/>
                <w:szCs w:val="16"/>
                <w:color w:val="auto"/>
              </w:rPr>
              <w:t>units</w:t>
            </w:r>
          </w:p>
        </w:tc>
        <w:tc>
          <w:tcPr>
            <w:tcW w:w="1100" w:type="dxa"/>
            <w:vAlign w:val="bottom"/>
            <w:gridSpan w:val="2"/>
            <w:vMerge w:val="continue"/>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720" w:type="dxa"/>
            <w:vAlign w:val="bottom"/>
          </w:tcPr>
          <w:p>
            <w:pPr>
              <w:ind w:left="20"/>
              <w:spacing w:after="0"/>
              <w:rPr>
                <w:sz w:val="20"/>
                <w:szCs w:val="20"/>
                <w:color w:val="auto"/>
              </w:rPr>
            </w:pPr>
            <w:r>
              <w:rPr>
                <w:rFonts w:ascii="Arial" w:cs="Arial" w:eastAsia="Arial" w:hAnsi="Arial"/>
                <w:sz w:val="16"/>
                <w:szCs w:val="16"/>
                <w:color w:val="auto"/>
                <w:w w:val="91"/>
              </w:rPr>
              <w:t>Purchases of common stock under ESPP</w:t>
            </w:r>
          </w:p>
        </w:tc>
        <w:tc>
          <w:tcPr>
            <w:tcW w:w="1100" w:type="dxa"/>
            <w:vAlign w:val="bottom"/>
            <w:gridSpan w:val="2"/>
          </w:tcPr>
          <w:p>
            <w:pPr>
              <w:jc w:val="right"/>
              <w:spacing w:after="0"/>
              <w:rPr>
                <w:sz w:val="20"/>
                <w:szCs w:val="20"/>
                <w:color w:val="auto"/>
              </w:rPr>
            </w:pPr>
            <w:r>
              <w:rPr>
                <w:rFonts w:ascii="Arial" w:cs="Arial" w:eastAsia="Arial" w:hAnsi="Arial"/>
                <w:sz w:val="16"/>
                <w:szCs w:val="16"/>
                <w:color w:val="auto"/>
              </w:rPr>
              <w:t>79,596</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6"/>
                <w:szCs w:val="16"/>
                <w:color w:val="auto"/>
              </w:rPr>
              <w:t>1</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jc w:val="right"/>
              <w:ind w:right="1"/>
              <w:spacing w:after="0"/>
              <w:rPr>
                <w:sz w:val="20"/>
                <w:szCs w:val="20"/>
                <w:color w:val="auto"/>
              </w:rPr>
            </w:pPr>
            <w:r>
              <w:rPr>
                <w:rFonts w:ascii="Arial" w:cs="Arial" w:eastAsia="Arial" w:hAnsi="Arial"/>
                <w:sz w:val="16"/>
                <w:szCs w:val="16"/>
                <w:color w:val="auto"/>
              </w:rPr>
              <w:t>633</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634</w:t>
            </w:r>
          </w:p>
        </w:tc>
        <w:tc>
          <w:tcPr>
            <w:tcW w:w="0" w:type="dxa"/>
            <w:vAlign w:val="bottom"/>
          </w:tcPr>
          <w:p>
            <w:pPr>
              <w:spacing w:after="0"/>
              <w:rPr>
                <w:sz w:val="1"/>
                <w:szCs w:val="1"/>
                <w:color w:val="auto"/>
              </w:rPr>
            </w:pPr>
          </w:p>
        </w:tc>
      </w:tr>
      <w:tr>
        <w:trPr>
          <w:trHeight w:val="219"/>
        </w:trPr>
        <w:tc>
          <w:tcPr>
            <w:tcW w:w="2720" w:type="dxa"/>
            <w:vAlign w:val="bottom"/>
            <w:shd w:val="clear" w:color="auto" w:fill="CCEEFF"/>
          </w:tcPr>
          <w:p>
            <w:pPr>
              <w:ind w:left="20"/>
              <w:spacing w:after="0"/>
              <w:rPr>
                <w:sz w:val="20"/>
                <w:szCs w:val="20"/>
                <w:color w:val="auto"/>
              </w:rPr>
            </w:pPr>
            <w:r>
              <w:rPr>
                <w:rFonts w:ascii="Arial" w:cs="Arial" w:eastAsia="Arial" w:hAnsi="Arial"/>
                <w:sz w:val="16"/>
                <w:szCs w:val="16"/>
                <w:color w:val="auto"/>
              </w:rPr>
              <w:t>Stock-based compensation</w:t>
            </w:r>
          </w:p>
        </w:tc>
        <w:tc>
          <w:tcPr>
            <w:tcW w:w="2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0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1,864</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1,864</w:t>
            </w:r>
          </w:p>
        </w:tc>
        <w:tc>
          <w:tcPr>
            <w:tcW w:w="0" w:type="dxa"/>
            <w:vAlign w:val="bottom"/>
          </w:tcPr>
          <w:p>
            <w:pPr>
              <w:spacing w:after="0"/>
              <w:rPr>
                <w:sz w:val="1"/>
                <w:szCs w:val="1"/>
                <w:color w:val="auto"/>
              </w:rPr>
            </w:pPr>
          </w:p>
        </w:tc>
      </w:tr>
      <w:tr>
        <w:trPr>
          <w:trHeight w:val="213"/>
        </w:trPr>
        <w:tc>
          <w:tcPr>
            <w:tcW w:w="272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w w:val="94"/>
              </w:rPr>
              <w:t>Other comprehensive income, net of tax</w:t>
            </w:r>
          </w:p>
        </w:tc>
        <w:tc>
          <w:tcPr>
            <w:tcW w:w="2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2,095</w:t>
            </w:r>
          </w:p>
        </w:tc>
        <w:tc>
          <w:tcPr>
            <w:tcW w:w="120" w:type="dxa"/>
            <w:vAlign w:val="bottom"/>
            <w:tcBorders>
              <w:bottom w:val="single" w:sz="8" w:color="CCEEFF"/>
            </w:tcBorders>
          </w:tcPr>
          <w:p>
            <w:pPr>
              <w:spacing w:after="0"/>
              <w:rPr>
                <w:sz w:val="18"/>
                <w:szCs w:val="18"/>
                <w:color w:val="auto"/>
              </w:rPr>
            </w:pPr>
          </w:p>
        </w:tc>
        <w:tc>
          <w:tcPr>
            <w:tcW w:w="960" w:type="dxa"/>
            <w:vAlign w:val="bottom"/>
            <w:tcBorders>
              <w:bottom w:val="single" w:sz="8" w:color="auto"/>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2,095</w:t>
            </w:r>
          </w:p>
        </w:tc>
        <w:tc>
          <w:tcPr>
            <w:tcW w:w="0" w:type="dxa"/>
            <w:vAlign w:val="bottom"/>
          </w:tcPr>
          <w:p>
            <w:pPr>
              <w:spacing w:after="0"/>
              <w:rPr>
                <w:sz w:val="1"/>
                <w:szCs w:val="1"/>
                <w:color w:val="auto"/>
              </w:rPr>
            </w:pPr>
          </w:p>
        </w:tc>
      </w:tr>
      <w:tr>
        <w:trPr>
          <w:trHeight w:val="213"/>
        </w:trPr>
        <w:tc>
          <w:tcPr>
            <w:tcW w:w="272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Balance at August 31, 2020</w:t>
            </w:r>
          </w:p>
        </w:tc>
        <w:tc>
          <w:tcPr>
            <w:tcW w:w="110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6"/>
                <w:szCs w:val="16"/>
                <w:color w:val="auto"/>
              </w:rPr>
              <w:t>38,693,078</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tcBorders>
              <w:bottom w:val="single" w:sz="8" w:color="auto"/>
            </w:tcBorders>
            <w:gridSpan w:val="2"/>
            <w:shd w:val="clear" w:color="auto" w:fill="CCEEFF"/>
          </w:tcPr>
          <w:p>
            <w:pPr>
              <w:jc w:val="right"/>
              <w:ind w:right="122"/>
              <w:spacing w:after="0"/>
              <w:rPr>
                <w:sz w:val="20"/>
                <w:szCs w:val="20"/>
                <w:color w:val="auto"/>
              </w:rPr>
            </w:pPr>
            <w:r>
              <w:rPr>
                <w:rFonts w:ascii="Arial" w:cs="Arial" w:eastAsia="Arial" w:hAnsi="Arial"/>
                <w:sz w:val="16"/>
                <w:szCs w:val="16"/>
                <w:color w:val="auto"/>
                <w:w w:val="89"/>
              </w:rPr>
              <w:t>$</w:t>
            </w: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375</w:t>
            </w:r>
          </w:p>
        </w:tc>
        <w:tc>
          <w:tcPr>
            <w:tcW w:w="100" w:type="dxa"/>
            <w:vAlign w:val="bottom"/>
            <w:shd w:val="clear" w:color="auto" w:fill="CCEEFF"/>
          </w:tcPr>
          <w:p>
            <w:pPr>
              <w:spacing w:after="0"/>
              <w:rPr>
                <w:sz w:val="18"/>
                <w:szCs w:val="18"/>
                <w:color w:val="auto"/>
              </w:rPr>
            </w:pPr>
          </w:p>
        </w:tc>
        <w:tc>
          <w:tcPr>
            <w:tcW w:w="14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0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564,225</w:t>
            </w:r>
          </w:p>
        </w:tc>
        <w:tc>
          <w:tcPr>
            <w:tcW w:w="100" w:type="dxa"/>
            <w:vAlign w:val="bottom"/>
            <w:shd w:val="clear" w:color="auto" w:fill="CCEEFF"/>
          </w:tcPr>
          <w:p>
            <w:pPr>
              <w:spacing w:after="0"/>
              <w:rPr>
                <w:sz w:val="18"/>
                <w:szCs w:val="18"/>
                <w:color w:val="auto"/>
              </w:rPr>
            </w:pPr>
          </w:p>
        </w:tc>
        <w:tc>
          <w:tcPr>
            <w:tcW w:w="14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(104,586)</w:t>
            </w:r>
          </w:p>
        </w:tc>
        <w:tc>
          <w:tcPr>
            <w:tcW w:w="1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754</w:t>
            </w:r>
          </w:p>
        </w:tc>
        <w:tc>
          <w:tcPr>
            <w:tcW w:w="120" w:type="dxa"/>
            <w:vAlign w:val="bottom"/>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(370,000)</w:t>
            </w:r>
          </w:p>
        </w:tc>
        <w:tc>
          <w:tcPr>
            <w:tcW w:w="1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(5,714)</w:t>
            </w:r>
          </w:p>
        </w:tc>
        <w:tc>
          <w:tcPr>
            <w:tcW w:w="10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455,054</w:t>
            </w:r>
          </w:p>
        </w:tc>
        <w:tc>
          <w:tcPr>
            <w:tcW w:w="0" w:type="dxa"/>
            <w:vAlign w:val="bottom"/>
          </w:tcPr>
          <w:p>
            <w:pPr>
              <w:spacing w:after="0"/>
              <w:rPr>
                <w:sz w:val="1"/>
                <w:szCs w:val="1"/>
                <w:color w:val="auto"/>
              </w:rPr>
            </w:pPr>
          </w:p>
        </w:tc>
      </w:tr>
      <w:tr>
        <w:trPr>
          <w:trHeight w:val="207"/>
        </w:trPr>
        <w:tc>
          <w:tcPr>
            <w:tcW w:w="2720" w:type="dxa"/>
            <w:vAlign w:val="bottom"/>
          </w:tcPr>
          <w:p>
            <w:pPr>
              <w:ind w:left="20"/>
              <w:spacing w:after="0"/>
              <w:rPr>
                <w:sz w:val="20"/>
                <w:szCs w:val="20"/>
                <w:color w:val="auto"/>
              </w:rPr>
            </w:pPr>
            <w:r>
              <w:rPr>
                <w:rFonts w:ascii="Arial" w:cs="Arial" w:eastAsia="Arial" w:hAnsi="Arial"/>
                <w:sz w:val="16"/>
                <w:szCs w:val="16"/>
                <w:color w:val="auto"/>
              </w:rPr>
              <w:t>Net loss</w:t>
            </w:r>
          </w:p>
        </w:tc>
        <w:tc>
          <w:tcPr>
            <w:tcW w:w="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(4,268)</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(4,268)</w:t>
            </w:r>
          </w:p>
        </w:tc>
        <w:tc>
          <w:tcPr>
            <w:tcW w:w="0" w:type="dxa"/>
            <w:vAlign w:val="bottom"/>
          </w:tcPr>
          <w:p>
            <w:pPr>
              <w:spacing w:after="0"/>
              <w:rPr>
                <w:sz w:val="1"/>
                <w:szCs w:val="1"/>
                <w:color w:val="auto"/>
              </w:rPr>
            </w:pPr>
          </w:p>
        </w:tc>
      </w:tr>
      <w:tr>
        <w:trPr>
          <w:trHeight w:val="169"/>
        </w:trPr>
        <w:tc>
          <w:tcPr>
            <w:tcW w:w="2720" w:type="dxa"/>
            <w:vAlign w:val="bottom"/>
            <w:shd w:val="clear" w:color="auto" w:fill="CCEEFF"/>
          </w:tcPr>
          <w:p>
            <w:pPr>
              <w:ind w:left="20"/>
              <w:spacing w:after="0" w:line="169" w:lineRule="exact"/>
              <w:rPr>
                <w:sz w:val="20"/>
                <w:szCs w:val="20"/>
                <w:color w:val="auto"/>
              </w:rPr>
            </w:pPr>
            <w:r>
              <w:rPr>
                <w:rFonts w:ascii="Arial" w:cs="Arial" w:eastAsia="Arial" w:hAnsi="Arial"/>
                <w:sz w:val="16"/>
                <w:szCs w:val="16"/>
                <w:color w:val="auto"/>
                <w:w w:val="93"/>
              </w:rPr>
              <w:t>Issuance/Cancellation of restricted stock</w:t>
            </w:r>
          </w:p>
        </w:tc>
        <w:tc>
          <w:tcPr>
            <w:tcW w:w="1100" w:type="dxa"/>
            <w:vAlign w:val="bottom"/>
            <w:gridSpan w:val="2"/>
            <w:vMerge w:val="restart"/>
            <w:shd w:val="clear" w:color="auto" w:fill="CCEEFF"/>
          </w:tcPr>
          <w:p>
            <w:pPr>
              <w:jc w:val="right"/>
              <w:spacing w:after="0"/>
              <w:rPr>
                <w:sz w:val="20"/>
                <w:szCs w:val="20"/>
                <w:color w:val="auto"/>
              </w:rPr>
            </w:pPr>
            <w:r>
              <w:rPr>
                <w:rFonts w:ascii="Arial" w:cs="Arial" w:eastAsia="Arial" w:hAnsi="Arial"/>
                <w:sz w:val="16"/>
                <w:szCs w:val="16"/>
                <w:color w:val="auto"/>
              </w:rPr>
              <w:t>8,952</w:t>
            </w:r>
          </w:p>
        </w:tc>
        <w:tc>
          <w:tcPr>
            <w:tcW w:w="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(10)</w:t>
            </w:r>
          </w:p>
        </w:tc>
        <w:tc>
          <w:tcPr>
            <w:tcW w:w="10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7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(10)</w:t>
            </w:r>
          </w:p>
        </w:tc>
        <w:tc>
          <w:tcPr>
            <w:tcW w:w="0" w:type="dxa"/>
            <w:vAlign w:val="bottom"/>
          </w:tcPr>
          <w:p>
            <w:pPr>
              <w:spacing w:after="0"/>
              <w:rPr>
                <w:sz w:val="1"/>
                <w:szCs w:val="1"/>
                <w:color w:val="auto"/>
              </w:rPr>
            </w:pPr>
          </w:p>
        </w:tc>
      </w:tr>
      <w:tr>
        <w:trPr>
          <w:trHeight w:val="212"/>
        </w:trPr>
        <w:tc>
          <w:tcPr>
            <w:tcW w:w="2720" w:type="dxa"/>
            <w:vAlign w:val="bottom"/>
            <w:shd w:val="clear" w:color="auto" w:fill="CCEEFF"/>
          </w:tcPr>
          <w:p>
            <w:pPr>
              <w:ind w:left="20"/>
              <w:spacing w:after="0"/>
              <w:rPr>
                <w:sz w:val="20"/>
                <w:szCs w:val="20"/>
                <w:color w:val="auto"/>
              </w:rPr>
            </w:pPr>
            <w:r>
              <w:rPr>
                <w:rFonts w:ascii="Arial" w:cs="Arial" w:eastAsia="Arial" w:hAnsi="Arial"/>
                <w:sz w:val="16"/>
                <w:szCs w:val="16"/>
                <w:color w:val="auto"/>
              </w:rPr>
              <w:t>units</w:t>
            </w:r>
          </w:p>
        </w:tc>
        <w:tc>
          <w:tcPr>
            <w:tcW w:w="1100" w:type="dxa"/>
            <w:vAlign w:val="bottom"/>
            <w:gridSpan w:val="2"/>
            <w:vMerge w:val="continue"/>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720" w:type="dxa"/>
            <w:vAlign w:val="bottom"/>
          </w:tcPr>
          <w:p>
            <w:pPr>
              <w:ind w:left="20"/>
              <w:spacing w:after="0"/>
              <w:rPr>
                <w:sz w:val="20"/>
                <w:szCs w:val="20"/>
                <w:color w:val="auto"/>
              </w:rPr>
            </w:pPr>
            <w:r>
              <w:rPr>
                <w:rFonts w:ascii="Arial" w:cs="Arial" w:eastAsia="Arial" w:hAnsi="Arial"/>
                <w:sz w:val="16"/>
                <w:szCs w:val="16"/>
                <w:color w:val="auto"/>
              </w:rPr>
              <w:t>Stock-based compensation</w:t>
            </w:r>
          </w:p>
        </w:tc>
        <w:tc>
          <w:tcPr>
            <w:tcW w:w="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jc w:val="right"/>
              <w:ind w:right="1"/>
              <w:spacing w:after="0"/>
              <w:rPr>
                <w:sz w:val="20"/>
                <w:szCs w:val="20"/>
                <w:color w:val="auto"/>
              </w:rPr>
            </w:pPr>
            <w:r>
              <w:rPr>
                <w:rFonts w:ascii="Arial" w:cs="Arial" w:eastAsia="Arial" w:hAnsi="Arial"/>
                <w:sz w:val="16"/>
                <w:szCs w:val="16"/>
                <w:color w:val="auto"/>
              </w:rPr>
              <w:t>2,387</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2,387</w:t>
            </w:r>
          </w:p>
        </w:tc>
        <w:tc>
          <w:tcPr>
            <w:tcW w:w="0" w:type="dxa"/>
            <w:vAlign w:val="bottom"/>
          </w:tcPr>
          <w:p>
            <w:pPr>
              <w:spacing w:after="0"/>
              <w:rPr>
                <w:sz w:val="1"/>
                <w:szCs w:val="1"/>
                <w:color w:val="auto"/>
              </w:rPr>
            </w:pPr>
          </w:p>
        </w:tc>
      </w:tr>
      <w:tr>
        <w:trPr>
          <w:trHeight w:val="219"/>
        </w:trPr>
        <w:tc>
          <w:tcPr>
            <w:tcW w:w="2720" w:type="dxa"/>
            <w:vAlign w:val="bottom"/>
            <w:shd w:val="clear" w:color="auto" w:fill="CCEEFF"/>
          </w:tcPr>
          <w:p>
            <w:pPr>
              <w:ind w:left="20"/>
              <w:spacing w:after="0"/>
              <w:rPr>
                <w:sz w:val="20"/>
                <w:szCs w:val="20"/>
                <w:color w:val="auto"/>
              </w:rPr>
            </w:pPr>
            <w:r>
              <w:rPr>
                <w:rFonts w:ascii="Arial" w:cs="Arial" w:eastAsia="Arial" w:hAnsi="Arial"/>
                <w:sz w:val="16"/>
                <w:szCs w:val="16"/>
                <w:color w:val="auto"/>
                <w:w w:val="94"/>
              </w:rPr>
              <w:t>Other comprehensive income, net of tax</w:t>
            </w:r>
          </w:p>
        </w:tc>
        <w:tc>
          <w:tcPr>
            <w:tcW w:w="2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1,180</w:t>
            </w:r>
          </w:p>
        </w:tc>
        <w:tc>
          <w:tcPr>
            <w:tcW w:w="120" w:type="dxa"/>
            <w:vAlign w:val="bottom"/>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66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1,180</w:t>
            </w:r>
          </w:p>
        </w:tc>
        <w:tc>
          <w:tcPr>
            <w:tcW w:w="0" w:type="dxa"/>
            <w:vAlign w:val="bottom"/>
          </w:tcPr>
          <w:p>
            <w:pPr>
              <w:spacing w:after="0"/>
              <w:rPr>
                <w:sz w:val="1"/>
                <w:szCs w:val="1"/>
                <w:color w:val="auto"/>
              </w:rPr>
            </w:pPr>
          </w:p>
        </w:tc>
      </w:tr>
      <w:tr>
        <w:trPr>
          <w:trHeight w:val="207"/>
        </w:trPr>
        <w:tc>
          <w:tcPr>
            <w:tcW w:w="2720" w:type="dxa"/>
            <w:vAlign w:val="bottom"/>
          </w:tcPr>
          <w:p>
            <w:pPr>
              <w:ind w:left="20"/>
              <w:spacing w:after="0"/>
              <w:rPr>
                <w:sz w:val="20"/>
                <w:szCs w:val="20"/>
                <w:color w:val="auto"/>
              </w:rPr>
            </w:pPr>
            <w:r>
              <w:rPr>
                <w:rFonts w:ascii="Arial" w:cs="Arial" w:eastAsia="Arial" w:hAnsi="Arial"/>
                <w:sz w:val="16"/>
                <w:szCs w:val="16"/>
                <w:b w:val="1"/>
                <w:bCs w:val="1"/>
                <w:color w:val="auto"/>
              </w:rPr>
              <w:t>Balance at November 30, 2020</w:t>
            </w:r>
          </w:p>
        </w:tc>
        <w:tc>
          <w:tcPr>
            <w:tcW w:w="1100" w:type="dxa"/>
            <w:vAlign w:val="bottom"/>
            <w:tcBorders>
              <w:bottom w:val="single" w:sz="8" w:color="auto"/>
            </w:tcBorders>
            <w:gridSpan w:val="2"/>
          </w:tcPr>
          <w:p>
            <w:pPr>
              <w:jc w:val="right"/>
              <w:spacing w:after="0"/>
              <w:rPr>
                <w:sz w:val="20"/>
                <w:szCs w:val="20"/>
                <w:color w:val="auto"/>
              </w:rPr>
            </w:pPr>
            <w:r>
              <w:rPr>
                <w:rFonts w:ascii="Arial" w:cs="Arial" w:eastAsia="Arial" w:hAnsi="Arial"/>
                <w:sz w:val="16"/>
                <w:szCs w:val="16"/>
                <w:color w:val="auto"/>
              </w:rPr>
              <w:t>38,702,030</w:t>
            </w: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Borders>
              <w:bottom w:val="single" w:sz="8" w:color="auto"/>
            </w:tcBorders>
            <w:gridSpan w:val="2"/>
          </w:tcPr>
          <w:p>
            <w:pPr>
              <w:jc w:val="right"/>
              <w:ind w:right="122"/>
              <w:spacing w:after="0"/>
              <w:rPr>
                <w:sz w:val="20"/>
                <w:szCs w:val="20"/>
                <w:color w:val="auto"/>
              </w:rPr>
            </w:pPr>
            <w:r>
              <w:rPr>
                <w:rFonts w:ascii="Arial" w:cs="Arial" w:eastAsia="Arial" w:hAnsi="Arial"/>
                <w:sz w:val="16"/>
                <w:szCs w:val="16"/>
                <w:color w:val="auto"/>
                <w:w w:val="89"/>
              </w:rPr>
              <w:t>$</w:t>
            </w: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375</w:t>
            </w:r>
          </w:p>
        </w:tc>
        <w:tc>
          <w:tcPr>
            <w:tcW w:w="100" w:type="dxa"/>
            <w:vAlign w:val="bottom"/>
          </w:tcPr>
          <w:p>
            <w:pPr>
              <w:spacing w:after="0"/>
              <w:rPr>
                <w:sz w:val="17"/>
                <w:szCs w:val="17"/>
                <w:color w:val="auto"/>
              </w:rPr>
            </w:pPr>
          </w:p>
        </w:tc>
        <w:tc>
          <w:tcPr>
            <w:tcW w:w="140" w:type="dxa"/>
            <w:vAlign w:val="bottom"/>
            <w:tcBorders>
              <w:bottom w:val="single" w:sz="8" w:color="auto"/>
            </w:tcBorders>
            <w:gridSpan w:val="2"/>
          </w:tcPr>
          <w:p>
            <w:pPr>
              <w:jc w:val="right"/>
              <w:spacing w:after="0"/>
              <w:rPr>
                <w:sz w:val="20"/>
                <w:szCs w:val="20"/>
                <w:color w:val="auto"/>
              </w:rPr>
            </w:pPr>
            <w:r>
              <w:rPr>
                <w:rFonts w:ascii="Arial" w:cs="Arial" w:eastAsia="Arial" w:hAnsi="Arial"/>
                <w:sz w:val="16"/>
                <w:szCs w:val="16"/>
                <w:color w:val="auto"/>
                <w:w w:val="89"/>
              </w:rPr>
              <w:t>$</w:t>
            </w:r>
          </w:p>
        </w:tc>
        <w:tc>
          <w:tcPr>
            <w:tcW w:w="80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566,602</w:t>
            </w:r>
          </w:p>
        </w:tc>
        <w:tc>
          <w:tcPr>
            <w:tcW w:w="100" w:type="dxa"/>
            <w:vAlign w:val="bottom"/>
          </w:tcPr>
          <w:p>
            <w:pPr>
              <w:spacing w:after="0"/>
              <w:rPr>
                <w:sz w:val="17"/>
                <w:szCs w:val="17"/>
                <w:color w:val="auto"/>
              </w:rPr>
            </w:pPr>
          </w:p>
        </w:tc>
        <w:tc>
          <w:tcPr>
            <w:tcW w:w="140" w:type="dxa"/>
            <w:vAlign w:val="bottom"/>
            <w:tcBorders>
              <w:bottom w:val="single" w:sz="8" w:color="auto"/>
            </w:tcBorders>
            <w:gridSpan w:val="2"/>
          </w:tcPr>
          <w:p>
            <w:pPr>
              <w:jc w:val="right"/>
              <w:spacing w:after="0"/>
              <w:rPr>
                <w:sz w:val="20"/>
                <w:szCs w:val="20"/>
                <w:color w:val="auto"/>
              </w:rPr>
            </w:pPr>
            <w:r>
              <w:rPr>
                <w:rFonts w:ascii="Arial" w:cs="Arial" w:eastAsia="Arial" w:hAnsi="Arial"/>
                <w:sz w:val="16"/>
                <w:szCs w:val="16"/>
                <w:color w:val="auto"/>
                <w:w w:val="89"/>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(108,854)</w:t>
            </w:r>
          </w:p>
        </w:tc>
        <w:tc>
          <w:tcPr>
            <w:tcW w:w="100" w:type="dxa"/>
            <w:vAlign w:val="bottom"/>
          </w:tcPr>
          <w:p>
            <w:pPr>
              <w:spacing w:after="0"/>
              <w:rPr>
                <w:sz w:val="17"/>
                <w:szCs w:val="17"/>
                <w:color w:val="auto"/>
              </w:rPr>
            </w:pPr>
          </w:p>
        </w:tc>
        <w:tc>
          <w:tcPr>
            <w:tcW w:w="14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1,934</w:t>
            </w:r>
          </w:p>
        </w:tc>
        <w:tc>
          <w:tcPr>
            <w:tcW w:w="120" w:type="dxa"/>
            <w:vAlign w:val="bottom"/>
          </w:tcPr>
          <w:p>
            <w:pPr>
              <w:spacing w:after="0"/>
              <w:rPr>
                <w:sz w:val="17"/>
                <w:szCs w:val="17"/>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(370,000)</w:t>
            </w:r>
          </w:p>
        </w:tc>
        <w:tc>
          <w:tcPr>
            <w:tcW w:w="120" w:type="dxa"/>
            <w:vAlign w:val="bottom"/>
          </w:tcPr>
          <w:p>
            <w:pPr>
              <w:spacing w:after="0"/>
              <w:rPr>
                <w:sz w:val="17"/>
                <w:szCs w:val="17"/>
                <w:color w:val="auto"/>
              </w:rPr>
            </w:pPr>
          </w:p>
        </w:tc>
        <w:tc>
          <w:tcPr>
            <w:tcW w:w="14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(5,714)</w:t>
            </w:r>
          </w:p>
        </w:tc>
        <w:tc>
          <w:tcPr>
            <w:tcW w:w="100" w:type="dxa"/>
            <w:vAlign w:val="bottom"/>
          </w:tcPr>
          <w:p>
            <w:pPr>
              <w:spacing w:after="0"/>
              <w:rPr>
                <w:sz w:val="17"/>
                <w:szCs w:val="17"/>
                <w:color w:val="auto"/>
              </w:rPr>
            </w:pPr>
          </w:p>
        </w:tc>
        <w:tc>
          <w:tcPr>
            <w:tcW w:w="22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454,343</w:t>
            </w:r>
          </w:p>
        </w:tc>
        <w:tc>
          <w:tcPr>
            <w:tcW w:w="0" w:type="dxa"/>
            <w:vAlign w:val="bottom"/>
          </w:tcPr>
          <w:p>
            <w:pPr>
              <w:spacing w:after="0"/>
              <w:rPr>
                <w:sz w:val="1"/>
                <w:szCs w:val="1"/>
                <w:color w:val="auto"/>
              </w:rPr>
            </w:pPr>
          </w:p>
        </w:tc>
      </w:tr>
      <w:tr>
        <w:trPr>
          <w:trHeight w:val="631"/>
        </w:trPr>
        <w:tc>
          <w:tcPr>
            <w:tcW w:w="27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500" w:type="dxa"/>
            <w:vAlign w:val="bottom"/>
            <w:gridSpan w:val="5"/>
          </w:tcPr>
          <w:p>
            <w:pPr>
              <w:jc w:val="right"/>
              <w:ind w:right="2"/>
              <w:spacing w:after="0"/>
              <w:rPr>
                <w:sz w:val="20"/>
                <w:szCs w:val="20"/>
                <w:color w:val="auto"/>
              </w:rPr>
            </w:pPr>
            <w:r>
              <w:rPr>
                <w:rFonts w:ascii="Arial" w:cs="Arial" w:eastAsia="Arial" w:hAnsi="Arial"/>
                <w:sz w:val="14"/>
                <w:szCs w:val="14"/>
                <w:color w:val="auto"/>
              </w:rPr>
              <w:t>Common Stock</w:t>
            </w:r>
          </w:p>
        </w:tc>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60" w:type="dxa"/>
            <w:vAlign w:val="bottom"/>
            <w:gridSpan w:val="2"/>
          </w:tcPr>
          <w:p>
            <w:pPr>
              <w:jc w:val="center"/>
              <w:ind w:right="240"/>
              <w:spacing w:after="0"/>
              <w:rPr>
                <w:sz w:val="20"/>
                <w:szCs w:val="20"/>
                <w:color w:val="auto"/>
              </w:rPr>
            </w:pPr>
            <w:r>
              <w:rPr>
                <w:rFonts w:ascii="Arial" w:cs="Arial" w:eastAsia="Arial" w:hAnsi="Arial"/>
                <w:sz w:val="14"/>
                <w:szCs w:val="14"/>
                <w:color w:val="auto"/>
                <w:w w:val="93"/>
              </w:rPr>
              <w:t>Accumulated</w:t>
            </w:r>
          </w:p>
        </w:tc>
        <w:tc>
          <w:tcPr>
            <w:tcW w:w="1980" w:type="dxa"/>
            <w:vAlign w:val="bottom"/>
            <w:gridSpan w:val="5"/>
          </w:tcPr>
          <w:p>
            <w:pPr>
              <w:ind w:left="500"/>
              <w:spacing w:after="0"/>
              <w:rPr>
                <w:sz w:val="20"/>
                <w:szCs w:val="20"/>
                <w:color w:val="auto"/>
              </w:rPr>
            </w:pPr>
            <w:r>
              <w:rPr>
                <w:rFonts w:ascii="Arial" w:cs="Arial" w:eastAsia="Arial" w:hAnsi="Arial"/>
                <w:sz w:val="14"/>
                <w:szCs w:val="14"/>
                <w:color w:val="auto"/>
              </w:rPr>
              <w:t>Treasury Stock</w:t>
            </w:r>
          </w:p>
        </w:tc>
        <w:tc>
          <w:tcPr>
            <w:tcW w:w="2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
        </w:trPr>
        <w:tc>
          <w:tcPr>
            <w:tcW w:w="2720" w:type="dxa"/>
            <w:vAlign w:val="bottom"/>
          </w:tcPr>
          <w:p>
            <w:pPr>
              <w:spacing w:after="0"/>
              <w:rPr>
                <w:sz w:val="3"/>
                <w:szCs w:val="3"/>
                <w:color w:val="auto"/>
              </w:rPr>
            </w:pPr>
          </w:p>
        </w:tc>
        <w:tc>
          <w:tcPr>
            <w:tcW w:w="20" w:type="dxa"/>
            <w:vAlign w:val="bottom"/>
          </w:tcPr>
          <w:p>
            <w:pPr>
              <w:spacing w:after="0"/>
              <w:rPr>
                <w:sz w:val="3"/>
                <w:szCs w:val="3"/>
                <w:color w:val="auto"/>
              </w:rPr>
            </w:pPr>
          </w:p>
        </w:tc>
        <w:tc>
          <w:tcPr>
            <w:tcW w:w="108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42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20" w:type="dxa"/>
            <w:vAlign w:val="bottom"/>
          </w:tcPr>
          <w:p>
            <w:pPr>
              <w:spacing w:after="0"/>
              <w:rPr>
                <w:sz w:val="3"/>
                <w:szCs w:val="3"/>
                <w:color w:val="auto"/>
              </w:rPr>
            </w:pPr>
          </w:p>
        </w:tc>
        <w:tc>
          <w:tcPr>
            <w:tcW w:w="120" w:type="dxa"/>
            <w:vAlign w:val="bottom"/>
          </w:tcPr>
          <w:p>
            <w:pPr>
              <w:spacing w:after="0"/>
              <w:rPr>
                <w:sz w:val="3"/>
                <w:szCs w:val="3"/>
                <w:color w:val="auto"/>
              </w:rPr>
            </w:pPr>
          </w:p>
        </w:tc>
        <w:tc>
          <w:tcPr>
            <w:tcW w:w="900" w:type="dxa"/>
            <w:vAlign w:val="bottom"/>
            <w:gridSpan w:val="2"/>
            <w:vMerge w:val="restart"/>
          </w:tcPr>
          <w:p>
            <w:pPr>
              <w:jc w:val="center"/>
              <w:ind w:right="220"/>
              <w:spacing w:after="0" w:line="135" w:lineRule="exact"/>
              <w:rPr>
                <w:sz w:val="20"/>
                <w:szCs w:val="20"/>
                <w:color w:val="auto"/>
              </w:rPr>
            </w:pPr>
            <w:r>
              <w:rPr>
                <w:rFonts w:ascii="Arial" w:cs="Arial" w:eastAsia="Arial" w:hAnsi="Arial"/>
                <w:sz w:val="14"/>
                <w:szCs w:val="14"/>
                <w:color w:val="auto"/>
                <w:w w:val="97"/>
              </w:rPr>
              <w:t>Additional</w:t>
            </w:r>
          </w:p>
        </w:tc>
        <w:tc>
          <w:tcPr>
            <w:tcW w:w="2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20" w:type="dxa"/>
            <w:vAlign w:val="bottom"/>
            <w:gridSpan w:val="2"/>
            <w:vMerge w:val="restart"/>
          </w:tcPr>
          <w:p>
            <w:pPr>
              <w:jc w:val="center"/>
              <w:ind w:right="240"/>
              <w:spacing w:after="0"/>
              <w:rPr>
                <w:sz w:val="20"/>
                <w:szCs w:val="20"/>
                <w:color w:val="auto"/>
              </w:rPr>
            </w:pPr>
            <w:r>
              <w:rPr>
                <w:rFonts w:ascii="Arial" w:cs="Arial" w:eastAsia="Arial" w:hAnsi="Arial"/>
                <w:sz w:val="14"/>
                <w:szCs w:val="14"/>
                <w:color w:val="auto"/>
                <w:w w:val="89"/>
              </w:rPr>
              <w:t>Retained</w:t>
            </w:r>
          </w:p>
        </w:tc>
        <w:tc>
          <w:tcPr>
            <w:tcW w:w="140" w:type="dxa"/>
            <w:vAlign w:val="bottom"/>
          </w:tcPr>
          <w:p>
            <w:pPr>
              <w:spacing w:after="0"/>
              <w:rPr>
                <w:sz w:val="3"/>
                <w:szCs w:val="3"/>
                <w:color w:val="auto"/>
              </w:rPr>
            </w:pPr>
          </w:p>
        </w:tc>
        <w:tc>
          <w:tcPr>
            <w:tcW w:w="1160" w:type="dxa"/>
            <w:vAlign w:val="bottom"/>
            <w:gridSpan w:val="2"/>
            <w:vMerge w:val="restart"/>
          </w:tcPr>
          <w:p>
            <w:pPr>
              <w:jc w:val="center"/>
              <w:ind w:right="260"/>
              <w:spacing w:after="0" w:line="135" w:lineRule="exact"/>
              <w:rPr>
                <w:sz w:val="20"/>
                <w:szCs w:val="20"/>
                <w:color w:val="auto"/>
              </w:rPr>
            </w:pPr>
            <w:r>
              <w:rPr>
                <w:rFonts w:ascii="Arial" w:cs="Arial" w:eastAsia="Arial" w:hAnsi="Arial"/>
                <w:sz w:val="14"/>
                <w:szCs w:val="14"/>
                <w:color w:val="auto"/>
                <w:w w:val="93"/>
              </w:rPr>
              <w:t>other</w:t>
            </w:r>
          </w:p>
        </w:tc>
        <w:tc>
          <w:tcPr>
            <w:tcW w:w="96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66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220" w:type="dxa"/>
            <w:vAlign w:val="bottom"/>
          </w:tcPr>
          <w:p>
            <w:pPr>
              <w:spacing w:after="0"/>
              <w:rPr>
                <w:sz w:val="3"/>
                <w:szCs w:val="3"/>
                <w:color w:val="auto"/>
              </w:rPr>
            </w:pPr>
          </w:p>
        </w:tc>
        <w:tc>
          <w:tcPr>
            <w:tcW w:w="7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75"/>
        </w:trPr>
        <w:tc>
          <w:tcPr>
            <w:tcW w:w="2720" w:type="dxa"/>
            <w:vAlign w:val="bottom"/>
          </w:tcPr>
          <w:p>
            <w:pPr>
              <w:spacing w:after="0"/>
              <w:rPr>
                <w:sz w:val="6"/>
                <w:szCs w:val="6"/>
                <w:color w:val="auto"/>
              </w:rPr>
            </w:pPr>
          </w:p>
        </w:tc>
        <w:tc>
          <w:tcPr>
            <w:tcW w:w="20" w:type="dxa"/>
            <w:vAlign w:val="bottom"/>
          </w:tcPr>
          <w:p>
            <w:pPr>
              <w:spacing w:after="0"/>
              <w:rPr>
                <w:sz w:val="6"/>
                <w:szCs w:val="6"/>
                <w:color w:val="auto"/>
              </w:rPr>
            </w:pPr>
          </w:p>
        </w:tc>
        <w:tc>
          <w:tcPr>
            <w:tcW w:w="108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20" w:type="dxa"/>
            <w:vAlign w:val="bottom"/>
          </w:tcPr>
          <w:p>
            <w:pPr>
              <w:spacing w:after="0"/>
              <w:rPr>
                <w:sz w:val="6"/>
                <w:szCs w:val="6"/>
                <w:color w:val="auto"/>
              </w:rPr>
            </w:pPr>
          </w:p>
        </w:tc>
        <w:tc>
          <w:tcPr>
            <w:tcW w:w="280" w:type="dxa"/>
            <w:vAlign w:val="bottom"/>
          </w:tcPr>
          <w:p>
            <w:pPr>
              <w:spacing w:after="0"/>
              <w:rPr>
                <w:sz w:val="6"/>
                <w:szCs w:val="6"/>
                <w:color w:val="auto"/>
              </w:rPr>
            </w:pPr>
          </w:p>
        </w:tc>
        <w:tc>
          <w:tcPr>
            <w:tcW w:w="420" w:type="dxa"/>
            <w:vAlign w:val="bottom"/>
          </w:tcPr>
          <w:p>
            <w:pPr>
              <w:spacing w:after="0"/>
              <w:rPr>
                <w:sz w:val="6"/>
                <w:szCs w:val="6"/>
                <w:color w:val="auto"/>
              </w:rPr>
            </w:pPr>
          </w:p>
        </w:tc>
        <w:tc>
          <w:tcPr>
            <w:tcW w:w="100" w:type="dxa"/>
            <w:vAlign w:val="bottom"/>
          </w:tcPr>
          <w:p>
            <w:pPr>
              <w:spacing w:after="0"/>
              <w:rPr>
                <w:sz w:val="6"/>
                <w:szCs w:val="6"/>
                <w:color w:val="auto"/>
              </w:rPr>
            </w:pPr>
          </w:p>
        </w:tc>
        <w:tc>
          <w:tcPr>
            <w:tcW w:w="20" w:type="dxa"/>
            <w:vAlign w:val="bottom"/>
          </w:tcPr>
          <w:p>
            <w:pPr>
              <w:spacing w:after="0"/>
              <w:rPr>
                <w:sz w:val="6"/>
                <w:szCs w:val="6"/>
                <w:color w:val="auto"/>
              </w:rPr>
            </w:pPr>
          </w:p>
        </w:tc>
        <w:tc>
          <w:tcPr>
            <w:tcW w:w="120" w:type="dxa"/>
            <w:vAlign w:val="bottom"/>
          </w:tcPr>
          <w:p>
            <w:pPr>
              <w:spacing w:after="0"/>
              <w:rPr>
                <w:sz w:val="6"/>
                <w:szCs w:val="6"/>
                <w:color w:val="auto"/>
              </w:rPr>
            </w:pPr>
          </w:p>
        </w:tc>
        <w:tc>
          <w:tcPr>
            <w:tcW w:w="900" w:type="dxa"/>
            <w:vAlign w:val="bottom"/>
            <w:gridSpan w:val="2"/>
            <w:vMerge w:val="continue"/>
          </w:tcPr>
          <w:p>
            <w:pPr>
              <w:spacing w:after="0"/>
              <w:rPr>
                <w:sz w:val="6"/>
                <w:szCs w:val="6"/>
                <w:color w:val="auto"/>
              </w:rPr>
            </w:pPr>
          </w:p>
        </w:tc>
        <w:tc>
          <w:tcPr>
            <w:tcW w:w="20" w:type="dxa"/>
            <w:vAlign w:val="bottom"/>
          </w:tcPr>
          <w:p>
            <w:pPr>
              <w:spacing w:after="0"/>
              <w:rPr>
                <w:sz w:val="6"/>
                <w:szCs w:val="6"/>
                <w:color w:val="auto"/>
              </w:rPr>
            </w:pPr>
          </w:p>
        </w:tc>
        <w:tc>
          <w:tcPr>
            <w:tcW w:w="120" w:type="dxa"/>
            <w:vAlign w:val="bottom"/>
          </w:tcPr>
          <w:p>
            <w:pPr>
              <w:spacing w:after="0"/>
              <w:rPr>
                <w:sz w:val="6"/>
                <w:szCs w:val="6"/>
                <w:color w:val="auto"/>
              </w:rPr>
            </w:pPr>
          </w:p>
        </w:tc>
        <w:tc>
          <w:tcPr>
            <w:tcW w:w="1020" w:type="dxa"/>
            <w:vAlign w:val="bottom"/>
            <w:gridSpan w:val="2"/>
            <w:vMerge w:val="continue"/>
          </w:tcPr>
          <w:p>
            <w:pPr>
              <w:spacing w:after="0"/>
              <w:rPr>
                <w:sz w:val="6"/>
                <w:szCs w:val="6"/>
                <w:color w:val="auto"/>
              </w:rPr>
            </w:pPr>
          </w:p>
        </w:tc>
        <w:tc>
          <w:tcPr>
            <w:tcW w:w="140" w:type="dxa"/>
            <w:vAlign w:val="bottom"/>
          </w:tcPr>
          <w:p>
            <w:pPr>
              <w:spacing w:after="0"/>
              <w:rPr>
                <w:sz w:val="6"/>
                <w:szCs w:val="6"/>
                <w:color w:val="auto"/>
              </w:rPr>
            </w:pPr>
          </w:p>
        </w:tc>
        <w:tc>
          <w:tcPr>
            <w:tcW w:w="1160" w:type="dxa"/>
            <w:vAlign w:val="bottom"/>
            <w:gridSpan w:val="2"/>
            <w:vMerge w:val="continue"/>
          </w:tcPr>
          <w:p>
            <w:pPr>
              <w:spacing w:after="0"/>
              <w:rPr>
                <w:sz w:val="6"/>
                <w:szCs w:val="6"/>
                <w:color w:val="auto"/>
              </w:rPr>
            </w:pPr>
          </w:p>
        </w:tc>
        <w:tc>
          <w:tcPr>
            <w:tcW w:w="960" w:type="dxa"/>
            <w:vAlign w:val="bottom"/>
          </w:tcPr>
          <w:p>
            <w:pPr>
              <w:spacing w:after="0"/>
              <w:rPr>
                <w:sz w:val="6"/>
                <w:szCs w:val="6"/>
                <w:color w:val="auto"/>
              </w:rPr>
            </w:pPr>
          </w:p>
        </w:tc>
        <w:tc>
          <w:tcPr>
            <w:tcW w:w="120" w:type="dxa"/>
            <w:vAlign w:val="bottom"/>
          </w:tcPr>
          <w:p>
            <w:pPr>
              <w:spacing w:after="0"/>
              <w:rPr>
                <w:sz w:val="6"/>
                <w:szCs w:val="6"/>
                <w:color w:val="auto"/>
              </w:rPr>
            </w:pPr>
          </w:p>
        </w:tc>
        <w:tc>
          <w:tcPr>
            <w:tcW w:w="140" w:type="dxa"/>
            <w:vAlign w:val="bottom"/>
          </w:tcPr>
          <w:p>
            <w:pPr>
              <w:spacing w:after="0"/>
              <w:rPr>
                <w:sz w:val="6"/>
                <w:szCs w:val="6"/>
                <w:color w:val="auto"/>
              </w:rPr>
            </w:pPr>
          </w:p>
        </w:tc>
        <w:tc>
          <w:tcPr>
            <w:tcW w:w="660" w:type="dxa"/>
            <w:vAlign w:val="bottom"/>
          </w:tcPr>
          <w:p>
            <w:pPr>
              <w:spacing w:after="0"/>
              <w:rPr>
                <w:sz w:val="6"/>
                <w:szCs w:val="6"/>
                <w:color w:val="auto"/>
              </w:rPr>
            </w:pPr>
          </w:p>
        </w:tc>
        <w:tc>
          <w:tcPr>
            <w:tcW w:w="100" w:type="dxa"/>
            <w:vAlign w:val="bottom"/>
          </w:tcPr>
          <w:p>
            <w:pPr>
              <w:spacing w:after="0"/>
              <w:rPr>
                <w:sz w:val="6"/>
                <w:szCs w:val="6"/>
                <w:color w:val="auto"/>
              </w:rPr>
            </w:pPr>
          </w:p>
        </w:tc>
        <w:tc>
          <w:tcPr>
            <w:tcW w:w="220" w:type="dxa"/>
            <w:vAlign w:val="bottom"/>
          </w:tcPr>
          <w:p>
            <w:pPr>
              <w:spacing w:after="0"/>
              <w:rPr>
                <w:sz w:val="6"/>
                <w:szCs w:val="6"/>
                <w:color w:val="auto"/>
              </w:rPr>
            </w:pPr>
          </w:p>
        </w:tc>
        <w:tc>
          <w:tcPr>
            <w:tcW w:w="7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35"/>
        </w:trPr>
        <w:tc>
          <w:tcPr>
            <w:tcW w:w="2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100" w:type="dxa"/>
            <w:vAlign w:val="bottom"/>
            <w:gridSpan w:val="2"/>
            <w:vMerge w:val="restart"/>
          </w:tcPr>
          <w:p>
            <w:pPr>
              <w:ind w:left="360"/>
              <w:spacing w:after="0"/>
              <w:rPr>
                <w:sz w:val="20"/>
                <w:szCs w:val="20"/>
                <w:color w:val="auto"/>
              </w:rPr>
            </w:pPr>
            <w:r>
              <w:rPr>
                <w:rFonts w:ascii="Arial" w:cs="Arial" w:eastAsia="Arial" w:hAnsi="Arial"/>
                <w:sz w:val="14"/>
                <w:szCs w:val="14"/>
                <w:color w:val="auto"/>
              </w:rPr>
              <w:t>Shares</w:t>
            </w:r>
          </w:p>
        </w:tc>
        <w:tc>
          <w:tcPr>
            <w:tcW w:w="100" w:type="dxa"/>
            <w:vAlign w:val="bottom"/>
            <w:vMerge w:val="restart"/>
          </w:tcPr>
          <w:p>
            <w:pPr>
              <w:spacing w:after="0"/>
              <w:rPr>
                <w:sz w:val="11"/>
                <w:szCs w:val="11"/>
                <w:color w:val="auto"/>
              </w:rPr>
            </w:pPr>
          </w:p>
        </w:tc>
        <w:tc>
          <w:tcPr>
            <w:tcW w:w="20" w:type="dxa"/>
            <w:vAlign w:val="bottom"/>
          </w:tcPr>
          <w:p>
            <w:pPr>
              <w:spacing w:after="0"/>
              <w:rPr>
                <w:sz w:val="11"/>
                <w:szCs w:val="11"/>
                <w:color w:val="auto"/>
              </w:rPr>
            </w:pPr>
          </w:p>
        </w:tc>
        <w:tc>
          <w:tcPr>
            <w:tcW w:w="700" w:type="dxa"/>
            <w:vAlign w:val="bottom"/>
            <w:gridSpan w:val="2"/>
            <w:vMerge w:val="restart"/>
          </w:tcPr>
          <w:p>
            <w:pPr>
              <w:jc w:val="right"/>
              <w:ind w:right="38"/>
              <w:spacing w:after="0"/>
              <w:rPr>
                <w:sz w:val="20"/>
                <w:szCs w:val="20"/>
                <w:color w:val="auto"/>
              </w:rPr>
            </w:pPr>
            <w:r>
              <w:rPr>
                <w:rFonts w:ascii="Arial" w:cs="Arial" w:eastAsia="Arial" w:hAnsi="Arial"/>
                <w:sz w:val="14"/>
                <w:szCs w:val="14"/>
                <w:color w:val="auto"/>
              </w:rPr>
              <w:t>Amount</w:t>
            </w:r>
          </w:p>
        </w:tc>
        <w:tc>
          <w:tcPr>
            <w:tcW w:w="100" w:type="dxa"/>
            <w:vAlign w:val="bottom"/>
            <w:vMerge w:val="restart"/>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00" w:type="dxa"/>
            <w:vAlign w:val="bottom"/>
            <w:gridSpan w:val="2"/>
          </w:tcPr>
          <w:p>
            <w:pPr>
              <w:jc w:val="center"/>
              <w:ind w:right="220"/>
              <w:spacing w:after="0" w:line="135" w:lineRule="exact"/>
              <w:rPr>
                <w:sz w:val="20"/>
                <w:szCs w:val="20"/>
                <w:color w:val="auto"/>
              </w:rPr>
            </w:pPr>
            <w:r>
              <w:rPr>
                <w:rFonts w:ascii="Arial" w:cs="Arial" w:eastAsia="Arial" w:hAnsi="Arial"/>
                <w:sz w:val="14"/>
                <w:szCs w:val="14"/>
                <w:color w:val="auto"/>
                <w:w w:val="96"/>
              </w:rPr>
              <w:t>paid in</w:t>
            </w: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20" w:type="dxa"/>
            <w:vAlign w:val="bottom"/>
            <w:gridSpan w:val="2"/>
            <w:vMerge w:val="continue"/>
          </w:tcPr>
          <w:p>
            <w:pPr>
              <w:spacing w:after="0"/>
              <w:rPr>
                <w:sz w:val="11"/>
                <w:szCs w:val="11"/>
                <w:color w:val="auto"/>
              </w:rPr>
            </w:pPr>
          </w:p>
        </w:tc>
        <w:tc>
          <w:tcPr>
            <w:tcW w:w="140" w:type="dxa"/>
            <w:vAlign w:val="bottom"/>
          </w:tcPr>
          <w:p>
            <w:pPr>
              <w:spacing w:after="0"/>
              <w:rPr>
                <w:sz w:val="11"/>
                <w:szCs w:val="11"/>
                <w:color w:val="auto"/>
              </w:rPr>
            </w:pPr>
          </w:p>
        </w:tc>
        <w:tc>
          <w:tcPr>
            <w:tcW w:w="1160" w:type="dxa"/>
            <w:vAlign w:val="bottom"/>
            <w:gridSpan w:val="2"/>
          </w:tcPr>
          <w:p>
            <w:pPr>
              <w:jc w:val="center"/>
              <w:ind w:right="240"/>
              <w:spacing w:after="0" w:line="135" w:lineRule="exact"/>
              <w:rPr>
                <w:sz w:val="20"/>
                <w:szCs w:val="20"/>
                <w:color w:val="auto"/>
              </w:rPr>
            </w:pPr>
            <w:r>
              <w:rPr>
                <w:rFonts w:ascii="Arial" w:cs="Arial" w:eastAsia="Arial" w:hAnsi="Arial"/>
                <w:sz w:val="14"/>
                <w:szCs w:val="14"/>
                <w:color w:val="auto"/>
                <w:w w:val="92"/>
              </w:rPr>
              <w:t>comprehensive</w:t>
            </w:r>
          </w:p>
        </w:tc>
        <w:tc>
          <w:tcPr>
            <w:tcW w:w="960" w:type="dxa"/>
            <w:vAlign w:val="bottom"/>
            <w:vMerge w:val="restart"/>
          </w:tcPr>
          <w:p>
            <w:pPr>
              <w:ind w:left="300"/>
              <w:spacing w:after="0"/>
              <w:rPr>
                <w:sz w:val="20"/>
                <w:szCs w:val="20"/>
                <w:color w:val="auto"/>
              </w:rPr>
            </w:pPr>
            <w:r>
              <w:rPr>
                <w:rFonts w:ascii="Arial" w:cs="Arial" w:eastAsia="Arial" w:hAnsi="Arial"/>
                <w:sz w:val="14"/>
                <w:szCs w:val="14"/>
                <w:color w:val="auto"/>
              </w:rPr>
              <w:t>Shares</w:t>
            </w:r>
          </w:p>
        </w:tc>
        <w:tc>
          <w:tcPr>
            <w:tcW w:w="120" w:type="dxa"/>
            <w:vAlign w:val="bottom"/>
            <w:vMerge w:val="restart"/>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vMerge w:val="restart"/>
          </w:tcPr>
          <w:p>
            <w:pPr>
              <w:ind w:left="20"/>
              <w:spacing w:after="0"/>
              <w:rPr>
                <w:sz w:val="20"/>
                <w:szCs w:val="20"/>
                <w:color w:val="auto"/>
              </w:rPr>
            </w:pPr>
            <w:r>
              <w:rPr>
                <w:rFonts w:ascii="Arial" w:cs="Arial" w:eastAsia="Arial" w:hAnsi="Arial"/>
                <w:sz w:val="14"/>
                <w:szCs w:val="14"/>
                <w:color w:val="auto"/>
              </w:rPr>
              <w:t>Amount</w:t>
            </w:r>
          </w:p>
        </w:tc>
        <w:tc>
          <w:tcPr>
            <w:tcW w:w="100" w:type="dxa"/>
            <w:vAlign w:val="bottom"/>
            <w:vMerge w:val="restart"/>
          </w:tcPr>
          <w:p>
            <w:pPr>
              <w:spacing w:after="0"/>
              <w:rPr>
                <w:sz w:val="11"/>
                <w:szCs w:val="11"/>
                <w:color w:val="auto"/>
              </w:rPr>
            </w:pPr>
          </w:p>
        </w:tc>
        <w:tc>
          <w:tcPr>
            <w:tcW w:w="220" w:type="dxa"/>
            <w:vAlign w:val="bottom"/>
          </w:tcPr>
          <w:p>
            <w:pPr>
              <w:spacing w:after="0"/>
              <w:rPr>
                <w:sz w:val="11"/>
                <w:szCs w:val="11"/>
                <w:color w:val="auto"/>
              </w:rPr>
            </w:pPr>
          </w:p>
        </w:tc>
        <w:tc>
          <w:tcPr>
            <w:tcW w:w="780" w:type="dxa"/>
            <w:vAlign w:val="bottom"/>
            <w:vMerge w:val="restart"/>
          </w:tcPr>
          <w:p>
            <w:pPr>
              <w:jc w:val="right"/>
              <w:ind w:right="278"/>
              <w:spacing w:after="0"/>
              <w:rPr>
                <w:sz w:val="20"/>
                <w:szCs w:val="20"/>
                <w:color w:val="auto"/>
              </w:rPr>
            </w:pPr>
            <w:r>
              <w:rPr>
                <w:rFonts w:ascii="Arial" w:cs="Arial" w:eastAsia="Arial" w:hAnsi="Arial"/>
                <w:sz w:val="14"/>
                <w:szCs w:val="14"/>
                <w:color w:val="auto"/>
              </w:rPr>
              <w:t>Total</w:t>
            </w:r>
          </w:p>
        </w:tc>
        <w:tc>
          <w:tcPr>
            <w:tcW w:w="0" w:type="dxa"/>
            <w:vAlign w:val="bottom"/>
          </w:tcPr>
          <w:p>
            <w:pPr>
              <w:spacing w:after="0"/>
              <w:rPr>
                <w:sz w:val="1"/>
                <w:szCs w:val="1"/>
                <w:color w:val="auto"/>
              </w:rPr>
            </w:pPr>
          </w:p>
        </w:tc>
      </w:tr>
      <w:tr>
        <w:trPr>
          <w:trHeight w:val="186"/>
        </w:trPr>
        <w:tc>
          <w:tcPr>
            <w:tcW w:w="2720" w:type="dxa"/>
            <w:vAlign w:val="bottom"/>
            <w:tcBorders>
              <w:bottom w:val="single" w:sz="8" w:color="CCEEFF"/>
            </w:tcBorders>
          </w:tcPr>
          <w:p>
            <w:pPr>
              <w:spacing w:after="0"/>
              <w:rPr>
                <w:sz w:val="16"/>
                <w:szCs w:val="16"/>
                <w:color w:val="auto"/>
              </w:rPr>
            </w:pPr>
          </w:p>
        </w:tc>
        <w:tc>
          <w:tcPr>
            <w:tcW w:w="20" w:type="dxa"/>
            <w:vAlign w:val="bottom"/>
            <w:tcBorders>
              <w:bottom w:val="single" w:sz="8" w:color="CCEEFF"/>
            </w:tcBorders>
          </w:tcPr>
          <w:p>
            <w:pPr>
              <w:spacing w:after="0"/>
              <w:rPr>
                <w:sz w:val="16"/>
                <w:szCs w:val="16"/>
                <w:color w:val="auto"/>
              </w:rPr>
            </w:pPr>
          </w:p>
        </w:tc>
        <w:tc>
          <w:tcPr>
            <w:tcW w:w="1100" w:type="dxa"/>
            <w:vAlign w:val="bottom"/>
            <w:tcBorders>
              <w:bottom w:val="single" w:sz="8" w:color="auto"/>
            </w:tcBorders>
            <w:gridSpan w:val="2"/>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20" w:type="dxa"/>
            <w:vAlign w:val="bottom"/>
            <w:tcBorders>
              <w:bottom w:val="single" w:sz="8" w:color="CCEEFF"/>
            </w:tcBorders>
          </w:tcPr>
          <w:p>
            <w:pPr>
              <w:spacing w:after="0"/>
              <w:rPr>
                <w:sz w:val="16"/>
                <w:szCs w:val="16"/>
                <w:color w:val="auto"/>
              </w:rPr>
            </w:pPr>
          </w:p>
        </w:tc>
        <w:tc>
          <w:tcPr>
            <w:tcW w:w="700" w:type="dxa"/>
            <w:vAlign w:val="bottom"/>
            <w:tcBorders>
              <w:bottom w:val="single" w:sz="8" w:color="auto"/>
            </w:tcBorders>
            <w:gridSpan w:val="2"/>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2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center"/>
              <w:ind w:right="41"/>
              <w:spacing w:after="0"/>
              <w:rPr>
                <w:sz w:val="20"/>
                <w:szCs w:val="20"/>
                <w:color w:val="auto"/>
              </w:rPr>
            </w:pPr>
            <w:r>
              <w:rPr>
                <w:rFonts w:ascii="Arial" w:cs="Arial" w:eastAsia="Arial" w:hAnsi="Arial"/>
                <w:sz w:val="14"/>
                <w:szCs w:val="14"/>
                <w:color w:val="auto"/>
                <w:w w:val="98"/>
              </w:rPr>
              <w:t>capital</w:t>
            </w:r>
          </w:p>
        </w:tc>
        <w:tc>
          <w:tcPr>
            <w:tcW w:w="100" w:type="dxa"/>
            <w:vAlign w:val="bottom"/>
            <w:tcBorders>
              <w:bottom w:val="single" w:sz="8" w:color="CCEEFF"/>
            </w:tcBorders>
          </w:tcPr>
          <w:p>
            <w:pPr>
              <w:spacing w:after="0"/>
              <w:rPr>
                <w:sz w:val="16"/>
                <w:szCs w:val="16"/>
                <w:color w:val="auto"/>
              </w:rPr>
            </w:pPr>
          </w:p>
        </w:tc>
        <w:tc>
          <w:tcPr>
            <w:tcW w:w="2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center"/>
              <w:ind w:right="60"/>
              <w:spacing w:after="0"/>
              <w:rPr>
                <w:sz w:val="20"/>
                <w:szCs w:val="20"/>
                <w:color w:val="auto"/>
              </w:rPr>
            </w:pPr>
            <w:r>
              <w:rPr>
                <w:rFonts w:ascii="Arial" w:cs="Arial" w:eastAsia="Arial" w:hAnsi="Arial"/>
                <w:sz w:val="14"/>
                <w:szCs w:val="14"/>
                <w:color w:val="auto"/>
                <w:w w:val="93"/>
              </w:rPr>
              <w:t>earnings</w:t>
            </w: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center"/>
              <w:ind w:right="62"/>
              <w:spacing w:after="0"/>
              <w:rPr>
                <w:sz w:val="20"/>
                <w:szCs w:val="20"/>
                <w:color w:val="auto"/>
              </w:rPr>
            </w:pPr>
            <w:r>
              <w:rPr>
                <w:rFonts w:ascii="Arial" w:cs="Arial" w:eastAsia="Arial" w:hAnsi="Arial"/>
                <w:sz w:val="14"/>
                <w:szCs w:val="14"/>
                <w:color w:val="auto"/>
                <w:w w:val="88"/>
              </w:rPr>
              <w:t>loss</w:t>
            </w:r>
          </w:p>
        </w:tc>
        <w:tc>
          <w:tcPr>
            <w:tcW w:w="120" w:type="dxa"/>
            <w:vAlign w:val="bottom"/>
            <w:tcBorders>
              <w:bottom w:val="single" w:sz="8" w:color="CCEEFF"/>
            </w:tcBorders>
          </w:tcPr>
          <w:p>
            <w:pPr>
              <w:spacing w:after="0"/>
              <w:rPr>
                <w:sz w:val="16"/>
                <w:szCs w:val="16"/>
                <w:color w:val="auto"/>
              </w:rPr>
            </w:pPr>
          </w:p>
        </w:tc>
        <w:tc>
          <w:tcPr>
            <w:tcW w:w="96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3"/>
        </w:trPr>
        <w:tc>
          <w:tcPr>
            <w:tcW w:w="272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Balance at May 31, 2019</w:t>
            </w:r>
          </w:p>
        </w:tc>
        <w:tc>
          <w:tcPr>
            <w:tcW w:w="11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37,984,382</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372</w:t>
            </w:r>
          </w:p>
        </w:tc>
        <w:tc>
          <w:tcPr>
            <w:tcW w:w="100" w:type="dxa"/>
            <w:vAlign w:val="bottom"/>
            <w:shd w:val="clear" w:color="auto" w:fill="CCEEFF"/>
          </w:tcPr>
          <w:p>
            <w:pPr>
              <w:spacing w:after="0"/>
              <w:rPr>
                <w:sz w:val="18"/>
                <w:szCs w:val="18"/>
                <w:color w:val="auto"/>
              </w:rPr>
            </w:pPr>
          </w:p>
        </w:tc>
        <w:tc>
          <w:tcPr>
            <w:tcW w:w="14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w w:val="8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555,040</w:t>
            </w:r>
          </w:p>
        </w:tc>
        <w:tc>
          <w:tcPr>
            <w:tcW w:w="100" w:type="dxa"/>
            <w:vAlign w:val="bottom"/>
            <w:shd w:val="clear" w:color="auto" w:fill="CCEEFF"/>
          </w:tcPr>
          <w:p>
            <w:pPr>
              <w:spacing w:after="0"/>
              <w:rPr>
                <w:sz w:val="18"/>
                <w:szCs w:val="18"/>
                <w:color w:val="auto"/>
              </w:rPr>
            </w:pPr>
          </w:p>
        </w:tc>
        <w:tc>
          <w:tcPr>
            <w:tcW w:w="14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w w:val="8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66,469</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ind w:left="20"/>
              <w:spacing w:after="0"/>
              <w:rPr>
                <w:sz w:val="20"/>
                <w:szCs w:val="20"/>
                <w:color w:val="auto"/>
              </w:rPr>
            </w:pPr>
            <w:r>
              <w:rPr>
                <w:rFonts w:ascii="Arial" w:cs="Arial" w:eastAsia="Arial" w:hAnsi="Arial"/>
                <w:sz w:val="16"/>
                <w:szCs w:val="16"/>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(1,352)</w:t>
            </w: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(370,000)</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ind w:left="20"/>
              <w:spacing w:after="0"/>
              <w:rPr>
                <w:sz w:val="20"/>
                <w:szCs w:val="20"/>
                <w:color w:val="auto"/>
              </w:rPr>
            </w:pPr>
            <w:r>
              <w:rPr>
                <w:rFonts w:ascii="Arial" w:cs="Arial" w:eastAsia="Arial" w:hAnsi="Arial"/>
                <w:sz w:val="16"/>
                <w:szCs w:val="16"/>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(5,714)</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ind w:left="20"/>
              <w:spacing w:after="0"/>
              <w:rPr>
                <w:sz w:val="20"/>
                <w:szCs w:val="20"/>
                <w:color w:val="auto"/>
              </w:rPr>
            </w:pPr>
            <w:r>
              <w:rPr>
                <w:rFonts w:ascii="Arial" w:cs="Arial" w:eastAsia="Arial" w:hAnsi="Arial"/>
                <w:sz w:val="16"/>
                <w:szCs w:val="16"/>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614,815</w:t>
            </w:r>
          </w:p>
        </w:tc>
        <w:tc>
          <w:tcPr>
            <w:tcW w:w="0" w:type="dxa"/>
            <w:vAlign w:val="bottom"/>
          </w:tcPr>
          <w:p>
            <w:pPr>
              <w:spacing w:after="0"/>
              <w:rPr>
                <w:sz w:val="1"/>
                <w:szCs w:val="1"/>
                <w:color w:val="auto"/>
              </w:rPr>
            </w:pPr>
          </w:p>
        </w:tc>
      </w:tr>
      <w:tr>
        <w:trPr>
          <w:trHeight w:val="213"/>
        </w:trPr>
        <w:tc>
          <w:tcPr>
            <w:tcW w:w="2720" w:type="dxa"/>
            <w:vAlign w:val="bottom"/>
          </w:tcPr>
          <w:p>
            <w:pPr>
              <w:ind w:left="20"/>
              <w:spacing w:after="0"/>
              <w:rPr>
                <w:sz w:val="20"/>
                <w:szCs w:val="20"/>
                <w:color w:val="auto"/>
              </w:rPr>
            </w:pPr>
            <w:r>
              <w:rPr>
                <w:rFonts w:ascii="Arial" w:cs="Arial" w:eastAsia="Arial" w:hAnsi="Arial"/>
                <w:sz w:val="16"/>
                <w:szCs w:val="16"/>
                <w:color w:val="auto"/>
              </w:rPr>
              <w:t>Net loss</w:t>
            </w:r>
          </w:p>
        </w:tc>
        <w:tc>
          <w:tcPr>
            <w:tcW w:w="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(1,275)</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(1,275)</w:t>
            </w:r>
          </w:p>
        </w:tc>
        <w:tc>
          <w:tcPr>
            <w:tcW w:w="0" w:type="dxa"/>
            <w:vAlign w:val="bottom"/>
          </w:tcPr>
          <w:p>
            <w:pPr>
              <w:spacing w:after="0"/>
              <w:rPr>
                <w:sz w:val="1"/>
                <w:szCs w:val="1"/>
                <w:color w:val="auto"/>
              </w:rPr>
            </w:pPr>
          </w:p>
        </w:tc>
      </w:tr>
      <w:tr>
        <w:trPr>
          <w:trHeight w:val="219"/>
        </w:trPr>
        <w:tc>
          <w:tcPr>
            <w:tcW w:w="2720" w:type="dxa"/>
            <w:vAlign w:val="bottom"/>
            <w:shd w:val="clear" w:color="auto" w:fill="CCEEFF"/>
          </w:tcPr>
          <w:p>
            <w:pPr>
              <w:ind w:left="20"/>
              <w:spacing w:after="0"/>
              <w:rPr>
                <w:sz w:val="20"/>
                <w:szCs w:val="20"/>
                <w:color w:val="auto"/>
              </w:rPr>
            </w:pPr>
            <w:r>
              <w:rPr>
                <w:rFonts w:ascii="Arial" w:cs="Arial" w:eastAsia="Arial" w:hAnsi="Arial"/>
                <w:sz w:val="16"/>
                <w:szCs w:val="16"/>
                <w:color w:val="auto"/>
              </w:rPr>
              <w:t>Exercise of stock options</w:t>
            </w:r>
          </w:p>
        </w:tc>
        <w:tc>
          <w:tcPr>
            <w:tcW w:w="11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48,136</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530</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531</w:t>
            </w:r>
          </w:p>
        </w:tc>
        <w:tc>
          <w:tcPr>
            <w:tcW w:w="0" w:type="dxa"/>
            <w:vAlign w:val="bottom"/>
          </w:tcPr>
          <w:p>
            <w:pPr>
              <w:spacing w:after="0"/>
              <w:rPr>
                <w:sz w:val="1"/>
                <w:szCs w:val="1"/>
                <w:color w:val="auto"/>
              </w:rPr>
            </w:pPr>
          </w:p>
        </w:tc>
      </w:tr>
      <w:tr>
        <w:trPr>
          <w:trHeight w:val="166"/>
        </w:trPr>
        <w:tc>
          <w:tcPr>
            <w:tcW w:w="2720" w:type="dxa"/>
            <w:vAlign w:val="bottom"/>
          </w:tcPr>
          <w:p>
            <w:pPr>
              <w:ind w:left="20"/>
              <w:spacing w:after="0" w:line="166" w:lineRule="exact"/>
              <w:rPr>
                <w:sz w:val="20"/>
                <w:szCs w:val="20"/>
                <w:color w:val="auto"/>
              </w:rPr>
            </w:pPr>
            <w:r>
              <w:rPr>
                <w:rFonts w:ascii="Arial" w:cs="Arial" w:eastAsia="Arial" w:hAnsi="Arial"/>
                <w:sz w:val="16"/>
                <w:szCs w:val="16"/>
                <w:color w:val="auto"/>
                <w:w w:val="93"/>
              </w:rPr>
              <w:t>Issuance/Cancellation of restricted stock</w:t>
            </w:r>
          </w:p>
        </w:tc>
        <w:tc>
          <w:tcPr>
            <w:tcW w:w="1100" w:type="dxa"/>
            <w:vAlign w:val="bottom"/>
            <w:gridSpan w:val="2"/>
            <w:vMerge w:val="restart"/>
          </w:tcPr>
          <w:p>
            <w:pPr>
              <w:jc w:val="right"/>
              <w:spacing w:after="0"/>
              <w:rPr>
                <w:sz w:val="20"/>
                <w:szCs w:val="20"/>
                <w:color w:val="auto"/>
              </w:rPr>
            </w:pPr>
            <w:r>
              <w:rPr>
                <w:rFonts w:ascii="Arial" w:cs="Arial" w:eastAsia="Arial" w:hAnsi="Arial"/>
                <w:sz w:val="16"/>
                <w:szCs w:val="16"/>
                <w:color w:val="auto"/>
              </w:rPr>
              <w:t>287,087</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vMerge w:val="restart"/>
          </w:tcPr>
          <w:p>
            <w:pPr>
              <w:jc w:val="right"/>
              <w:spacing w:after="0"/>
              <w:rPr>
                <w:sz w:val="20"/>
                <w:szCs w:val="20"/>
                <w:color w:val="auto"/>
              </w:rPr>
            </w:pPr>
            <w:r>
              <w:rPr>
                <w:rFonts w:ascii="Arial" w:cs="Arial" w:eastAsia="Arial" w:hAnsi="Arial"/>
                <w:sz w:val="16"/>
                <w:szCs w:val="16"/>
                <w:color w:val="auto"/>
              </w:rPr>
              <w:t>(2,459)</w:t>
            </w: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vMerge w:val="restart"/>
          </w:tcPr>
          <w:p>
            <w:pPr>
              <w:jc w:val="right"/>
              <w:spacing w:after="0"/>
              <w:rPr>
                <w:sz w:val="20"/>
                <w:szCs w:val="20"/>
                <w:color w:val="auto"/>
              </w:rPr>
            </w:pPr>
            <w:r>
              <w:rPr>
                <w:rFonts w:ascii="Arial" w:cs="Arial" w:eastAsia="Arial" w:hAnsi="Arial"/>
                <w:sz w:val="16"/>
                <w:szCs w:val="16"/>
                <w:color w:val="auto"/>
              </w:rPr>
              <w:t>(2,459)</w:t>
            </w:r>
          </w:p>
        </w:tc>
        <w:tc>
          <w:tcPr>
            <w:tcW w:w="0" w:type="dxa"/>
            <w:vAlign w:val="bottom"/>
          </w:tcPr>
          <w:p>
            <w:pPr>
              <w:spacing w:after="0"/>
              <w:rPr>
                <w:sz w:val="1"/>
                <w:szCs w:val="1"/>
                <w:color w:val="auto"/>
              </w:rPr>
            </w:pPr>
          </w:p>
        </w:tc>
      </w:tr>
      <w:tr>
        <w:trPr>
          <w:trHeight w:val="209"/>
        </w:trPr>
        <w:tc>
          <w:tcPr>
            <w:tcW w:w="2720" w:type="dxa"/>
            <w:vAlign w:val="bottom"/>
          </w:tcPr>
          <w:p>
            <w:pPr>
              <w:ind w:left="20"/>
              <w:spacing w:after="0"/>
              <w:rPr>
                <w:sz w:val="20"/>
                <w:szCs w:val="20"/>
                <w:color w:val="auto"/>
              </w:rPr>
            </w:pPr>
            <w:r>
              <w:rPr>
                <w:rFonts w:ascii="Arial" w:cs="Arial" w:eastAsia="Arial" w:hAnsi="Arial"/>
                <w:sz w:val="16"/>
                <w:szCs w:val="16"/>
                <w:color w:val="auto"/>
              </w:rPr>
              <w:t>units</w:t>
            </w:r>
          </w:p>
        </w:tc>
        <w:tc>
          <w:tcPr>
            <w:tcW w:w="1100" w:type="dxa"/>
            <w:vAlign w:val="bottom"/>
            <w:gridSpan w:val="2"/>
            <w:vMerge w:val="continue"/>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720" w:type="dxa"/>
            <w:vAlign w:val="bottom"/>
            <w:shd w:val="clear" w:color="auto" w:fill="CCEEFF"/>
          </w:tcPr>
          <w:p>
            <w:pPr>
              <w:ind w:left="20"/>
              <w:spacing w:after="0"/>
              <w:rPr>
                <w:sz w:val="20"/>
                <w:szCs w:val="20"/>
                <w:color w:val="auto"/>
              </w:rPr>
            </w:pPr>
            <w:r>
              <w:rPr>
                <w:rFonts w:ascii="Arial" w:cs="Arial" w:eastAsia="Arial" w:hAnsi="Arial"/>
                <w:sz w:val="16"/>
                <w:szCs w:val="16"/>
                <w:color w:val="auto"/>
                <w:w w:val="91"/>
              </w:rPr>
              <w:t>Purchases of common stock under ESPP</w:t>
            </w:r>
          </w:p>
        </w:tc>
        <w:tc>
          <w:tcPr>
            <w:tcW w:w="11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40,270</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628</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628</w:t>
            </w:r>
          </w:p>
        </w:tc>
        <w:tc>
          <w:tcPr>
            <w:tcW w:w="0" w:type="dxa"/>
            <w:vAlign w:val="bottom"/>
          </w:tcPr>
          <w:p>
            <w:pPr>
              <w:spacing w:after="0"/>
              <w:rPr>
                <w:sz w:val="1"/>
                <w:szCs w:val="1"/>
                <w:color w:val="auto"/>
              </w:rPr>
            </w:pPr>
          </w:p>
        </w:tc>
      </w:tr>
      <w:tr>
        <w:trPr>
          <w:trHeight w:val="213"/>
        </w:trPr>
        <w:tc>
          <w:tcPr>
            <w:tcW w:w="2720" w:type="dxa"/>
            <w:vAlign w:val="bottom"/>
          </w:tcPr>
          <w:p>
            <w:pPr>
              <w:ind w:left="20"/>
              <w:spacing w:after="0"/>
              <w:rPr>
                <w:sz w:val="20"/>
                <w:szCs w:val="20"/>
                <w:color w:val="auto"/>
              </w:rPr>
            </w:pPr>
            <w:r>
              <w:rPr>
                <w:rFonts w:ascii="Arial" w:cs="Arial" w:eastAsia="Arial" w:hAnsi="Arial"/>
                <w:sz w:val="16"/>
                <w:szCs w:val="16"/>
                <w:color w:val="auto"/>
              </w:rPr>
              <w:t>Stock-based compensation</w:t>
            </w:r>
          </w:p>
        </w:tc>
        <w:tc>
          <w:tcPr>
            <w:tcW w:w="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1,984</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1,984</w:t>
            </w:r>
          </w:p>
        </w:tc>
        <w:tc>
          <w:tcPr>
            <w:tcW w:w="0" w:type="dxa"/>
            <w:vAlign w:val="bottom"/>
          </w:tcPr>
          <w:p>
            <w:pPr>
              <w:spacing w:after="0"/>
              <w:rPr>
                <w:sz w:val="1"/>
                <w:szCs w:val="1"/>
                <w:color w:val="auto"/>
              </w:rPr>
            </w:pPr>
          </w:p>
        </w:tc>
      </w:tr>
      <w:tr>
        <w:trPr>
          <w:trHeight w:val="219"/>
        </w:trPr>
        <w:tc>
          <w:tcPr>
            <w:tcW w:w="2720" w:type="dxa"/>
            <w:vAlign w:val="bottom"/>
            <w:shd w:val="clear" w:color="auto" w:fill="CCEEFF"/>
          </w:tcPr>
          <w:p>
            <w:pPr>
              <w:ind w:left="20"/>
              <w:spacing w:after="0"/>
              <w:rPr>
                <w:sz w:val="20"/>
                <w:szCs w:val="20"/>
                <w:color w:val="auto"/>
              </w:rPr>
            </w:pPr>
            <w:r>
              <w:rPr>
                <w:rFonts w:ascii="Arial" w:cs="Arial" w:eastAsia="Arial" w:hAnsi="Arial"/>
                <w:sz w:val="16"/>
                <w:szCs w:val="16"/>
                <w:color w:val="auto"/>
              </w:rPr>
              <w:t>Other comprehensive loss, net of tax</w:t>
            </w:r>
          </w:p>
        </w:tc>
        <w:tc>
          <w:tcPr>
            <w:tcW w:w="20" w:type="dxa"/>
            <w:vAlign w:val="bottom"/>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(151)</w:t>
            </w:r>
          </w:p>
        </w:tc>
        <w:tc>
          <w:tcPr>
            <w:tcW w:w="120" w:type="dxa"/>
            <w:vAlign w:val="bottom"/>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66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(151)</w:t>
            </w:r>
          </w:p>
        </w:tc>
        <w:tc>
          <w:tcPr>
            <w:tcW w:w="0" w:type="dxa"/>
            <w:vAlign w:val="bottom"/>
          </w:tcPr>
          <w:p>
            <w:pPr>
              <w:spacing w:after="0"/>
              <w:rPr>
                <w:sz w:val="1"/>
                <w:szCs w:val="1"/>
                <w:color w:val="auto"/>
              </w:rPr>
            </w:pPr>
          </w:p>
        </w:tc>
      </w:tr>
      <w:tr>
        <w:trPr>
          <w:trHeight w:val="207"/>
        </w:trPr>
        <w:tc>
          <w:tcPr>
            <w:tcW w:w="2720" w:type="dxa"/>
            <w:vAlign w:val="bottom"/>
          </w:tcPr>
          <w:p>
            <w:pPr>
              <w:ind w:left="20"/>
              <w:spacing w:after="0"/>
              <w:rPr>
                <w:sz w:val="20"/>
                <w:szCs w:val="20"/>
                <w:color w:val="auto"/>
              </w:rPr>
            </w:pPr>
            <w:r>
              <w:rPr>
                <w:rFonts w:ascii="Arial" w:cs="Arial" w:eastAsia="Arial" w:hAnsi="Arial"/>
                <w:sz w:val="16"/>
                <w:szCs w:val="16"/>
                <w:b w:val="1"/>
                <w:bCs w:val="1"/>
                <w:color w:val="auto"/>
              </w:rPr>
              <w:t>Balance at August 31, 2019</w:t>
            </w:r>
          </w:p>
        </w:tc>
        <w:tc>
          <w:tcPr>
            <w:tcW w:w="1100" w:type="dxa"/>
            <w:vAlign w:val="bottom"/>
            <w:gridSpan w:val="2"/>
          </w:tcPr>
          <w:p>
            <w:pPr>
              <w:jc w:val="right"/>
              <w:spacing w:after="0"/>
              <w:rPr>
                <w:sz w:val="20"/>
                <w:szCs w:val="20"/>
                <w:color w:val="auto"/>
              </w:rPr>
            </w:pPr>
            <w:r>
              <w:rPr>
                <w:rFonts w:ascii="Arial" w:cs="Arial" w:eastAsia="Arial" w:hAnsi="Arial"/>
                <w:sz w:val="16"/>
                <w:szCs w:val="16"/>
                <w:color w:val="auto"/>
              </w:rPr>
              <w:t>38,359,875</w:t>
            </w: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gridSpan w:val="2"/>
          </w:tcPr>
          <w:p>
            <w:pPr>
              <w:ind w:left="20"/>
              <w:spacing w:after="0"/>
              <w:rPr>
                <w:sz w:val="20"/>
                <w:szCs w:val="20"/>
                <w:color w:val="auto"/>
              </w:rPr>
            </w:pPr>
            <w:r>
              <w:rPr>
                <w:rFonts w:ascii="Arial" w:cs="Arial" w:eastAsia="Arial" w:hAnsi="Arial"/>
                <w:sz w:val="16"/>
                <w:szCs w:val="16"/>
                <w:color w:val="auto"/>
              </w:rPr>
              <w:t>$</w:t>
            </w:r>
          </w:p>
        </w:tc>
        <w:tc>
          <w:tcPr>
            <w:tcW w:w="420" w:type="dxa"/>
            <w:vAlign w:val="bottom"/>
          </w:tcPr>
          <w:p>
            <w:pPr>
              <w:jc w:val="right"/>
              <w:spacing w:after="0"/>
              <w:rPr>
                <w:sz w:val="20"/>
                <w:szCs w:val="20"/>
                <w:color w:val="auto"/>
              </w:rPr>
            </w:pPr>
            <w:r>
              <w:rPr>
                <w:rFonts w:ascii="Arial" w:cs="Arial" w:eastAsia="Arial" w:hAnsi="Arial"/>
                <w:sz w:val="16"/>
                <w:szCs w:val="16"/>
                <w:color w:val="auto"/>
              </w:rPr>
              <w:t>373</w:t>
            </w:r>
          </w:p>
        </w:tc>
        <w:tc>
          <w:tcPr>
            <w:tcW w:w="100" w:type="dxa"/>
            <w:vAlign w:val="bottom"/>
          </w:tcPr>
          <w:p>
            <w:pPr>
              <w:spacing w:after="0"/>
              <w:rPr>
                <w:sz w:val="17"/>
                <w:szCs w:val="17"/>
                <w:color w:val="auto"/>
              </w:rPr>
            </w:pPr>
          </w:p>
        </w:tc>
        <w:tc>
          <w:tcPr>
            <w:tcW w:w="140" w:type="dxa"/>
            <w:vAlign w:val="bottom"/>
            <w:gridSpan w:val="2"/>
          </w:tcPr>
          <w:p>
            <w:pPr>
              <w:ind w:left="40"/>
              <w:spacing w:after="0"/>
              <w:rPr>
                <w:sz w:val="20"/>
                <w:szCs w:val="20"/>
                <w:color w:val="auto"/>
              </w:rPr>
            </w:pPr>
            <w:r>
              <w:rPr>
                <w:rFonts w:ascii="Arial" w:cs="Arial" w:eastAsia="Arial" w:hAnsi="Arial"/>
                <w:sz w:val="16"/>
                <w:szCs w:val="16"/>
                <w:color w:val="auto"/>
                <w:w w:val="89"/>
              </w:rPr>
              <w:t>$</w:t>
            </w:r>
          </w:p>
        </w:tc>
        <w:tc>
          <w:tcPr>
            <w:tcW w:w="800" w:type="dxa"/>
            <w:vAlign w:val="bottom"/>
          </w:tcPr>
          <w:p>
            <w:pPr>
              <w:jc w:val="right"/>
              <w:spacing w:after="0"/>
              <w:rPr>
                <w:sz w:val="20"/>
                <w:szCs w:val="20"/>
                <w:color w:val="auto"/>
              </w:rPr>
            </w:pPr>
            <w:r>
              <w:rPr>
                <w:rFonts w:ascii="Arial" w:cs="Arial" w:eastAsia="Arial" w:hAnsi="Arial"/>
                <w:sz w:val="16"/>
                <w:szCs w:val="16"/>
                <w:color w:val="auto"/>
              </w:rPr>
              <w:t>555,723</w:t>
            </w:r>
          </w:p>
        </w:tc>
        <w:tc>
          <w:tcPr>
            <w:tcW w:w="100" w:type="dxa"/>
            <w:vAlign w:val="bottom"/>
          </w:tcPr>
          <w:p>
            <w:pPr>
              <w:spacing w:after="0"/>
              <w:rPr>
                <w:sz w:val="17"/>
                <w:szCs w:val="17"/>
                <w:color w:val="auto"/>
              </w:rPr>
            </w:pPr>
          </w:p>
        </w:tc>
        <w:tc>
          <w:tcPr>
            <w:tcW w:w="140" w:type="dxa"/>
            <w:vAlign w:val="bottom"/>
            <w:gridSpan w:val="2"/>
          </w:tcPr>
          <w:p>
            <w:pPr>
              <w:ind w:left="40"/>
              <w:spacing w:after="0"/>
              <w:rPr>
                <w:sz w:val="20"/>
                <w:szCs w:val="20"/>
                <w:color w:val="auto"/>
              </w:rPr>
            </w:pPr>
            <w:r>
              <w:rPr>
                <w:rFonts w:ascii="Arial" w:cs="Arial" w:eastAsia="Arial" w:hAnsi="Arial"/>
                <w:sz w:val="16"/>
                <w:szCs w:val="16"/>
                <w:color w:val="auto"/>
                <w:w w:val="89"/>
              </w:rPr>
              <w:t>$</w:t>
            </w:r>
          </w:p>
        </w:tc>
        <w:tc>
          <w:tcPr>
            <w:tcW w:w="920" w:type="dxa"/>
            <w:vAlign w:val="bottom"/>
          </w:tcPr>
          <w:p>
            <w:pPr>
              <w:jc w:val="right"/>
              <w:spacing w:after="0"/>
              <w:rPr>
                <w:sz w:val="20"/>
                <w:szCs w:val="20"/>
                <w:color w:val="auto"/>
              </w:rPr>
            </w:pPr>
            <w:r>
              <w:rPr>
                <w:rFonts w:ascii="Arial" w:cs="Arial" w:eastAsia="Arial" w:hAnsi="Arial"/>
                <w:sz w:val="16"/>
                <w:szCs w:val="16"/>
                <w:color w:val="auto"/>
              </w:rPr>
              <w:t>65,194</w:t>
            </w:r>
          </w:p>
        </w:tc>
        <w:tc>
          <w:tcPr>
            <w:tcW w:w="100" w:type="dxa"/>
            <w:vAlign w:val="bottom"/>
          </w:tcPr>
          <w:p>
            <w:pPr>
              <w:spacing w:after="0"/>
              <w:rPr>
                <w:sz w:val="17"/>
                <w:szCs w:val="17"/>
                <w:color w:val="auto"/>
              </w:rPr>
            </w:pPr>
          </w:p>
        </w:tc>
        <w:tc>
          <w:tcPr>
            <w:tcW w:w="140" w:type="dxa"/>
            <w:vAlign w:val="bottom"/>
          </w:tcPr>
          <w:p>
            <w:pPr>
              <w:ind w:left="20"/>
              <w:spacing w:after="0"/>
              <w:rPr>
                <w:sz w:val="20"/>
                <w:szCs w:val="20"/>
                <w:color w:val="auto"/>
              </w:rPr>
            </w:pPr>
            <w:r>
              <w:rPr>
                <w:rFonts w:ascii="Arial" w:cs="Arial" w:eastAsia="Arial" w:hAnsi="Arial"/>
                <w:sz w:val="16"/>
                <w:szCs w:val="16"/>
                <w:color w:val="auto"/>
              </w:rPr>
              <w:t>$</w:t>
            </w:r>
          </w:p>
        </w:tc>
        <w:tc>
          <w:tcPr>
            <w:tcW w:w="1040" w:type="dxa"/>
            <w:vAlign w:val="bottom"/>
          </w:tcPr>
          <w:p>
            <w:pPr>
              <w:jc w:val="right"/>
              <w:spacing w:after="0"/>
              <w:rPr>
                <w:sz w:val="20"/>
                <w:szCs w:val="20"/>
                <w:color w:val="auto"/>
              </w:rPr>
            </w:pPr>
            <w:r>
              <w:rPr>
                <w:rFonts w:ascii="Arial" w:cs="Arial" w:eastAsia="Arial" w:hAnsi="Arial"/>
                <w:sz w:val="16"/>
                <w:szCs w:val="16"/>
                <w:color w:val="auto"/>
              </w:rPr>
              <w:t>(1,503)</w:t>
            </w:r>
          </w:p>
        </w:tc>
        <w:tc>
          <w:tcPr>
            <w:tcW w:w="12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(370,000)</w:t>
            </w:r>
          </w:p>
        </w:tc>
        <w:tc>
          <w:tcPr>
            <w:tcW w:w="120" w:type="dxa"/>
            <w:vAlign w:val="bottom"/>
          </w:tcPr>
          <w:p>
            <w:pPr>
              <w:spacing w:after="0"/>
              <w:rPr>
                <w:sz w:val="17"/>
                <w:szCs w:val="17"/>
                <w:color w:val="auto"/>
              </w:rPr>
            </w:pPr>
          </w:p>
        </w:tc>
        <w:tc>
          <w:tcPr>
            <w:tcW w:w="140" w:type="dxa"/>
            <w:vAlign w:val="bottom"/>
          </w:tcPr>
          <w:p>
            <w:pPr>
              <w:ind w:left="20"/>
              <w:spacing w:after="0"/>
              <w:rPr>
                <w:sz w:val="20"/>
                <w:szCs w:val="20"/>
                <w:color w:val="auto"/>
              </w:rPr>
            </w:pPr>
            <w:r>
              <w:rPr>
                <w:rFonts w:ascii="Arial" w:cs="Arial" w:eastAsia="Arial" w:hAnsi="Arial"/>
                <w:sz w:val="16"/>
                <w:szCs w:val="16"/>
                <w:color w:val="auto"/>
              </w:rPr>
              <w:t>$</w:t>
            </w:r>
          </w:p>
        </w:tc>
        <w:tc>
          <w:tcPr>
            <w:tcW w:w="660" w:type="dxa"/>
            <w:vAlign w:val="bottom"/>
          </w:tcPr>
          <w:p>
            <w:pPr>
              <w:jc w:val="right"/>
              <w:spacing w:after="0"/>
              <w:rPr>
                <w:sz w:val="20"/>
                <w:szCs w:val="20"/>
                <w:color w:val="auto"/>
              </w:rPr>
            </w:pPr>
            <w:r>
              <w:rPr>
                <w:rFonts w:ascii="Arial" w:cs="Arial" w:eastAsia="Arial" w:hAnsi="Arial"/>
                <w:sz w:val="16"/>
                <w:szCs w:val="16"/>
                <w:color w:val="auto"/>
              </w:rPr>
              <w:t>(5,714)</w:t>
            </w:r>
          </w:p>
        </w:tc>
        <w:tc>
          <w:tcPr>
            <w:tcW w:w="100" w:type="dxa"/>
            <w:vAlign w:val="bottom"/>
          </w:tcPr>
          <w:p>
            <w:pPr>
              <w:spacing w:after="0"/>
              <w:rPr>
                <w:sz w:val="17"/>
                <w:szCs w:val="17"/>
                <w:color w:val="auto"/>
              </w:rPr>
            </w:pPr>
          </w:p>
        </w:tc>
        <w:tc>
          <w:tcPr>
            <w:tcW w:w="220" w:type="dxa"/>
            <w:vAlign w:val="bottom"/>
          </w:tcPr>
          <w:p>
            <w:pPr>
              <w:ind w:left="20"/>
              <w:spacing w:after="0"/>
              <w:rPr>
                <w:sz w:val="20"/>
                <w:szCs w:val="20"/>
                <w:color w:val="auto"/>
              </w:rPr>
            </w:pPr>
            <w:r>
              <w:rPr>
                <w:rFonts w:ascii="Arial" w:cs="Arial" w:eastAsia="Arial" w:hAnsi="Arial"/>
                <w:sz w:val="16"/>
                <w:szCs w:val="16"/>
                <w:color w:val="auto"/>
              </w:rPr>
              <w:t>$</w:t>
            </w:r>
          </w:p>
        </w:tc>
        <w:tc>
          <w:tcPr>
            <w:tcW w:w="780" w:type="dxa"/>
            <w:vAlign w:val="bottom"/>
          </w:tcPr>
          <w:p>
            <w:pPr>
              <w:jc w:val="right"/>
              <w:spacing w:after="0"/>
              <w:rPr>
                <w:sz w:val="20"/>
                <w:szCs w:val="20"/>
                <w:color w:val="auto"/>
              </w:rPr>
            </w:pPr>
            <w:r>
              <w:rPr>
                <w:rFonts w:ascii="Arial" w:cs="Arial" w:eastAsia="Arial" w:hAnsi="Arial"/>
                <w:sz w:val="16"/>
                <w:szCs w:val="16"/>
                <w:color w:val="auto"/>
              </w:rPr>
              <w:t>614,073</w:t>
            </w:r>
          </w:p>
        </w:tc>
        <w:tc>
          <w:tcPr>
            <w:tcW w:w="0" w:type="dxa"/>
            <w:vAlign w:val="bottom"/>
          </w:tcPr>
          <w:p>
            <w:pPr>
              <w:spacing w:after="0"/>
              <w:rPr>
                <w:sz w:val="1"/>
                <w:szCs w:val="1"/>
                <w:color w:val="auto"/>
              </w:rPr>
            </w:pPr>
          </w:p>
        </w:tc>
      </w:tr>
      <w:tr>
        <w:trPr>
          <w:trHeight w:val="233"/>
        </w:trPr>
        <w:tc>
          <w:tcPr>
            <w:tcW w:w="272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loss</w:t>
            </w:r>
          </w:p>
        </w:tc>
        <w:tc>
          <w:tcPr>
            <w:tcW w:w="20" w:type="dxa"/>
            <w:vAlign w:val="bottom"/>
            <w:shd w:val="clear" w:color="auto" w:fill="CCEEFF"/>
          </w:tcPr>
          <w:p>
            <w:pPr>
              <w:spacing w:after="0"/>
              <w:rPr>
                <w:sz w:val="20"/>
                <w:szCs w:val="20"/>
                <w:color w:val="auto"/>
              </w:rPr>
            </w:pPr>
          </w:p>
        </w:tc>
        <w:tc>
          <w:tcPr>
            <w:tcW w:w="108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4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8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(2,736)</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0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9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6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(2,736)</w:t>
            </w:r>
          </w:p>
        </w:tc>
        <w:tc>
          <w:tcPr>
            <w:tcW w:w="0" w:type="dxa"/>
            <w:vAlign w:val="bottom"/>
          </w:tcPr>
          <w:p>
            <w:pPr>
              <w:spacing w:after="0"/>
              <w:rPr>
                <w:sz w:val="1"/>
                <w:szCs w:val="1"/>
                <w:color w:val="auto"/>
              </w:rPr>
            </w:pPr>
          </w:p>
        </w:tc>
      </w:tr>
      <w:tr>
        <w:trPr>
          <w:trHeight w:val="166"/>
        </w:trPr>
        <w:tc>
          <w:tcPr>
            <w:tcW w:w="2720" w:type="dxa"/>
            <w:vAlign w:val="bottom"/>
          </w:tcPr>
          <w:p>
            <w:pPr>
              <w:ind w:left="20"/>
              <w:spacing w:after="0" w:line="166" w:lineRule="exact"/>
              <w:rPr>
                <w:sz w:val="20"/>
                <w:szCs w:val="20"/>
                <w:color w:val="auto"/>
              </w:rPr>
            </w:pPr>
            <w:r>
              <w:rPr>
                <w:rFonts w:ascii="Arial" w:cs="Arial" w:eastAsia="Arial" w:hAnsi="Arial"/>
                <w:sz w:val="16"/>
                <w:szCs w:val="16"/>
                <w:color w:val="auto"/>
                <w:w w:val="93"/>
              </w:rPr>
              <w:t>Issuance/Cancellation of restricted stock</w:t>
            </w:r>
          </w:p>
        </w:tc>
        <w:tc>
          <w:tcPr>
            <w:tcW w:w="1100" w:type="dxa"/>
            <w:vAlign w:val="bottom"/>
            <w:gridSpan w:val="2"/>
            <w:vMerge w:val="restart"/>
          </w:tcPr>
          <w:p>
            <w:pPr>
              <w:jc w:val="right"/>
              <w:spacing w:after="0"/>
              <w:rPr>
                <w:sz w:val="20"/>
                <w:szCs w:val="20"/>
                <w:color w:val="auto"/>
              </w:rPr>
            </w:pPr>
            <w:r>
              <w:rPr>
                <w:rFonts w:ascii="Arial" w:cs="Arial" w:eastAsia="Arial" w:hAnsi="Arial"/>
                <w:sz w:val="18"/>
                <w:szCs w:val="18"/>
                <w:color w:val="auto"/>
              </w:rPr>
              <w:t>4,051</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2"/>
        </w:trPr>
        <w:tc>
          <w:tcPr>
            <w:tcW w:w="2720" w:type="dxa"/>
            <w:vAlign w:val="bottom"/>
          </w:tcPr>
          <w:p>
            <w:pPr>
              <w:ind w:left="20"/>
              <w:spacing w:after="0"/>
              <w:rPr>
                <w:sz w:val="20"/>
                <w:szCs w:val="20"/>
                <w:color w:val="auto"/>
              </w:rPr>
            </w:pPr>
            <w:r>
              <w:rPr>
                <w:rFonts w:ascii="Arial" w:cs="Arial" w:eastAsia="Arial" w:hAnsi="Arial"/>
                <w:sz w:val="16"/>
                <w:szCs w:val="16"/>
                <w:color w:val="auto"/>
              </w:rPr>
              <w:t>units</w:t>
            </w:r>
          </w:p>
        </w:tc>
        <w:tc>
          <w:tcPr>
            <w:tcW w:w="1100" w:type="dxa"/>
            <w:vAlign w:val="bottom"/>
            <w:gridSpan w:val="2"/>
            <w:vMerge w:val="continue"/>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720" w:type="dxa"/>
            <w:vAlign w:val="bottom"/>
            <w:shd w:val="clear" w:color="auto" w:fill="CCEEFF"/>
          </w:tcPr>
          <w:p>
            <w:pPr>
              <w:ind w:left="20"/>
              <w:spacing w:after="0"/>
              <w:rPr>
                <w:sz w:val="20"/>
                <w:szCs w:val="20"/>
                <w:color w:val="auto"/>
              </w:rPr>
            </w:pPr>
            <w:r>
              <w:rPr>
                <w:rFonts w:ascii="Arial" w:cs="Arial" w:eastAsia="Arial" w:hAnsi="Arial"/>
                <w:sz w:val="16"/>
                <w:szCs w:val="16"/>
                <w:color w:val="auto"/>
              </w:rPr>
              <w:t>Stock-based compensation</w:t>
            </w:r>
          </w:p>
        </w:tc>
        <w:tc>
          <w:tcPr>
            <w:tcW w:w="2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2,242</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2,242</w:t>
            </w:r>
          </w:p>
        </w:tc>
        <w:tc>
          <w:tcPr>
            <w:tcW w:w="0" w:type="dxa"/>
            <w:vAlign w:val="bottom"/>
          </w:tcPr>
          <w:p>
            <w:pPr>
              <w:spacing w:after="0"/>
              <w:rPr>
                <w:sz w:val="1"/>
                <w:szCs w:val="1"/>
                <w:color w:val="auto"/>
              </w:rPr>
            </w:pPr>
          </w:p>
        </w:tc>
      </w:tr>
      <w:tr>
        <w:trPr>
          <w:trHeight w:val="229"/>
        </w:trPr>
        <w:tc>
          <w:tcPr>
            <w:tcW w:w="272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w w:val="94"/>
              </w:rPr>
              <w:t>Other comprehensive income, net of tax</w:t>
            </w:r>
          </w:p>
        </w:tc>
        <w:tc>
          <w:tcPr>
            <w:tcW w:w="20" w:type="dxa"/>
            <w:vAlign w:val="bottom"/>
            <w:tcBorders>
              <w:bottom w:val="single" w:sz="8" w:color="CCEEFF"/>
            </w:tcBorders>
          </w:tcPr>
          <w:p>
            <w:pPr>
              <w:spacing w:after="0"/>
              <w:rPr>
                <w:sz w:val="19"/>
                <w:szCs w:val="19"/>
                <w:color w:val="auto"/>
              </w:rPr>
            </w:pPr>
          </w:p>
        </w:tc>
        <w:tc>
          <w:tcPr>
            <w:tcW w:w="108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231</w:t>
            </w:r>
          </w:p>
        </w:tc>
        <w:tc>
          <w:tcPr>
            <w:tcW w:w="120" w:type="dxa"/>
            <w:vAlign w:val="bottom"/>
            <w:tcBorders>
              <w:bottom w:val="single" w:sz="8" w:color="CCEEFF"/>
            </w:tcBorders>
          </w:tcPr>
          <w:p>
            <w:pPr>
              <w:spacing w:after="0"/>
              <w:rPr>
                <w:sz w:val="19"/>
                <w:szCs w:val="19"/>
                <w:color w:val="auto"/>
              </w:rPr>
            </w:pPr>
          </w:p>
        </w:tc>
        <w:tc>
          <w:tcPr>
            <w:tcW w:w="960" w:type="dxa"/>
            <w:vAlign w:val="bottom"/>
            <w:tcBorders>
              <w:bottom w:val="single" w:sz="8" w:color="auto"/>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231</w:t>
            </w:r>
          </w:p>
        </w:tc>
        <w:tc>
          <w:tcPr>
            <w:tcW w:w="0" w:type="dxa"/>
            <w:vAlign w:val="bottom"/>
          </w:tcPr>
          <w:p>
            <w:pPr>
              <w:spacing w:after="0"/>
              <w:rPr>
                <w:sz w:val="1"/>
                <w:szCs w:val="1"/>
                <w:color w:val="auto"/>
              </w:rPr>
            </w:pPr>
          </w:p>
        </w:tc>
      </w:tr>
      <w:tr>
        <w:trPr>
          <w:trHeight w:val="223"/>
        </w:trPr>
        <w:tc>
          <w:tcPr>
            <w:tcW w:w="272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Balance at November 30, 2019</w:t>
            </w:r>
          </w:p>
        </w:tc>
        <w:tc>
          <w:tcPr>
            <w:tcW w:w="20" w:type="dxa"/>
            <w:vAlign w:val="bottom"/>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38,363,926</w:t>
            </w:r>
          </w:p>
        </w:tc>
        <w:tc>
          <w:tcPr>
            <w:tcW w:w="2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373</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557,965</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62,458</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(1,272)</w:t>
            </w:r>
          </w:p>
        </w:tc>
        <w:tc>
          <w:tcPr>
            <w:tcW w:w="120" w:type="dxa"/>
            <w:vAlign w:val="bottom"/>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(370,000)</w:t>
            </w:r>
          </w:p>
        </w:tc>
        <w:tc>
          <w:tcPr>
            <w:tcW w:w="12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w w:val="99"/>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(5,714)</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613,810</w:t>
            </w:r>
          </w:p>
        </w:tc>
        <w:tc>
          <w:tcPr>
            <w:tcW w:w="0" w:type="dxa"/>
            <w:vAlign w:val="bottom"/>
          </w:tcPr>
          <w:p>
            <w:pPr>
              <w:spacing w:after="0"/>
              <w:rPr>
                <w:sz w:val="1"/>
                <w:szCs w:val="1"/>
                <w:color w:val="auto"/>
              </w:rPr>
            </w:pPr>
          </w:p>
        </w:tc>
      </w:tr>
    </w:tbl>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 w:name="page9"/>
    <w:bookmarkEnd w:id="8"/>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AngioDynamics, Inc. and Subsidiaries</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CONSOLIDATED FINANCIAL STATEMENTS</w:t>
      </w:r>
    </w:p>
    <w:p>
      <w:pPr>
        <w:spacing w:after="0" w:line="157" w:lineRule="exact"/>
        <w:rPr>
          <w:sz w:val="20"/>
          <w:szCs w:val="20"/>
          <w:color w:val="auto"/>
        </w:rPr>
      </w:pPr>
    </w:p>
    <w:p>
      <w:pPr>
        <w:ind w:right="140" w:firstLine="405"/>
        <w:spacing w:after="0" w:line="254" w:lineRule="auto"/>
        <w:rPr>
          <w:sz w:val="20"/>
          <w:szCs w:val="20"/>
          <w:color w:val="auto"/>
        </w:rPr>
      </w:pPr>
      <w:r>
        <w:rPr>
          <w:rFonts w:ascii="Arial" w:cs="Arial" w:eastAsia="Arial" w:hAnsi="Arial"/>
          <w:sz w:val="18"/>
          <w:szCs w:val="18"/>
          <w:color w:val="auto"/>
        </w:rPr>
        <w:t>The Consolidated Balance Sheet as of November 30, 2020, the Consolidated Statements of Operations and the Consolidated Statements of Comprehensive Loss for the three and six months ended November 30, 2020 and 2019, the Consolidated Statements of Stockholders’ Equity for the three months ended November 30, 2020 and 2019 and the Consolidated Statements of Cash Flows for the six months ended November 30, 2020 and 2019 have been prepared by the Company and are unaudited. The Consolidated Balance Sheet as of May 31, 2020 was derived from audited consolidated financial statements but does not include all disclosures required by accounting principles generally accepted in the United States of America. In the opinion of management, all adjustments (consisting of normal recurring adjustments) necessary to state fairly the financial position, changes in stockholders’ equity and comprehensive income, results of operations and cash flows as of and for the period ended November 30, 2020 (and for all periods presented) have been made.</w:t>
      </w:r>
    </w:p>
    <w:p>
      <w:pPr>
        <w:spacing w:after="0" w:line="138" w:lineRule="exact"/>
        <w:rPr>
          <w:sz w:val="20"/>
          <w:szCs w:val="20"/>
          <w:color w:val="auto"/>
        </w:rPr>
      </w:pPr>
    </w:p>
    <w:p>
      <w:pPr>
        <w:ind w:right="200" w:firstLine="405"/>
        <w:spacing w:after="0" w:line="342" w:lineRule="auto"/>
        <w:rPr>
          <w:sz w:val="20"/>
          <w:szCs w:val="20"/>
          <w:color w:val="auto"/>
        </w:rPr>
      </w:pPr>
      <w:r>
        <w:rPr>
          <w:rFonts w:ascii="Arial" w:cs="Arial" w:eastAsia="Arial" w:hAnsi="Arial"/>
          <w:sz w:val="16"/>
          <w:szCs w:val="16"/>
          <w:color w:val="auto"/>
        </w:rPr>
        <w:t>The unaudited interim consolidated financial statements for the three and six months ended November 30, 2020 and 2019 include the accounts of AngioDynamics, Inc. and its wholly owned subsidiaries, collectively, the “Company”. All intercompany balances and transactions have been eliminated.</w:t>
      </w:r>
    </w:p>
    <w:p>
      <w:pPr>
        <w:spacing w:after="0" w:line="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ACQUISITIONS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C3 Wave Tip Location Acquisition</w:t>
      </w:r>
    </w:p>
    <w:p>
      <w:pPr>
        <w:spacing w:after="0" w:line="175" w:lineRule="exact"/>
        <w:rPr>
          <w:sz w:val="20"/>
          <w:szCs w:val="20"/>
          <w:color w:val="auto"/>
        </w:rPr>
      </w:pPr>
    </w:p>
    <w:p>
      <w:pPr>
        <w:ind w:right="120" w:firstLine="405"/>
        <w:spacing w:after="0" w:line="273" w:lineRule="auto"/>
        <w:rPr>
          <w:sz w:val="20"/>
          <w:szCs w:val="20"/>
          <w:color w:val="auto"/>
        </w:rPr>
      </w:pPr>
      <w:r>
        <w:rPr>
          <w:rFonts w:ascii="Arial" w:cs="Arial" w:eastAsia="Arial" w:hAnsi="Arial"/>
          <w:sz w:val="17"/>
          <w:szCs w:val="17"/>
          <w:color w:val="auto"/>
        </w:rPr>
        <w:t>On December 17, 2019, the Company acquired the C3 Wave tip location asset from Medical Components Inc. for an aggregate purchase price of $10.0 million with $5.0 million of potential future contingent consideration related to technical milestones. This acquisition fills a gap in the Vascular Access portfolio and supports the Company's strategic plan. The Company accounted for this acquisition as an asset purchase. The Company recorded the amount paid at closing as inventory of $0.6 million and intangible assets of a trademark of $0.9 million and product technology of $8.5 million. The intangible assets will be amortized over 15 years. The contingent consideration is comprised of technical milestones and will be accounted for when the contingency is resolved or becomes probable and reasonably estimable.</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Eximo Acquisition</w:t>
      </w:r>
    </w:p>
    <w:p>
      <w:pPr>
        <w:spacing w:after="0" w:line="175" w:lineRule="exact"/>
        <w:rPr>
          <w:sz w:val="20"/>
          <w:szCs w:val="20"/>
          <w:color w:val="auto"/>
        </w:rPr>
      </w:pPr>
    </w:p>
    <w:p>
      <w:pPr>
        <w:ind w:right="40" w:firstLine="405"/>
        <w:spacing w:after="0" w:line="301" w:lineRule="auto"/>
        <w:rPr>
          <w:sz w:val="20"/>
          <w:szCs w:val="20"/>
          <w:color w:val="auto"/>
        </w:rPr>
      </w:pPr>
      <w:r>
        <w:rPr>
          <w:rFonts w:ascii="Arial" w:cs="Arial" w:eastAsia="Arial" w:hAnsi="Arial"/>
          <w:sz w:val="16"/>
          <w:szCs w:val="16"/>
          <w:color w:val="auto"/>
        </w:rPr>
        <w:t>On October 2, 2019, the Company entered into a share purchase agreement to acquire Eximo Medical, Ltd., a pre-commercial stage medical device company and its proprietary 355nm B Laser Atherectomy technology. The aggregate purchase price of $60.7 million included an upfront payment of $45.8 million and contingent consideration with an estimated fair value of $14.9 million. This acquisition expands and complements the Company’s Vascular Interventions and Therapies product portfolio by adding the 355nm B Laser Atherectomy technology which treats Peripheral Artery Disease.</w:t>
      </w:r>
    </w:p>
    <w:p>
      <w:pPr>
        <w:spacing w:after="0" w:line="103" w:lineRule="exact"/>
        <w:rPr>
          <w:sz w:val="20"/>
          <w:szCs w:val="20"/>
          <w:color w:val="auto"/>
        </w:rPr>
      </w:pPr>
    </w:p>
    <w:p>
      <w:pPr>
        <w:ind w:right="100" w:firstLine="405"/>
        <w:spacing w:after="0" w:line="311" w:lineRule="auto"/>
        <w:rPr>
          <w:sz w:val="20"/>
          <w:szCs w:val="20"/>
          <w:color w:val="auto"/>
        </w:rPr>
      </w:pPr>
      <w:r>
        <w:rPr>
          <w:rFonts w:ascii="Arial" w:cs="Arial" w:eastAsia="Arial" w:hAnsi="Arial"/>
          <w:sz w:val="16"/>
          <w:szCs w:val="16"/>
          <w:color w:val="auto"/>
        </w:rPr>
        <w:t>The Company accounted for the Eximo acquisition under the acquisition method of accounting for business combinations. Accordingly, the cost to acquire the assets was allocated to the underlying net assets in proportion to estimates of their respective fair values. The excess of the purchase price over the estimated fair value of the net assets acquired was recorded as goodwill. Goodwill is non-deductible for income tax purposes.</w:t>
      </w:r>
    </w:p>
    <w:p>
      <w:pPr>
        <w:spacing w:after="0" w:line="95" w:lineRule="exact"/>
        <w:rPr>
          <w:sz w:val="20"/>
          <w:szCs w:val="20"/>
          <w:color w:val="auto"/>
        </w:rPr>
      </w:pPr>
    </w:p>
    <w:p>
      <w:pPr>
        <w:ind w:firstLine="405"/>
        <w:spacing w:after="0" w:line="301" w:lineRule="auto"/>
        <w:rPr>
          <w:sz w:val="20"/>
          <w:szCs w:val="20"/>
          <w:color w:val="auto"/>
        </w:rPr>
      </w:pPr>
      <w:r>
        <w:rPr>
          <w:rFonts w:ascii="Arial" w:cs="Arial" w:eastAsia="Arial" w:hAnsi="Arial"/>
          <w:sz w:val="16"/>
          <w:szCs w:val="16"/>
          <w:color w:val="auto"/>
        </w:rPr>
        <w:t>The Company has not disclosed the amount of revenue and earnings for sales of Eximo products since acquisition, nor proforma information, because these amounts are not significant to the Company's financial statements. Acquisition-related costs associated with the Eximo acquisition, which are included in "acquisition, restructuring and other items, net" in the accompanying Consolidated Statements of Operations, were approximately $0.6 million in fiscal year 2020. The following table summarizes the final aggregate purchase price allocated to the net assets acquired:</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9" w:name="page10"/>
    <w:bookmarkEnd w:id="9"/>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948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(in thousands)</w:t>
            </w:r>
          </w:p>
        </w:tc>
        <w:tc>
          <w:tcPr>
            <w:tcW w:w="26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tcPr>
          <w:p>
            <w:pPr>
              <w:jc w:val="right"/>
              <w:ind w:right="351"/>
              <w:spacing w:after="0"/>
              <w:rPr>
                <w:sz w:val="20"/>
                <w:szCs w:val="20"/>
                <w:color w:val="auto"/>
              </w:rPr>
            </w:pPr>
            <w:r>
              <w:rPr>
                <w:rFonts w:ascii="Arial" w:cs="Arial" w:eastAsia="Arial" w:hAnsi="Arial"/>
                <w:sz w:val="14"/>
                <w:szCs w:val="14"/>
                <w:color w:val="auto"/>
              </w:rPr>
              <w:t>Final allocation</w:t>
            </w:r>
          </w:p>
        </w:tc>
      </w:tr>
      <w:tr>
        <w:trPr>
          <w:trHeight w:val="229"/>
        </w:trPr>
        <w:tc>
          <w:tcPr>
            <w:tcW w:w="9480" w:type="dxa"/>
            <w:vAlign w:val="bottom"/>
            <w:shd w:val="clear" w:color="auto" w:fill="CCEEFF"/>
          </w:tcPr>
          <w:p>
            <w:pPr>
              <w:ind w:left="20"/>
              <w:spacing w:after="0"/>
              <w:rPr>
                <w:sz w:val="20"/>
                <w:szCs w:val="20"/>
                <w:color w:val="auto"/>
              </w:rPr>
            </w:pPr>
            <w:r>
              <w:rPr>
                <w:rFonts w:ascii="Arial" w:cs="Arial" w:eastAsia="Arial" w:hAnsi="Arial"/>
                <w:sz w:val="18"/>
                <w:szCs w:val="18"/>
                <w:color w:val="auto"/>
              </w:rPr>
              <w:t>Accounts receivable</w:t>
            </w: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w:t>
            </w:r>
          </w:p>
        </w:tc>
      </w:tr>
      <w:tr>
        <w:trPr>
          <w:trHeight w:val="229"/>
        </w:trPr>
        <w:tc>
          <w:tcPr>
            <w:tcW w:w="9480" w:type="dxa"/>
            <w:vAlign w:val="bottom"/>
          </w:tcPr>
          <w:p>
            <w:pPr>
              <w:ind w:left="20"/>
              <w:spacing w:after="0"/>
              <w:rPr>
                <w:sz w:val="20"/>
                <w:szCs w:val="20"/>
                <w:color w:val="auto"/>
              </w:rPr>
            </w:pPr>
            <w:r>
              <w:rPr>
                <w:rFonts w:ascii="Arial" w:cs="Arial" w:eastAsia="Arial" w:hAnsi="Arial"/>
                <w:sz w:val="18"/>
                <w:szCs w:val="18"/>
                <w:color w:val="auto"/>
              </w:rPr>
              <w:t>Inventory</w:t>
            </w:r>
          </w:p>
        </w:tc>
        <w:tc>
          <w:tcPr>
            <w:tcW w:w="26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150</w:t>
            </w:r>
          </w:p>
        </w:tc>
      </w:tr>
      <w:tr>
        <w:trPr>
          <w:trHeight w:val="230"/>
        </w:trPr>
        <w:tc>
          <w:tcPr>
            <w:tcW w:w="948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Prepaid and other current assets</w:t>
            </w:r>
          </w:p>
        </w:tc>
        <w:tc>
          <w:tcPr>
            <w:tcW w:w="26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w:t>
            </w:r>
          </w:p>
        </w:tc>
      </w:tr>
      <w:tr>
        <w:trPr>
          <w:trHeight w:val="229"/>
        </w:trPr>
        <w:tc>
          <w:tcPr>
            <w:tcW w:w="9480" w:type="dxa"/>
            <w:vAlign w:val="bottom"/>
          </w:tcPr>
          <w:p>
            <w:pPr>
              <w:ind w:left="20"/>
              <w:spacing w:after="0"/>
              <w:rPr>
                <w:sz w:val="20"/>
                <w:szCs w:val="20"/>
                <w:color w:val="auto"/>
              </w:rPr>
            </w:pPr>
            <w:r>
              <w:rPr>
                <w:rFonts w:ascii="Arial" w:cs="Arial" w:eastAsia="Arial" w:hAnsi="Arial"/>
                <w:sz w:val="18"/>
                <w:szCs w:val="18"/>
                <w:color w:val="auto"/>
              </w:rPr>
              <w:t>Long-term deposits</w:t>
            </w:r>
          </w:p>
        </w:tc>
        <w:tc>
          <w:tcPr>
            <w:tcW w:w="26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51</w:t>
            </w:r>
          </w:p>
        </w:tc>
      </w:tr>
      <w:tr>
        <w:trPr>
          <w:trHeight w:val="229"/>
        </w:trPr>
        <w:tc>
          <w:tcPr>
            <w:tcW w:w="948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Property, plant and equipment</w:t>
            </w:r>
          </w:p>
        </w:tc>
        <w:tc>
          <w:tcPr>
            <w:tcW w:w="26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397</w:t>
            </w:r>
          </w:p>
        </w:tc>
      </w:tr>
      <w:tr>
        <w:trPr>
          <w:trHeight w:val="230"/>
        </w:trPr>
        <w:tc>
          <w:tcPr>
            <w:tcW w:w="9480" w:type="dxa"/>
            <w:vAlign w:val="bottom"/>
          </w:tcPr>
          <w:p>
            <w:pPr>
              <w:ind w:left="20"/>
              <w:spacing w:after="0"/>
              <w:rPr>
                <w:sz w:val="20"/>
                <w:szCs w:val="20"/>
                <w:color w:val="auto"/>
              </w:rPr>
            </w:pPr>
            <w:r>
              <w:rPr>
                <w:rFonts w:ascii="Arial" w:cs="Arial" w:eastAsia="Arial" w:hAnsi="Arial"/>
                <w:sz w:val="18"/>
                <w:szCs w:val="18"/>
                <w:color w:val="auto"/>
              </w:rPr>
              <w:t>Intangible assets:</w:t>
            </w:r>
          </w:p>
        </w:tc>
        <w:tc>
          <w:tcPr>
            <w:tcW w:w="260" w:type="dxa"/>
            <w:vAlign w:val="bottom"/>
          </w:tcPr>
          <w:p>
            <w:pPr>
              <w:spacing w:after="0"/>
              <w:rPr>
                <w:sz w:val="19"/>
                <w:szCs w:val="19"/>
                <w:color w:val="auto"/>
              </w:rPr>
            </w:pPr>
          </w:p>
        </w:tc>
        <w:tc>
          <w:tcPr>
            <w:tcW w:w="1500" w:type="dxa"/>
            <w:vAlign w:val="bottom"/>
          </w:tcPr>
          <w:p>
            <w:pPr>
              <w:spacing w:after="0"/>
              <w:rPr>
                <w:sz w:val="19"/>
                <w:szCs w:val="19"/>
                <w:color w:val="auto"/>
              </w:rPr>
            </w:pPr>
          </w:p>
        </w:tc>
      </w:tr>
      <w:tr>
        <w:trPr>
          <w:trHeight w:val="229"/>
        </w:trPr>
        <w:tc>
          <w:tcPr>
            <w:tcW w:w="94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Product technology</w:t>
            </w:r>
          </w:p>
        </w:tc>
        <w:tc>
          <w:tcPr>
            <w:tcW w:w="26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60,300</w:t>
            </w:r>
          </w:p>
        </w:tc>
      </w:tr>
      <w:tr>
        <w:trPr>
          <w:trHeight w:val="230"/>
        </w:trPr>
        <w:tc>
          <w:tcPr>
            <w:tcW w:w="94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Goodwill</w:t>
            </w:r>
          </w:p>
        </w:tc>
        <w:tc>
          <w:tcPr>
            <w:tcW w:w="26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11,427</w:t>
            </w:r>
          </w:p>
        </w:tc>
      </w:tr>
      <w:tr>
        <w:trPr>
          <w:trHeight w:val="223"/>
        </w:trPr>
        <w:tc>
          <w:tcPr>
            <w:tcW w:w="948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assets acquired</w:t>
            </w: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72,429</w:t>
            </w:r>
          </w:p>
        </w:tc>
      </w:tr>
      <w:tr>
        <w:trPr>
          <w:trHeight w:val="229"/>
        </w:trPr>
        <w:tc>
          <w:tcPr>
            <w:tcW w:w="9480" w:type="dxa"/>
            <w:vAlign w:val="bottom"/>
          </w:tcPr>
          <w:p>
            <w:pPr>
              <w:ind w:left="20"/>
              <w:spacing w:after="0"/>
              <w:rPr>
                <w:sz w:val="20"/>
                <w:szCs w:val="20"/>
                <w:color w:val="auto"/>
              </w:rPr>
            </w:pPr>
            <w:r>
              <w:rPr>
                <w:rFonts w:ascii="Arial" w:cs="Arial" w:eastAsia="Arial" w:hAnsi="Arial"/>
                <w:sz w:val="18"/>
                <w:szCs w:val="18"/>
                <w:b w:val="1"/>
                <w:bCs w:val="1"/>
                <w:color w:val="auto"/>
              </w:rPr>
              <w:t>Liabilities assumed</w:t>
            </w:r>
          </w:p>
        </w:tc>
        <w:tc>
          <w:tcPr>
            <w:tcW w:w="260" w:type="dxa"/>
            <w:vAlign w:val="bottom"/>
          </w:tcPr>
          <w:p>
            <w:pPr>
              <w:spacing w:after="0"/>
              <w:rPr>
                <w:sz w:val="19"/>
                <w:szCs w:val="19"/>
                <w:color w:val="auto"/>
              </w:rPr>
            </w:pPr>
          </w:p>
        </w:tc>
        <w:tc>
          <w:tcPr>
            <w:tcW w:w="1500" w:type="dxa"/>
            <w:vAlign w:val="bottom"/>
          </w:tcPr>
          <w:p>
            <w:pPr>
              <w:spacing w:after="0"/>
              <w:rPr>
                <w:sz w:val="19"/>
                <w:szCs w:val="19"/>
                <w:color w:val="auto"/>
              </w:rPr>
            </w:pPr>
          </w:p>
        </w:tc>
      </w:tr>
      <w:tr>
        <w:trPr>
          <w:trHeight w:val="230"/>
        </w:trPr>
        <w:tc>
          <w:tcPr>
            <w:tcW w:w="9480" w:type="dxa"/>
            <w:vAlign w:val="bottom"/>
            <w:shd w:val="clear" w:color="auto" w:fill="CCEEFF"/>
          </w:tcPr>
          <w:p>
            <w:pPr>
              <w:ind w:left="20"/>
              <w:spacing w:after="0"/>
              <w:rPr>
                <w:sz w:val="20"/>
                <w:szCs w:val="20"/>
                <w:color w:val="auto"/>
              </w:rPr>
            </w:pPr>
            <w:r>
              <w:rPr>
                <w:rFonts w:ascii="Arial" w:cs="Arial" w:eastAsia="Arial" w:hAnsi="Arial"/>
                <w:sz w:val="18"/>
                <w:szCs w:val="18"/>
                <w:color w:val="auto"/>
              </w:rPr>
              <w:t>Accounts payable</w:t>
            </w: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w:t>
            </w:r>
          </w:p>
        </w:tc>
      </w:tr>
      <w:tr>
        <w:trPr>
          <w:trHeight w:val="229"/>
        </w:trPr>
        <w:tc>
          <w:tcPr>
            <w:tcW w:w="9480" w:type="dxa"/>
            <w:vAlign w:val="bottom"/>
          </w:tcPr>
          <w:p>
            <w:pPr>
              <w:ind w:left="20"/>
              <w:spacing w:after="0"/>
              <w:rPr>
                <w:sz w:val="20"/>
                <w:szCs w:val="20"/>
                <w:color w:val="auto"/>
              </w:rPr>
            </w:pPr>
            <w:r>
              <w:rPr>
                <w:rFonts w:ascii="Arial" w:cs="Arial" w:eastAsia="Arial" w:hAnsi="Arial"/>
                <w:sz w:val="18"/>
                <w:szCs w:val="18"/>
                <w:color w:val="auto"/>
              </w:rPr>
              <w:t>Other current liabilities</w:t>
            </w:r>
          </w:p>
        </w:tc>
        <w:tc>
          <w:tcPr>
            <w:tcW w:w="26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615</w:t>
            </w:r>
          </w:p>
        </w:tc>
      </w:tr>
      <w:tr>
        <w:trPr>
          <w:trHeight w:val="230"/>
        </w:trPr>
        <w:tc>
          <w:tcPr>
            <w:tcW w:w="948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Deferred tax liabilities</w:t>
            </w:r>
          </w:p>
        </w:tc>
        <w:tc>
          <w:tcPr>
            <w:tcW w:w="260" w:type="dxa"/>
            <w:vAlign w:val="bottom"/>
            <w:tcBorders>
              <w:bottom w:val="single" w:sz="8" w:color="auto"/>
            </w:tcBorders>
            <w:shd w:val="clear" w:color="auto" w:fill="CCEEFF"/>
          </w:tcPr>
          <w:p>
            <w:pPr>
              <w:spacing w:after="0"/>
              <w:rPr>
                <w:sz w:val="19"/>
                <w:szCs w:val="19"/>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11,070</w:t>
            </w:r>
          </w:p>
        </w:tc>
      </w:tr>
      <w:tr>
        <w:trPr>
          <w:trHeight w:val="223"/>
        </w:trPr>
        <w:tc>
          <w:tcPr>
            <w:tcW w:w="94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Total liabilities assumed</w:t>
            </w:r>
          </w:p>
        </w:tc>
        <w:tc>
          <w:tcPr>
            <w:tcW w:w="2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11,769</w:t>
            </w:r>
          </w:p>
        </w:tc>
      </w:tr>
      <w:tr>
        <w:trPr>
          <w:trHeight w:val="248"/>
        </w:trPr>
        <w:tc>
          <w:tcPr>
            <w:tcW w:w="94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Net assets acquired</w:t>
            </w: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60,660</w:t>
            </w:r>
          </w:p>
        </w:tc>
      </w:tr>
      <w:tr>
        <w:trPr>
          <w:trHeight w:val="20"/>
        </w:trPr>
        <w:tc>
          <w:tcPr>
            <w:tcW w:w="94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r>
    </w:tbl>
    <w:p>
      <w:pPr>
        <w:spacing w:after="0" w:line="337" w:lineRule="exact"/>
        <w:rPr>
          <w:sz w:val="20"/>
          <w:szCs w:val="20"/>
          <w:color w:val="auto"/>
        </w:rPr>
      </w:pPr>
    </w:p>
    <w:p>
      <w:pPr>
        <w:ind w:left="420"/>
        <w:spacing w:after="0"/>
        <w:rPr>
          <w:sz w:val="20"/>
          <w:szCs w:val="20"/>
          <w:color w:val="auto"/>
        </w:rPr>
      </w:pPr>
      <w:r>
        <w:rPr>
          <w:rFonts w:ascii="Arial" w:cs="Arial" w:eastAsia="Arial" w:hAnsi="Arial"/>
          <w:sz w:val="16"/>
          <w:szCs w:val="16"/>
          <w:color w:val="auto"/>
        </w:rPr>
        <w:t>The Company finalized the allocation of the purchase price to the assets acquired and liabilities assumed in the fourth quarter of fiscal year 2020.</w:t>
      </w:r>
    </w:p>
    <w:p>
      <w:pPr>
        <w:spacing w:after="0" w:line="194" w:lineRule="exact"/>
        <w:rPr>
          <w:sz w:val="20"/>
          <w:szCs w:val="20"/>
          <w:color w:val="auto"/>
        </w:rPr>
      </w:pPr>
    </w:p>
    <w:p>
      <w:pPr>
        <w:jc w:val="both"/>
        <w:ind w:right="140" w:firstLine="405"/>
        <w:spacing w:after="0" w:line="311" w:lineRule="auto"/>
        <w:rPr>
          <w:sz w:val="20"/>
          <w:szCs w:val="20"/>
          <w:color w:val="auto"/>
        </w:rPr>
      </w:pPr>
      <w:r>
        <w:rPr>
          <w:rFonts w:ascii="Arial" w:cs="Arial" w:eastAsia="Arial" w:hAnsi="Arial"/>
          <w:sz w:val="16"/>
          <w:szCs w:val="16"/>
          <w:color w:val="auto"/>
        </w:rPr>
        <w:t>The value assigned to the product technology was derived using the multi-period excess earnings method under the income approach. This approach estimates the excess earnings generated over the lives of the customers that existed as of the acquisition date and discounts such earnings to present value. The product technology is deemed to have a useful life of fifteen years and will be amortized on a straight-line basis over the useful life.</w:t>
      </w:r>
    </w:p>
    <w:p>
      <w:pPr>
        <w:spacing w:after="0" w:line="95" w:lineRule="exact"/>
        <w:rPr>
          <w:sz w:val="20"/>
          <w:szCs w:val="20"/>
          <w:color w:val="auto"/>
        </w:rPr>
      </w:pPr>
    </w:p>
    <w:p>
      <w:pPr>
        <w:ind w:right="320" w:firstLine="405"/>
        <w:spacing w:after="0" w:line="277" w:lineRule="auto"/>
        <w:rPr>
          <w:sz w:val="20"/>
          <w:szCs w:val="20"/>
          <w:color w:val="auto"/>
        </w:rPr>
      </w:pPr>
      <w:r>
        <w:rPr>
          <w:rFonts w:ascii="Arial" w:cs="Arial" w:eastAsia="Arial" w:hAnsi="Arial"/>
          <w:sz w:val="18"/>
          <w:szCs w:val="18"/>
          <w:color w:val="auto"/>
        </w:rPr>
        <w:t>The goodwill arising from the acquisition consists largely of synergies and economies of scale the Company hopes to achieve from combining the acquired assets with the Company's current operations.</w:t>
      </w:r>
    </w:p>
    <w:p>
      <w:pPr>
        <w:spacing w:after="0" w:line="166" w:lineRule="exact"/>
        <w:rPr>
          <w:sz w:val="20"/>
          <w:szCs w:val="20"/>
          <w:color w:val="auto"/>
        </w:rPr>
      </w:pPr>
    </w:p>
    <w:p>
      <w:pPr>
        <w:ind w:right="6660" w:firstLine="8"/>
        <w:spacing w:after="0" w:line="534" w:lineRule="auto"/>
        <w:tabs>
          <w:tab w:leader="none" w:pos="180" w:val="left"/>
        </w:tabs>
        <w:numPr>
          <w:ilvl w:val="0"/>
          <w:numId w:val="3"/>
        </w:numPr>
        <w:rPr>
          <w:rFonts w:ascii="Arial" w:cs="Arial" w:eastAsia="Arial" w:hAnsi="Arial"/>
          <w:sz w:val="18"/>
          <w:szCs w:val="18"/>
          <w:b w:val="1"/>
          <w:bCs w:val="1"/>
          <w:color w:val="auto"/>
        </w:rPr>
      </w:pPr>
      <w:r>
        <w:rPr>
          <w:rFonts w:ascii="Arial" w:cs="Arial" w:eastAsia="Arial" w:hAnsi="Arial"/>
          <w:sz w:val="18"/>
          <w:szCs w:val="18"/>
          <w:b w:val="1"/>
          <w:bCs w:val="1"/>
          <w:color w:val="auto"/>
        </w:rPr>
        <w:t>REVENUE FROM CONTRACTS WITH CUSTOMERS Revenue Recognition</w:t>
      </w:r>
    </w:p>
    <w:p>
      <w:pPr>
        <w:spacing w:after="0" w:line="1" w:lineRule="exact"/>
        <w:rPr>
          <w:sz w:val="20"/>
          <w:szCs w:val="20"/>
          <w:color w:val="auto"/>
        </w:rPr>
      </w:pPr>
    </w:p>
    <w:p>
      <w:pPr>
        <w:ind w:right="120" w:firstLine="405"/>
        <w:spacing w:after="0" w:line="275" w:lineRule="auto"/>
        <w:rPr>
          <w:sz w:val="20"/>
          <w:szCs w:val="20"/>
          <w:color w:val="auto"/>
        </w:rPr>
      </w:pPr>
      <w:r>
        <w:rPr>
          <w:rFonts w:ascii="Arial" w:cs="Arial" w:eastAsia="Arial" w:hAnsi="Arial"/>
          <w:sz w:val="17"/>
          <w:szCs w:val="17"/>
          <w:color w:val="auto"/>
        </w:rPr>
        <w:t>Under ASC 606, revenue is recognized when a customer obtains control of promised goods or services, in an amount that reflects the consideration which the entity expects to receive in exchange for those goods or services. To determine revenue recognition for arrangements that an entity determines are within the scope of ASC 606, the Company performs the following five steps: (i) identify the contract(s) with a customer; (ii) identify the performance obligations in the contract; (iii) determine the transaction price; (iv) allocate the transaction price to the performance obligations in the contract; and (v) recognize revenue when (or as) the entity satisfies a performance obligation.</w:t>
      </w:r>
    </w:p>
    <w:p>
      <w:pPr>
        <w:spacing w:after="0" w:line="122"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Company has one primary revenue stream which is the sales of its products.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Disaggregation of Revenue</w:t>
      </w:r>
    </w:p>
    <w:p>
      <w:pPr>
        <w:spacing w:after="0" w:line="162"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following tables summarize net product revenue by Global Business Unit ("GBU") and geography:</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416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640" w:type="dxa"/>
            <w:vAlign w:val="bottom"/>
            <w:tcBorders>
              <w:bottom w:val="single" w:sz="8" w:color="auto"/>
            </w:tcBorders>
            <w:gridSpan w:val="6"/>
          </w:tcPr>
          <w:p>
            <w:pPr>
              <w:jc w:val="center"/>
              <w:ind w:left="476"/>
              <w:spacing w:after="0"/>
              <w:rPr>
                <w:sz w:val="20"/>
                <w:szCs w:val="20"/>
                <w:color w:val="auto"/>
              </w:rPr>
            </w:pPr>
            <w:r>
              <w:rPr>
                <w:rFonts w:ascii="Arial" w:cs="Arial" w:eastAsia="Arial" w:hAnsi="Arial"/>
                <w:sz w:val="14"/>
                <w:szCs w:val="14"/>
                <w:color w:val="auto"/>
                <w:w w:val="93"/>
              </w:rPr>
              <w:t>Three Months Ended Nov 30, 2020</w:t>
            </w:r>
          </w:p>
        </w:tc>
        <w:tc>
          <w:tcPr>
            <w:tcW w:w="7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2660" w:type="dxa"/>
            <w:vAlign w:val="bottom"/>
            <w:tcBorders>
              <w:bottom w:val="single" w:sz="8" w:color="auto"/>
            </w:tcBorders>
            <w:gridSpan w:val="6"/>
          </w:tcPr>
          <w:p>
            <w:pPr>
              <w:jc w:val="center"/>
              <w:ind w:left="496"/>
              <w:spacing w:after="0"/>
              <w:rPr>
                <w:sz w:val="20"/>
                <w:szCs w:val="20"/>
                <w:color w:val="auto"/>
              </w:rPr>
            </w:pPr>
            <w:r>
              <w:rPr>
                <w:rFonts w:ascii="Arial" w:cs="Arial" w:eastAsia="Arial" w:hAnsi="Arial"/>
                <w:sz w:val="14"/>
                <w:szCs w:val="14"/>
                <w:color w:val="auto"/>
                <w:w w:val="93"/>
              </w:rPr>
              <w:t>Three Months Ended Nov 30, 2019</w:t>
            </w:r>
          </w:p>
        </w:tc>
        <w:tc>
          <w:tcPr>
            <w:tcW w:w="720" w:type="dxa"/>
            <w:vAlign w:val="bottom"/>
            <w:tcBorders>
              <w:bottom w:val="single" w:sz="8" w:color="auto"/>
            </w:tcBorders>
          </w:tcPr>
          <w:p>
            <w:pPr>
              <w:spacing w:after="0"/>
              <w:rPr>
                <w:sz w:val="16"/>
                <w:szCs w:val="16"/>
                <w:color w:val="auto"/>
              </w:rPr>
            </w:pPr>
          </w:p>
        </w:tc>
      </w:tr>
      <w:tr>
        <w:trPr>
          <w:trHeight w:val="186"/>
        </w:trPr>
        <w:tc>
          <w:tcPr>
            <w:tcW w:w="4160" w:type="dxa"/>
            <w:vAlign w:val="bottom"/>
          </w:tcPr>
          <w:p>
            <w:pPr>
              <w:ind w:left="20"/>
              <w:spacing w:after="0"/>
              <w:rPr>
                <w:sz w:val="20"/>
                <w:szCs w:val="20"/>
                <w:color w:val="auto"/>
              </w:rPr>
            </w:pPr>
            <w:r>
              <w:rPr>
                <w:rFonts w:ascii="Arial" w:cs="Arial" w:eastAsia="Arial" w:hAnsi="Arial"/>
                <w:sz w:val="14"/>
                <w:szCs w:val="14"/>
                <w:color w:val="auto"/>
              </w:rPr>
              <w:t>(in thousands)</w:t>
            </w:r>
          </w:p>
        </w:tc>
        <w:tc>
          <w:tcPr>
            <w:tcW w:w="120" w:type="dxa"/>
            <w:vAlign w:val="bottom"/>
          </w:tcPr>
          <w:p>
            <w:pPr>
              <w:spacing w:after="0"/>
              <w:rPr>
                <w:sz w:val="16"/>
                <w:szCs w:val="16"/>
                <w:color w:val="auto"/>
              </w:rPr>
            </w:pPr>
          </w:p>
        </w:tc>
        <w:tc>
          <w:tcPr>
            <w:tcW w:w="1060" w:type="dxa"/>
            <w:vAlign w:val="bottom"/>
            <w:gridSpan w:val="2"/>
          </w:tcPr>
          <w:p>
            <w:pPr>
              <w:ind w:left="20"/>
              <w:spacing w:after="0"/>
              <w:rPr>
                <w:sz w:val="20"/>
                <w:szCs w:val="20"/>
                <w:color w:val="auto"/>
              </w:rPr>
            </w:pPr>
            <w:r>
              <w:rPr>
                <w:rFonts w:ascii="Arial" w:cs="Arial" w:eastAsia="Arial" w:hAnsi="Arial"/>
                <w:sz w:val="14"/>
                <w:szCs w:val="14"/>
                <w:color w:val="auto"/>
              </w:rPr>
              <w:t>United States</w:t>
            </w:r>
          </w:p>
        </w:tc>
        <w:tc>
          <w:tcPr>
            <w:tcW w:w="140" w:type="dxa"/>
            <w:vAlign w:val="bottom"/>
          </w:tcPr>
          <w:p>
            <w:pPr>
              <w:spacing w:after="0"/>
              <w:rPr>
                <w:sz w:val="16"/>
                <w:szCs w:val="16"/>
                <w:color w:val="auto"/>
              </w:rPr>
            </w:pPr>
          </w:p>
        </w:tc>
        <w:tc>
          <w:tcPr>
            <w:tcW w:w="1060" w:type="dxa"/>
            <w:vAlign w:val="bottom"/>
            <w:gridSpan w:val="2"/>
          </w:tcPr>
          <w:p>
            <w:pPr>
              <w:jc w:val="center"/>
              <w:ind w:right="240"/>
              <w:spacing w:after="0"/>
              <w:rPr>
                <w:sz w:val="20"/>
                <w:szCs w:val="20"/>
                <w:color w:val="auto"/>
              </w:rPr>
            </w:pPr>
            <w:r>
              <w:rPr>
                <w:rFonts w:ascii="Arial" w:cs="Arial" w:eastAsia="Arial" w:hAnsi="Arial"/>
                <w:sz w:val="14"/>
                <w:szCs w:val="14"/>
                <w:color w:val="auto"/>
                <w:w w:val="95"/>
              </w:rPr>
              <w:t>International</w:t>
            </w:r>
          </w:p>
        </w:tc>
        <w:tc>
          <w:tcPr>
            <w:tcW w:w="380" w:type="dxa"/>
            <w:vAlign w:val="bottom"/>
          </w:tcPr>
          <w:p>
            <w:pPr>
              <w:spacing w:after="0"/>
              <w:rPr>
                <w:sz w:val="16"/>
                <w:szCs w:val="16"/>
                <w:color w:val="auto"/>
              </w:rPr>
            </w:pPr>
          </w:p>
        </w:tc>
        <w:tc>
          <w:tcPr>
            <w:tcW w:w="700" w:type="dxa"/>
            <w:vAlign w:val="bottom"/>
          </w:tcPr>
          <w:p>
            <w:pPr>
              <w:jc w:val="right"/>
              <w:ind w:right="314"/>
              <w:spacing w:after="0"/>
              <w:rPr>
                <w:sz w:val="20"/>
                <w:szCs w:val="20"/>
                <w:color w:val="auto"/>
              </w:rPr>
            </w:pPr>
            <w:r>
              <w:rPr>
                <w:rFonts w:ascii="Arial" w:cs="Arial" w:eastAsia="Arial" w:hAnsi="Arial"/>
                <w:sz w:val="14"/>
                <w:szCs w:val="14"/>
                <w:color w:val="auto"/>
                <w:w w:val="89"/>
              </w:rPr>
              <w:t>Total</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80" w:type="dxa"/>
            <w:vAlign w:val="bottom"/>
            <w:gridSpan w:val="2"/>
          </w:tcPr>
          <w:p>
            <w:pPr>
              <w:ind w:left="40"/>
              <w:spacing w:after="0"/>
              <w:rPr>
                <w:sz w:val="20"/>
                <w:szCs w:val="20"/>
                <w:color w:val="auto"/>
              </w:rPr>
            </w:pPr>
            <w:r>
              <w:rPr>
                <w:rFonts w:ascii="Arial" w:cs="Arial" w:eastAsia="Arial" w:hAnsi="Arial"/>
                <w:sz w:val="14"/>
                <w:szCs w:val="14"/>
                <w:color w:val="auto"/>
              </w:rPr>
              <w:t>United States</w:t>
            </w:r>
          </w:p>
        </w:tc>
        <w:tc>
          <w:tcPr>
            <w:tcW w:w="140" w:type="dxa"/>
            <w:vAlign w:val="bottom"/>
          </w:tcPr>
          <w:p>
            <w:pPr>
              <w:spacing w:after="0"/>
              <w:rPr>
                <w:sz w:val="16"/>
                <w:szCs w:val="16"/>
                <w:color w:val="auto"/>
              </w:rPr>
            </w:pPr>
          </w:p>
        </w:tc>
        <w:tc>
          <w:tcPr>
            <w:tcW w:w="1060" w:type="dxa"/>
            <w:vAlign w:val="bottom"/>
            <w:gridSpan w:val="2"/>
          </w:tcPr>
          <w:p>
            <w:pPr>
              <w:jc w:val="center"/>
              <w:ind w:right="260"/>
              <w:spacing w:after="0"/>
              <w:rPr>
                <w:sz w:val="20"/>
                <w:szCs w:val="20"/>
                <w:color w:val="auto"/>
              </w:rPr>
            </w:pPr>
            <w:r>
              <w:rPr>
                <w:rFonts w:ascii="Arial" w:cs="Arial" w:eastAsia="Arial" w:hAnsi="Arial"/>
                <w:sz w:val="14"/>
                <w:szCs w:val="14"/>
                <w:color w:val="auto"/>
                <w:w w:val="93"/>
              </w:rPr>
              <w:t>International</w:t>
            </w:r>
          </w:p>
        </w:tc>
        <w:tc>
          <w:tcPr>
            <w:tcW w:w="380" w:type="dxa"/>
            <w:vAlign w:val="bottom"/>
          </w:tcPr>
          <w:p>
            <w:pPr>
              <w:spacing w:after="0"/>
              <w:rPr>
                <w:sz w:val="16"/>
                <w:szCs w:val="16"/>
                <w:color w:val="auto"/>
              </w:rPr>
            </w:pPr>
          </w:p>
        </w:tc>
        <w:tc>
          <w:tcPr>
            <w:tcW w:w="720" w:type="dxa"/>
            <w:vAlign w:val="bottom"/>
          </w:tcPr>
          <w:p>
            <w:pPr>
              <w:jc w:val="right"/>
              <w:ind w:right="314"/>
              <w:spacing w:after="0"/>
              <w:rPr>
                <w:sz w:val="20"/>
                <w:szCs w:val="20"/>
                <w:color w:val="auto"/>
              </w:rPr>
            </w:pPr>
            <w:r>
              <w:rPr>
                <w:rFonts w:ascii="Arial" w:cs="Arial" w:eastAsia="Arial" w:hAnsi="Arial"/>
                <w:sz w:val="14"/>
                <w:szCs w:val="14"/>
                <w:color w:val="auto"/>
                <w:w w:val="96"/>
              </w:rPr>
              <w:t>Total</w:t>
            </w:r>
          </w:p>
        </w:tc>
      </w:tr>
      <w:tr>
        <w:trPr>
          <w:trHeight w:val="213"/>
        </w:trPr>
        <w:tc>
          <w:tcPr>
            <w:tcW w:w="41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sales</w:t>
            </w:r>
          </w:p>
        </w:tc>
        <w:tc>
          <w:tcPr>
            <w:tcW w:w="12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spacing w:after="0"/>
              <w:rPr>
                <w:sz w:val="18"/>
                <w:szCs w:val="18"/>
                <w:color w:val="auto"/>
              </w:rPr>
            </w:pPr>
          </w:p>
        </w:tc>
      </w:tr>
      <w:tr>
        <w:trPr>
          <w:trHeight w:val="230"/>
        </w:trPr>
        <w:tc>
          <w:tcPr>
            <w:tcW w:w="4160" w:type="dxa"/>
            <w:vAlign w:val="bottom"/>
          </w:tcPr>
          <w:p>
            <w:pPr>
              <w:ind w:left="360"/>
              <w:spacing w:after="0"/>
              <w:rPr>
                <w:sz w:val="20"/>
                <w:szCs w:val="20"/>
                <w:color w:val="auto"/>
              </w:rPr>
            </w:pPr>
            <w:r>
              <w:rPr>
                <w:rFonts w:ascii="Arial" w:cs="Arial" w:eastAsia="Arial" w:hAnsi="Arial"/>
                <w:sz w:val="18"/>
                <w:szCs w:val="18"/>
                <w:color w:val="auto"/>
              </w:rPr>
              <w:t>Vascular Interventions &amp; Therapies</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30,689</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3,211</w:t>
            </w:r>
          </w:p>
        </w:tc>
        <w:tc>
          <w:tcPr>
            <w:tcW w:w="100" w:type="dxa"/>
            <w:vAlign w:val="bottom"/>
          </w:tcPr>
          <w:p>
            <w:pPr>
              <w:spacing w:after="0"/>
              <w:rPr>
                <w:sz w:val="19"/>
                <w:szCs w:val="19"/>
                <w:color w:val="auto"/>
              </w:rPr>
            </w:pP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33,900</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27,601</w:t>
            </w:r>
          </w:p>
        </w:tc>
        <w:tc>
          <w:tcPr>
            <w:tcW w:w="12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3,549</w:t>
            </w:r>
          </w:p>
        </w:tc>
        <w:tc>
          <w:tcPr>
            <w:tcW w:w="120" w:type="dxa"/>
            <w:vAlign w:val="bottom"/>
          </w:tcPr>
          <w:p>
            <w:pPr>
              <w:spacing w:after="0"/>
              <w:rPr>
                <w:sz w:val="19"/>
                <w:szCs w:val="19"/>
                <w:color w:val="auto"/>
              </w:rPr>
            </w:pPr>
          </w:p>
        </w:tc>
        <w:tc>
          <w:tcPr>
            <w:tcW w:w="380" w:type="dxa"/>
            <w:vAlign w:val="bottom"/>
          </w:tcPr>
          <w:p>
            <w:pPr>
              <w:jc w:val="right"/>
              <w:ind w:right="190"/>
              <w:spacing w:after="0"/>
              <w:rPr>
                <w:sz w:val="20"/>
                <w:szCs w:val="20"/>
                <w:color w:val="auto"/>
              </w:rPr>
            </w:pPr>
            <w:r>
              <w:rPr>
                <w:rFonts w:ascii="Arial" w:cs="Arial" w:eastAsia="Arial" w:hAnsi="Arial"/>
                <w:sz w:val="18"/>
                <w:szCs w:val="18"/>
                <w:color w:val="auto"/>
                <w:w w:val="79"/>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31,150</w:t>
            </w:r>
          </w:p>
        </w:tc>
      </w:tr>
      <w:tr>
        <w:trPr>
          <w:trHeight w:val="230"/>
        </w:trPr>
        <w:tc>
          <w:tcPr>
            <w:tcW w:w="41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Vascular Access</w:t>
            </w:r>
          </w:p>
        </w:tc>
        <w:tc>
          <w:tcPr>
            <w:tcW w:w="12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20,161</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3,769</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23,930</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18,563</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4,221</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22,784</w:t>
            </w:r>
          </w:p>
        </w:tc>
      </w:tr>
      <w:tr>
        <w:trPr>
          <w:trHeight w:val="229"/>
        </w:trPr>
        <w:tc>
          <w:tcPr>
            <w:tcW w:w="4160" w:type="dxa"/>
            <w:vAlign w:val="bottom"/>
            <w:tcBorders>
              <w:bottom w:val="single" w:sz="8" w:color="CCEEFF"/>
            </w:tcBorders>
          </w:tcPr>
          <w:p>
            <w:pPr>
              <w:ind w:left="360"/>
              <w:spacing w:after="0"/>
              <w:rPr>
                <w:sz w:val="20"/>
                <w:szCs w:val="20"/>
                <w:color w:val="auto"/>
              </w:rPr>
            </w:pPr>
            <w:r>
              <w:rPr>
                <w:rFonts w:ascii="Arial" w:cs="Arial" w:eastAsia="Arial" w:hAnsi="Arial"/>
                <w:sz w:val="18"/>
                <w:szCs w:val="18"/>
                <w:color w:val="auto"/>
              </w:rPr>
              <w:t>Oncology</w:t>
            </w:r>
          </w:p>
        </w:tc>
        <w:tc>
          <w:tcPr>
            <w:tcW w:w="12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9,834</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5,106</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14,940</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9,391</w:t>
            </w:r>
          </w:p>
        </w:tc>
        <w:tc>
          <w:tcPr>
            <w:tcW w:w="12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6,678</w:t>
            </w:r>
          </w:p>
        </w:tc>
        <w:tc>
          <w:tcPr>
            <w:tcW w:w="12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w w:val="79"/>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16,069</w:t>
            </w:r>
          </w:p>
        </w:tc>
      </w:tr>
      <w:tr>
        <w:trPr>
          <w:trHeight w:val="248"/>
        </w:trPr>
        <w:tc>
          <w:tcPr>
            <w:tcW w:w="4160" w:type="dxa"/>
            <w:vAlign w:val="bottom"/>
            <w:tcBorders>
              <w:bottom w:val="single" w:sz="8" w:color="CCEEFF"/>
            </w:tcBorders>
            <w:shd w:val="clear" w:color="auto" w:fill="CCEEFF"/>
          </w:tcPr>
          <w:p>
            <w:pPr>
              <w:ind w:left="680"/>
              <w:spacing w:after="0"/>
              <w:rPr>
                <w:sz w:val="20"/>
                <w:szCs w:val="20"/>
                <w:color w:val="auto"/>
              </w:rPr>
            </w:pPr>
            <w:r>
              <w:rPr>
                <w:rFonts w:ascii="Arial" w:cs="Arial" w:eastAsia="Arial" w:hAnsi="Arial"/>
                <w:sz w:val="18"/>
                <w:szCs w:val="18"/>
                <w:color w:val="auto"/>
              </w:rPr>
              <w:t>Total</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60,684</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12,086</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72,770</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55,555</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14,448</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70,003</w:t>
            </w:r>
          </w:p>
        </w:tc>
      </w:tr>
      <w:tr>
        <w:trPr>
          <w:trHeight w:val="20"/>
        </w:trPr>
        <w:tc>
          <w:tcPr>
            <w:tcW w:w="41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 w:name="page11"/>
    <w:bookmarkEnd w:id="10"/>
    <w:tbl>
      <w:tblPr>
        <w:tblLayout w:type="fixed"/>
        <w:tblInd w:w="0" w:type="dxa"/>
        <w:tblCellMar>
          <w:top w:w="0" w:type="dxa"/>
          <w:left w:w="0" w:type="dxa"/>
          <w:bottom w:w="0" w:type="dxa"/>
          <w:right w:w="0" w:type="dxa"/>
        </w:tblCellMar>
      </w:tblPr>
      <w:tr>
        <w:trPr>
          <w:trHeight w:val="182"/>
        </w:trPr>
        <w:tc>
          <w:tcPr>
            <w:tcW w:w="4120" w:type="dxa"/>
            <w:vAlign w:val="bottom"/>
          </w:tcPr>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tc>
        <w:tc>
          <w:tcPr>
            <w:tcW w:w="14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760" w:type="dxa"/>
            <w:vAlign w:val="bottom"/>
          </w:tcPr>
          <w:p>
            <w:pPr>
              <w:spacing w:after="0"/>
              <w:rPr>
                <w:sz w:val="15"/>
                <w:szCs w:val="15"/>
                <w:color w:val="auto"/>
              </w:rPr>
            </w:pPr>
          </w:p>
        </w:tc>
      </w:tr>
      <w:tr>
        <w:trPr>
          <w:trHeight w:val="816"/>
        </w:trPr>
        <w:tc>
          <w:tcPr>
            <w:tcW w:w="412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620" w:type="dxa"/>
            <w:vAlign w:val="bottom"/>
            <w:tcBorders>
              <w:bottom w:val="single" w:sz="8" w:color="auto"/>
            </w:tcBorders>
            <w:gridSpan w:val="6"/>
          </w:tcPr>
          <w:p>
            <w:pPr>
              <w:jc w:val="center"/>
              <w:ind w:left="516"/>
              <w:spacing w:after="0"/>
              <w:rPr>
                <w:sz w:val="20"/>
                <w:szCs w:val="20"/>
                <w:color w:val="auto"/>
              </w:rPr>
            </w:pPr>
            <w:r>
              <w:rPr>
                <w:rFonts w:ascii="Arial" w:cs="Arial" w:eastAsia="Arial" w:hAnsi="Arial"/>
                <w:sz w:val="14"/>
                <w:szCs w:val="14"/>
                <w:color w:val="auto"/>
                <w:w w:val="94"/>
              </w:rPr>
              <w:t>Six Months Ended Nov 30, 2020</w:t>
            </w:r>
          </w:p>
        </w:tc>
        <w:tc>
          <w:tcPr>
            <w:tcW w:w="74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620" w:type="dxa"/>
            <w:vAlign w:val="bottom"/>
            <w:tcBorders>
              <w:bottom w:val="single" w:sz="8" w:color="auto"/>
            </w:tcBorders>
            <w:gridSpan w:val="6"/>
          </w:tcPr>
          <w:p>
            <w:pPr>
              <w:jc w:val="center"/>
              <w:ind w:left="556"/>
              <w:spacing w:after="0"/>
              <w:rPr>
                <w:sz w:val="20"/>
                <w:szCs w:val="20"/>
                <w:color w:val="auto"/>
              </w:rPr>
            </w:pPr>
            <w:r>
              <w:rPr>
                <w:rFonts w:ascii="Arial" w:cs="Arial" w:eastAsia="Arial" w:hAnsi="Arial"/>
                <w:sz w:val="14"/>
                <w:szCs w:val="14"/>
                <w:color w:val="auto"/>
                <w:w w:val="94"/>
              </w:rPr>
              <w:t>Six Months Ended Nov 30, 2019</w:t>
            </w:r>
          </w:p>
        </w:tc>
        <w:tc>
          <w:tcPr>
            <w:tcW w:w="760" w:type="dxa"/>
            <w:vAlign w:val="bottom"/>
            <w:tcBorders>
              <w:bottom w:val="single" w:sz="8" w:color="auto"/>
            </w:tcBorders>
          </w:tcPr>
          <w:p>
            <w:pPr>
              <w:spacing w:after="0"/>
              <w:rPr>
                <w:sz w:val="24"/>
                <w:szCs w:val="24"/>
                <w:color w:val="auto"/>
              </w:rPr>
            </w:pPr>
          </w:p>
        </w:tc>
      </w:tr>
      <w:tr>
        <w:trPr>
          <w:trHeight w:val="186"/>
        </w:trPr>
        <w:tc>
          <w:tcPr>
            <w:tcW w:w="4120" w:type="dxa"/>
            <w:vAlign w:val="bottom"/>
          </w:tcPr>
          <w:p>
            <w:pPr>
              <w:ind w:left="20"/>
              <w:spacing w:after="0"/>
              <w:rPr>
                <w:sz w:val="20"/>
                <w:szCs w:val="20"/>
                <w:color w:val="auto"/>
              </w:rPr>
            </w:pPr>
            <w:r>
              <w:rPr>
                <w:rFonts w:ascii="Arial" w:cs="Arial" w:eastAsia="Arial" w:hAnsi="Arial"/>
                <w:sz w:val="14"/>
                <w:szCs w:val="14"/>
                <w:color w:val="auto"/>
              </w:rPr>
              <w:t>(in thousands)</w:t>
            </w:r>
          </w:p>
        </w:tc>
        <w:tc>
          <w:tcPr>
            <w:tcW w:w="140" w:type="dxa"/>
            <w:vAlign w:val="bottom"/>
          </w:tcPr>
          <w:p>
            <w:pPr>
              <w:spacing w:after="0"/>
              <w:rPr>
                <w:sz w:val="16"/>
                <w:szCs w:val="16"/>
                <w:color w:val="auto"/>
              </w:rPr>
            </w:pPr>
          </w:p>
        </w:tc>
        <w:tc>
          <w:tcPr>
            <w:tcW w:w="1060" w:type="dxa"/>
            <w:vAlign w:val="bottom"/>
            <w:gridSpan w:val="2"/>
          </w:tcPr>
          <w:p>
            <w:pPr>
              <w:ind w:left="20"/>
              <w:spacing w:after="0"/>
              <w:rPr>
                <w:sz w:val="20"/>
                <w:szCs w:val="20"/>
                <w:color w:val="auto"/>
              </w:rPr>
            </w:pPr>
            <w:r>
              <w:rPr>
                <w:rFonts w:ascii="Arial" w:cs="Arial" w:eastAsia="Arial" w:hAnsi="Arial"/>
                <w:sz w:val="14"/>
                <w:szCs w:val="14"/>
                <w:color w:val="auto"/>
              </w:rPr>
              <w:t>United States</w:t>
            </w:r>
          </w:p>
        </w:tc>
        <w:tc>
          <w:tcPr>
            <w:tcW w:w="160" w:type="dxa"/>
            <w:vAlign w:val="bottom"/>
          </w:tcPr>
          <w:p>
            <w:pPr>
              <w:spacing w:after="0"/>
              <w:rPr>
                <w:sz w:val="16"/>
                <w:szCs w:val="16"/>
                <w:color w:val="auto"/>
              </w:rPr>
            </w:pPr>
          </w:p>
        </w:tc>
        <w:tc>
          <w:tcPr>
            <w:tcW w:w="1040" w:type="dxa"/>
            <w:vAlign w:val="bottom"/>
            <w:gridSpan w:val="2"/>
          </w:tcPr>
          <w:p>
            <w:pPr>
              <w:jc w:val="center"/>
              <w:ind w:right="260"/>
              <w:spacing w:after="0"/>
              <w:rPr>
                <w:sz w:val="20"/>
                <w:szCs w:val="20"/>
                <w:color w:val="auto"/>
              </w:rPr>
            </w:pPr>
            <w:r>
              <w:rPr>
                <w:rFonts w:ascii="Arial" w:cs="Arial" w:eastAsia="Arial" w:hAnsi="Arial"/>
                <w:sz w:val="14"/>
                <w:szCs w:val="14"/>
                <w:color w:val="auto"/>
                <w:w w:val="95"/>
              </w:rPr>
              <w:t>International</w:t>
            </w:r>
          </w:p>
        </w:tc>
        <w:tc>
          <w:tcPr>
            <w:tcW w:w="360" w:type="dxa"/>
            <w:vAlign w:val="bottom"/>
          </w:tcPr>
          <w:p>
            <w:pPr>
              <w:spacing w:after="0"/>
              <w:rPr>
                <w:sz w:val="16"/>
                <w:szCs w:val="16"/>
                <w:color w:val="auto"/>
              </w:rPr>
            </w:pPr>
          </w:p>
        </w:tc>
        <w:tc>
          <w:tcPr>
            <w:tcW w:w="740" w:type="dxa"/>
            <w:vAlign w:val="bottom"/>
          </w:tcPr>
          <w:p>
            <w:pPr>
              <w:jc w:val="right"/>
              <w:ind w:right="314"/>
              <w:spacing w:after="0"/>
              <w:rPr>
                <w:sz w:val="20"/>
                <w:szCs w:val="20"/>
                <w:color w:val="auto"/>
              </w:rPr>
            </w:pPr>
            <w:r>
              <w:rPr>
                <w:rFonts w:ascii="Arial" w:cs="Arial" w:eastAsia="Arial" w:hAnsi="Arial"/>
                <w:sz w:val="14"/>
                <w:szCs w:val="14"/>
                <w:color w:val="auto"/>
              </w:rPr>
              <w:t>Total</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80" w:type="dxa"/>
            <w:vAlign w:val="bottom"/>
            <w:gridSpan w:val="2"/>
          </w:tcPr>
          <w:p>
            <w:pPr>
              <w:ind w:left="40"/>
              <w:spacing w:after="0"/>
              <w:rPr>
                <w:sz w:val="20"/>
                <w:szCs w:val="20"/>
                <w:color w:val="auto"/>
              </w:rPr>
            </w:pPr>
            <w:r>
              <w:rPr>
                <w:rFonts w:ascii="Arial" w:cs="Arial" w:eastAsia="Arial" w:hAnsi="Arial"/>
                <w:sz w:val="14"/>
                <w:szCs w:val="14"/>
                <w:color w:val="auto"/>
              </w:rPr>
              <w:t>United States</w:t>
            </w:r>
          </w:p>
        </w:tc>
        <w:tc>
          <w:tcPr>
            <w:tcW w:w="140" w:type="dxa"/>
            <w:vAlign w:val="bottom"/>
          </w:tcPr>
          <w:p>
            <w:pPr>
              <w:spacing w:after="0"/>
              <w:rPr>
                <w:sz w:val="16"/>
                <w:szCs w:val="16"/>
                <w:color w:val="auto"/>
              </w:rPr>
            </w:pPr>
          </w:p>
        </w:tc>
        <w:tc>
          <w:tcPr>
            <w:tcW w:w="1060" w:type="dxa"/>
            <w:vAlign w:val="bottom"/>
            <w:gridSpan w:val="2"/>
          </w:tcPr>
          <w:p>
            <w:pPr>
              <w:jc w:val="center"/>
              <w:ind w:right="260"/>
              <w:spacing w:after="0"/>
              <w:rPr>
                <w:sz w:val="20"/>
                <w:szCs w:val="20"/>
                <w:color w:val="auto"/>
              </w:rPr>
            </w:pPr>
            <w:r>
              <w:rPr>
                <w:rFonts w:ascii="Arial" w:cs="Arial" w:eastAsia="Arial" w:hAnsi="Arial"/>
                <w:sz w:val="14"/>
                <w:szCs w:val="14"/>
                <w:color w:val="auto"/>
                <w:w w:val="93"/>
              </w:rPr>
              <w:t>International</w:t>
            </w:r>
          </w:p>
        </w:tc>
        <w:tc>
          <w:tcPr>
            <w:tcW w:w="340" w:type="dxa"/>
            <w:vAlign w:val="bottom"/>
          </w:tcPr>
          <w:p>
            <w:pPr>
              <w:spacing w:after="0"/>
              <w:rPr>
                <w:sz w:val="16"/>
                <w:szCs w:val="16"/>
                <w:color w:val="auto"/>
              </w:rPr>
            </w:pPr>
          </w:p>
        </w:tc>
        <w:tc>
          <w:tcPr>
            <w:tcW w:w="760" w:type="dxa"/>
            <w:vAlign w:val="bottom"/>
          </w:tcPr>
          <w:p>
            <w:pPr>
              <w:jc w:val="right"/>
              <w:ind w:right="314"/>
              <w:spacing w:after="0"/>
              <w:rPr>
                <w:sz w:val="20"/>
                <w:szCs w:val="20"/>
                <w:color w:val="auto"/>
              </w:rPr>
            </w:pPr>
            <w:r>
              <w:rPr>
                <w:rFonts w:ascii="Arial" w:cs="Arial" w:eastAsia="Arial" w:hAnsi="Arial"/>
                <w:sz w:val="14"/>
                <w:szCs w:val="14"/>
                <w:color w:val="auto"/>
              </w:rPr>
              <w:t>Total</w:t>
            </w:r>
          </w:p>
        </w:tc>
      </w:tr>
      <w:tr>
        <w:trPr>
          <w:trHeight w:val="213"/>
        </w:trPr>
        <w:tc>
          <w:tcPr>
            <w:tcW w:w="41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sales</w:t>
            </w:r>
          </w:p>
        </w:tc>
        <w:tc>
          <w:tcPr>
            <w:tcW w:w="14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spacing w:after="0"/>
              <w:rPr>
                <w:sz w:val="18"/>
                <w:szCs w:val="18"/>
                <w:color w:val="auto"/>
              </w:rPr>
            </w:pPr>
          </w:p>
        </w:tc>
      </w:tr>
      <w:tr>
        <w:trPr>
          <w:trHeight w:val="230"/>
        </w:trPr>
        <w:tc>
          <w:tcPr>
            <w:tcW w:w="4120" w:type="dxa"/>
            <w:vAlign w:val="bottom"/>
          </w:tcPr>
          <w:p>
            <w:pPr>
              <w:ind w:left="360"/>
              <w:spacing w:after="0"/>
              <w:rPr>
                <w:sz w:val="20"/>
                <w:szCs w:val="20"/>
                <w:color w:val="auto"/>
              </w:rPr>
            </w:pPr>
            <w:r>
              <w:rPr>
                <w:rFonts w:ascii="Arial" w:cs="Arial" w:eastAsia="Arial" w:hAnsi="Arial"/>
                <w:sz w:val="18"/>
                <w:szCs w:val="18"/>
                <w:color w:val="auto"/>
              </w:rPr>
              <w:t>Vascular Interventions &amp; Therapies</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57,669</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6,088</w:t>
            </w:r>
          </w:p>
        </w:tc>
        <w:tc>
          <w:tcPr>
            <w:tcW w:w="100" w:type="dxa"/>
            <w:vAlign w:val="bottom"/>
          </w:tcPr>
          <w:p>
            <w:pPr>
              <w:spacing w:after="0"/>
              <w:rPr>
                <w:sz w:val="19"/>
                <w:szCs w:val="19"/>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63,757</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53,277</w:t>
            </w:r>
          </w:p>
        </w:tc>
        <w:tc>
          <w:tcPr>
            <w:tcW w:w="12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6,786</w:t>
            </w:r>
          </w:p>
        </w:tc>
        <w:tc>
          <w:tcPr>
            <w:tcW w:w="120" w:type="dxa"/>
            <w:vAlign w:val="bottom"/>
          </w:tcPr>
          <w:p>
            <w:pPr>
              <w:spacing w:after="0"/>
              <w:rPr>
                <w:sz w:val="19"/>
                <w:szCs w:val="19"/>
                <w:color w:val="auto"/>
              </w:rPr>
            </w:pP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60,063</w:t>
            </w:r>
          </w:p>
        </w:tc>
      </w:tr>
      <w:tr>
        <w:trPr>
          <w:trHeight w:val="229"/>
        </w:trPr>
        <w:tc>
          <w:tcPr>
            <w:tcW w:w="41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Vascular Access</w:t>
            </w:r>
          </w:p>
        </w:tc>
        <w:tc>
          <w:tcPr>
            <w:tcW w:w="14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39,383</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12,652</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52,035</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37,847</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8,096</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45,943</w:t>
            </w:r>
          </w:p>
        </w:tc>
      </w:tr>
      <w:tr>
        <w:trPr>
          <w:trHeight w:val="229"/>
        </w:trPr>
        <w:tc>
          <w:tcPr>
            <w:tcW w:w="4120" w:type="dxa"/>
            <w:vAlign w:val="bottom"/>
            <w:tcBorders>
              <w:bottom w:val="single" w:sz="8" w:color="CCEEFF"/>
            </w:tcBorders>
          </w:tcPr>
          <w:p>
            <w:pPr>
              <w:ind w:left="360"/>
              <w:spacing w:after="0"/>
              <w:rPr>
                <w:sz w:val="20"/>
                <w:szCs w:val="20"/>
                <w:color w:val="auto"/>
              </w:rPr>
            </w:pPr>
            <w:r>
              <w:rPr>
                <w:rFonts w:ascii="Arial" w:cs="Arial" w:eastAsia="Arial" w:hAnsi="Arial"/>
                <w:sz w:val="18"/>
                <w:szCs w:val="18"/>
                <w:color w:val="auto"/>
              </w:rPr>
              <w:t>Oncology</w:t>
            </w:r>
          </w:p>
        </w:tc>
        <w:tc>
          <w:tcPr>
            <w:tcW w:w="14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17,740</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9,454</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27,194</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17,368</w:t>
            </w:r>
          </w:p>
        </w:tc>
        <w:tc>
          <w:tcPr>
            <w:tcW w:w="12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12,671</w:t>
            </w:r>
          </w:p>
        </w:tc>
        <w:tc>
          <w:tcPr>
            <w:tcW w:w="12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79"/>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30,039</w:t>
            </w:r>
          </w:p>
        </w:tc>
      </w:tr>
      <w:tr>
        <w:trPr>
          <w:trHeight w:val="248"/>
        </w:trPr>
        <w:tc>
          <w:tcPr>
            <w:tcW w:w="4120" w:type="dxa"/>
            <w:vAlign w:val="bottom"/>
            <w:tcBorders>
              <w:bottom w:val="single" w:sz="8" w:color="CCEEFF"/>
            </w:tcBorders>
            <w:shd w:val="clear" w:color="auto" w:fill="CCEEFF"/>
          </w:tcPr>
          <w:p>
            <w:pPr>
              <w:ind w:left="680"/>
              <w:spacing w:after="0"/>
              <w:rPr>
                <w:sz w:val="20"/>
                <w:szCs w:val="20"/>
                <w:color w:val="auto"/>
              </w:rPr>
            </w:pPr>
            <w:r>
              <w:rPr>
                <w:rFonts w:ascii="Arial" w:cs="Arial" w:eastAsia="Arial" w:hAnsi="Arial"/>
                <w:sz w:val="18"/>
                <w:szCs w:val="18"/>
                <w:color w:val="auto"/>
              </w:rPr>
              <w:t>Total</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114,792</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28,194</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142,986</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108,492</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27,553</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136,045</w:t>
            </w:r>
          </w:p>
        </w:tc>
      </w:tr>
      <w:tr>
        <w:trPr>
          <w:trHeight w:val="20"/>
        </w:trPr>
        <w:tc>
          <w:tcPr>
            <w:tcW w:w="4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r>
    </w:tbl>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Net Product Revenue</w:t>
      </w:r>
    </w:p>
    <w:p>
      <w:pPr>
        <w:spacing w:after="0" w:line="162" w:lineRule="exact"/>
        <w:rPr>
          <w:sz w:val="20"/>
          <w:szCs w:val="20"/>
          <w:color w:val="auto"/>
        </w:rPr>
      </w:pPr>
    </w:p>
    <w:p>
      <w:pPr>
        <w:ind w:right="100" w:firstLine="405"/>
        <w:spacing w:after="0" w:line="275" w:lineRule="auto"/>
        <w:rPr>
          <w:sz w:val="20"/>
          <w:szCs w:val="20"/>
          <w:color w:val="auto"/>
        </w:rPr>
      </w:pPr>
      <w:r>
        <w:rPr>
          <w:rFonts w:ascii="Arial" w:cs="Arial" w:eastAsia="Arial" w:hAnsi="Arial"/>
          <w:sz w:val="17"/>
          <w:szCs w:val="17"/>
          <w:color w:val="auto"/>
        </w:rPr>
        <w:t>The Company's products consist of a wide range of medical, surgical and diagnostic devices used by professional healthcare providers for vascular access, for the treatment of peripheral vascular disease and for use in oncology and surgical settings. The Company's devices are generally used in minimally invasive, image-guided procedures. Most of the Company's products are intended to be used once and then discarded, or they may be implanted for short or long term use. The Company sells its products to its distribution partners and to end users, such as interventional radiologists, interventional cardiologists, vascular surgeons, urologists, interventional and surgical oncologists and critical care nurses.</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Contracts and Performance Obligations</w:t>
      </w:r>
    </w:p>
    <w:p>
      <w:pPr>
        <w:spacing w:after="0" w:line="171" w:lineRule="exact"/>
        <w:rPr>
          <w:sz w:val="20"/>
          <w:szCs w:val="20"/>
          <w:color w:val="auto"/>
        </w:rPr>
      </w:pPr>
    </w:p>
    <w:p>
      <w:pPr>
        <w:ind w:right="40" w:firstLine="405"/>
        <w:spacing w:after="0" w:line="301" w:lineRule="auto"/>
        <w:rPr>
          <w:sz w:val="20"/>
          <w:szCs w:val="20"/>
          <w:color w:val="auto"/>
        </w:rPr>
      </w:pPr>
      <w:r>
        <w:rPr>
          <w:rFonts w:ascii="Arial" w:cs="Arial" w:eastAsia="Arial" w:hAnsi="Arial"/>
          <w:sz w:val="16"/>
          <w:szCs w:val="16"/>
          <w:color w:val="auto"/>
        </w:rPr>
        <w:t>The Company contracts with its customers based on customer purchase orders, which in many cases are governed by master purchasing agreements. The Company’s contracts with customers are generally for product only, and do not include other performance obligations such as services or other material rights. As part of its assessment of each contract, the Company evaluates certain factors including the customer’s ability to pay (or credit risk). For each contract, the Company considers the promise to transfer products, each of which is distinct, to be the identified performance obligations.</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Transaction Price and Allocation to Performance Obligations</w:t>
      </w:r>
    </w:p>
    <w:p>
      <w:pPr>
        <w:spacing w:after="0" w:line="171" w:lineRule="exact"/>
        <w:rPr>
          <w:sz w:val="20"/>
          <w:szCs w:val="20"/>
          <w:color w:val="auto"/>
        </w:rPr>
      </w:pPr>
    </w:p>
    <w:p>
      <w:pPr>
        <w:jc w:val="both"/>
        <w:ind w:right="360" w:firstLine="405"/>
        <w:spacing w:after="0" w:line="259" w:lineRule="auto"/>
        <w:rPr>
          <w:sz w:val="20"/>
          <w:szCs w:val="20"/>
          <w:color w:val="auto"/>
        </w:rPr>
      </w:pPr>
      <w:r>
        <w:rPr>
          <w:rFonts w:ascii="Arial" w:cs="Arial" w:eastAsia="Arial" w:hAnsi="Arial"/>
          <w:sz w:val="18"/>
          <w:szCs w:val="18"/>
          <w:color w:val="auto"/>
        </w:rPr>
        <w:t>Transaction prices of products are typically based on contracted rates. Product revenue is measured as the amount of consideration the Company expects to receive in exchange for transferring products to a customer. To the extent the transaction price includes variable consideration, the Company estimates the amount of variable consideration that should be included in the transaction price utilizing the expected value method. As such, revenue is recorded net of rebates, returns and other deductions.</w:t>
      </w:r>
    </w:p>
    <w:p>
      <w:pPr>
        <w:spacing w:after="0" w:line="133" w:lineRule="exact"/>
        <w:rPr>
          <w:sz w:val="20"/>
          <w:szCs w:val="20"/>
          <w:color w:val="auto"/>
        </w:rPr>
      </w:pPr>
    </w:p>
    <w:p>
      <w:pPr>
        <w:ind w:right="280" w:firstLine="405"/>
        <w:spacing w:after="0" w:line="259" w:lineRule="auto"/>
        <w:rPr>
          <w:sz w:val="20"/>
          <w:szCs w:val="20"/>
          <w:color w:val="auto"/>
        </w:rPr>
      </w:pPr>
      <w:r>
        <w:rPr>
          <w:rFonts w:ascii="Arial" w:cs="Arial" w:eastAsia="Arial" w:hAnsi="Arial"/>
          <w:sz w:val="18"/>
          <w:szCs w:val="18"/>
          <w:color w:val="auto"/>
        </w:rPr>
        <w:t>If a contract contains a single performance obligation, the entire transaction price is allocated to the single performance obligation. Contracts that contain multiple performance obligations require an allocation of the transaction price based on the estimated relative standalone selling prices of the promised products underlying each performance obligation. The Company has standard pricing for its products and determines standalone selling prices based on the price at which the performance obligation is sold separately.</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Revenue Recognition</w:t>
      </w:r>
    </w:p>
    <w:p>
      <w:pPr>
        <w:spacing w:after="0" w:line="171" w:lineRule="exact"/>
        <w:rPr>
          <w:sz w:val="20"/>
          <w:szCs w:val="20"/>
          <w:color w:val="auto"/>
        </w:rPr>
      </w:pPr>
    </w:p>
    <w:p>
      <w:pPr>
        <w:ind w:right="80" w:firstLine="405"/>
        <w:spacing w:after="0" w:line="263" w:lineRule="auto"/>
        <w:rPr>
          <w:sz w:val="20"/>
          <w:szCs w:val="20"/>
          <w:color w:val="auto"/>
        </w:rPr>
      </w:pPr>
      <w:r>
        <w:rPr>
          <w:rFonts w:ascii="Arial" w:cs="Arial" w:eastAsia="Arial" w:hAnsi="Arial"/>
          <w:sz w:val="18"/>
          <w:szCs w:val="18"/>
          <w:color w:val="auto"/>
        </w:rPr>
        <w:t>Revenue is recognized when control of the product is transferred to the customer (i.e., when the Company’s performance obligation is satisfied), which occurs at a point in time, and may be upon shipment from the Company’s manufacturing site or delivery to the customer’s named location, based on the contractual shipping terms of a contract.</w:t>
      </w:r>
    </w:p>
    <w:p>
      <w:pPr>
        <w:spacing w:after="0" w:line="130" w:lineRule="exact"/>
        <w:rPr>
          <w:sz w:val="20"/>
          <w:szCs w:val="20"/>
          <w:color w:val="auto"/>
        </w:rPr>
      </w:pPr>
    </w:p>
    <w:p>
      <w:pPr>
        <w:ind w:right="300" w:firstLine="405"/>
        <w:spacing w:after="0" w:line="277" w:lineRule="auto"/>
        <w:rPr>
          <w:sz w:val="20"/>
          <w:szCs w:val="20"/>
          <w:color w:val="auto"/>
        </w:rPr>
      </w:pPr>
      <w:r>
        <w:rPr>
          <w:rFonts w:ascii="Arial" w:cs="Arial" w:eastAsia="Arial" w:hAnsi="Arial"/>
          <w:sz w:val="18"/>
          <w:szCs w:val="18"/>
          <w:color w:val="auto"/>
        </w:rPr>
        <w:t>In determining whether control has transferred, the Company considers if there is a present right to payment from the customer and when physical possession, legal title and risks and rewards of ownership have transferred to the customer.</w:t>
      </w:r>
    </w:p>
    <w:p>
      <w:pPr>
        <w:spacing w:after="0" w:line="116" w:lineRule="exact"/>
        <w:rPr>
          <w:sz w:val="20"/>
          <w:szCs w:val="20"/>
          <w:color w:val="auto"/>
        </w:rPr>
      </w:pPr>
    </w:p>
    <w:p>
      <w:pPr>
        <w:ind w:right="40" w:firstLine="405"/>
        <w:spacing w:after="0" w:line="277" w:lineRule="auto"/>
        <w:rPr>
          <w:sz w:val="20"/>
          <w:szCs w:val="20"/>
          <w:color w:val="auto"/>
        </w:rPr>
      </w:pPr>
      <w:r>
        <w:rPr>
          <w:rFonts w:ascii="Arial" w:cs="Arial" w:eastAsia="Arial" w:hAnsi="Arial"/>
          <w:sz w:val="18"/>
          <w:szCs w:val="18"/>
          <w:color w:val="auto"/>
        </w:rPr>
        <w:t>The Company typically invoices customers upon satisfaction of identified performance obligations. As the Company’s standard payment terms are 30 to 90 days from invoicing, the Company does not provide any significant financing to its customers.</w:t>
      </w:r>
    </w:p>
    <w:p>
      <w:pPr>
        <w:spacing w:after="0" w:line="116" w:lineRule="exact"/>
        <w:rPr>
          <w:sz w:val="20"/>
          <w:szCs w:val="20"/>
          <w:color w:val="auto"/>
        </w:rPr>
      </w:pPr>
    </w:p>
    <w:p>
      <w:pPr>
        <w:ind w:left="340"/>
        <w:spacing w:after="0"/>
        <w:rPr>
          <w:sz w:val="20"/>
          <w:szCs w:val="20"/>
          <w:color w:val="auto"/>
        </w:rPr>
      </w:pPr>
      <w:r>
        <w:rPr>
          <w:rFonts w:ascii="Arial" w:cs="Arial" w:eastAsia="Arial" w:hAnsi="Arial"/>
          <w:sz w:val="18"/>
          <w:szCs w:val="18"/>
          <w:color w:val="auto"/>
        </w:rPr>
        <w:t>Sales, value add, and other taxes collected on behalf of third parties are excluded from revenue.</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Variable Consideration</w:t>
      </w:r>
    </w:p>
    <w:p>
      <w:pPr>
        <w:spacing w:after="0" w:line="171" w:lineRule="exact"/>
        <w:rPr>
          <w:sz w:val="20"/>
          <w:szCs w:val="20"/>
          <w:color w:val="auto"/>
        </w:rPr>
      </w:pPr>
    </w:p>
    <w:p>
      <w:pPr>
        <w:jc w:val="both"/>
        <w:ind w:right="400" w:firstLine="405"/>
        <w:spacing w:after="0" w:line="286" w:lineRule="auto"/>
        <w:rPr>
          <w:sz w:val="20"/>
          <w:szCs w:val="20"/>
          <w:color w:val="auto"/>
        </w:rPr>
      </w:pPr>
      <w:r>
        <w:rPr>
          <w:rFonts w:ascii="Arial" w:cs="Arial" w:eastAsia="Arial" w:hAnsi="Arial"/>
          <w:sz w:val="17"/>
          <w:szCs w:val="17"/>
          <w:color w:val="auto"/>
        </w:rPr>
        <w:t>Revenues from product sales are recorded at the net sales price (transaction price), which includes estimates of variable consideration for which reserves are established for discounts, returns, rebates and allowances that are offered within contracts between the Company and its customers. These reserves are based on the amounts earned or to be claimed on the related sales and are classified as a contra asset.</w:t>
      </w: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1" w:name="page12"/>
    <w:bookmarkEnd w:id="11"/>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right="120" w:firstLine="405"/>
        <w:spacing w:after="0" w:line="257" w:lineRule="auto"/>
        <w:rPr>
          <w:sz w:val="20"/>
          <w:szCs w:val="20"/>
          <w:color w:val="auto"/>
        </w:rPr>
      </w:pPr>
      <w:r>
        <w:rPr>
          <w:rFonts w:ascii="Arial" w:cs="Arial" w:eastAsia="Arial" w:hAnsi="Arial"/>
          <w:sz w:val="18"/>
          <w:szCs w:val="18"/>
          <w:color w:val="auto"/>
        </w:rPr>
        <w:t>Rebates and Allowances: The Company provides certain customers with rebates and allowances that are explicitly stated in the Company’s contracts and are recorded as a reduction of revenue in the period the related product revenue is recognized. The Company establishes a liability for such amounts, which is included in accrued expenses in the accompanying Consolidated Balance Sheets. These rebates and allowances result from performance-based offers that are primarily based on attaining contractually specified sales volumes and administrative fees the Company is required to pay to group purchasing organizations.</w:t>
      </w:r>
    </w:p>
    <w:p>
      <w:pPr>
        <w:spacing w:after="0" w:line="134" w:lineRule="exact"/>
        <w:rPr>
          <w:sz w:val="20"/>
          <w:szCs w:val="20"/>
          <w:color w:val="auto"/>
        </w:rPr>
      </w:pPr>
    </w:p>
    <w:p>
      <w:pPr>
        <w:ind w:right="20" w:firstLine="405"/>
        <w:spacing w:after="0" w:line="273" w:lineRule="auto"/>
        <w:rPr>
          <w:sz w:val="20"/>
          <w:szCs w:val="20"/>
          <w:color w:val="auto"/>
        </w:rPr>
      </w:pPr>
      <w:r>
        <w:rPr>
          <w:rFonts w:ascii="Arial" w:cs="Arial" w:eastAsia="Arial" w:hAnsi="Arial"/>
          <w:sz w:val="17"/>
          <w:szCs w:val="17"/>
          <w:color w:val="auto"/>
        </w:rPr>
        <w:t>Product Returns: The Company generally offers customers a limited right of return. Product returns after 30 days must be pre-approved by the Company and customers may be subject to a 20% restocking charge. To be accepted, a returned product must be unadulterated, undamaged and have at least twelve months remaining prior to its expiration date. The Company estimates the amount of its product sales that may be returned by its customers and records this estimate as a reduction of revenue in the period the related product revenue is recognized. The Company currently estimates product return liabilities using its historical product return information and considers other factors that it believes could significantly impact its expected returns, including product recalls. During the six months ended November 30, 2020, such product returns were not material.</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 Balances with Customers</w:t>
      </w:r>
    </w:p>
    <w:p>
      <w:pPr>
        <w:spacing w:after="0" w:line="162" w:lineRule="exact"/>
        <w:rPr>
          <w:sz w:val="20"/>
          <w:szCs w:val="20"/>
          <w:color w:val="auto"/>
        </w:rPr>
      </w:pPr>
    </w:p>
    <w:p>
      <w:pPr>
        <w:ind w:right="340" w:firstLine="405"/>
        <w:spacing w:after="0" w:line="257" w:lineRule="auto"/>
        <w:rPr>
          <w:sz w:val="20"/>
          <w:szCs w:val="20"/>
          <w:color w:val="auto"/>
        </w:rPr>
      </w:pPr>
      <w:r>
        <w:rPr>
          <w:rFonts w:ascii="Arial" w:cs="Arial" w:eastAsia="Arial" w:hAnsi="Arial"/>
          <w:sz w:val="18"/>
          <w:szCs w:val="18"/>
          <w:color w:val="auto"/>
        </w:rPr>
        <w:t>A receivable is recognized in the period the Company ships the product. Payment terms on invoiced amounts are based on contractual terms with each customer and generally coincide with revenue recognition. Accordingly, the Company does not have any contract assets associated with the future right to invoice its customers. In some cases, if control of the product has not yet transferred to the customer or the timing of the payments made by the customer precedes the Company’s fulfillment of the performance obligation, the Company recognizes a contract liability that is included in deferred revenue in the accompanying Consolidated Balance Sheets.</w:t>
      </w:r>
    </w:p>
    <w:p>
      <w:pPr>
        <w:spacing w:after="0" w:line="134"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following table presents changes in the Company’s receivables, contract assets and contract liabilities with customers: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8260" w:type="dxa"/>
            <w:vAlign w:val="bottom"/>
          </w:tcPr>
          <w:p>
            <w:pPr>
              <w:ind w:left="20"/>
              <w:spacing w:after="0"/>
              <w:rPr>
                <w:sz w:val="20"/>
                <w:szCs w:val="20"/>
                <w:color w:val="auto"/>
              </w:rPr>
            </w:pPr>
            <w:r>
              <w:rPr>
                <w:rFonts w:ascii="Arial" w:cs="Arial" w:eastAsia="Arial" w:hAnsi="Arial"/>
                <w:sz w:val="14"/>
                <w:szCs w:val="14"/>
                <w:color w:val="auto"/>
              </w:rPr>
              <w:t>(in thousands)</w:t>
            </w:r>
          </w:p>
        </w:tc>
        <w:tc>
          <w:tcPr>
            <w:tcW w:w="220" w:type="dxa"/>
            <w:vAlign w:val="bottom"/>
          </w:tcPr>
          <w:p>
            <w:pPr>
              <w:spacing w:after="0"/>
              <w:rPr>
                <w:sz w:val="16"/>
                <w:szCs w:val="16"/>
                <w:color w:val="auto"/>
              </w:rPr>
            </w:pPr>
          </w:p>
        </w:tc>
        <w:tc>
          <w:tcPr>
            <w:tcW w:w="1320" w:type="dxa"/>
            <w:vAlign w:val="bottom"/>
            <w:gridSpan w:val="2"/>
          </w:tcPr>
          <w:p>
            <w:pPr>
              <w:ind w:left="120"/>
              <w:spacing w:after="0"/>
              <w:rPr>
                <w:sz w:val="20"/>
                <w:szCs w:val="20"/>
                <w:color w:val="auto"/>
              </w:rPr>
            </w:pPr>
            <w:r>
              <w:rPr>
                <w:rFonts w:ascii="Arial" w:cs="Arial" w:eastAsia="Arial" w:hAnsi="Arial"/>
                <w:sz w:val="14"/>
                <w:szCs w:val="14"/>
                <w:color w:val="auto"/>
              </w:rPr>
              <w:t>Nov 30, 2020</w:t>
            </w:r>
          </w:p>
        </w:tc>
        <w:tc>
          <w:tcPr>
            <w:tcW w:w="220" w:type="dxa"/>
            <w:vAlign w:val="bottom"/>
          </w:tcPr>
          <w:p>
            <w:pPr>
              <w:spacing w:after="0"/>
              <w:rPr>
                <w:sz w:val="16"/>
                <w:szCs w:val="16"/>
                <w:color w:val="auto"/>
              </w:rPr>
            </w:pPr>
          </w:p>
        </w:tc>
        <w:tc>
          <w:tcPr>
            <w:tcW w:w="1220" w:type="dxa"/>
            <w:vAlign w:val="bottom"/>
          </w:tcPr>
          <w:p>
            <w:pPr>
              <w:jc w:val="right"/>
              <w:ind w:right="235"/>
              <w:spacing w:after="0"/>
              <w:rPr>
                <w:sz w:val="20"/>
                <w:szCs w:val="20"/>
                <w:color w:val="auto"/>
              </w:rPr>
            </w:pPr>
            <w:r>
              <w:rPr>
                <w:rFonts w:ascii="Arial" w:cs="Arial" w:eastAsia="Arial" w:hAnsi="Arial"/>
                <w:sz w:val="14"/>
                <w:szCs w:val="14"/>
                <w:color w:val="auto"/>
              </w:rPr>
              <w:t>May 31, 2020</w:t>
            </w:r>
          </w:p>
        </w:tc>
      </w:tr>
      <w:tr>
        <w:trPr>
          <w:trHeight w:val="229"/>
        </w:trPr>
        <w:tc>
          <w:tcPr>
            <w:tcW w:w="82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Receivables</w:t>
            </w:r>
          </w:p>
        </w:tc>
        <w:tc>
          <w:tcPr>
            <w:tcW w:w="22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33,604</w:t>
            </w: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31,263</w:t>
            </w:r>
          </w:p>
        </w:tc>
      </w:tr>
      <w:tr>
        <w:trPr>
          <w:trHeight w:val="230"/>
        </w:trPr>
        <w:tc>
          <w:tcPr>
            <w:tcW w:w="8260" w:type="dxa"/>
            <w:vAlign w:val="bottom"/>
          </w:tcPr>
          <w:p>
            <w:pPr>
              <w:ind w:left="20"/>
              <w:spacing w:after="0"/>
              <w:rPr>
                <w:sz w:val="20"/>
                <w:szCs w:val="20"/>
                <w:color w:val="auto"/>
              </w:rPr>
            </w:pPr>
            <w:r>
              <w:rPr>
                <w:rFonts w:ascii="Arial" w:cs="Arial" w:eastAsia="Arial" w:hAnsi="Arial"/>
                <w:sz w:val="18"/>
                <w:szCs w:val="18"/>
                <w:color w:val="auto"/>
              </w:rPr>
              <w:t>Contract assets</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3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826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Contract liabilities</w:t>
            </w: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406</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545</w:t>
            </w:r>
          </w:p>
        </w:tc>
      </w:tr>
    </w:tbl>
    <w:p>
      <w:pPr>
        <w:spacing w:after="0" w:line="148" w:lineRule="exact"/>
        <w:rPr>
          <w:sz w:val="20"/>
          <w:szCs w:val="20"/>
          <w:color w:val="auto"/>
        </w:rPr>
      </w:pPr>
    </w:p>
    <w:p>
      <w:pPr>
        <w:ind w:right="40" w:firstLine="405"/>
        <w:spacing w:after="0" w:line="277" w:lineRule="auto"/>
        <w:rPr>
          <w:sz w:val="20"/>
          <w:szCs w:val="20"/>
          <w:color w:val="auto"/>
        </w:rPr>
      </w:pPr>
      <w:r>
        <w:rPr>
          <w:rFonts w:ascii="Arial" w:cs="Arial" w:eastAsia="Arial" w:hAnsi="Arial"/>
          <w:sz w:val="18"/>
          <w:szCs w:val="18"/>
          <w:color w:val="auto"/>
        </w:rPr>
        <w:t>During the six months ended November 30, 2020, the Company had additions to contract liabilities of $0.6 million. This was offset by $0.7 million in revenue that was recognized during the six months ended November 30, 2020.</w:t>
      </w:r>
    </w:p>
    <w:p>
      <w:pPr>
        <w:spacing w:after="0" w:line="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Costs to Obtain or Fulfill a Customer Contract</w:t>
      </w:r>
    </w:p>
    <w:p>
      <w:pPr>
        <w:spacing w:after="0" w:line="162" w:lineRule="exact"/>
        <w:rPr>
          <w:sz w:val="20"/>
          <w:szCs w:val="20"/>
          <w:color w:val="auto"/>
        </w:rPr>
      </w:pPr>
    </w:p>
    <w:p>
      <w:pPr>
        <w:ind w:right="40" w:firstLine="405"/>
        <w:spacing w:after="0" w:line="259" w:lineRule="auto"/>
        <w:rPr>
          <w:sz w:val="20"/>
          <w:szCs w:val="20"/>
          <w:color w:val="auto"/>
        </w:rPr>
      </w:pPr>
      <w:r>
        <w:rPr>
          <w:rFonts w:ascii="Arial" w:cs="Arial" w:eastAsia="Arial" w:hAnsi="Arial"/>
          <w:sz w:val="18"/>
          <w:szCs w:val="18"/>
          <w:color w:val="auto"/>
        </w:rPr>
        <w:t>Under ASC 606, the Company recognizes an asset for incremental costs of obtaining a contract with a customer if it expects to recover those costs. The Company’s sales incentive compensation plans qualify for capitalization since these plans are directly related to sales achieved during a period of time. However, the Company has elected the practical expedient under ASC 340-40-25-4 to expense the costs as they are incurred within selling and marketing expenses since the amortization period is less than one year.</w:t>
      </w:r>
    </w:p>
    <w:p>
      <w:pPr>
        <w:spacing w:after="0" w:line="133" w:lineRule="exact"/>
        <w:rPr>
          <w:sz w:val="20"/>
          <w:szCs w:val="20"/>
          <w:color w:val="auto"/>
        </w:rPr>
      </w:pPr>
    </w:p>
    <w:p>
      <w:pPr>
        <w:ind w:right="20" w:firstLine="405"/>
        <w:spacing w:after="0" w:line="311" w:lineRule="auto"/>
        <w:rPr>
          <w:sz w:val="20"/>
          <w:szCs w:val="20"/>
          <w:color w:val="auto"/>
        </w:rPr>
      </w:pPr>
      <w:r>
        <w:rPr>
          <w:rFonts w:ascii="Arial" w:cs="Arial" w:eastAsia="Arial" w:hAnsi="Arial"/>
          <w:sz w:val="16"/>
          <w:szCs w:val="16"/>
          <w:color w:val="auto"/>
        </w:rPr>
        <w:t>The Company accounts for shipping and handling activities related to contracts with customers as costs to fulfill the promise to transfer the associated products. Shipping and handling costs, associated with the distribution of finished products to customers, are recorded in costs of goods sold and are recognized when the related finished product is shipped to the customer. Amounts charged to customers for shipping are recorded in net sales.</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INVENTORIES</w:t>
      </w:r>
    </w:p>
    <w:p>
      <w:pPr>
        <w:spacing w:after="0" w:line="175" w:lineRule="exact"/>
        <w:rPr>
          <w:sz w:val="20"/>
          <w:szCs w:val="20"/>
          <w:color w:val="auto"/>
        </w:rPr>
      </w:pPr>
    </w:p>
    <w:p>
      <w:pPr>
        <w:ind w:left="420"/>
        <w:spacing w:after="0"/>
        <w:rPr>
          <w:sz w:val="20"/>
          <w:szCs w:val="20"/>
          <w:color w:val="auto"/>
        </w:rPr>
      </w:pPr>
      <w:r>
        <w:rPr>
          <w:rFonts w:ascii="Arial" w:cs="Arial" w:eastAsia="Arial" w:hAnsi="Arial"/>
          <w:sz w:val="17"/>
          <w:szCs w:val="17"/>
          <w:color w:val="auto"/>
        </w:rPr>
        <w:t>Inventories are stated at lower of cost and net realizable value (using the first-in, first-out method). Inventories consisted of the following:</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8220" w:type="dxa"/>
            <w:vAlign w:val="bottom"/>
          </w:tcPr>
          <w:p>
            <w:pPr>
              <w:ind w:left="20"/>
              <w:spacing w:after="0"/>
              <w:rPr>
                <w:sz w:val="20"/>
                <w:szCs w:val="20"/>
                <w:color w:val="auto"/>
              </w:rPr>
            </w:pPr>
            <w:r>
              <w:rPr>
                <w:rFonts w:ascii="Arial" w:cs="Arial" w:eastAsia="Arial" w:hAnsi="Arial"/>
                <w:sz w:val="14"/>
                <w:szCs w:val="14"/>
                <w:color w:val="auto"/>
              </w:rPr>
              <w:t>(in thousands)</w:t>
            </w:r>
          </w:p>
        </w:tc>
        <w:tc>
          <w:tcPr>
            <w:tcW w:w="220" w:type="dxa"/>
            <w:vAlign w:val="bottom"/>
          </w:tcPr>
          <w:p>
            <w:pPr>
              <w:spacing w:after="0"/>
              <w:rPr>
                <w:sz w:val="16"/>
                <w:szCs w:val="16"/>
                <w:color w:val="auto"/>
              </w:rPr>
            </w:pPr>
          </w:p>
        </w:tc>
        <w:tc>
          <w:tcPr>
            <w:tcW w:w="1320" w:type="dxa"/>
            <w:vAlign w:val="bottom"/>
            <w:gridSpan w:val="2"/>
          </w:tcPr>
          <w:p>
            <w:pPr>
              <w:ind w:left="120"/>
              <w:spacing w:after="0"/>
              <w:rPr>
                <w:sz w:val="20"/>
                <w:szCs w:val="20"/>
                <w:color w:val="auto"/>
              </w:rPr>
            </w:pPr>
            <w:r>
              <w:rPr>
                <w:rFonts w:ascii="Arial" w:cs="Arial" w:eastAsia="Arial" w:hAnsi="Arial"/>
                <w:sz w:val="14"/>
                <w:szCs w:val="14"/>
                <w:color w:val="auto"/>
              </w:rPr>
              <w:t>Nov 30, 2020</w:t>
            </w:r>
          </w:p>
        </w:tc>
        <w:tc>
          <w:tcPr>
            <w:tcW w:w="220" w:type="dxa"/>
            <w:vAlign w:val="bottom"/>
          </w:tcPr>
          <w:p>
            <w:pPr>
              <w:spacing w:after="0"/>
              <w:rPr>
                <w:sz w:val="16"/>
                <w:szCs w:val="16"/>
                <w:color w:val="auto"/>
              </w:rPr>
            </w:pPr>
          </w:p>
        </w:tc>
        <w:tc>
          <w:tcPr>
            <w:tcW w:w="1240" w:type="dxa"/>
            <w:vAlign w:val="bottom"/>
          </w:tcPr>
          <w:p>
            <w:pPr>
              <w:jc w:val="right"/>
              <w:ind w:right="234"/>
              <w:spacing w:after="0"/>
              <w:rPr>
                <w:sz w:val="20"/>
                <w:szCs w:val="20"/>
                <w:color w:val="auto"/>
              </w:rPr>
            </w:pPr>
            <w:r>
              <w:rPr>
                <w:rFonts w:ascii="Arial" w:cs="Arial" w:eastAsia="Arial" w:hAnsi="Arial"/>
                <w:sz w:val="14"/>
                <w:szCs w:val="14"/>
                <w:color w:val="auto"/>
              </w:rPr>
              <w:t>May 31, 2020</w:t>
            </w:r>
          </w:p>
        </w:tc>
      </w:tr>
      <w:tr>
        <w:trPr>
          <w:trHeight w:val="229"/>
        </w:trPr>
        <w:tc>
          <w:tcPr>
            <w:tcW w:w="82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Raw materials</w:t>
            </w:r>
          </w:p>
        </w:tc>
        <w:tc>
          <w:tcPr>
            <w:tcW w:w="22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21,301</w:t>
            </w: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23,308</w:t>
            </w:r>
          </w:p>
        </w:tc>
      </w:tr>
      <w:tr>
        <w:trPr>
          <w:trHeight w:val="230"/>
        </w:trPr>
        <w:tc>
          <w:tcPr>
            <w:tcW w:w="8220" w:type="dxa"/>
            <w:vAlign w:val="bottom"/>
          </w:tcPr>
          <w:p>
            <w:pPr>
              <w:ind w:left="20"/>
              <w:spacing w:after="0"/>
              <w:rPr>
                <w:sz w:val="20"/>
                <w:szCs w:val="20"/>
                <w:color w:val="auto"/>
              </w:rPr>
            </w:pPr>
            <w:r>
              <w:rPr>
                <w:rFonts w:ascii="Arial" w:cs="Arial" w:eastAsia="Arial" w:hAnsi="Arial"/>
                <w:sz w:val="18"/>
                <w:szCs w:val="18"/>
                <w:color w:val="auto"/>
              </w:rPr>
              <w:t>Work in process</w:t>
            </w:r>
          </w:p>
        </w:tc>
        <w:tc>
          <w:tcPr>
            <w:tcW w:w="2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7,957</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8,318</w:t>
            </w:r>
          </w:p>
        </w:tc>
      </w:tr>
      <w:tr>
        <w:trPr>
          <w:trHeight w:val="229"/>
        </w:trPr>
        <w:tc>
          <w:tcPr>
            <w:tcW w:w="8220" w:type="dxa"/>
            <w:vAlign w:val="bottom"/>
            <w:shd w:val="clear" w:color="auto" w:fill="CCEEFF"/>
          </w:tcPr>
          <w:p>
            <w:pPr>
              <w:ind w:left="20"/>
              <w:spacing w:after="0"/>
              <w:rPr>
                <w:sz w:val="20"/>
                <w:szCs w:val="20"/>
                <w:color w:val="auto"/>
              </w:rPr>
            </w:pPr>
            <w:r>
              <w:rPr>
                <w:rFonts w:ascii="Arial" w:cs="Arial" w:eastAsia="Arial" w:hAnsi="Arial"/>
                <w:sz w:val="18"/>
                <w:szCs w:val="18"/>
                <w:color w:val="auto"/>
              </w:rPr>
              <w:t>Finished goods</w:t>
            </w:r>
          </w:p>
        </w:tc>
        <w:tc>
          <w:tcPr>
            <w:tcW w:w="22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20,324</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28,279</w:t>
            </w:r>
          </w:p>
        </w:tc>
      </w:tr>
      <w:tr>
        <w:trPr>
          <w:trHeight w:val="223"/>
        </w:trPr>
        <w:tc>
          <w:tcPr>
            <w:tcW w:w="8220" w:type="dxa"/>
            <w:vAlign w:val="bottom"/>
          </w:tcPr>
          <w:p>
            <w:pPr>
              <w:ind w:left="360"/>
              <w:spacing w:after="0"/>
              <w:rPr>
                <w:sz w:val="20"/>
                <w:szCs w:val="20"/>
                <w:color w:val="auto"/>
              </w:rPr>
            </w:pPr>
            <w:r>
              <w:rPr>
                <w:rFonts w:ascii="Arial" w:cs="Arial" w:eastAsia="Arial" w:hAnsi="Arial"/>
                <w:sz w:val="18"/>
                <w:szCs w:val="18"/>
                <w:color w:val="auto"/>
              </w:rPr>
              <w:t>Inventories</w:t>
            </w:r>
          </w:p>
        </w:tc>
        <w:tc>
          <w:tcPr>
            <w:tcW w:w="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49,582</w:t>
            </w:r>
          </w:p>
        </w:tc>
        <w:tc>
          <w:tcPr>
            <w:tcW w:w="100" w:type="dxa"/>
            <w:vAlign w:val="bottom"/>
          </w:tcPr>
          <w:p>
            <w:pPr>
              <w:spacing w:after="0"/>
              <w:rPr>
                <w:sz w:val="19"/>
                <w:szCs w:val="19"/>
                <w:color w:val="auto"/>
              </w:rPr>
            </w:pPr>
          </w:p>
        </w:tc>
        <w:tc>
          <w:tcPr>
            <w:tcW w:w="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59,905</w:t>
            </w:r>
          </w:p>
        </w:tc>
      </w:tr>
      <w:tr>
        <w:trPr>
          <w:trHeight w:val="21"/>
        </w:trPr>
        <w:tc>
          <w:tcPr>
            <w:tcW w:w="82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ind w:right="500" w:firstLine="405"/>
        <w:spacing w:after="0" w:line="277" w:lineRule="auto"/>
        <w:rPr>
          <w:sz w:val="20"/>
          <w:szCs w:val="20"/>
          <w:color w:val="auto"/>
        </w:rPr>
      </w:pPr>
      <w:r>
        <w:rPr>
          <w:rFonts w:ascii="Arial" w:cs="Arial" w:eastAsia="Arial" w:hAnsi="Arial"/>
          <w:sz w:val="18"/>
          <w:szCs w:val="18"/>
          <w:color w:val="auto"/>
        </w:rPr>
        <w:t>The Company periodically reviews for both obsolescence and loss of value. The Company makes assumptions about the future demand for and market value of the inventory. Based on these assumptions, the Company estimates the amount of</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2" w:name="page13"/>
    <w:bookmarkEnd w:id="12"/>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right="360"/>
        <w:spacing w:after="0" w:line="277" w:lineRule="auto"/>
        <w:rPr>
          <w:sz w:val="20"/>
          <w:szCs w:val="20"/>
          <w:color w:val="auto"/>
        </w:rPr>
      </w:pPr>
      <w:r>
        <w:rPr>
          <w:rFonts w:ascii="Arial" w:cs="Arial" w:eastAsia="Arial" w:hAnsi="Arial"/>
          <w:sz w:val="18"/>
          <w:szCs w:val="18"/>
          <w:color w:val="auto"/>
        </w:rPr>
        <w:t>obsolete, expiring and slow moving inventory. The total inventory reserve at November 30, 2020 and May 31, 2020 was $4.2 million and $4.7 million, respectively.</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GOODWILL AND INTANGIBLE ASSETS</w:t>
      </w:r>
    </w:p>
    <w:p>
      <w:pPr>
        <w:spacing w:after="0" w:line="175" w:lineRule="exact"/>
        <w:rPr>
          <w:sz w:val="20"/>
          <w:szCs w:val="20"/>
          <w:color w:val="auto"/>
        </w:rPr>
      </w:pPr>
    </w:p>
    <w:p>
      <w:pPr>
        <w:ind w:right="80" w:firstLine="405"/>
        <w:spacing w:after="0" w:line="257" w:lineRule="auto"/>
        <w:rPr>
          <w:sz w:val="20"/>
          <w:szCs w:val="20"/>
          <w:color w:val="auto"/>
        </w:rPr>
      </w:pPr>
      <w:r>
        <w:rPr>
          <w:rFonts w:ascii="Arial" w:cs="Arial" w:eastAsia="Arial" w:hAnsi="Arial"/>
          <w:sz w:val="18"/>
          <w:szCs w:val="18"/>
          <w:color w:val="auto"/>
        </w:rPr>
        <w:t>Intangible assets other than goodwill are amortized over their estimated useful lives on either a straight-line basis or proportionately to the benefit being realized. Useful lives range from two to eighteen years. The Company periodically reviews the estimated useful lives of its intangible assets and reviews such assets or asset groups for impairment whenever events or changes in circumstances indicate that the carrying value of the assets or asset groups may not be recoverable. If an intangible asset or asset group is considered to be impaired, the amount of the impairment will equal the excess of the carrying value over the fair value of the asset.</w:t>
      </w:r>
    </w:p>
    <w:p>
      <w:pPr>
        <w:spacing w:after="0" w:line="134" w:lineRule="exact"/>
        <w:rPr>
          <w:sz w:val="20"/>
          <w:szCs w:val="20"/>
          <w:color w:val="auto"/>
        </w:rPr>
      </w:pPr>
    </w:p>
    <w:p>
      <w:pPr>
        <w:ind w:right="320" w:firstLine="405"/>
        <w:spacing w:after="0" w:line="308" w:lineRule="auto"/>
        <w:rPr>
          <w:sz w:val="20"/>
          <w:szCs w:val="20"/>
          <w:color w:val="auto"/>
        </w:rPr>
      </w:pPr>
      <w:r>
        <w:rPr>
          <w:rFonts w:ascii="Arial" w:cs="Arial" w:eastAsia="Arial" w:hAnsi="Arial"/>
          <w:sz w:val="17"/>
          <w:szCs w:val="17"/>
          <w:color w:val="auto"/>
        </w:rPr>
        <w:t>Goodwill is not amortized, but rather, is tested for impairment annually or more frequently if impairment indicators arise. Goodwill represents the excess of the purchase price over the fair value of the net tangible and identifiable intangible assets acquired in each business combination.</w:t>
      </w:r>
    </w:p>
    <w:p>
      <w:pPr>
        <w:spacing w:after="0" w:line="92" w:lineRule="exact"/>
        <w:rPr>
          <w:sz w:val="20"/>
          <w:szCs w:val="20"/>
          <w:color w:val="auto"/>
        </w:rPr>
      </w:pPr>
    </w:p>
    <w:p>
      <w:pPr>
        <w:ind w:right="40" w:firstLine="405"/>
        <w:spacing w:after="0" w:line="272" w:lineRule="auto"/>
        <w:rPr>
          <w:sz w:val="20"/>
          <w:szCs w:val="20"/>
          <w:color w:val="auto"/>
        </w:rPr>
      </w:pPr>
      <w:r>
        <w:rPr>
          <w:rFonts w:ascii="Arial" w:cs="Arial" w:eastAsia="Arial" w:hAnsi="Arial"/>
          <w:sz w:val="17"/>
          <w:szCs w:val="17"/>
          <w:color w:val="auto"/>
        </w:rPr>
        <w:t>The Company's annual testing for impairment of goodwill was completed as of December 31, 2019. The Company operates as a single operating segment with one reporting unit and consequently evaluates goodwill for impairment based on an evaluation of the fair value of the Company as a whole. The Company determines the fair value of the reporting unit based on the market valuation approach and concluded that it was not more-likely-than-not that the fair value of the Company's reporting unit was less than its carrying value as of December 31, 2019. In the fourth quarter of fiscal year 2020, the Company concluded that the sustained decline in its market capitalization represented an impairment indicator that required the Company to perform an interim test for goodwill impairment as of May 31, 2020 and the Company recorded a goodwill impairment charge of $158.6 million as of May 31, 2020 to write down the carrying value of the reporting unit to fair value.</w:t>
      </w:r>
    </w:p>
    <w:p>
      <w:pPr>
        <w:spacing w:after="0" w:line="123" w:lineRule="exact"/>
        <w:rPr>
          <w:sz w:val="20"/>
          <w:szCs w:val="20"/>
          <w:color w:val="auto"/>
        </w:rPr>
      </w:pPr>
    </w:p>
    <w:p>
      <w:pPr>
        <w:ind w:right="300" w:firstLine="405"/>
        <w:spacing w:after="0" w:line="311" w:lineRule="auto"/>
        <w:rPr>
          <w:sz w:val="20"/>
          <w:szCs w:val="20"/>
          <w:color w:val="auto"/>
        </w:rPr>
      </w:pPr>
      <w:r>
        <w:rPr>
          <w:rFonts w:ascii="Arial" w:cs="Arial" w:eastAsia="Arial" w:hAnsi="Arial"/>
          <w:sz w:val="16"/>
          <w:szCs w:val="16"/>
          <w:color w:val="auto"/>
        </w:rPr>
        <w:t>The future occurrence of another potential indicator of impairment, such as a significant adverse change in legal, regulatory, business or economic conditions or a more-likely-than-not expectation that the reporting unit or a significant portion of the reporting unit will be sold or disposed of, would require another interim assessment for the reporting unit prior to the next required annual assessment as of December 31, 2020.</w:t>
      </w:r>
    </w:p>
    <w:p>
      <w:pPr>
        <w:spacing w:after="0" w:line="95" w:lineRule="exact"/>
        <w:rPr>
          <w:sz w:val="20"/>
          <w:szCs w:val="20"/>
          <w:color w:val="auto"/>
        </w:rPr>
      </w:pPr>
    </w:p>
    <w:p>
      <w:pPr>
        <w:ind w:left="420"/>
        <w:spacing w:after="0"/>
        <w:rPr>
          <w:sz w:val="20"/>
          <w:szCs w:val="20"/>
          <w:color w:val="auto"/>
        </w:rPr>
      </w:pPr>
      <w:r>
        <w:rPr>
          <w:rFonts w:ascii="Arial" w:cs="Arial" w:eastAsia="Arial" w:hAnsi="Arial"/>
          <w:sz w:val="17"/>
          <w:szCs w:val="17"/>
          <w:color w:val="auto"/>
        </w:rPr>
        <w:t>There were no adjustments to goodwill for the six months ended November 30, 2020 other than foreign currency translation adjustments.</w:t>
      </w:r>
    </w:p>
    <w:p>
      <w:pPr>
        <w:spacing w:after="0" w:line="183" w:lineRule="exact"/>
        <w:rPr>
          <w:sz w:val="20"/>
          <w:szCs w:val="20"/>
          <w:color w:val="auto"/>
        </w:rPr>
      </w:pPr>
    </w:p>
    <w:p>
      <w:pPr>
        <w:ind w:left="420"/>
        <w:spacing w:after="0"/>
        <w:rPr>
          <w:sz w:val="20"/>
          <w:szCs w:val="20"/>
          <w:color w:val="auto"/>
        </w:rPr>
      </w:pPr>
      <w:r>
        <w:rPr>
          <w:rFonts w:ascii="Arial" w:cs="Arial" w:eastAsia="Arial" w:hAnsi="Arial"/>
          <w:sz w:val="18"/>
          <w:szCs w:val="18"/>
          <w:color w:val="auto"/>
        </w:rPr>
        <w:t>Intangible assets consisted of the following:</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674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gridSpan w:val="2"/>
          </w:tcPr>
          <w:p>
            <w:pPr>
              <w:jc w:val="center"/>
              <w:ind w:right="300"/>
              <w:spacing w:after="0"/>
              <w:rPr>
                <w:sz w:val="20"/>
                <w:szCs w:val="20"/>
                <w:color w:val="auto"/>
              </w:rPr>
            </w:pPr>
            <w:r>
              <w:rPr>
                <w:rFonts w:ascii="Arial" w:cs="Arial" w:eastAsia="Arial" w:hAnsi="Arial"/>
                <w:sz w:val="14"/>
                <w:szCs w:val="14"/>
                <w:color w:val="auto"/>
                <w:w w:val="93"/>
              </w:rPr>
              <w:t>Nov 30, 2020</w:t>
            </w:r>
          </w:p>
        </w:tc>
        <w:tc>
          <w:tcPr>
            <w:tcW w:w="16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34"/>
        </w:trPr>
        <w:tc>
          <w:tcPr>
            <w:tcW w:w="6740" w:type="dxa"/>
            <w:vAlign w:val="bottom"/>
            <w:vMerge w:val="restart"/>
          </w:tcPr>
          <w:p>
            <w:pPr>
              <w:ind w:left="20"/>
              <w:spacing w:after="0"/>
              <w:rPr>
                <w:sz w:val="20"/>
                <w:szCs w:val="20"/>
                <w:color w:val="auto"/>
              </w:rPr>
            </w:pPr>
            <w:r>
              <w:rPr>
                <w:rFonts w:ascii="Arial" w:cs="Arial" w:eastAsia="Arial" w:hAnsi="Arial"/>
                <w:sz w:val="14"/>
                <w:szCs w:val="14"/>
                <w:color w:val="auto"/>
              </w:rPr>
              <w:t>(in thousands)</w:t>
            </w:r>
          </w:p>
        </w:tc>
        <w:tc>
          <w:tcPr>
            <w:tcW w:w="100" w:type="dxa"/>
            <w:vAlign w:val="bottom"/>
          </w:tcPr>
          <w:p>
            <w:pPr>
              <w:spacing w:after="0"/>
              <w:rPr>
                <w:sz w:val="11"/>
                <w:szCs w:val="11"/>
                <w:color w:val="auto"/>
              </w:rPr>
            </w:pPr>
          </w:p>
        </w:tc>
        <w:tc>
          <w:tcPr>
            <w:tcW w:w="1420" w:type="dxa"/>
            <w:vAlign w:val="bottom"/>
            <w:gridSpan w:val="2"/>
            <w:vMerge w:val="restart"/>
          </w:tcPr>
          <w:p>
            <w:pPr>
              <w:spacing w:after="0"/>
              <w:rPr>
                <w:sz w:val="20"/>
                <w:szCs w:val="20"/>
                <w:color w:val="auto"/>
              </w:rPr>
            </w:pPr>
            <w:r>
              <w:rPr>
                <w:rFonts w:ascii="Arial" w:cs="Arial" w:eastAsia="Arial" w:hAnsi="Arial"/>
                <w:sz w:val="14"/>
                <w:szCs w:val="14"/>
                <w:color w:val="auto"/>
              </w:rPr>
              <w:t>Gross carrying value</w:t>
            </w:r>
          </w:p>
        </w:tc>
        <w:tc>
          <w:tcPr>
            <w:tcW w:w="220" w:type="dxa"/>
            <w:vAlign w:val="bottom"/>
          </w:tcPr>
          <w:p>
            <w:pPr>
              <w:spacing w:after="0"/>
              <w:rPr>
                <w:sz w:val="11"/>
                <w:szCs w:val="11"/>
                <w:color w:val="auto"/>
              </w:rPr>
            </w:pPr>
          </w:p>
        </w:tc>
        <w:tc>
          <w:tcPr>
            <w:tcW w:w="1320" w:type="dxa"/>
            <w:vAlign w:val="bottom"/>
            <w:gridSpan w:val="2"/>
          </w:tcPr>
          <w:p>
            <w:pPr>
              <w:jc w:val="center"/>
              <w:ind w:right="320"/>
              <w:spacing w:after="0" w:line="135" w:lineRule="exact"/>
              <w:rPr>
                <w:sz w:val="20"/>
                <w:szCs w:val="20"/>
                <w:color w:val="auto"/>
              </w:rPr>
            </w:pPr>
            <w:r>
              <w:rPr>
                <w:rFonts w:ascii="Arial" w:cs="Arial" w:eastAsia="Arial" w:hAnsi="Arial"/>
                <w:sz w:val="14"/>
                <w:szCs w:val="14"/>
                <w:color w:val="auto"/>
                <w:w w:val="93"/>
              </w:rPr>
              <w:t>Accumulated</w:t>
            </w:r>
          </w:p>
        </w:tc>
        <w:tc>
          <w:tcPr>
            <w:tcW w:w="160" w:type="dxa"/>
            <w:vAlign w:val="bottom"/>
          </w:tcPr>
          <w:p>
            <w:pPr>
              <w:spacing w:after="0"/>
              <w:rPr>
                <w:sz w:val="11"/>
                <w:szCs w:val="11"/>
                <w:color w:val="auto"/>
              </w:rPr>
            </w:pPr>
          </w:p>
        </w:tc>
        <w:tc>
          <w:tcPr>
            <w:tcW w:w="1280" w:type="dxa"/>
            <w:vAlign w:val="bottom"/>
            <w:vMerge w:val="restart"/>
          </w:tcPr>
          <w:p>
            <w:pPr>
              <w:jc w:val="right"/>
              <w:ind w:right="93"/>
              <w:spacing w:after="0"/>
              <w:rPr>
                <w:sz w:val="20"/>
                <w:szCs w:val="20"/>
                <w:color w:val="auto"/>
              </w:rPr>
            </w:pPr>
            <w:r>
              <w:rPr>
                <w:rFonts w:ascii="Arial" w:cs="Arial" w:eastAsia="Arial" w:hAnsi="Arial"/>
                <w:sz w:val="14"/>
                <w:szCs w:val="14"/>
                <w:color w:val="auto"/>
                <w:w w:val="95"/>
              </w:rPr>
              <w:t>Net carrying value</w:t>
            </w:r>
          </w:p>
        </w:tc>
        <w:tc>
          <w:tcPr>
            <w:tcW w:w="0" w:type="dxa"/>
            <w:vAlign w:val="bottom"/>
          </w:tcPr>
          <w:p>
            <w:pPr>
              <w:spacing w:after="0"/>
              <w:rPr>
                <w:sz w:val="1"/>
                <w:szCs w:val="1"/>
                <w:color w:val="auto"/>
              </w:rPr>
            </w:pPr>
          </w:p>
        </w:tc>
      </w:tr>
      <w:tr>
        <w:trPr>
          <w:trHeight w:val="186"/>
        </w:trPr>
        <w:tc>
          <w:tcPr>
            <w:tcW w:w="674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420" w:type="dxa"/>
            <w:vAlign w:val="bottom"/>
            <w:gridSpan w:val="2"/>
            <w:vMerge w:val="continue"/>
          </w:tcPr>
          <w:p>
            <w:pPr>
              <w:spacing w:after="0"/>
              <w:rPr>
                <w:sz w:val="16"/>
                <w:szCs w:val="16"/>
                <w:color w:val="auto"/>
              </w:rPr>
            </w:pPr>
          </w:p>
        </w:tc>
        <w:tc>
          <w:tcPr>
            <w:tcW w:w="220" w:type="dxa"/>
            <w:vAlign w:val="bottom"/>
          </w:tcPr>
          <w:p>
            <w:pPr>
              <w:spacing w:after="0"/>
              <w:rPr>
                <w:sz w:val="16"/>
                <w:szCs w:val="16"/>
                <w:color w:val="auto"/>
              </w:rPr>
            </w:pPr>
          </w:p>
        </w:tc>
        <w:tc>
          <w:tcPr>
            <w:tcW w:w="1320" w:type="dxa"/>
            <w:vAlign w:val="bottom"/>
            <w:gridSpan w:val="2"/>
          </w:tcPr>
          <w:p>
            <w:pPr>
              <w:jc w:val="center"/>
              <w:ind w:right="320"/>
              <w:spacing w:after="0"/>
              <w:rPr>
                <w:sz w:val="20"/>
                <w:szCs w:val="20"/>
                <w:color w:val="auto"/>
              </w:rPr>
            </w:pPr>
            <w:r>
              <w:rPr>
                <w:rFonts w:ascii="Arial" w:cs="Arial" w:eastAsia="Arial" w:hAnsi="Arial"/>
                <w:sz w:val="14"/>
                <w:szCs w:val="14"/>
                <w:color w:val="auto"/>
                <w:w w:val="94"/>
              </w:rPr>
              <w:t>amortization</w:t>
            </w:r>
          </w:p>
        </w:tc>
        <w:tc>
          <w:tcPr>
            <w:tcW w:w="160" w:type="dxa"/>
            <w:vAlign w:val="bottom"/>
          </w:tcPr>
          <w:p>
            <w:pPr>
              <w:spacing w:after="0"/>
              <w:rPr>
                <w:sz w:val="16"/>
                <w:szCs w:val="16"/>
                <w:color w:val="auto"/>
              </w:rPr>
            </w:pPr>
          </w:p>
        </w:tc>
        <w:tc>
          <w:tcPr>
            <w:tcW w:w="12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6"/>
        </w:trPr>
        <w:tc>
          <w:tcPr>
            <w:tcW w:w="67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Product technologies</w:t>
            </w: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254,750</w:t>
            </w: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(95,897)</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158,853</w:t>
            </w:r>
          </w:p>
        </w:tc>
        <w:tc>
          <w:tcPr>
            <w:tcW w:w="0" w:type="dxa"/>
            <w:vAlign w:val="bottom"/>
          </w:tcPr>
          <w:p>
            <w:pPr>
              <w:spacing w:after="0"/>
              <w:rPr>
                <w:sz w:val="1"/>
                <w:szCs w:val="1"/>
                <w:color w:val="auto"/>
              </w:rPr>
            </w:pPr>
          </w:p>
        </w:tc>
      </w:tr>
      <w:tr>
        <w:trPr>
          <w:trHeight w:val="230"/>
        </w:trPr>
        <w:tc>
          <w:tcPr>
            <w:tcW w:w="6740" w:type="dxa"/>
            <w:vAlign w:val="bottom"/>
          </w:tcPr>
          <w:p>
            <w:pPr>
              <w:ind w:left="20"/>
              <w:spacing w:after="0"/>
              <w:rPr>
                <w:sz w:val="20"/>
                <w:szCs w:val="20"/>
                <w:color w:val="auto"/>
              </w:rPr>
            </w:pPr>
            <w:r>
              <w:rPr>
                <w:rFonts w:ascii="Arial" w:cs="Arial" w:eastAsia="Arial" w:hAnsi="Arial"/>
                <w:sz w:val="18"/>
                <w:szCs w:val="18"/>
                <w:color w:val="auto"/>
              </w:rPr>
              <w:t>Customer relationships</w:t>
            </w:r>
          </w:p>
        </w:tc>
        <w:tc>
          <w:tcPr>
            <w:tcW w:w="1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60,255</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(32,121)</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28,134</w:t>
            </w:r>
          </w:p>
        </w:tc>
        <w:tc>
          <w:tcPr>
            <w:tcW w:w="0" w:type="dxa"/>
            <w:vAlign w:val="bottom"/>
          </w:tcPr>
          <w:p>
            <w:pPr>
              <w:spacing w:after="0"/>
              <w:rPr>
                <w:sz w:val="1"/>
                <w:szCs w:val="1"/>
                <w:color w:val="auto"/>
              </w:rPr>
            </w:pPr>
          </w:p>
        </w:tc>
      </w:tr>
      <w:tr>
        <w:trPr>
          <w:trHeight w:val="230"/>
        </w:trPr>
        <w:tc>
          <w:tcPr>
            <w:tcW w:w="6740" w:type="dxa"/>
            <w:vAlign w:val="bottom"/>
            <w:shd w:val="clear" w:color="auto" w:fill="CCEEFF"/>
          </w:tcPr>
          <w:p>
            <w:pPr>
              <w:ind w:left="20"/>
              <w:spacing w:after="0"/>
              <w:rPr>
                <w:sz w:val="20"/>
                <w:szCs w:val="20"/>
                <w:color w:val="auto"/>
              </w:rPr>
            </w:pPr>
            <w:r>
              <w:rPr>
                <w:rFonts w:ascii="Arial" w:cs="Arial" w:eastAsia="Arial" w:hAnsi="Arial"/>
                <w:sz w:val="18"/>
                <w:szCs w:val="18"/>
                <w:color w:val="auto"/>
              </w:rPr>
              <w:t>Trademarks</w:t>
            </w:r>
          </w:p>
        </w:tc>
        <w:tc>
          <w:tcPr>
            <w:tcW w:w="1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10,150</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(6,851)</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3,299</w:t>
            </w:r>
          </w:p>
        </w:tc>
        <w:tc>
          <w:tcPr>
            <w:tcW w:w="0" w:type="dxa"/>
            <w:vAlign w:val="bottom"/>
          </w:tcPr>
          <w:p>
            <w:pPr>
              <w:spacing w:after="0"/>
              <w:rPr>
                <w:sz w:val="1"/>
                <w:szCs w:val="1"/>
                <w:color w:val="auto"/>
              </w:rPr>
            </w:pPr>
          </w:p>
        </w:tc>
      </w:tr>
      <w:tr>
        <w:trPr>
          <w:trHeight w:val="229"/>
        </w:trPr>
        <w:tc>
          <w:tcPr>
            <w:tcW w:w="67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Licenses</w:t>
            </w:r>
          </w:p>
        </w:tc>
        <w:tc>
          <w:tcPr>
            <w:tcW w:w="10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6,087</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(5,814)</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273</w:t>
            </w:r>
          </w:p>
        </w:tc>
        <w:tc>
          <w:tcPr>
            <w:tcW w:w="0" w:type="dxa"/>
            <w:vAlign w:val="bottom"/>
          </w:tcPr>
          <w:p>
            <w:pPr>
              <w:spacing w:after="0"/>
              <w:rPr>
                <w:sz w:val="1"/>
                <w:szCs w:val="1"/>
                <w:color w:val="auto"/>
              </w:rPr>
            </w:pPr>
          </w:p>
        </w:tc>
      </w:tr>
      <w:tr>
        <w:trPr>
          <w:trHeight w:val="248"/>
        </w:trPr>
        <w:tc>
          <w:tcPr>
            <w:tcW w:w="67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331,242</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(140,683)</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190,559</w:t>
            </w:r>
          </w:p>
        </w:tc>
        <w:tc>
          <w:tcPr>
            <w:tcW w:w="0" w:type="dxa"/>
            <w:vAlign w:val="bottom"/>
          </w:tcPr>
          <w:p>
            <w:pPr>
              <w:spacing w:after="0"/>
              <w:rPr>
                <w:sz w:val="1"/>
                <w:szCs w:val="1"/>
                <w:color w:val="auto"/>
              </w:rPr>
            </w:pPr>
          </w:p>
        </w:tc>
      </w:tr>
      <w:tr>
        <w:trPr>
          <w:trHeight w:val="20"/>
        </w:trPr>
        <w:tc>
          <w:tcPr>
            <w:tcW w:w="67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35"/>
        </w:trPr>
        <w:tc>
          <w:tcPr>
            <w:tcW w:w="674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3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320" w:type="dxa"/>
            <w:vAlign w:val="bottom"/>
            <w:tcBorders>
              <w:bottom w:val="single" w:sz="8" w:color="auto"/>
            </w:tcBorders>
            <w:gridSpan w:val="2"/>
          </w:tcPr>
          <w:p>
            <w:pPr>
              <w:jc w:val="center"/>
              <w:ind w:right="320"/>
              <w:spacing w:after="0"/>
              <w:rPr>
                <w:sz w:val="20"/>
                <w:szCs w:val="20"/>
                <w:color w:val="auto"/>
              </w:rPr>
            </w:pPr>
            <w:r>
              <w:rPr>
                <w:rFonts w:ascii="Arial" w:cs="Arial" w:eastAsia="Arial" w:hAnsi="Arial"/>
                <w:sz w:val="14"/>
                <w:szCs w:val="14"/>
                <w:color w:val="auto"/>
                <w:w w:val="94"/>
              </w:rPr>
              <w:t>May 31, 2020</w:t>
            </w:r>
          </w:p>
        </w:tc>
        <w:tc>
          <w:tcPr>
            <w:tcW w:w="160" w:type="dxa"/>
            <w:vAlign w:val="bottom"/>
            <w:tcBorders>
              <w:bottom w:val="single" w:sz="8" w:color="auto"/>
            </w:tcBorders>
          </w:tcPr>
          <w:p>
            <w:pPr>
              <w:spacing w:after="0"/>
              <w:rPr>
                <w:sz w:val="24"/>
                <w:szCs w:val="24"/>
                <w:color w:val="auto"/>
              </w:rPr>
            </w:pPr>
          </w:p>
        </w:tc>
        <w:tc>
          <w:tcPr>
            <w:tcW w:w="12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35"/>
        </w:trPr>
        <w:tc>
          <w:tcPr>
            <w:tcW w:w="6740" w:type="dxa"/>
            <w:vAlign w:val="bottom"/>
            <w:vMerge w:val="restart"/>
          </w:tcPr>
          <w:p>
            <w:pPr>
              <w:ind w:left="20"/>
              <w:spacing w:after="0"/>
              <w:rPr>
                <w:sz w:val="20"/>
                <w:szCs w:val="20"/>
                <w:color w:val="auto"/>
              </w:rPr>
            </w:pPr>
            <w:r>
              <w:rPr>
                <w:rFonts w:ascii="Arial" w:cs="Arial" w:eastAsia="Arial" w:hAnsi="Arial"/>
                <w:sz w:val="14"/>
                <w:szCs w:val="14"/>
                <w:color w:val="auto"/>
              </w:rPr>
              <w:t>(in thousands)</w:t>
            </w:r>
          </w:p>
        </w:tc>
        <w:tc>
          <w:tcPr>
            <w:tcW w:w="100" w:type="dxa"/>
            <w:vAlign w:val="bottom"/>
          </w:tcPr>
          <w:p>
            <w:pPr>
              <w:spacing w:after="0"/>
              <w:rPr>
                <w:sz w:val="11"/>
                <w:szCs w:val="11"/>
                <w:color w:val="auto"/>
              </w:rPr>
            </w:pPr>
          </w:p>
        </w:tc>
        <w:tc>
          <w:tcPr>
            <w:tcW w:w="1420" w:type="dxa"/>
            <w:vAlign w:val="bottom"/>
            <w:gridSpan w:val="2"/>
            <w:vMerge w:val="restart"/>
          </w:tcPr>
          <w:p>
            <w:pPr>
              <w:spacing w:after="0"/>
              <w:rPr>
                <w:sz w:val="20"/>
                <w:szCs w:val="20"/>
                <w:color w:val="auto"/>
              </w:rPr>
            </w:pPr>
            <w:r>
              <w:rPr>
                <w:rFonts w:ascii="Arial" w:cs="Arial" w:eastAsia="Arial" w:hAnsi="Arial"/>
                <w:sz w:val="14"/>
                <w:szCs w:val="14"/>
                <w:color w:val="auto"/>
              </w:rPr>
              <w:t>Gross carrying value</w:t>
            </w:r>
          </w:p>
        </w:tc>
        <w:tc>
          <w:tcPr>
            <w:tcW w:w="220" w:type="dxa"/>
            <w:vAlign w:val="bottom"/>
          </w:tcPr>
          <w:p>
            <w:pPr>
              <w:spacing w:after="0"/>
              <w:rPr>
                <w:sz w:val="11"/>
                <w:szCs w:val="11"/>
                <w:color w:val="auto"/>
              </w:rPr>
            </w:pPr>
          </w:p>
        </w:tc>
        <w:tc>
          <w:tcPr>
            <w:tcW w:w="1320" w:type="dxa"/>
            <w:vAlign w:val="bottom"/>
            <w:gridSpan w:val="2"/>
          </w:tcPr>
          <w:p>
            <w:pPr>
              <w:jc w:val="center"/>
              <w:ind w:right="320"/>
              <w:spacing w:after="0" w:line="135" w:lineRule="exact"/>
              <w:rPr>
                <w:sz w:val="20"/>
                <w:szCs w:val="20"/>
                <w:color w:val="auto"/>
              </w:rPr>
            </w:pPr>
            <w:r>
              <w:rPr>
                <w:rFonts w:ascii="Arial" w:cs="Arial" w:eastAsia="Arial" w:hAnsi="Arial"/>
                <w:sz w:val="14"/>
                <w:szCs w:val="14"/>
                <w:color w:val="auto"/>
                <w:w w:val="93"/>
              </w:rPr>
              <w:t>Accumulated</w:t>
            </w:r>
          </w:p>
        </w:tc>
        <w:tc>
          <w:tcPr>
            <w:tcW w:w="160" w:type="dxa"/>
            <w:vAlign w:val="bottom"/>
          </w:tcPr>
          <w:p>
            <w:pPr>
              <w:spacing w:after="0"/>
              <w:rPr>
                <w:sz w:val="11"/>
                <w:szCs w:val="11"/>
                <w:color w:val="auto"/>
              </w:rPr>
            </w:pPr>
          </w:p>
        </w:tc>
        <w:tc>
          <w:tcPr>
            <w:tcW w:w="1280" w:type="dxa"/>
            <w:vAlign w:val="bottom"/>
            <w:vMerge w:val="restart"/>
          </w:tcPr>
          <w:p>
            <w:pPr>
              <w:jc w:val="right"/>
              <w:ind w:right="93"/>
              <w:spacing w:after="0"/>
              <w:rPr>
                <w:sz w:val="20"/>
                <w:szCs w:val="20"/>
                <w:color w:val="auto"/>
              </w:rPr>
            </w:pPr>
            <w:r>
              <w:rPr>
                <w:rFonts w:ascii="Arial" w:cs="Arial" w:eastAsia="Arial" w:hAnsi="Arial"/>
                <w:sz w:val="14"/>
                <w:szCs w:val="14"/>
                <w:color w:val="auto"/>
                <w:w w:val="95"/>
              </w:rPr>
              <w:t>Net carrying value</w:t>
            </w:r>
          </w:p>
        </w:tc>
        <w:tc>
          <w:tcPr>
            <w:tcW w:w="0" w:type="dxa"/>
            <w:vAlign w:val="bottom"/>
          </w:tcPr>
          <w:p>
            <w:pPr>
              <w:spacing w:after="0"/>
              <w:rPr>
                <w:sz w:val="1"/>
                <w:szCs w:val="1"/>
                <w:color w:val="auto"/>
              </w:rPr>
            </w:pPr>
          </w:p>
        </w:tc>
      </w:tr>
      <w:tr>
        <w:trPr>
          <w:trHeight w:val="186"/>
        </w:trPr>
        <w:tc>
          <w:tcPr>
            <w:tcW w:w="674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420" w:type="dxa"/>
            <w:vAlign w:val="bottom"/>
            <w:gridSpan w:val="2"/>
            <w:vMerge w:val="continue"/>
          </w:tcPr>
          <w:p>
            <w:pPr>
              <w:spacing w:after="0"/>
              <w:rPr>
                <w:sz w:val="16"/>
                <w:szCs w:val="16"/>
                <w:color w:val="auto"/>
              </w:rPr>
            </w:pPr>
          </w:p>
        </w:tc>
        <w:tc>
          <w:tcPr>
            <w:tcW w:w="220" w:type="dxa"/>
            <w:vAlign w:val="bottom"/>
          </w:tcPr>
          <w:p>
            <w:pPr>
              <w:spacing w:after="0"/>
              <w:rPr>
                <w:sz w:val="16"/>
                <w:szCs w:val="16"/>
                <w:color w:val="auto"/>
              </w:rPr>
            </w:pPr>
          </w:p>
        </w:tc>
        <w:tc>
          <w:tcPr>
            <w:tcW w:w="1320" w:type="dxa"/>
            <w:vAlign w:val="bottom"/>
            <w:gridSpan w:val="2"/>
          </w:tcPr>
          <w:p>
            <w:pPr>
              <w:jc w:val="center"/>
              <w:ind w:right="320"/>
              <w:spacing w:after="0"/>
              <w:rPr>
                <w:sz w:val="20"/>
                <w:szCs w:val="20"/>
                <w:color w:val="auto"/>
              </w:rPr>
            </w:pPr>
            <w:r>
              <w:rPr>
                <w:rFonts w:ascii="Arial" w:cs="Arial" w:eastAsia="Arial" w:hAnsi="Arial"/>
                <w:sz w:val="14"/>
                <w:szCs w:val="14"/>
                <w:color w:val="auto"/>
                <w:w w:val="94"/>
              </w:rPr>
              <w:t>amortization</w:t>
            </w:r>
          </w:p>
        </w:tc>
        <w:tc>
          <w:tcPr>
            <w:tcW w:w="160" w:type="dxa"/>
            <w:vAlign w:val="bottom"/>
          </w:tcPr>
          <w:p>
            <w:pPr>
              <w:spacing w:after="0"/>
              <w:rPr>
                <w:sz w:val="16"/>
                <w:szCs w:val="16"/>
                <w:color w:val="auto"/>
              </w:rPr>
            </w:pPr>
          </w:p>
        </w:tc>
        <w:tc>
          <w:tcPr>
            <w:tcW w:w="12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6"/>
        </w:trPr>
        <w:tc>
          <w:tcPr>
            <w:tcW w:w="67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Product technologies</w:t>
            </w: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251,569</w:t>
            </w: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(88,547)</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163,022</w:t>
            </w:r>
          </w:p>
        </w:tc>
        <w:tc>
          <w:tcPr>
            <w:tcW w:w="0" w:type="dxa"/>
            <w:vAlign w:val="bottom"/>
          </w:tcPr>
          <w:p>
            <w:pPr>
              <w:spacing w:after="0"/>
              <w:rPr>
                <w:sz w:val="1"/>
                <w:szCs w:val="1"/>
                <w:color w:val="auto"/>
              </w:rPr>
            </w:pPr>
          </w:p>
        </w:tc>
      </w:tr>
      <w:tr>
        <w:trPr>
          <w:trHeight w:val="230"/>
        </w:trPr>
        <w:tc>
          <w:tcPr>
            <w:tcW w:w="6740" w:type="dxa"/>
            <w:vAlign w:val="bottom"/>
          </w:tcPr>
          <w:p>
            <w:pPr>
              <w:ind w:left="20"/>
              <w:spacing w:after="0"/>
              <w:rPr>
                <w:sz w:val="20"/>
                <w:szCs w:val="20"/>
                <w:color w:val="auto"/>
              </w:rPr>
            </w:pPr>
            <w:r>
              <w:rPr>
                <w:rFonts w:ascii="Arial" w:cs="Arial" w:eastAsia="Arial" w:hAnsi="Arial"/>
                <w:sz w:val="18"/>
                <w:szCs w:val="18"/>
                <w:color w:val="auto"/>
              </w:rPr>
              <w:t>Customer relationships</w:t>
            </w:r>
          </w:p>
        </w:tc>
        <w:tc>
          <w:tcPr>
            <w:tcW w:w="1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60,160</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(30,018)</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30,142</w:t>
            </w:r>
          </w:p>
        </w:tc>
        <w:tc>
          <w:tcPr>
            <w:tcW w:w="0" w:type="dxa"/>
            <w:vAlign w:val="bottom"/>
          </w:tcPr>
          <w:p>
            <w:pPr>
              <w:spacing w:after="0"/>
              <w:rPr>
                <w:sz w:val="1"/>
                <w:szCs w:val="1"/>
                <w:color w:val="auto"/>
              </w:rPr>
            </w:pPr>
          </w:p>
        </w:tc>
      </w:tr>
      <w:tr>
        <w:trPr>
          <w:trHeight w:val="229"/>
        </w:trPr>
        <w:tc>
          <w:tcPr>
            <w:tcW w:w="6740" w:type="dxa"/>
            <w:vAlign w:val="bottom"/>
            <w:shd w:val="clear" w:color="auto" w:fill="CCEEFF"/>
          </w:tcPr>
          <w:p>
            <w:pPr>
              <w:ind w:left="20"/>
              <w:spacing w:after="0"/>
              <w:rPr>
                <w:sz w:val="20"/>
                <w:szCs w:val="20"/>
                <w:color w:val="auto"/>
              </w:rPr>
            </w:pPr>
            <w:r>
              <w:rPr>
                <w:rFonts w:ascii="Arial" w:cs="Arial" w:eastAsia="Arial" w:hAnsi="Arial"/>
                <w:sz w:val="18"/>
                <w:szCs w:val="18"/>
                <w:color w:val="auto"/>
              </w:rPr>
              <w:t>Trademarks</w:t>
            </w:r>
          </w:p>
        </w:tc>
        <w:tc>
          <w:tcPr>
            <w:tcW w:w="1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10,150</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(6,691)</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3,459</w:t>
            </w:r>
          </w:p>
        </w:tc>
        <w:tc>
          <w:tcPr>
            <w:tcW w:w="0" w:type="dxa"/>
            <w:vAlign w:val="bottom"/>
          </w:tcPr>
          <w:p>
            <w:pPr>
              <w:spacing w:after="0"/>
              <w:rPr>
                <w:sz w:val="1"/>
                <w:szCs w:val="1"/>
                <w:color w:val="auto"/>
              </w:rPr>
            </w:pPr>
          </w:p>
        </w:tc>
      </w:tr>
      <w:tr>
        <w:trPr>
          <w:trHeight w:val="230"/>
        </w:trPr>
        <w:tc>
          <w:tcPr>
            <w:tcW w:w="67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Licenses</w:t>
            </w:r>
          </w:p>
        </w:tc>
        <w:tc>
          <w:tcPr>
            <w:tcW w:w="10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6,087</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(5,574)</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513</w:t>
            </w:r>
          </w:p>
        </w:tc>
        <w:tc>
          <w:tcPr>
            <w:tcW w:w="0" w:type="dxa"/>
            <w:vAlign w:val="bottom"/>
          </w:tcPr>
          <w:p>
            <w:pPr>
              <w:spacing w:after="0"/>
              <w:rPr>
                <w:sz w:val="1"/>
                <w:szCs w:val="1"/>
                <w:color w:val="auto"/>
              </w:rPr>
            </w:pPr>
          </w:p>
        </w:tc>
      </w:tr>
      <w:tr>
        <w:trPr>
          <w:trHeight w:val="248"/>
        </w:trPr>
        <w:tc>
          <w:tcPr>
            <w:tcW w:w="67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327,966</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(130,830)</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197,136</w:t>
            </w:r>
          </w:p>
        </w:tc>
        <w:tc>
          <w:tcPr>
            <w:tcW w:w="0" w:type="dxa"/>
            <w:vAlign w:val="bottom"/>
          </w:tcPr>
          <w:p>
            <w:pPr>
              <w:spacing w:after="0"/>
              <w:rPr>
                <w:sz w:val="1"/>
                <w:szCs w:val="1"/>
                <w:color w:val="auto"/>
              </w:rPr>
            </w:pPr>
          </w:p>
        </w:tc>
      </w:tr>
      <w:tr>
        <w:trPr>
          <w:trHeight w:val="20"/>
        </w:trPr>
        <w:tc>
          <w:tcPr>
            <w:tcW w:w="67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ind w:right="600" w:firstLine="405"/>
        <w:spacing w:after="0" w:line="277" w:lineRule="auto"/>
        <w:rPr>
          <w:sz w:val="20"/>
          <w:szCs w:val="20"/>
          <w:color w:val="auto"/>
        </w:rPr>
      </w:pPr>
      <w:r>
        <w:rPr>
          <w:rFonts w:ascii="Arial" w:cs="Arial" w:eastAsia="Arial" w:hAnsi="Arial"/>
          <w:sz w:val="18"/>
          <w:szCs w:val="18"/>
          <w:color w:val="auto"/>
        </w:rPr>
        <w:t>Amortization expense for the three months ended November 30, 2020 and 2019 was $4.6 million and $4.5 million, respectively. Amortization expense for the six months ended November 30, 2020 and 2019 was $9.5 million and $8.4 million, respectively.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3" w:name="page14"/>
    <w:bookmarkEnd w:id="13"/>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420"/>
        <w:spacing w:after="0"/>
        <w:rPr>
          <w:sz w:val="20"/>
          <w:szCs w:val="20"/>
          <w:color w:val="auto"/>
        </w:rPr>
      </w:pPr>
      <w:r>
        <w:rPr>
          <w:rFonts w:ascii="Arial" w:cs="Arial" w:eastAsia="Arial" w:hAnsi="Arial"/>
          <w:sz w:val="18"/>
          <w:szCs w:val="18"/>
          <w:color w:val="auto"/>
        </w:rPr>
        <w:t>Expected future amortization expense related to the intangible assets is as follows: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8260" w:type="dxa"/>
            <w:vAlign w:val="bottom"/>
          </w:tcPr>
          <w:p>
            <w:pPr>
              <w:ind w:left="20"/>
              <w:spacing w:after="0"/>
              <w:rPr>
                <w:sz w:val="20"/>
                <w:szCs w:val="20"/>
                <w:color w:val="auto"/>
              </w:rPr>
            </w:pPr>
            <w:r>
              <w:rPr>
                <w:rFonts w:ascii="Arial" w:cs="Arial" w:eastAsia="Arial" w:hAnsi="Arial"/>
                <w:sz w:val="14"/>
                <w:szCs w:val="14"/>
                <w:color w:val="auto"/>
              </w:rPr>
              <w:t>(in thousands)</w:t>
            </w:r>
          </w:p>
        </w:tc>
        <w:tc>
          <w:tcPr>
            <w:tcW w:w="22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5"/>
        </w:trPr>
        <w:tc>
          <w:tcPr>
            <w:tcW w:w="826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Remainder of 2021</w:t>
            </w:r>
          </w:p>
        </w:tc>
        <w:tc>
          <w:tcPr>
            <w:tcW w:w="220" w:type="dxa"/>
            <w:vAlign w:val="bottom"/>
            <w:shd w:val="clear" w:color="auto" w:fill="CCEEFF"/>
          </w:tcPr>
          <w:p>
            <w:pPr>
              <w:spacing w:after="0"/>
              <w:rPr>
                <w:sz w:val="20"/>
                <w:szCs w:val="20"/>
                <w:color w:val="auto"/>
              </w:rPr>
            </w:pPr>
          </w:p>
        </w:tc>
        <w:tc>
          <w:tcPr>
            <w:tcW w:w="12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8,488</w:t>
            </w:r>
          </w:p>
        </w:tc>
        <w:tc>
          <w:tcPr>
            <w:tcW w:w="0" w:type="dxa"/>
            <w:vAlign w:val="bottom"/>
          </w:tcPr>
          <w:p>
            <w:pPr>
              <w:spacing w:after="0"/>
              <w:rPr>
                <w:sz w:val="1"/>
                <w:szCs w:val="1"/>
                <w:color w:val="auto"/>
              </w:rPr>
            </w:pPr>
          </w:p>
        </w:tc>
      </w:tr>
      <w:tr>
        <w:trPr>
          <w:trHeight w:val="229"/>
        </w:trPr>
        <w:tc>
          <w:tcPr>
            <w:tcW w:w="8260" w:type="dxa"/>
            <w:vAlign w:val="bottom"/>
          </w:tcPr>
          <w:p>
            <w:pPr>
              <w:ind w:left="20"/>
              <w:spacing w:after="0"/>
              <w:rPr>
                <w:sz w:val="20"/>
                <w:szCs w:val="20"/>
                <w:color w:val="auto"/>
              </w:rPr>
            </w:pPr>
            <w:r>
              <w:rPr>
                <w:rFonts w:ascii="Arial" w:cs="Arial" w:eastAsia="Arial" w:hAnsi="Arial"/>
                <w:sz w:val="18"/>
                <w:szCs w:val="18"/>
                <w:color w:val="auto"/>
              </w:rPr>
              <w:t>2022</w:t>
            </w:r>
          </w:p>
        </w:tc>
        <w:tc>
          <w:tcPr>
            <w:tcW w:w="22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17,038</w:t>
            </w:r>
          </w:p>
        </w:tc>
        <w:tc>
          <w:tcPr>
            <w:tcW w:w="0" w:type="dxa"/>
            <w:vAlign w:val="bottom"/>
          </w:tcPr>
          <w:p>
            <w:pPr>
              <w:spacing w:after="0"/>
              <w:rPr>
                <w:sz w:val="1"/>
                <w:szCs w:val="1"/>
                <w:color w:val="auto"/>
              </w:rPr>
            </w:pPr>
          </w:p>
        </w:tc>
      </w:tr>
      <w:tr>
        <w:trPr>
          <w:trHeight w:val="230"/>
        </w:trPr>
        <w:tc>
          <w:tcPr>
            <w:tcW w:w="826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2023</w:t>
            </w: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17,488</w:t>
            </w:r>
          </w:p>
        </w:tc>
        <w:tc>
          <w:tcPr>
            <w:tcW w:w="0" w:type="dxa"/>
            <w:vAlign w:val="bottom"/>
          </w:tcPr>
          <w:p>
            <w:pPr>
              <w:spacing w:after="0"/>
              <w:rPr>
                <w:sz w:val="1"/>
                <w:szCs w:val="1"/>
                <w:color w:val="auto"/>
              </w:rPr>
            </w:pPr>
          </w:p>
        </w:tc>
      </w:tr>
      <w:tr>
        <w:trPr>
          <w:trHeight w:val="229"/>
        </w:trPr>
        <w:tc>
          <w:tcPr>
            <w:tcW w:w="8260" w:type="dxa"/>
            <w:vAlign w:val="bottom"/>
          </w:tcPr>
          <w:p>
            <w:pPr>
              <w:ind w:left="20"/>
              <w:spacing w:after="0"/>
              <w:rPr>
                <w:sz w:val="20"/>
                <w:szCs w:val="20"/>
                <w:color w:val="auto"/>
              </w:rPr>
            </w:pPr>
            <w:r>
              <w:rPr>
                <w:rFonts w:ascii="Arial" w:cs="Arial" w:eastAsia="Arial" w:hAnsi="Arial"/>
                <w:sz w:val="18"/>
                <w:szCs w:val="18"/>
                <w:color w:val="auto"/>
              </w:rPr>
              <w:t>2024</w:t>
            </w:r>
          </w:p>
        </w:tc>
        <w:tc>
          <w:tcPr>
            <w:tcW w:w="22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15,986</w:t>
            </w:r>
          </w:p>
        </w:tc>
        <w:tc>
          <w:tcPr>
            <w:tcW w:w="0" w:type="dxa"/>
            <w:vAlign w:val="bottom"/>
          </w:tcPr>
          <w:p>
            <w:pPr>
              <w:spacing w:after="0"/>
              <w:rPr>
                <w:sz w:val="1"/>
                <w:szCs w:val="1"/>
                <w:color w:val="auto"/>
              </w:rPr>
            </w:pPr>
          </w:p>
        </w:tc>
      </w:tr>
      <w:tr>
        <w:trPr>
          <w:trHeight w:val="229"/>
        </w:trPr>
        <w:tc>
          <w:tcPr>
            <w:tcW w:w="826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2025</w:t>
            </w: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17,006</w:t>
            </w:r>
          </w:p>
        </w:tc>
        <w:tc>
          <w:tcPr>
            <w:tcW w:w="0" w:type="dxa"/>
            <w:vAlign w:val="bottom"/>
          </w:tcPr>
          <w:p>
            <w:pPr>
              <w:spacing w:after="0"/>
              <w:rPr>
                <w:sz w:val="1"/>
                <w:szCs w:val="1"/>
                <w:color w:val="auto"/>
              </w:rPr>
            </w:pPr>
          </w:p>
        </w:tc>
      </w:tr>
      <w:tr>
        <w:trPr>
          <w:trHeight w:val="230"/>
        </w:trPr>
        <w:tc>
          <w:tcPr>
            <w:tcW w:w="82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2026 and thereafter</w:t>
            </w:r>
          </w:p>
        </w:tc>
        <w:tc>
          <w:tcPr>
            <w:tcW w:w="220" w:type="dxa"/>
            <w:vAlign w:val="bottom"/>
            <w:tcBorders>
              <w:bottom w:val="single" w:sz="8" w:color="CCEEFF"/>
            </w:tcBorders>
          </w:tcPr>
          <w:p>
            <w:pPr>
              <w:spacing w:after="0"/>
              <w:rPr>
                <w:sz w:val="19"/>
                <w:szCs w:val="19"/>
                <w:color w:val="auto"/>
              </w:rPr>
            </w:pPr>
          </w:p>
        </w:tc>
        <w:tc>
          <w:tcPr>
            <w:tcW w:w="122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114,553</w:t>
            </w:r>
          </w:p>
        </w:tc>
        <w:tc>
          <w:tcPr>
            <w:tcW w:w="0" w:type="dxa"/>
            <w:vAlign w:val="bottom"/>
          </w:tcPr>
          <w:p>
            <w:pPr>
              <w:spacing w:after="0"/>
              <w:rPr>
                <w:sz w:val="1"/>
                <w:szCs w:val="1"/>
                <w:color w:val="auto"/>
              </w:rPr>
            </w:pPr>
          </w:p>
        </w:tc>
      </w:tr>
      <w:tr>
        <w:trPr>
          <w:trHeight w:val="248"/>
        </w:trPr>
        <w:tc>
          <w:tcPr>
            <w:tcW w:w="826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190,559</w:t>
            </w:r>
          </w:p>
        </w:tc>
        <w:tc>
          <w:tcPr>
            <w:tcW w:w="0" w:type="dxa"/>
            <w:vAlign w:val="bottom"/>
          </w:tcPr>
          <w:p>
            <w:pPr>
              <w:spacing w:after="0"/>
              <w:rPr>
                <w:sz w:val="1"/>
                <w:szCs w:val="1"/>
                <w:color w:val="auto"/>
              </w:rPr>
            </w:pPr>
          </w:p>
        </w:tc>
      </w:tr>
      <w:tr>
        <w:trPr>
          <w:trHeight w:val="20"/>
        </w:trPr>
        <w:tc>
          <w:tcPr>
            <w:tcW w:w="826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8"/>
                <w:szCs w:val="18"/>
                <w:b w:val="1"/>
                <w:bCs w:val="1"/>
                <w:color w:val="auto"/>
              </w:rPr>
              <w:t>6. ACCRUED LIABILITIES</w:t>
            </w:r>
          </w:p>
        </w:tc>
        <w:tc>
          <w:tcPr>
            <w:tcW w:w="220" w:type="dxa"/>
            <w:vAlign w:val="bottom"/>
            <w:tcBorders>
              <w:top w:val="single" w:sz="8" w:color="CCEEFF"/>
            </w:tcBorders>
          </w:tcPr>
          <w:p>
            <w:pPr>
              <w:spacing w:after="0" w:line="20" w:lineRule="exact"/>
              <w:rPr>
                <w:sz w:val="1"/>
                <w:szCs w:val="1"/>
                <w:color w:val="auto"/>
              </w:rPr>
            </w:pPr>
          </w:p>
        </w:tc>
        <w:tc>
          <w:tcPr>
            <w:tcW w:w="12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41"/>
        </w:trPr>
        <w:tc>
          <w:tcPr>
            <w:tcW w:w="8260" w:type="dxa"/>
            <w:vAlign w:val="bottom"/>
            <w:vMerge w:val="continue"/>
          </w:tcPr>
          <w:p>
            <w:pPr>
              <w:spacing w:after="0"/>
              <w:rPr>
                <w:sz w:val="24"/>
                <w:szCs w:val="24"/>
                <w:color w:val="auto"/>
              </w:rPr>
            </w:pPr>
          </w:p>
        </w:tc>
        <w:tc>
          <w:tcPr>
            <w:tcW w:w="2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8"/>
        </w:trPr>
        <w:tc>
          <w:tcPr>
            <w:tcW w:w="8260" w:type="dxa"/>
            <w:vAlign w:val="bottom"/>
          </w:tcPr>
          <w:p>
            <w:pPr>
              <w:ind w:left="420"/>
              <w:spacing w:after="0"/>
              <w:rPr>
                <w:sz w:val="20"/>
                <w:szCs w:val="20"/>
                <w:color w:val="auto"/>
              </w:rPr>
            </w:pPr>
            <w:r>
              <w:rPr>
                <w:rFonts w:ascii="Arial" w:cs="Arial" w:eastAsia="Arial" w:hAnsi="Arial"/>
                <w:sz w:val="18"/>
                <w:szCs w:val="18"/>
                <w:color w:val="auto"/>
              </w:rPr>
              <w:t>Accrued liabilities consisted of the following:</w:t>
            </w:r>
          </w:p>
        </w:tc>
        <w:tc>
          <w:tcPr>
            <w:tcW w:w="2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2"/>
        </w:trPr>
        <w:tc>
          <w:tcPr>
            <w:tcW w:w="8260" w:type="dxa"/>
            <w:vAlign w:val="bottom"/>
          </w:tcPr>
          <w:p>
            <w:pPr>
              <w:ind w:left="20"/>
              <w:spacing w:after="0"/>
              <w:rPr>
                <w:sz w:val="20"/>
                <w:szCs w:val="20"/>
                <w:color w:val="auto"/>
              </w:rPr>
            </w:pPr>
            <w:r>
              <w:rPr>
                <w:rFonts w:ascii="Arial" w:cs="Arial" w:eastAsia="Arial" w:hAnsi="Arial"/>
                <w:sz w:val="14"/>
                <w:szCs w:val="14"/>
                <w:color w:val="auto"/>
              </w:rPr>
              <w:t>(in thousands)</w:t>
            </w:r>
          </w:p>
        </w:tc>
        <w:tc>
          <w:tcPr>
            <w:tcW w:w="220" w:type="dxa"/>
            <w:vAlign w:val="bottom"/>
          </w:tcPr>
          <w:p>
            <w:pPr>
              <w:spacing w:after="0"/>
              <w:rPr>
                <w:sz w:val="24"/>
                <w:szCs w:val="24"/>
                <w:color w:val="auto"/>
              </w:rPr>
            </w:pPr>
          </w:p>
        </w:tc>
        <w:tc>
          <w:tcPr>
            <w:tcW w:w="1320" w:type="dxa"/>
            <w:vAlign w:val="bottom"/>
            <w:gridSpan w:val="2"/>
          </w:tcPr>
          <w:p>
            <w:pPr>
              <w:ind w:left="120"/>
              <w:spacing w:after="0"/>
              <w:rPr>
                <w:sz w:val="20"/>
                <w:szCs w:val="20"/>
                <w:color w:val="auto"/>
              </w:rPr>
            </w:pPr>
            <w:r>
              <w:rPr>
                <w:rFonts w:ascii="Arial" w:cs="Arial" w:eastAsia="Arial" w:hAnsi="Arial"/>
                <w:sz w:val="14"/>
                <w:szCs w:val="14"/>
                <w:color w:val="auto"/>
              </w:rPr>
              <w:t>Nov 30, 2020</w:t>
            </w:r>
          </w:p>
        </w:tc>
        <w:tc>
          <w:tcPr>
            <w:tcW w:w="220" w:type="dxa"/>
            <w:vAlign w:val="bottom"/>
          </w:tcPr>
          <w:p>
            <w:pPr>
              <w:spacing w:after="0"/>
              <w:rPr>
                <w:sz w:val="24"/>
                <w:szCs w:val="24"/>
                <w:color w:val="auto"/>
              </w:rPr>
            </w:pPr>
          </w:p>
        </w:tc>
        <w:tc>
          <w:tcPr>
            <w:tcW w:w="1220" w:type="dxa"/>
            <w:vAlign w:val="bottom"/>
          </w:tcPr>
          <w:p>
            <w:pPr>
              <w:jc w:val="right"/>
              <w:ind w:right="231"/>
              <w:spacing w:after="0"/>
              <w:rPr>
                <w:sz w:val="20"/>
                <w:szCs w:val="20"/>
                <w:color w:val="auto"/>
              </w:rPr>
            </w:pPr>
            <w:r>
              <w:rPr>
                <w:rFonts w:ascii="Arial" w:cs="Arial" w:eastAsia="Arial" w:hAnsi="Arial"/>
                <w:sz w:val="14"/>
                <w:szCs w:val="14"/>
                <w:color w:val="auto"/>
              </w:rPr>
              <w:t>May 31, 2020</w:t>
            </w:r>
          </w:p>
        </w:tc>
        <w:tc>
          <w:tcPr>
            <w:tcW w:w="0" w:type="dxa"/>
            <w:vAlign w:val="bottom"/>
          </w:tcPr>
          <w:p>
            <w:pPr>
              <w:spacing w:after="0"/>
              <w:rPr>
                <w:sz w:val="1"/>
                <w:szCs w:val="1"/>
                <w:color w:val="auto"/>
              </w:rPr>
            </w:pPr>
          </w:p>
        </w:tc>
      </w:tr>
      <w:tr>
        <w:trPr>
          <w:trHeight w:val="229"/>
        </w:trPr>
        <w:tc>
          <w:tcPr>
            <w:tcW w:w="82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Payroll and related expenses</w:t>
            </w:r>
          </w:p>
        </w:tc>
        <w:tc>
          <w:tcPr>
            <w:tcW w:w="22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11,347</w:t>
            </w: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13,059</w:t>
            </w:r>
          </w:p>
        </w:tc>
        <w:tc>
          <w:tcPr>
            <w:tcW w:w="0" w:type="dxa"/>
            <w:vAlign w:val="bottom"/>
          </w:tcPr>
          <w:p>
            <w:pPr>
              <w:spacing w:after="0"/>
              <w:rPr>
                <w:sz w:val="1"/>
                <w:szCs w:val="1"/>
                <w:color w:val="auto"/>
              </w:rPr>
            </w:pPr>
          </w:p>
        </w:tc>
      </w:tr>
      <w:tr>
        <w:trPr>
          <w:trHeight w:val="229"/>
        </w:trPr>
        <w:tc>
          <w:tcPr>
            <w:tcW w:w="8260" w:type="dxa"/>
            <w:vAlign w:val="bottom"/>
          </w:tcPr>
          <w:p>
            <w:pPr>
              <w:ind w:left="20"/>
              <w:spacing w:after="0"/>
              <w:rPr>
                <w:sz w:val="20"/>
                <w:szCs w:val="20"/>
                <w:color w:val="auto"/>
              </w:rPr>
            </w:pPr>
            <w:r>
              <w:rPr>
                <w:rFonts w:ascii="Arial" w:cs="Arial" w:eastAsia="Arial" w:hAnsi="Arial"/>
                <w:sz w:val="18"/>
                <w:szCs w:val="18"/>
                <w:color w:val="auto"/>
              </w:rPr>
              <w:t>Royalties</w:t>
            </w:r>
          </w:p>
        </w:tc>
        <w:tc>
          <w:tcPr>
            <w:tcW w:w="2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1,814</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2,392</w:t>
            </w:r>
          </w:p>
        </w:tc>
        <w:tc>
          <w:tcPr>
            <w:tcW w:w="0" w:type="dxa"/>
            <w:vAlign w:val="bottom"/>
          </w:tcPr>
          <w:p>
            <w:pPr>
              <w:spacing w:after="0"/>
              <w:rPr>
                <w:sz w:val="1"/>
                <w:szCs w:val="1"/>
                <w:color w:val="auto"/>
              </w:rPr>
            </w:pPr>
          </w:p>
        </w:tc>
      </w:tr>
      <w:tr>
        <w:trPr>
          <w:trHeight w:val="230"/>
        </w:trPr>
        <w:tc>
          <w:tcPr>
            <w:tcW w:w="8260" w:type="dxa"/>
            <w:vAlign w:val="bottom"/>
            <w:shd w:val="clear" w:color="auto" w:fill="CCEEFF"/>
          </w:tcPr>
          <w:p>
            <w:pPr>
              <w:ind w:left="20"/>
              <w:spacing w:after="0"/>
              <w:rPr>
                <w:sz w:val="20"/>
                <w:szCs w:val="20"/>
                <w:color w:val="auto"/>
              </w:rPr>
            </w:pPr>
            <w:r>
              <w:rPr>
                <w:rFonts w:ascii="Arial" w:cs="Arial" w:eastAsia="Arial" w:hAnsi="Arial"/>
                <w:sz w:val="18"/>
                <w:szCs w:val="18"/>
                <w:color w:val="auto"/>
              </w:rPr>
              <w:t>Accrued severance</w:t>
            </w: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533</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794</w:t>
            </w:r>
          </w:p>
        </w:tc>
        <w:tc>
          <w:tcPr>
            <w:tcW w:w="0" w:type="dxa"/>
            <w:vAlign w:val="bottom"/>
          </w:tcPr>
          <w:p>
            <w:pPr>
              <w:spacing w:after="0"/>
              <w:rPr>
                <w:sz w:val="1"/>
                <w:szCs w:val="1"/>
                <w:color w:val="auto"/>
              </w:rPr>
            </w:pPr>
          </w:p>
        </w:tc>
      </w:tr>
      <w:tr>
        <w:trPr>
          <w:trHeight w:val="229"/>
        </w:trPr>
        <w:tc>
          <w:tcPr>
            <w:tcW w:w="8260" w:type="dxa"/>
            <w:vAlign w:val="bottom"/>
          </w:tcPr>
          <w:p>
            <w:pPr>
              <w:ind w:left="20"/>
              <w:spacing w:after="0"/>
              <w:rPr>
                <w:sz w:val="20"/>
                <w:szCs w:val="20"/>
                <w:color w:val="auto"/>
              </w:rPr>
            </w:pPr>
            <w:r>
              <w:rPr>
                <w:rFonts w:ascii="Arial" w:cs="Arial" w:eastAsia="Arial" w:hAnsi="Arial"/>
                <w:sz w:val="18"/>
                <w:szCs w:val="18"/>
                <w:color w:val="auto"/>
              </w:rPr>
              <w:t>Sales and franchise taxes</w:t>
            </w:r>
          </w:p>
        </w:tc>
        <w:tc>
          <w:tcPr>
            <w:tcW w:w="2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834</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634</w:t>
            </w:r>
          </w:p>
        </w:tc>
        <w:tc>
          <w:tcPr>
            <w:tcW w:w="0" w:type="dxa"/>
            <w:vAlign w:val="bottom"/>
          </w:tcPr>
          <w:p>
            <w:pPr>
              <w:spacing w:after="0"/>
              <w:rPr>
                <w:sz w:val="1"/>
                <w:szCs w:val="1"/>
                <w:color w:val="auto"/>
              </w:rPr>
            </w:pPr>
          </w:p>
        </w:tc>
      </w:tr>
      <w:tr>
        <w:trPr>
          <w:trHeight w:val="229"/>
        </w:trPr>
        <w:tc>
          <w:tcPr>
            <w:tcW w:w="8260" w:type="dxa"/>
            <w:vAlign w:val="bottom"/>
            <w:shd w:val="clear" w:color="auto" w:fill="CCEEFF"/>
          </w:tcPr>
          <w:p>
            <w:pPr>
              <w:ind w:left="20"/>
              <w:spacing w:after="0"/>
              <w:rPr>
                <w:sz w:val="20"/>
                <w:szCs w:val="20"/>
                <w:color w:val="auto"/>
              </w:rPr>
            </w:pPr>
            <w:r>
              <w:rPr>
                <w:rFonts w:ascii="Arial" w:cs="Arial" w:eastAsia="Arial" w:hAnsi="Arial"/>
                <w:sz w:val="18"/>
                <w:szCs w:val="18"/>
                <w:color w:val="auto"/>
              </w:rPr>
              <w:t>Outside services</w:t>
            </w: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3,393</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2,222</w:t>
            </w:r>
          </w:p>
        </w:tc>
        <w:tc>
          <w:tcPr>
            <w:tcW w:w="0" w:type="dxa"/>
            <w:vAlign w:val="bottom"/>
          </w:tcPr>
          <w:p>
            <w:pPr>
              <w:spacing w:after="0"/>
              <w:rPr>
                <w:sz w:val="1"/>
                <w:szCs w:val="1"/>
                <w:color w:val="auto"/>
              </w:rPr>
            </w:pPr>
          </w:p>
        </w:tc>
      </w:tr>
      <w:tr>
        <w:trPr>
          <w:trHeight w:val="230"/>
        </w:trPr>
        <w:tc>
          <w:tcPr>
            <w:tcW w:w="8260" w:type="dxa"/>
            <w:vAlign w:val="bottom"/>
          </w:tcPr>
          <w:p>
            <w:pPr>
              <w:ind w:left="20"/>
              <w:spacing w:after="0"/>
              <w:rPr>
                <w:sz w:val="20"/>
                <w:szCs w:val="20"/>
                <w:color w:val="auto"/>
              </w:rPr>
            </w:pPr>
            <w:r>
              <w:rPr>
                <w:rFonts w:ascii="Arial" w:cs="Arial" w:eastAsia="Arial" w:hAnsi="Arial"/>
                <w:sz w:val="18"/>
                <w:szCs w:val="18"/>
                <w:color w:val="auto"/>
              </w:rPr>
              <w:t>Indemnification holdback</w:t>
            </w:r>
          </w:p>
        </w:tc>
        <w:tc>
          <w:tcPr>
            <w:tcW w:w="2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4,625</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5,000</w:t>
            </w:r>
          </w:p>
        </w:tc>
        <w:tc>
          <w:tcPr>
            <w:tcW w:w="0" w:type="dxa"/>
            <w:vAlign w:val="bottom"/>
          </w:tcPr>
          <w:p>
            <w:pPr>
              <w:spacing w:after="0"/>
              <w:rPr>
                <w:sz w:val="1"/>
                <w:szCs w:val="1"/>
                <w:color w:val="auto"/>
              </w:rPr>
            </w:pPr>
          </w:p>
        </w:tc>
      </w:tr>
      <w:tr>
        <w:trPr>
          <w:trHeight w:val="229"/>
        </w:trPr>
        <w:tc>
          <w:tcPr>
            <w:tcW w:w="826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w:t>
            </w:r>
          </w:p>
        </w:tc>
        <w:tc>
          <w:tcPr>
            <w:tcW w:w="22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5,064</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5,279</w:t>
            </w:r>
          </w:p>
        </w:tc>
        <w:tc>
          <w:tcPr>
            <w:tcW w:w="0" w:type="dxa"/>
            <w:vAlign w:val="bottom"/>
          </w:tcPr>
          <w:p>
            <w:pPr>
              <w:spacing w:after="0"/>
              <w:rPr>
                <w:sz w:val="1"/>
                <w:szCs w:val="1"/>
                <w:color w:val="auto"/>
              </w:rPr>
            </w:pPr>
          </w:p>
        </w:tc>
      </w:tr>
      <w:tr>
        <w:trPr>
          <w:trHeight w:val="223"/>
        </w:trPr>
        <w:tc>
          <w:tcPr>
            <w:tcW w:w="8260" w:type="dxa"/>
            <w:vAlign w:val="bottom"/>
          </w:tcPr>
          <w:p>
            <w:pPr>
              <w:spacing w:after="0"/>
              <w:rPr>
                <w:sz w:val="19"/>
                <w:szCs w:val="19"/>
                <w:color w:val="auto"/>
              </w:rPr>
            </w:pPr>
          </w:p>
        </w:tc>
        <w:tc>
          <w:tcPr>
            <w:tcW w:w="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27,610</w:t>
            </w:r>
          </w:p>
        </w:tc>
        <w:tc>
          <w:tcPr>
            <w:tcW w:w="100" w:type="dxa"/>
            <w:vAlign w:val="bottom"/>
          </w:tcPr>
          <w:p>
            <w:pPr>
              <w:spacing w:after="0"/>
              <w:rPr>
                <w:sz w:val="19"/>
                <w:szCs w:val="19"/>
                <w:color w:val="auto"/>
              </w:rPr>
            </w:pPr>
          </w:p>
        </w:tc>
        <w:tc>
          <w:tcPr>
            <w:tcW w:w="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29,380</w:t>
            </w:r>
          </w:p>
        </w:tc>
        <w:tc>
          <w:tcPr>
            <w:tcW w:w="0" w:type="dxa"/>
            <w:vAlign w:val="bottom"/>
          </w:tcPr>
          <w:p>
            <w:pPr>
              <w:spacing w:after="0"/>
              <w:rPr>
                <w:sz w:val="1"/>
                <w:szCs w:val="1"/>
                <w:color w:val="auto"/>
              </w:rPr>
            </w:pPr>
          </w:p>
        </w:tc>
      </w:tr>
      <w:tr>
        <w:trPr>
          <w:trHeight w:val="20"/>
        </w:trPr>
        <w:tc>
          <w:tcPr>
            <w:tcW w:w="82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LONG TERM DEBT</w:t>
      </w:r>
    </w:p>
    <w:p>
      <w:pPr>
        <w:spacing w:after="0" w:line="175" w:lineRule="exact"/>
        <w:rPr>
          <w:sz w:val="20"/>
          <w:szCs w:val="20"/>
          <w:color w:val="auto"/>
        </w:rPr>
      </w:pPr>
    </w:p>
    <w:p>
      <w:pPr>
        <w:jc w:val="both"/>
        <w:ind w:right="180" w:firstLine="405"/>
        <w:spacing w:after="0" w:line="263" w:lineRule="auto"/>
        <w:rPr>
          <w:sz w:val="20"/>
          <w:szCs w:val="20"/>
          <w:color w:val="auto"/>
        </w:rPr>
      </w:pPr>
      <w:r>
        <w:rPr>
          <w:rFonts w:ascii="Arial" w:cs="Arial" w:eastAsia="Arial" w:hAnsi="Arial"/>
          <w:sz w:val="18"/>
          <w:szCs w:val="18"/>
          <w:color w:val="auto"/>
        </w:rPr>
        <w:t>On June 3, 2019 and in connection with the completion of the Fluid Management divestiture, the Company repaid all amounts outstanding under its existing Credit Agreement and entered into a new Credit Agreement with the lenders party thereto, JPMorgan Chase Bank, N.A., as administrative agent, and Bank of America, N.A. and KeyBank National Association, as co-syndication agents.</w:t>
      </w:r>
    </w:p>
    <w:p>
      <w:pPr>
        <w:spacing w:after="0" w:line="130" w:lineRule="exact"/>
        <w:rPr>
          <w:sz w:val="20"/>
          <w:szCs w:val="20"/>
          <w:color w:val="auto"/>
        </w:rPr>
      </w:pPr>
    </w:p>
    <w:p>
      <w:pPr>
        <w:ind w:right="120" w:firstLine="405"/>
        <w:spacing w:after="0" w:line="279" w:lineRule="auto"/>
        <w:rPr>
          <w:sz w:val="20"/>
          <w:szCs w:val="20"/>
          <w:color w:val="auto"/>
        </w:rPr>
      </w:pPr>
      <w:r>
        <w:rPr>
          <w:rFonts w:ascii="Arial" w:cs="Arial" w:eastAsia="Arial" w:hAnsi="Arial"/>
          <w:sz w:val="17"/>
          <w:szCs w:val="17"/>
          <w:color w:val="auto"/>
        </w:rPr>
        <w:t>The Credit Agreement provides for a $125.0 million secured revolving credit facility (the “Revolving Facility”), which includes an uncommitted expansion feature that allows the Company to increase the total revolving commitments and/or add new tranches of term loans in an aggregate amount not to exceed $75.0 million. The proceeds may be used to refinance certain existing indebtedness of the Company and its subsidiaries, to finance the working capital needs, and for general corporate purposes (including permitted acquisitions), of the Company and its subsidiaries.</w:t>
      </w:r>
    </w:p>
    <w:p>
      <w:pPr>
        <w:spacing w:after="0" w:line="117" w:lineRule="exact"/>
        <w:rPr>
          <w:sz w:val="20"/>
          <w:szCs w:val="20"/>
          <w:color w:val="auto"/>
        </w:rPr>
      </w:pPr>
    </w:p>
    <w:p>
      <w:pPr>
        <w:ind w:right="480" w:firstLine="405"/>
        <w:spacing w:after="0" w:line="291" w:lineRule="auto"/>
        <w:rPr>
          <w:sz w:val="20"/>
          <w:szCs w:val="20"/>
          <w:color w:val="auto"/>
        </w:rPr>
      </w:pPr>
      <w:r>
        <w:rPr>
          <w:rFonts w:ascii="Arial" w:cs="Arial" w:eastAsia="Arial" w:hAnsi="Arial"/>
          <w:sz w:val="16"/>
          <w:szCs w:val="16"/>
          <w:color w:val="auto"/>
        </w:rPr>
        <w:t>The Credit Agreement has a five year maturity. Interest on the facility will be based, at the Company’s option, on a base rate of LIBOR plus an applicable margin tied to the Company’s total leverage ratio and having ranges between 0.25% and 0.75% for base rate loans and between 1.25% and</w:t>
      </w:r>
    </w:p>
    <w:p>
      <w:pPr>
        <w:ind w:right="340"/>
        <w:spacing w:after="0" w:line="260" w:lineRule="auto"/>
        <w:rPr>
          <w:sz w:val="20"/>
          <w:szCs w:val="20"/>
          <w:color w:val="auto"/>
        </w:rPr>
      </w:pPr>
      <w:r>
        <w:rPr>
          <w:rFonts w:ascii="Arial" w:cs="Arial" w:eastAsia="Arial" w:hAnsi="Arial"/>
          <w:sz w:val="18"/>
          <w:szCs w:val="18"/>
          <w:color w:val="auto"/>
        </w:rPr>
        <w:t>1.75% for LIBOR loans. After default, the interest rate may be increased by 2.0%. The facility will also carry a commitment fee of 0.20% to 0.25% per annum on the unused portion.</w:t>
      </w:r>
    </w:p>
    <w:p>
      <w:pPr>
        <w:spacing w:after="0" w:line="131" w:lineRule="exact"/>
        <w:rPr>
          <w:sz w:val="20"/>
          <w:szCs w:val="20"/>
          <w:color w:val="auto"/>
        </w:rPr>
      </w:pPr>
    </w:p>
    <w:p>
      <w:pPr>
        <w:ind w:right="160" w:firstLine="405"/>
        <w:spacing w:after="0" w:line="263" w:lineRule="auto"/>
        <w:rPr>
          <w:sz w:val="20"/>
          <w:szCs w:val="20"/>
          <w:color w:val="auto"/>
        </w:rPr>
      </w:pPr>
      <w:r>
        <w:rPr>
          <w:rFonts w:ascii="Arial" w:cs="Arial" w:eastAsia="Arial" w:hAnsi="Arial"/>
          <w:sz w:val="18"/>
          <w:szCs w:val="18"/>
          <w:color w:val="auto"/>
        </w:rPr>
        <w:t>The Company's obligations under the Revolving Facility are unconditionally guaranteed, jointly and severally, by the Company's material direct and indirect domestic subsidiaries (the “Guarantors”). All obligations of the Company and the Guarantors under the Revolving Facility are secured by first priority security interests in substantially all of the assets of the Company and the Guarantors.</w:t>
      </w:r>
    </w:p>
    <w:p>
      <w:pPr>
        <w:spacing w:after="0" w:line="130" w:lineRule="exact"/>
        <w:rPr>
          <w:sz w:val="20"/>
          <w:szCs w:val="20"/>
          <w:color w:val="auto"/>
        </w:rPr>
      </w:pPr>
    </w:p>
    <w:p>
      <w:pPr>
        <w:ind w:right="260" w:firstLine="405"/>
        <w:spacing w:after="0" w:line="277" w:lineRule="auto"/>
        <w:rPr>
          <w:sz w:val="20"/>
          <w:szCs w:val="20"/>
          <w:color w:val="auto"/>
        </w:rPr>
      </w:pPr>
      <w:r>
        <w:rPr>
          <w:rFonts w:ascii="Arial" w:cs="Arial" w:eastAsia="Arial" w:hAnsi="Arial"/>
          <w:sz w:val="18"/>
          <w:szCs w:val="18"/>
          <w:color w:val="auto"/>
        </w:rPr>
        <w:t>The Credit Agreement includes customary representations, warranties and covenants, and acceleration, indemnity and events of default provisions, including, among other things, two quarterly financial covenants as follows:</w:t>
      </w:r>
    </w:p>
    <w:p>
      <w:pPr>
        <w:spacing w:after="0" w:line="170" w:lineRule="exact"/>
        <w:rPr>
          <w:sz w:val="20"/>
          <w:szCs w:val="20"/>
          <w:color w:val="auto"/>
        </w:rPr>
      </w:pPr>
    </w:p>
    <w:p>
      <w:pPr>
        <w:ind w:left="660" w:right="360" w:hanging="247"/>
        <w:spacing w:after="0" w:line="258" w:lineRule="auto"/>
        <w:tabs>
          <w:tab w:leader="none" w:pos="655" w:val="left"/>
        </w:tabs>
        <w:numPr>
          <w:ilvl w:val="0"/>
          <w:numId w:val="4"/>
        </w:numPr>
        <w:rPr>
          <w:rFonts w:ascii="Arial" w:cs="Arial" w:eastAsia="Arial" w:hAnsi="Arial"/>
          <w:sz w:val="18"/>
          <w:szCs w:val="18"/>
          <w:color w:val="auto"/>
        </w:rPr>
      </w:pPr>
      <w:r>
        <w:rPr>
          <w:rFonts w:ascii="Arial" w:cs="Arial" w:eastAsia="Arial" w:hAnsi="Arial"/>
          <w:sz w:val="18"/>
          <w:szCs w:val="18"/>
          <w:color w:val="auto"/>
        </w:rPr>
        <w:t>maximum leverage ratio of consolidated total indebtedness* to consolidated EBITDA* of not greater than 3.00 to 1.00 (during certain periods following material acquisitions the ratio shall be increased to 3.50 to 1.00).</w:t>
      </w:r>
    </w:p>
    <w:p>
      <w:pPr>
        <w:spacing w:after="0" w:line="1" w:lineRule="exact"/>
        <w:rPr>
          <w:rFonts w:ascii="Arial" w:cs="Arial" w:eastAsia="Arial" w:hAnsi="Arial"/>
          <w:sz w:val="18"/>
          <w:szCs w:val="18"/>
          <w:color w:val="auto"/>
        </w:rPr>
      </w:pPr>
    </w:p>
    <w:p>
      <w:pPr>
        <w:ind w:left="660" w:right="160" w:hanging="247"/>
        <w:spacing w:after="0" w:line="290" w:lineRule="auto"/>
        <w:tabs>
          <w:tab w:leader="none" w:pos="655" w:val="left"/>
        </w:tabs>
        <w:numPr>
          <w:ilvl w:val="0"/>
          <w:numId w:val="4"/>
        </w:numPr>
        <w:rPr>
          <w:rFonts w:ascii="Arial" w:cs="Arial" w:eastAsia="Arial" w:hAnsi="Arial"/>
          <w:sz w:val="17"/>
          <w:szCs w:val="17"/>
          <w:color w:val="auto"/>
        </w:rPr>
      </w:pPr>
      <w:r>
        <w:rPr>
          <w:rFonts w:ascii="Arial" w:cs="Arial" w:eastAsia="Arial" w:hAnsi="Arial"/>
          <w:sz w:val="17"/>
          <w:szCs w:val="17"/>
          <w:color w:val="auto"/>
        </w:rPr>
        <w:t>fixed charge coverage ratio of consolidated EBITDA minus consolidated capital expenditures to consolidated interest expense paid or payable in cash plus scheduled principal payments in respect of indebtedness under the Credit Agreement of not less than 1.25 to 1.00.</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4" w:name="page15"/>
    <w:bookmarkEnd w:id="14"/>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Arial" w:cs="Arial" w:eastAsia="Arial" w:hAnsi="Arial"/>
          <w:sz w:val="14"/>
          <w:szCs w:val="14"/>
          <w:color w:val="auto"/>
        </w:rPr>
        <w:t>* The definitions of consolidated total indebtedness and consolidated EBITDA are maintained in the credit agreement included as an exhibit to Form 8-k filed on June 6, 2019.</w:t>
      </w:r>
    </w:p>
    <w:p>
      <w:pPr>
        <w:spacing w:after="0" w:line="167" w:lineRule="exact"/>
        <w:rPr>
          <w:sz w:val="20"/>
          <w:szCs w:val="20"/>
          <w:color w:val="auto"/>
        </w:rPr>
      </w:pPr>
    </w:p>
    <w:p>
      <w:pPr>
        <w:ind w:right="180" w:firstLine="405"/>
        <w:spacing w:after="0" w:line="277" w:lineRule="auto"/>
        <w:rPr>
          <w:sz w:val="20"/>
          <w:szCs w:val="20"/>
          <w:color w:val="auto"/>
        </w:rPr>
      </w:pPr>
      <w:r>
        <w:rPr>
          <w:rFonts w:ascii="Arial" w:cs="Arial" w:eastAsia="Arial" w:hAnsi="Arial"/>
          <w:sz w:val="18"/>
          <w:szCs w:val="18"/>
          <w:color w:val="auto"/>
        </w:rPr>
        <w:t>As of November 30, 2020, there was $40.0 million outstanding balance on the Revolving Facility. As of November 30, 2020 and May 31, 2020, the carrying value of long-term debt approximated its fair market value.</w:t>
      </w:r>
    </w:p>
    <w:p>
      <w:pPr>
        <w:spacing w:after="0" w:line="116"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interest rate on the Revolving Facility at November 30, 2020 was 1.65%.</w:t>
      </w:r>
    </w:p>
    <w:p>
      <w:pPr>
        <w:spacing w:after="0" w:line="171"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Company was in compliance with the Credit Agreement covenants as of November 30, 2020.</w:t>
      </w:r>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INCOME TAXES</w:t>
      </w:r>
    </w:p>
    <w:p>
      <w:pPr>
        <w:spacing w:after="0" w:line="175" w:lineRule="exact"/>
        <w:rPr>
          <w:sz w:val="20"/>
          <w:szCs w:val="20"/>
          <w:color w:val="auto"/>
        </w:rPr>
      </w:pPr>
    </w:p>
    <w:p>
      <w:pPr>
        <w:ind w:right="20" w:firstLine="405"/>
        <w:spacing w:after="0" w:line="296" w:lineRule="auto"/>
        <w:rPr>
          <w:sz w:val="20"/>
          <w:szCs w:val="20"/>
          <w:color w:val="auto"/>
        </w:rPr>
      </w:pPr>
      <w:r>
        <w:rPr>
          <w:rFonts w:ascii="Arial" w:cs="Arial" w:eastAsia="Arial" w:hAnsi="Arial"/>
          <w:sz w:val="16"/>
          <w:szCs w:val="16"/>
          <w:color w:val="auto"/>
        </w:rPr>
        <w:t>The Company provides for income taxes at the end of each interim period based on the estimated effective tax rate for the full fiscal year adjusted for any discrete events, which are recorded in the period that they occur. The estimated annual effective tax rate prior to discrete items was 16.1% as of the second quarter of fiscal year 2021, as compared to 13.2% for the same period in fiscal year 2020. In fiscal year 2021, the Company’s effective tax rate differs from the U.S. statutory rate primarily due to the impact of the valuation allowance, foreign taxes, and other non-deductible permanent items (such as non-deductible meals and entertainment, Section 162(m) excess compensation and non-deductible share based compensation).</w:t>
      </w:r>
    </w:p>
    <w:p>
      <w:pPr>
        <w:spacing w:after="0" w:line="107" w:lineRule="exact"/>
        <w:rPr>
          <w:sz w:val="20"/>
          <w:szCs w:val="20"/>
          <w:color w:val="auto"/>
        </w:rPr>
      </w:pPr>
    </w:p>
    <w:p>
      <w:pPr>
        <w:ind w:right="80" w:firstLine="405"/>
        <w:spacing w:after="0" w:line="263" w:lineRule="auto"/>
        <w:rPr>
          <w:sz w:val="20"/>
          <w:szCs w:val="20"/>
          <w:color w:val="auto"/>
        </w:rPr>
      </w:pPr>
      <w:r>
        <w:rPr>
          <w:rFonts w:ascii="Arial" w:cs="Arial" w:eastAsia="Arial" w:hAnsi="Arial"/>
          <w:sz w:val="18"/>
          <w:szCs w:val="18"/>
          <w:color w:val="auto"/>
        </w:rPr>
        <w:t>The Company regularly assesses its ability to realize its deferred tax assets. Assessing the realization of deferred tax assets requires significant management judgment. In determining whether its deferred tax assets are more likely than not realizable, the Company evaluated all available positive and negative evidence, and weighted the evidence based on its objectivity.</w:t>
      </w:r>
    </w:p>
    <w:p>
      <w:pPr>
        <w:spacing w:after="0" w:line="130" w:lineRule="exact"/>
        <w:rPr>
          <w:sz w:val="20"/>
          <w:szCs w:val="20"/>
          <w:color w:val="auto"/>
        </w:rPr>
      </w:pPr>
    </w:p>
    <w:p>
      <w:pPr>
        <w:ind w:firstLine="405"/>
        <w:spacing w:after="0" w:line="255" w:lineRule="auto"/>
        <w:rPr>
          <w:sz w:val="20"/>
          <w:szCs w:val="20"/>
          <w:color w:val="auto"/>
        </w:rPr>
      </w:pPr>
      <w:r>
        <w:rPr>
          <w:rFonts w:ascii="Arial" w:cs="Arial" w:eastAsia="Arial" w:hAnsi="Arial"/>
          <w:sz w:val="18"/>
          <w:szCs w:val="18"/>
          <w:color w:val="auto"/>
        </w:rPr>
        <w:t>Based on the review of all available evidence, the Company determined that it has not yet attained a sustained level of profitability and the objectively verifiable negative evidence outweighed the positive evidence. Therefore, the Company has provided a valuation allowance on its federal and state net operating loss carryforwards, federal and state R&amp;D credit carryforwards and other net deferred tax assets that have a limited life and are not supportable by the naked credit deferred tax liability sourced income as of November 30, 2020. The Company will continue to assess the level of the valuation allowance required. If sufficient positive evidence exists in future periods to support a release of some or all of the valuation allowance, such a release would likely have a material impact on the Company’s results of operations.</w:t>
      </w:r>
    </w:p>
    <w:p>
      <w:pPr>
        <w:spacing w:after="0" w:line="3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SHARE-BASED COMPENSATION</w:t>
      </w:r>
    </w:p>
    <w:p>
      <w:pPr>
        <w:spacing w:after="0" w:line="175" w:lineRule="exact"/>
        <w:rPr>
          <w:sz w:val="20"/>
          <w:szCs w:val="20"/>
          <w:color w:val="auto"/>
        </w:rPr>
      </w:pPr>
    </w:p>
    <w:p>
      <w:pPr>
        <w:ind w:right="100" w:firstLine="405"/>
        <w:spacing w:after="0" w:line="255" w:lineRule="auto"/>
        <w:rPr>
          <w:sz w:val="20"/>
          <w:szCs w:val="20"/>
          <w:color w:val="auto"/>
        </w:rPr>
      </w:pPr>
      <w:r>
        <w:rPr>
          <w:rFonts w:ascii="Arial" w:cs="Arial" w:eastAsia="Arial" w:hAnsi="Arial"/>
          <w:sz w:val="18"/>
          <w:szCs w:val="18"/>
          <w:color w:val="auto"/>
        </w:rPr>
        <w:t>The Company has three stock-based compensation plans that provide for the issuance of up to approximately 14.2 million shares of common stock. The 2004 Stock and Incentive Award Plan (the "2004 Plan") and the 2020 Stock and Incentive Award Plan (the "2020 Plan") provide for the grant of up to 7.8 million and 2.4 million shares of common stock, respectively. These plans provide for the grant of incentive stock options, non-statutory stock options, restricted stock, stock appreciation rights, performance units, performance shares and other incentive awards to the Company's employees, directors and other service providers. The Company also has an employee stock purchase plan which provides for the issuance of up to 4.0 million shares of common stock.</w:t>
      </w:r>
    </w:p>
    <w:p>
      <w:pPr>
        <w:spacing w:after="0" w:line="138" w:lineRule="exact"/>
        <w:rPr>
          <w:sz w:val="20"/>
          <w:szCs w:val="20"/>
          <w:color w:val="auto"/>
        </w:rPr>
      </w:pPr>
    </w:p>
    <w:p>
      <w:pPr>
        <w:ind w:right="40" w:firstLine="405"/>
        <w:spacing w:after="0" w:line="308" w:lineRule="auto"/>
        <w:rPr>
          <w:sz w:val="20"/>
          <w:szCs w:val="20"/>
          <w:color w:val="auto"/>
        </w:rPr>
      </w:pPr>
      <w:r>
        <w:rPr>
          <w:rFonts w:ascii="Arial" w:cs="Arial" w:eastAsia="Arial" w:hAnsi="Arial"/>
          <w:sz w:val="17"/>
          <w:szCs w:val="17"/>
          <w:color w:val="auto"/>
        </w:rPr>
        <w:t>For the three months ended November 30, 2020 and 2019, share-based compensation expense was $2.4 million and $2.2 million, respectively. For the six months ended November 30, 2020 and 2019, share-based compensation expense was $4.3 million and $4.2 million, respectively</w:t>
      </w:r>
    </w:p>
    <w:p>
      <w:pPr>
        <w:spacing w:after="0" w:line="92" w:lineRule="exact"/>
        <w:rPr>
          <w:sz w:val="20"/>
          <w:szCs w:val="20"/>
          <w:color w:val="auto"/>
        </w:rPr>
      </w:pPr>
    </w:p>
    <w:p>
      <w:pPr>
        <w:ind w:right="140" w:firstLine="405"/>
        <w:spacing w:after="0" w:line="301" w:lineRule="auto"/>
        <w:rPr>
          <w:sz w:val="20"/>
          <w:szCs w:val="20"/>
          <w:color w:val="auto"/>
        </w:rPr>
      </w:pPr>
      <w:r>
        <w:rPr>
          <w:rFonts w:ascii="Arial" w:cs="Arial" w:eastAsia="Arial" w:hAnsi="Arial"/>
          <w:sz w:val="16"/>
          <w:szCs w:val="16"/>
          <w:color w:val="auto"/>
        </w:rPr>
        <w:t>During the six months ended November 30, 2020 and 2019, the Company granted stock options and restricted stock units under the 2004 and 2020 Plan to certain employees and members of the Board of Directors. Stock option awards are valued using the Black-Scholes option-pricing model and then amortized on a straight-line basis over the requisite service period of the award. Restricted stock unit awards are valued based on the closing trading value of the Company's shares on the date of grant and then amortized on a straight-line basis over the requisite service period of the award.</w:t>
      </w:r>
    </w:p>
    <w:p>
      <w:pPr>
        <w:spacing w:after="0" w:line="103" w:lineRule="exact"/>
        <w:rPr>
          <w:sz w:val="20"/>
          <w:szCs w:val="20"/>
          <w:color w:val="auto"/>
        </w:rPr>
      </w:pPr>
    </w:p>
    <w:p>
      <w:pPr>
        <w:ind w:right="60" w:firstLine="405"/>
        <w:spacing w:after="0" w:line="257" w:lineRule="auto"/>
        <w:rPr>
          <w:sz w:val="20"/>
          <w:szCs w:val="20"/>
          <w:color w:val="auto"/>
        </w:rPr>
      </w:pPr>
      <w:r>
        <w:rPr>
          <w:rFonts w:ascii="Arial" w:cs="Arial" w:eastAsia="Arial" w:hAnsi="Arial"/>
          <w:sz w:val="18"/>
          <w:szCs w:val="18"/>
          <w:color w:val="auto"/>
        </w:rPr>
        <w:t>During the six months ended November 30, 2020 and 2019, the Company granted performance share units under the 2004 Plan to certain employees. The awards may be earned by achieving relative performance levels over the year requisite service period. The performance criteria are based on achieving certain performance targets and the total shareholder return ("TSR") of the Company's common stock relative to the TSR of the common stock of a pre-defined industry peer-group. The fair value of these awards are based on the closing trading value of the Company's shares on the date of grant and use a Monte Carlo simulation model.</w:t>
      </w:r>
    </w:p>
    <w:p>
      <w:pPr>
        <w:spacing w:after="0" w:line="134" w:lineRule="exact"/>
        <w:rPr>
          <w:sz w:val="20"/>
          <w:szCs w:val="20"/>
          <w:color w:val="auto"/>
        </w:rPr>
      </w:pPr>
    </w:p>
    <w:p>
      <w:pPr>
        <w:ind w:right="60" w:firstLine="405"/>
        <w:spacing w:after="0" w:line="263" w:lineRule="auto"/>
        <w:rPr>
          <w:sz w:val="20"/>
          <w:szCs w:val="20"/>
          <w:color w:val="auto"/>
        </w:rPr>
      </w:pPr>
      <w:r>
        <w:rPr>
          <w:rFonts w:ascii="Arial" w:cs="Arial" w:eastAsia="Arial" w:hAnsi="Arial"/>
          <w:sz w:val="18"/>
          <w:szCs w:val="18"/>
          <w:color w:val="auto"/>
        </w:rPr>
        <w:t>As of November 30, 2020, there was $16.0 million of unrecognized compensation expense related to share-based payment arrangements. These costs are expected to be recognized over a weighted-average period of approximately four years. The Company has sufficient shares to satisfy expected share-based payment arrangements.</w:t>
      </w: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5" w:name="page16"/>
    <w:bookmarkEnd w:id="15"/>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EARNINGS PER SHARE</w:t>
      </w:r>
    </w:p>
    <w:p>
      <w:pPr>
        <w:spacing w:after="0" w:line="175" w:lineRule="exact"/>
        <w:rPr>
          <w:sz w:val="20"/>
          <w:szCs w:val="20"/>
          <w:color w:val="auto"/>
        </w:rPr>
      </w:pPr>
    </w:p>
    <w:p>
      <w:pPr>
        <w:ind w:right="40" w:firstLine="405"/>
        <w:spacing w:after="0" w:line="259" w:lineRule="auto"/>
        <w:rPr>
          <w:sz w:val="20"/>
          <w:szCs w:val="20"/>
          <w:color w:val="auto"/>
        </w:rPr>
      </w:pPr>
      <w:r>
        <w:rPr>
          <w:rFonts w:ascii="Arial" w:cs="Arial" w:eastAsia="Arial" w:hAnsi="Arial"/>
          <w:sz w:val="18"/>
          <w:szCs w:val="18"/>
          <w:color w:val="auto"/>
        </w:rPr>
        <w:t>Basic earnings per share is based on the weighted average number of common shares outstanding without consideration of potential common stock. Diluted earnings per share includes the dilutive effect of potential common stock consisting of stock options, restricted stock units and performance stock units, provided that the inclusion of such securities is not anti-dilutive. In periods with a net loss, stock options and restricted stock units are not included in the computation of diluted loss per share as the impact would be anti-dilutive.</w:t>
      </w:r>
    </w:p>
    <w:p>
      <w:pPr>
        <w:spacing w:after="0" w:line="200" w:lineRule="exact"/>
        <w:rPr>
          <w:sz w:val="20"/>
          <w:szCs w:val="20"/>
          <w:color w:val="auto"/>
        </w:rPr>
      </w:pPr>
    </w:p>
    <w:p>
      <w:pPr>
        <w:spacing w:after="0" w:line="338"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following table reconciles basic to diluted weighted-average shares outstanding:</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5200" w:type="dxa"/>
            <w:vAlign w:val="bottom"/>
          </w:tcPr>
          <w:p>
            <w:pPr>
              <w:spacing w:after="0"/>
              <w:rPr>
                <w:sz w:val="16"/>
                <w:szCs w:val="16"/>
                <w:color w:val="auto"/>
              </w:rPr>
            </w:pPr>
          </w:p>
        </w:tc>
        <w:tc>
          <w:tcPr>
            <w:tcW w:w="3060" w:type="dxa"/>
            <w:vAlign w:val="bottom"/>
            <w:gridSpan w:val="4"/>
          </w:tcPr>
          <w:p>
            <w:pPr>
              <w:ind w:left="860"/>
              <w:spacing w:after="0"/>
              <w:rPr>
                <w:sz w:val="20"/>
                <w:szCs w:val="20"/>
                <w:color w:val="auto"/>
              </w:rPr>
            </w:pPr>
            <w:r>
              <w:rPr>
                <w:rFonts w:ascii="Arial" w:cs="Arial" w:eastAsia="Arial" w:hAnsi="Arial"/>
                <w:sz w:val="14"/>
                <w:szCs w:val="14"/>
                <w:color w:val="auto"/>
              </w:rPr>
              <w:t>Three Months Ended</w:t>
            </w:r>
          </w:p>
        </w:tc>
        <w:tc>
          <w:tcPr>
            <w:tcW w:w="2980" w:type="dxa"/>
            <w:vAlign w:val="bottom"/>
            <w:gridSpan w:val="3"/>
          </w:tcPr>
          <w:p>
            <w:pPr>
              <w:jc w:val="right"/>
              <w:ind w:right="854"/>
              <w:spacing w:after="0"/>
              <w:rPr>
                <w:sz w:val="20"/>
                <w:szCs w:val="20"/>
                <w:color w:val="auto"/>
              </w:rPr>
            </w:pPr>
            <w:r>
              <w:rPr>
                <w:rFonts w:ascii="Arial" w:cs="Arial" w:eastAsia="Arial" w:hAnsi="Arial"/>
                <w:sz w:val="14"/>
                <w:szCs w:val="14"/>
                <w:color w:val="auto"/>
              </w:rPr>
              <w:t>Six Months Ended</w:t>
            </w:r>
          </w:p>
        </w:tc>
      </w:tr>
      <w:tr>
        <w:trPr>
          <w:trHeight w:val="186"/>
        </w:trPr>
        <w:tc>
          <w:tcPr>
            <w:tcW w:w="5200" w:type="dxa"/>
            <w:vAlign w:val="bottom"/>
          </w:tcPr>
          <w:p>
            <w:pPr>
              <w:ind w:left="20"/>
              <w:spacing w:after="0"/>
              <w:rPr>
                <w:sz w:val="20"/>
                <w:szCs w:val="20"/>
                <w:color w:val="auto"/>
              </w:rPr>
            </w:pPr>
            <w:r>
              <w:rPr>
                <w:rFonts w:ascii="Arial" w:cs="Arial" w:eastAsia="Arial" w:hAnsi="Arial"/>
                <w:sz w:val="14"/>
                <w:szCs w:val="14"/>
                <w:color w:val="auto"/>
              </w:rPr>
              <w:t>(in thousands)</w:t>
            </w:r>
          </w:p>
        </w:tc>
        <w:tc>
          <w:tcPr>
            <w:tcW w:w="1540" w:type="dxa"/>
            <w:vAlign w:val="bottom"/>
            <w:tcBorders>
              <w:top w:val="single" w:sz="8" w:color="auto"/>
            </w:tcBorders>
            <w:gridSpan w:val="2"/>
          </w:tcPr>
          <w:p>
            <w:pPr>
              <w:ind w:left="320"/>
              <w:spacing w:after="0"/>
              <w:rPr>
                <w:sz w:val="20"/>
                <w:szCs w:val="20"/>
                <w:color w:val="auto"/>
              </w:rPr>
            </w:pPr>
            <w:r>
              <w:rPr>
                <w:rFonts w:ascii="Arial" w:cs="Arial" w:eastAsia="Arial" w:hAnsi="Arial"/>
                <w:sz w:val="14"/>
                <w:szCs w:val="14"/>
                <w:color w:val="auto"/>
              </w:rPr>
              <w:t>Nov 30, 2020</w:t>
            </w:r>
          </w:p>
        </w:tc>
        <w:tc>
          <w:tcPr>
            <w:tcW w:w="1420" w:type="dxa"/>
            <w:vAlign w:val="bottom"/>
            <w:tcBorders>
              <w:top w:val="single" w:sz="8" w:color="auto"/>
            </w:tcBorders>
          </w:tcPr>
          <w:p>
            <w:pPr>
              <w:jc w:val="right"/>
              <w:ind w:right="234"/>
              <w:spacing w:after="0"/>
              <w:rPr>
                <w:sz w:val="20"/>
                <w:szCs w:val="20"/>
                <w:color w:val="auto"/>
              </w:rPr>
            </w:pPr>
            <w:r>
              <w:rPr>
                <w:rFonts w:ascii="Arial" w:cs="Arial" w:eastAsia="Arial" w:hAnsi="Arial"/>
                <w:sz w:val="14"/>
                <w:szCs w:val="14"/>
                <w:color w:val="auto"/>
              </w:rPr>
              <w:t>Nov 30, 2019</w:t>
            </w:r>
          </w:p>
        </w:tc>
        <w:tc>
          <w:tcPr>
            <w:tcW w:w="100" w:type="dxa"/>
            <w:vAlign w:val="bottom"/>
          </w:tcPr>
          <w:p>
            <w:pPr>
              <w:spacing w:after="0"/>
              <w:rPr>
                <w:sz w:val="16"/>
                <w:szCs w:val="16"/>
                <w:color w:val="auto"/>
              </w:rPr>
            </w:pPr>
          </w:p>
        </w:tc>
        <w:tc>
          <w:tcPr>
            <w:tcW w:w="1540" w:type="dxa"/>
            <w:vAlign w:val="bottom"/>
            <w:tcBorders>
              <w:top w:val="single" w:sz="8" w:color="auto"/>
            </w:tcBorders>
            <w:gridSpan w:val="2"/>
          </w:tcPr>
          <w:p>
            <w:pPr>
              <w:ind w:left="340"/>
              <w:spacing w:after="0"/>
              <w:rPr>
                <w:sz w:val="20"/>
                <w:szCs w:val="20"/>
                <w:color w:val="auto"/>
              </w:rPr>
            </w:pPr>
            <w:r>
              <w:rPr>
                <w:rFonts w:ascii="Arial" w:cs="Arial" w:eastAsia="Arial" w:hAnsi="Arial"/>
                <w:sz w:val="14"/>
                <w:szCs w:val="14"/>
                <w:color w:val="auto"/>
              </w:rPr>
              <w:t>Nov 30, 2020</w:t>
            </w:r>
          </w:p>
        </w:tc>
        <w:tc>
          <w:tcPr>
            <w:tcW w:w="1440" w:type="dxa"/>
            <w:vAlign w:val="bottom"/>
            <w:tcBorders>
              <w:top w:val="single" w:sz="8" w:color="auto"/>
            </w:tcBorders>
          </w:tcPr>
          <w:p>
            <w:pPr>
              <w:jc w:val="right"/>
              <w:ind w:right="234"/>
              <w:spacing w:after="0"/>
              <w:rPr>
                <w:sz w:val="20"/>
                <w:szCs w:val="20"/>
                <w:color w:val="auto"/>
              </w:rPr>
            </w:pPr>
            <w:r>
              <w:rPr>
                <w:rFonts w:ascii="Arial" w:cs="Arial" w:eastAsia="Arial" w:hAnsi="Arial"/>
                <w:sz w:val="14"/>
                <w:szCs w:val="14"/>
                <w:color w:val="auto"/>
              </w:rPr>
              <w:t>Nov 30, 2019</w:t>
            </w:r>
          </w:p>
        </w:tc>
      </w:tr>
      <w:tr>
        <w:trPr>
          <w:trHeight w:val="226"/>
        </w:trPr>
        <w:tc>
          <w:tcPr>
            <w:tcW w:w="52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Basic</w:t>
            </w:r>
          </w:p>
        </w:tc>
        <w:tc>
          <w:tcPr>
            <w:tcW w:w="1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38,327</w:t>
            </w:r>
          </w:p>
        </w:tc>
        <w:tc>
          <w:tcPr>
            <w:tcW w:w="120" w:type="dxa"/>
            <w:vAlign w:val="bottom"/>
            <w:tcBorders>
              <w:top w:val="single" w:sz="8" w:color="CCEEFF"/>
            </w:tcBorders>
            <w:shd w:val="clear" w:color="auto" w:fill="CCEEFF"/>
          </w:tcPr>
          <w:p>
            <w:pPr>
              <w:spacing w:after="0"/>
              <w:rPr>
                <w:sz w:val="19"/>
                <w:szCs w:val="19"/>
                <w:color w:val="auto"/>
              </w:rPr>
            </w:pPr>
          </w:p>
        </w:tc>
        <w:tc>
          <w:tcPr>
            <w:tcW w:w="1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37,992</w:t>
            </w:r>
          </w:p>
        </w:tc>
        <w:tc>
          <w:tcPr>
            <w:tcW w:w="100" w:type="dxa"/>
            <w:vAlign w:val="bottom"/>
            <w:tcBorders>
              <w:top w:val="single" w:sz="8" w:color="CCEEFF"/>
            </w:tcBorders>
            <w:shd w:val="clear" w:color="auto" w:fill="CCEEFF"/>
          </w:tcPr>
          <w:p>
            <w:pPr>
              <w:spacing w:after="0"/>
              <w:rPr>
                <w:sz w:val="19"/>
                <w:szCs w:val="19"/>
                <w:color w:val="auto"/>
              </w:rPr>
            </w:pPr>
          </w:p>
        </w:tc>
        <w:tc>
          <w:tcPr>
            <w:tcW w:w="14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38,242</w:t>
            </w:r>
          </w:p>
        </w:tc>
        <w:tc>
          <w:tcPr>
            <w:tcW w:w="100" w:type="dxa"/>
            <w:vAlign w:val="bottom"/>
            <w:tcBorders>
              <w:top w:val="single" w:sz="8" w:color="CCEEFF"/>
            </w:tcBorders>
            <w:shd w:val="clear" w:color="auto" w:fill="CCEEFF"/>
          </w:tcPr>
          <w:p>
            <w:pPr>
              <w:spacing w:after="0"/>
              <w:rPr>
                <w:sz w:val="19"/>
                <w:szCs w:val="19"/>
                <w:color w:val="auto"/>
              </w:rPr>
            </w:pPr>
          </w:p>
        </w:tc>
        <w:tc>
          <w:tcPr>
            <w:tcW w:w="14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37,887</w:t>
            </w:r>
          </w:p>
        </w:tc>
      </w:tr>
      <w:tr>
        <w:trPr>
          <w:trHeight w:val="230"/>
        </w:trPr>
        <w:tc>
          <w:tcPr>
            <w:tcW w:w="5200" w:type="dxa"/>
            <w:vAlign w:val="bottom"/>
          </w:tcPr>
          <w:p>
            <w:pPr>
              <w:ind w:left="20"/>
              <w:spacing w:after="0"/>
              <w:rPr>
                <w:sz w:val="20"/>
                <w:szCs w:val="20"/>
                <w:color w:val="auto"/>
              </w:rPr>
            </w:pPr>
            <w:r>
              <w:rPr>
                <w:rFonts w:ascii="Arial" w:cs="Arial" w:eastAsia="Arial" w:hAnsi="Arial"/>
                <w:sz w:val="18"/>
                <w:szCs w:val="18"/>
                <w:color w:val="auto"/>
              </w:rPr>
              <w:t>Effect of dilutive securities</w:t>
            </w:r>
          </w:p>
        </w:tc>
        <w:tc>
          <w:tcPr>
            <w:tcW w:w="15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5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5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4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48"/>
        </w:trPr>
        <w:tc>
          <w:tcPr>
            <w:tcW w:w="52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Diluted</w:t>
            </w:r>
          </w:p>
        </w:tc>
        <w:tc>
          <w:tcPr>
            <w:tcW w:w="14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38,327</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4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37,992</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38,242</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37,887</w:t>
            </w:r>
          </w:p>
        </w:tc>
      </w:tr>
      <w:tr>
        <w:trPr>
          <w:trHeight w:val="20"/>
        </w:trPr>
        <w:tc>
          <w:tcPr>
            <w:tcW w:w="5200" w:type="dxa"/>
            <w:vAlign w:val="bottom"/>
            <w:tcBorders>
              <w:top w:val="single" w:sz="8" w:color="CCEEFF"/>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r>
      <w:tr>
        <w:trPr>
          <w:trHeight w:val="204"/>
        </w:trPr>
        <w:tc>
          <w:tcPr>
            <w:tcW w:w="520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40" w:type="dxa"/>
            <w:vAlign w:val="bottom"/>
          </w:tcPr>
          <w:p>
            <w:pPr>
              <w:spacing w:after="0"/>
              <w:rPr>
                <w:sz w:val="17"/>
                <w:szCs w:val="17"/>
                <w:color w:val="auto"/>
              </w:rPr>
            </w:pPr>
          </w:p>
        </w:tc>
      </w:tr>
      <w:tr>
        <w:trPr>
          <w:trHeight w:val="254"/>
        </w:trPr>
        <w:tc>
          <w:tcPr>
            <w:tcW w:w="52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Securities excluded as their inclusion would be anti-dilutive</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3,133</w:t>
            </w:r>
          </w:p>
        </w:tc>
        <w:tc>
          <w:tcPr>
            <w:tcW w:w="12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2,694</w:t>
            </w:r>
          </w:p>
        </w:tc>
        <w:tc>
          <w:tcPr>
            <w:tcW w:w="10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3,159</w:t>
            </w:r>
          </w:p>
        </w:tc>
        <w:tc>
          <w:tcPr>
            <w:tcW w:w="10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2,689</w:t>
            </w:r>
          </w:p>
        </w:tc>
      </w:tr>
      <w:tr>
        <w:trPr>
          <w:trHeight w:val="20"/>
        </w:trPr>
        <w:tc>
          <w:tcPr>
            <w:tcW w:w="5200" w:type="dxa"/>
            <w:vAlign w:val="bottom"/>
            <w:tcBorders>
              <w:top w:val="single" w:sz="8" w:color="CCEEFF"/>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r>
    </w:tbl>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SEGMENT AND GEOGRAPHIC INFORMATION</w:t>
      </w:r>
    </w:p>
    <w:p>
      <w:pPr>
        <w:spacing w:after="0" w:line="175" w:lineRule="exact"/>
        <w:rPr>
          <w:sz w:val="20"/>
          <w:szCs w:val="20"/>
          <w:color w:val="auto"/>
        </w:rPr>
      </w:pPr>
    </w:p>
    <w:p>
      <w:pPr>
        <w:ind w:right="20" w:firstLine="405"/>
        <w:spacing w:after="0" w:line="275" w:lineRule="auto"/>
        <w:rPr>
          <w:sz w:val="20"/>
          <w:szCs w:val="20"/>
          <w:color w:val="auto"/>
        </w:rPr>
      </w:pPr>
      <w:r>
        <w:rPr>
          <w:rFonts w:ascii="Arial" w:cs="Arial" w:eastAsia="Arial" w:hAnsi="Arial"/>
          <w:sz w:val="17"/>
          <w:szCs w:val="17"/>
          <w:color w:val="auto"/>
        </w:rPr>
        <w:t>The Company considers the business to be a single operating segment engaged in the development, manufacture and sale of medical devices for vascular access, peripheral vascular disease and oncology on a global basis. The Company's chief operating decision maker, the President and Chief Executive Officer (CEO), evaluates the various global product portfolios on a net sales basis. Executives reporting to the CEO include those responsible for commercial operations, manufacturing operations, regulatory and quality and certain corporate functions. The CEO evaluates profitability, investment and cash flow metrics on a consolidated worldwide basis due to shared infrastructure and resources.</w:t>
      </w:r>
    </w:p>
    <w:p>
      <w:pPr>
        <w:spacing w:after="0" w:line="163"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table below summarizes net sales by Global Business Unit:</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52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840" w:type="dxa"/>
            <w:vAlign w:val="bottom"/>
            <w:gridSpan w:val="5"/>
          </w:tcPr>
          <w:p>
            <w:pPr>
              <w:ind w:left="660"/>
              <w:spacing w:after="0"/>
              <w:rPr>
                <w:sz w:val="20"/>
                <w:szCs w:val="20"/>
                <w:color w:val="auto"/>
              </w:rPr>
            </w:pPr>
            <w:r>
              <w:rPr>
                <w:rFonts w:ascii="Arial" w:cs="Arial" w:eastAsia="Arial" w:hAnsi="Arial"/>
                <w:sz w:val="14"/>
                <w:szCs w:val="14"/>
                <w:color w:val="auto"/>
              </w:rPr>
              <w:t>Three Months Ended</w:t>
            </w:r>
          </w:p>
        </w:tc>
        <w:tc>
          <w:tcPr>
            <w:tcW w:w="220" w:type="dxa"/>
            <w:vAlign w:val="bottom"/>
          </w:tcPr>
          <w:p>
            <w:pPr>
              <w:spacing w:after="0"/>
              <w:rPr>
                <w:sz w:val="16"/>
                <w:szCs w:val="16"/>
                <w:color w:val="auto"/>
              </w:rPr>
            </w:pPr>
          </w:p>
        </w:tc>
        <w:tc>
          <w:tcPr>
            <w:tcW w:w="2760" w:type="dxa"/>
            <w:vAlign w:val="bottom"/>
            <w:gridSpan w:val="4"/>
          </w:tcPr>
          <w:p>
            <w:pPr>
              <w:jc w:val="right"/>
              <w:ind w:right="854"/>
              <w:spacing w:after="0"/>
              <w:rPr>
                <w:sz w:val="20"/>
                <w:szCs w:val="20"/>
                <w:color w:val="auto"/>
              </w:rPr>
            </w:pPr>
            <w:r>
              <w:rPr>
                <w:rFonts w:ascii="Arial" w:cs="Arial" w:eastAsia="Arial" w:hAnsi="Arial"/>
                <w:sz w:val="14"/>
                <w:szCs w:val="14"/>
                <w:color w:val="auto"/>
              </w:rPr>
              <w:t>Six Months Ended</w:t>
            </w:r>
          </w:p>
        </w:tc>
      </w:tr>
      <w:tr>
        <w:trPr>
          <w:trHeight w:val="186"/>
        </w:trPr>
        <w:tc>
          <w:tcPr>
            <w:tcW w:w="5200" w:type="dxa"/>
            <w:vAlign w:val="bottom"/>
          </w:tcPr>
          <w:p>
            <w:pPr>
              <w:ind w:left="20"/>
              <w:spacing w:after="0"/>
              <w:rPr>
                <w:sz w:val="20"/>
                <w:szCs w:val="20"/>
                <w:color w:val="auto"/>
              </w:rPr>
            </w:pPr>
            <w:r>
              <w:rPr>
                <w:rFonts w:ascii="Arial" w:cs="Arial" w:eastAsia="Arial" w:hAnsi="Arial"/>
                <w:sz w:val="14"/>
                <w:szCs w:val="14"/>
                <w:color w:val="auto"/>
              </w:rPr>
              <w:t>(in thousands)</w:t>
            </w:r>
          </w:p>
        </w:tc>
        <w:tc>
          <w:tcPr>
            <w:tcW w:w="220" w:type="dxa"/>
            <w:vAlign w:val="bottom"/>
            <w:tcBorders>
              <w:top w:val="single" w:sz="8" w:color="auto"/>
            </w:tcBorders>
          </w:tcPr>
          <w:p>
            <w:pPr>
              <w:spacing w:after="0"/>
              <w:rPr>
                <w:sz w:val="16"/>
                <w:szCs w:val="16"/>
                <w:color w:val="auto"/>
              </w:rPr>
            </w:pPr>
          </w:p>
        </w:tc>
        <w:tc>
          <w:tcPr>
            <w:tcW w:w="1320" w:type="dxa"/>
            <w:vAlign w:val="bottom"/>
            <w:tcBorders>
              <w:top w:val="single" w:sz="8" w:color="auto"/>
            </w:tcBorders>
            <w:gridSpan w:val="2"/>
          </w:tcPr>
          <w:p>
            <w:pPr>
              <w:ind w:left="100"/>
              <w:spacing w:after="0"/>
              <w:rPr>
                <w:sz w:val="20"/>
                <w:szCs w:val="20"/>
                <w:color w:val="auto"/>
              </w:rPr>
            </w:pPr>
            <w:r>
              <w:rPr>
                <w:rFonts w:ascii="Arial" w:cs="Arial" w:eastAsia="Arial" w:hAnsi="Arial"/>
                <w:sz w:val="14"/>
                <w:szCs w:val="14"/>
                <w:color w:val="auto"/>
              </w:rPr>
              <w:t>Nov 30, 2020</w:t>
            </w:r>
          </w:p>
        </w:tc>
        <w:tc>
          <w:tcPr>
            <w:tcW w:w="200" w:type="dxa"/>
            <w:vAlign w:val="bottom"/>
            <w:tcBorders>
              <w:top w:val="single" w:sz="8" w:color="auto"/>
            </w:tcBorders>
          </w:tcPr>
          <w:p>
            <w:pPr>
              <w:spacing w:after="0"/>
              <w:rPr>
                <w:sz w:val="16"/>
                <w:szCs w:val="16"/>
                <w:color w:val="auto"/>
              </w:rPr>
            </w:pPr>
          </w:p>
        </w:tc>
        <w:tc>
          <w:tcPr>
            <w:tcW w:w="1220" w:type="dxa"/>
            <w:vAlign w:val="bottom"/>
            <w:tcBorders>
              <w:top w:val="single" w:sz="8" w:color="auto"/>
            </w:tcBorders>
          </w:tcPr>
          <w:p>
            <w:pPr>
              <w:jc w:val="right"/>
              <w:ind w:right="234"/>
              <w:spacing w:after="0"/>
              <w:rPr>
                <w:sz w:val="20"/>
                <w:szCs w:val="20"/>
                <w:color w:val="auto"/>
              </w:rPr>
            </w:pPr>
            <w:r>
              <w:rPr>
                <w:rFonts w:ascii="Arial" w:cs="Arial" w:eastAsia="Arial" w:hAnsi="Arial"/>
                <w:sz w:val="14"/>
                <w:szCs w:val="14"/>
                <w:color w:val="auto"/>
              </w:rPr>
              <w:t>Nov 30, 2019</w:t>
            </w:r>
          </w:p>
        </w:tc>
        <w:tc>
          <w:tcPr>
            <w:tcW w:w="100" w:type="dxa"/>
            <w:vAlign w:val="bottom"/>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1320" w:type="dxa"/>
            <w:vAlign w:val="bottom"/>
            <w:tcBorders>
              <w:top w:val="single" w:sz="8" w:color="auto"/>
            </w:tcBorders>
            <w:gridSpan w:val="2"/>
          </w:tcPr>
          <w:p>
            <w:pPr>
              <w:ind w:left="120"/>
              <w:spacing w:after="0"/>
              <w:rPr>
                <w:sz w:val="20"/>
                <w:szCs w:val="20"/>
                <w:color w:val="auto"/>
              </w:rPr>
            </w:pPr>
            <w:r>
              <w:rPr>
                <w:rFonts w:ascii="Arial" w:cs="Arial" w:eastAsia="Arial" w:hAnsi="Arial"/>
                <w:sz w:val="14"/>
                <w:szCs w:val="14"/>
                <w:color w:val="auto"/>
              </w:rPr>
              <w:t>Nov 30, 2020</w:t>
            </w:r>
          </w:p>
        </w:tc>
        <w:tc>
          <w:tcPr>
            <w:tcW w:w="220" w:type="dxa"/>
            <w:vAlign w:val="bottom"/>
            <w:tcBorders>
              <w:top w:val="single" w:sz="8" w:color="auto"/>
            </w:tcBorders>
          </w:tcPr>
          <w:p>
            <w:pPr>
              <w:spacing w:after="0"/>
              <w:rPr>
                <w:sz w:val="16"/>
                <w:szCs w:val="16"/>
                <w:color w:val="auto"/>
              </w:rPr>
            </w:pPr>
          </w:p>
        </w:tc>
        <w:tc>
          <w:tcPr>
            <w:tcW w:w="1220" w:type="dxa"/>
            <w:vAlign w:val="bottom"/>
            <w:tcBorders>
              <w:top w:val="single" w:sz="8" w:color="auto"/>
            </w:tcBorders>
          </w:tcPr>
          <w:p>
            <w:pPr>
              <w:jc w:val="right"/>
              <w:ind w:right="234"/>
              <w:spacing w:after="0"/>
              <w:rPr>
                <w:sz w:val="20"/>
                <w:szCs w:val="20"/>
                <w:color w:val="auto"/>
              </w:rPr>
            </w:pPr>
            <w:r>
              <w:rPr>
                <w:rFonts w:ascii="Arial" w:cs="Arial" w:eastAsia="Arial" w:hAnsi="Arial"/>
                <w:sz w:val="14"/>
                <w:szCs w:val="14"/>
                <w:color w:val="auto"/>
              </w:rPr>
              <w:t>Nov 30, 2019</w:t>
            </w:r>
          </w:p>
        </w:tc>
      </w:tr>
      <w:tr>
        <w:trPr>
          <w:trHeight w:val="213"/>
        </w:trPr>
        <w:tc>
          <w:tcPr>
            <w:tcW w:w="52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sales</w:t>
            </w:r>
          </w:p>
        </w:tc>
        <w:tc>
          <w:tcPr>
            <w:tcW w:w="220" w:type="dxa"/>
            <w:vAlign w:val="bottom"/>
            <w:tcBorders>
              <w:top w:val="single" w:sz="8" w:color="auto"/>
            </w:tcBorders>
            <w:shd w:val="clear" w:color="auto" w:fill="CCEEFF"/>
          </w:tcPr>
          <w:p>
            <w:pPr>
              <w:spacing w:after="0"/>
              <w:rPr>
                <w:sz w:val="18"/>
                <w:szCs w:val="18"/>
                <w:color w:val="auto"/>
              </w:rPr>
            </w:pPr>
          </w:p>
        </w:tc>
        <w:tc>
          <w:tcPr>
            <w:tcW w:w="120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12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12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1220" w:type="dxa"/>
            <w:vAlign w:val="bottom"/>
            <w:tcBorders>
              <w:top w:val="single" w:sz="8" w:color="auto"/>
            </w:tcBorders>
            <w:shd w:val="clear" w:color="auto" w:fill="CCEEFF"/>
          </w:tcPr>
          <w:p>
            <w:pPr>
              <w:spacing w:after="0"/>
              <w:rPr>
                <w:sz w:val="18"/>
                <w:szCs w:val="18"/>
                <w:color w:val="auto"/>
              </w:rPr>
            </w:pPr>
          </w:p>
        </w:tc>
      </w:tr>
      <w:tr>
        <w:trPr>
          <w:trHeight w:val="230"/>
        </w:trPr>
        <w:tc>
          <w:tcPr>
            <w:tcW w:w="5200" w:type="dxa"/>
            <w:vAlign w:val="bottom"/>
          </w:tcPr>
          <w:p>
            <w:pPr>
              <w:ind w:left="360"/>
              <w:spacing w:after="0"/>
              <w:rPr>
                <w:sz w:val="20"/>
                <w:szCs w:val="20"/>
                <w:color w:val="auto"/>
              </w:rPr>
            </w:pPr>
            <w:r>
              <w:rPr>
                <w:rFonts w:ascii="Arial" w:cs="Arial" w:eastAsia="Arial" w:hAnsi="Arial"/>
                <w:sz w:val="18"/>
                <w:szCs w:val="18"/>
                <w:color w:val="auto"/>
              </w:rPr>
              <w:t>Vascular Interventions &amp; Therapies</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200" w:type="dxa"/>
            <w:vAlign w:val="bottom"/>
          </w:tcPr>
          <w:p>
            <w:pPr>
              <w:ind w:left="640"/>
              <w:spacing w:after="0"/>
              <w:rPr>
                <w:sz w:val="20"/>
                <w:szCs w:val="20"/>
                <w:color w:val="auto"/>
              </w:rPr>
            </w:pPr>
            <w:r>
              <w:rPr>
                <w:rFonts w:ascii="Arial" w:cs="Arial" w:eastAsia="Arial" w:hAnsi="Arial"/>
                <w:sz w:val="18"/>
                <w:szCs w:val="18"/>
                <w:color w:val="auto"/>
                <w:w w:val="98"/>
              </w:rPr>
              <w:t>33,900</w:t>
            </w:r>
          </w:p>
        </w:tc>
        <w:tc>
          <w:tcPr>
            <w:tcW w:w="120" w:type="dxa"/>
            <w:vAlign w:val="bottom"/>
          </w:tcPr>
          <w:p>
            <w:pPr>
              <w:spacing w:after="0"/>
              <w:rPr>
                <w:sz w:val="19"/>
                <w:szCs w:val="19"/>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31,150</w:t>
            </w:r>
          </w:p>
        </w:tc>
        <w:tc>
          <w:tcPr>
            <w:tcW w:w="100" w:type="dxa"/>
            <w:vAlign w:val="bottom"/>
          </w:tcPr>
          <w:p>
            <w:pPr>
              <w:spacing w:after="0"/>
              <w:rPr>
                <w:sz w:val="19"/>
                <w:szCs w:val="19"/>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63,757</w:t>
            </w:r>
          </w:p>
        </w:tc>
        <w:tc>
          <w:tcPr>
            <w:tcW w:w="100" w:type="dxa"/>
            <w:vAlign w:val="bottom"/>
          </w:tcPr>
          <w:p>
            <w:pPr>
              <w:spacing w:after="0"/>
              <w:rPr>
                <w:sz w:val="19"/>
                <w:szCs w:val="19"/>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60,063</w:t>
            </w:r>
          </w:p>
        </w:tc>
      </w:tr>
      <w:tr>
        <w:trPr>
          <w:trHeight w:val="229"/>
        </w:trPr>
        <w:tc>
          <w:tcPr>
            <w:tcW w:w="52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Vascular Access</w:t>
            </w:r>
          </w:p>
        </w:tc>
        <w:tc>
          <w:tcPr>
            <w:tcW w:w="220" w:type="dxa"/>
            <w:vAlign w:val="bottom"/>
            <w:shd w:val="clear" w:color="auto" w:fill="CCEEFF"/>
          </w:tcPr>
          <w:p>
            <w:pPr>
              <w:spacing w:after="0"/>
              <w:rPr>
                <w:sz w:val="19"/>
                <w:szCs w:val="19"/>
                <w:color w:val="auto"/>
              </w:rPr>
            </w:pPr>
          </w:p>
        </w:tc>
        <w:tc>
          <w:tcPr>
            <w:tcW w:w="1200" w:type="dxa"/>
            <w:vAlign w:val="bottom"/>
            <w:shd w:val="clear" w:color="auto" w:fill="CCEEFF"/>
          </w:tcPr>
          <w:p>
            <w:pPr>
              <w:ind w:left="640"/>
              <w:spacing w:after="0"/>
              <w:rPr>
                <w:sz w:val="20"/>
                <w:szCs w:val="20"/>
                <w:color w:val="auto"/>
              </w:rPr>
            </w:pPr>
            <w:r>
              <w:rPr>
                <w:rFonts w:ascii="Arial" w:cs="Arial" w:eastAsia="Arial" w:hAnsi="Arial"/>
                <w:sz w:val="18"/>
                <w:szCs w:val="18"/>
                <w:color w:val="auto"/>
                <w:w w:val="98"/>
              </w:rPr>
              <w:t>23,930</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22,784</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52,035</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45,943</w:t>
            </w:r>
          </w:p>
        </w:tc>
      </w:tr>
      <w:tr>
        <w:trPr>
          <w:trHeight w:val="230"/>
        </w:trPr>
        <w:tc>
          <w:tcPr>
            <w:tcW w:w="5200" w:type="dxa"/>
            <w:vAlign w:val="bottom"/>
            <w:tcBorders>
              <w:bottom w:val="single" w:sz="8" w:color="CCEEFF"/>
            </w:tcBorders>
          </w:tcPr>
          <w:p>
            <w:pPr>
              <w:ind w:left="360"/>
              <w:spacing w:after="0"/>
              <w:rPr>
                <w:sz w:val="20"/>
                <w:szCs w:val="20"/>
                <w:color w:val="auto"/>
              </w:rPr>
            </w:pPr>
            <w:r>
              <w:rPr>
                <w:rFonts w:ascii="Arial" w:cs="Arial" w:eastAsia="Arial" w:hAnsi="Arial"/>
                <w:sz w:val="18"/>
                <w:szCs w:val="18"/>
                <w:color w:val="auto"/>
              </w:rPr>
              <w:t>Oncology</w:t>
            </w:r>
          </w:p>
        </w:tc>
        <w:tc>
          <w:tcPr>
            <w:tcW w:w="22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ind w:left="640"/>
              <w:spacing w:after="0"/>
              <w:rPr>
                <w:sz w:val="20"/>
                <w:szCs w:val="20"/>
                <w:color w:val="auto"/>
              </w:rPr>
            </w:pPr>
            <w:r>
              <w:rPr>
                <w:rFonts w:ascii="Arial" w:cs="Arial" w:eastAsia="Arial" w:hAnsi="Arial"/>
                <w:sz w:val="18"/>
                <w:szCs w:val="18"/>
                <w:color w:val="auto"/>
                <w:w w:val="98"/>
              </w:rPr>
              <w:t>14,940</w:t>
            </w:r>
          </w:p>
        </w:tc>
        <w:tc>
          <w:tcPr>
            <w:tcW w:w="12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16,069</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27,194</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30,039</w:t>
            </w:r>
          </w:p>
        </w:tc>
      </w:tr>
      <w:tr>
        <w:trPr>
          <w:trHeight w:val="248"/>
        </w:trPr>
        <w:tc>
          <w:tcPr>
            <w:tcW w:w="5200" w:type="dxa"/>
            <w:vAlign w:val="bottom"/>
            <w:tcBorders>
              <w:bottom w:val="single" w:sz="8" w:color="CCEEFF"/>
            </w:tcBorders>
            <w:shd w:val="clear" w:color="auto" w:fill="CCEEFF"/>
          </w:tcPr>
          <w:p>
            <w:pPr>
              <w:ind w:left="680"/>
              <w:spacing w:after="0"/>
              <w:rPr>
                <w:sz w:val="20"/>
                <w:szCs w:val="20"/>
                <w:color w:val="auto"/>
              </w:rPr>
            </w:pPr>
            <w:r>
              <w:rPr>
                <w:rFonts w:ascii="Arial" w:cs="Arial" w:eastAsia="Arial" w:hAnsi="Arial"/>
                <w:sz w:val="18"/>
                <w:szCs w:val="18"/>
                <w:color w:val="auto"/>
              </w:rPr>
              <w:t>Total</w:t>
            </w: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shd w:val="clear" w:color="auto" w:fill="CCEEFF"/>
          </w:tcPr>
          <w:p>
            <w:pPr>
              <w:ind w:left="640"/>
              <w:spacing w:after="0"/>
              <w:rPr>
                <w:sz w:val="20"/>
                <w:szCs w:val="20"/>
                <w:color w:val="auto"/>
              </w:rPr>
            </w:pPr>
            <w:r>
              <w:rPr>
                <w:rFonts w:ascii="Arial" w:cs="Arial" w:eastAsia="Arial" w:hAnsi="Arial"/>
                <w:sz w:val="18"/>
                <w:szCs w:val="18"/>
                <w:color w:val="auto"/>
                <w:w w:val="98"/>
              </w:rPr>
              <w:t>72,770</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70,003</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142,986</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136,045</w:t>
            </w:r>
          </w:p>
        </w:tc>
      </w:tr>
      <w:tr>
        <w:trPr>
          <w:trHeight w:val="20"/>
        </w:trPr>
        <w:tc>
          <w:tcPr>
            <w:tcW w:w="52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table below presents net sales by geographic area based on external customer location:</w:t>
      </w:r>
    </w:p>
    <w:p>
      <w:pPr>
        <w:spacing w:after="0" w:line="45"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52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840" w:type="dxa"/>
            <w:vAlign w:val="bottom"/>
            <w:gridSpan w:val="5"/>
          </w:tcPr>
          <w:p>
            <w:pPr>
              <w:ind w:left="660"/>
              <w:spacing w:after="0"/>
              <w:rPr>
                <w:sz w:val="20"/>
                <w:szCs w:val="20"/>
                <w:color w:val="auto"/>
              </w:rPr>
            </w:pPr>
            <w:r>
              <w:rPr>
                <w:rFonts w:ascii="Arial" w:cs="Arial" w:eastAsia="Arial" w:hAnsi="Arial"/>
                <w:sz w:val="14"/>
                <w:szCs w:val="14"/>
                <w:color w:val="auto"/>
              </w:rPr>
              <w:t>Three Months Ended</w:t>
            </w:r>
          </w:p>
        </w:tc>
        <w:tc>
          <w:tcPr>
            <w:tcW w:w="220" w:type="dxa"/>
            <w:vAlign w:val="bottom"/>
          </w:tcPr>
          <w:p>
            <w:pPr>
              <w:spacing w:after="0"/>
              <w:rPr>
                <w:sz w:val="16"/>
                <w:szCs w:val="16"/>
                <w:color w:val="auto"/>
              </w:rPr>
            </w:pPr>
          </w:p>
        </w:tc>
        <w:tc>
          <w:tcPr>
            <w:tcW w:w="2760" w:type="dxa"/>
            <w:vAlign w:val="bottom"/>
            <w:gridSpan w:val="4"/>
          </w:tcPr>
          <w:p>
            <w:pPr>
              <w:jc w:val="right"/>
              <w:ind w:right="855"/>
              <w:spacing w:after="0"/>
              <w:rPr>
                <w:sz w:val="20"/>
                <w:szCs w:val="20"/>
                <w:color w:val="auto"/>
              </w:rPr>
            </w:pPr>
            <w:r>
              <w:rPr>
                <w:rFonts w:ascii="Arial" w:cs="Arial" w:eastAsia="Arial" w:hAnsi="Arial"/>
                <w:sz w:val="14"/>
                <w:szCs w:val="14"/>
                <w:color w:val="auto"/>
              </w:rPr>
              <w:t>Six Months Ended</w:t>
            </w:r>
          </w:p>
        </w:tc>
      </w:tr>
      <w:tr>
        <w:trPr>
          <w:trHeight w:val="186"/>
        </w:trPr>
        <w:tc>
          <w:tcPr>
            <w:tcW w:w="5200" w:type="dxa"/>
            <w:vAlign w:val="bottom"/>
          </w:tcPr>
          <w:p>
            <w:pPr>
              <w:ind w:left="20"/>
              <w:spacing w:after="0"/>
              <w:rPr>
                <w:sz w:val="20"/>
                <w:szCs w:val="20"/>
                <w:color w:val="auto"/>
              </w:rPr>
            </w:pPr>
            <w:r>
              <w:rPr>
                <w:rFonts w:ascii="Arial" w:cs="Arial" w:eastAsia="Arial" w:hAnsi="Arial"/>
                <w:sz w:val="14"/>
                <w:szCs w:val="14"/>
                <w:color w:val="auto"/>
              </w:rPr>
              <w:t>(in thousands)</w:t>
            </w:r>
          </w:p>
        </w:tc>
        <w:tc>
          <w:tcPr>
            <w:tcW w:w="220" w:type="dxa"/>
            <w:vAlign w:val="bottom"/>
            <w:tcBorders>
              <w:top w:val="single" w:sz="8" w:color="auto"/>
            </w:tcBorders>
          </w:tcPr>
          <w:p>
            <w:pPr>
              <w:spacing w:after="0"/>
              <w:rPr>
                <w:sz w:val="16"/>
                <w:szCs w:val="16"/>
                <w:color w:val="auto"/>
              </w:rPr>
            </w:pPr>
          </w:p>
        </w:tc>
        <w:tc>
          <w:tcPr>
            <w:tcW w:w="1320" w:type="dxa"/>
            <w:vAlign w:val="bottom"/>
            <w:tcBorders>
              <w:top w:val="single" w:sz="8" w:color="auto"/>
            </w:tcBorders>
            <w:gridSpan w:val="2"/>
          </w:tcPr>
          <w:p>
            <w:pPr>
              <w:ind w:left="100"/>
              <w:spacing w:after="0"/>
              <w:rPr>
                <w:sz w:val="20"/>
                <w:szCs w:val="20"/>
                <w:color w:val="auto"/>
              </w:rPr>
            </w:pPr>
            <w:r>
              <w:rPr>
                <w:rFonts w:ascii="Arial" w:cs="Arial" w:eastAsia="Arial" w:hAnsi="Arial"/>
                <w:sz w:val="14"/>
                <w:szCs w:val="14"/>
                <w:color w:val="auto"/>
              </w:rPr>
              <w:t>Nov 30, 2020</w:t>
            </w:r>
          </w:p>
        </w:tc>
        <w:tc>
          <w:tcPr>
            <w:tcW w:w="200" w:type="dxa"/>
            <w:vAlign w:val="bottom"/>
            <w:tcBorders>
              <w:top w:val="single" w:sz="8" w:color="auto"/>
            </w:tcBorders>
          </w:tcPr>
          <w:p>
            <w:pPr>
              <w:spacing w:after="0"/>
              <w:rPr>
                <w:sz w:val="16"/>
                <w:szCs w:val="16"/>
                <w:color w:val="auto"/>
              </w:rPr>
            </w:pPr>
          </w:p>
        </w:tc>
        <w:tc>
          <w:tcPr>
            <w:tcW w:w="1220" w:type="dxa"/>
            <w:vAlign w:val="bottom"/>
            <w:tcBorders>
              <w:top w:val="single" w:sz="8" w:color="auto"/>
            </w:tcBorders>
          </w:tcPr>
          <w:p>
            <w:pPr>
              <w:jc w:val="right"/>
              <w:ind w:right="235"/>
              <w:spacing w:after="0"/>
              <w:rPr>
                <w:sz w:val="20"/>
                <w:szCs w:val="20"/>
                <w:color w:val="auto"/>
              </w:rPr>
            </w:pPr>
            <w:r>
              <w:rPr>
                <w:rFonts w:ascii="Arial" w:cs="Arial" w:eastAsia="Arial" w:hAnsi="Arial"/>
                <w:sz w:val="14"/>
                <w:szCs w:val="14"/>
                <w:color w:val="auto"/>
              </w:rPr>
              <w:t>Nov 30, 2019</w:t>
            </w:r>
          </w:p>
        </w:tc>
        <w:tc>
          <w:tcPr>
            <w:tcW w:w="100" w:type="dxa"/>
            <w:vAlign w:val="bottom"/>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1320" w:type="dxa"/>
            <w:vAlign w:val="bottom"/>
            <w:tcBorders>
              <w:top w:val="single" w:sz="8" w:color="auto"/>
            </w:tcBorders>
            <w:gridSpan w:val="2"/>
          </w:tcPr>
          <w:p>
            <w:pPr>
              <w:ind w:left="120"/>
              <w:spacing w:after="0"/>
              <w:rPr>
                <w:sz w:val="20"/>
                <w:szCs w:val="20"/>
                <w:color w:val="auto"/>
              </w:rPr>
            </w:pPr>
            <w:r>
              <w:rPr>
                <w:rFonts w:ascii="Arial" w:cs="Arial" w:eastAsia="Arial" w:hAnsi="Arial"/>
                <w:sz w:val="14"/>
                <w:szCs w:val="14"/>
                <w:color w:val="auto"/>
              </w:rPr>
              <w:t>Nov 30, 2020</w:t>
            </w:r>
          </w:p>
        </w:tc>
        <w:tc>
          <w:tcPr>
            <w:tcW w:w="220" w:type="dxa"/>
            <w:vAlign w:val="bottom"/>
            <w:tcBorders>
              <w:top w:val="single" w:sz="8" w:color="auto"/>
            </w:tcBorders>
          </w:tcPr>
          <w:p>
            <w:pPr>
              <w:spacing w:after="0"/>
              <w:rPr>
                <w:sz w:val="16"/>
                <w:szCs w:val="16"/>
                <w:color w:val="auto"/>
              </w:rPr>
            </w:pPr>
          </w:p>
        </w:tc>
        <w:tc>
          <w:tcPr>
            <w:tcW w:w="1220" w:type="dxa"/>
            <w:vAlign w:val="bottom"/>
            <w:tcBorders>
              <w:top w:val="single" w:sz="8" w:color="auto"/>
            </w:tcBorders>
          </w:tcPr>
          <w:p>
            <w:pPr>
              <w:jc w:val="right"/>
              <w:ind w:right="235"/>
              <w:spacing w:after="0"/>
              <w:rPr>
                <w:sz w:val="20"/>
                <w:szCs w:val="20"/>
                <w:color w:val="auto"/>
              </w:rPr>
            </w:pPr>
            <w:r>
              <w:rPr>
                <w:rFonts w:ascii="Arial" w:cs="Arial" w:eastAsia="Arial" w:hAnsi="Arial"/>
                <w:sz w:val="14"/>
                <w:szCs w:val="14"/>
                <w:color w:val="auto"/>
              </w:rPr>
              <w:t>Nov 30, 2019</w:t>
            </w:r>
          </w:p>
        </w:tc>
      </w:tr>
      <w:tr>
        <w:trPr>
          <w:trHeight w:val="213"/>
        </w:trPr>
        <w:tc>
          <w:tcPr>
            <w:tcW w:w="52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sales</w:t>
            </w:r>
          </w:p>
        </w:tc>
        <w:tc>
          <w:tcPr>
            <w:tcW w:w="220" w:type="dxa"/>
            <w:vAlign w:val="bottom"/>
            <w:tcBorders>
              <w:top w:val="single" w:sz="8" w:color="auto"/>
            </w:tcBorders>
            <w:shd w:val="clear" w:color="auto" w:fill="CCEEFF"/>
          </w:tcPr>
          <w:p>
            <w:pPr>
              <w:spacing w:after="0"/>
              <w:rPr>
                <w:sz w:val="18"/>
                <w:szCs w:val="18"/>
                <w:color w:val="auto"/>
              </w:rPr>
            </w:pPr>
          </w:p>
        </w:tc>
        <w:tc>
          <w:tcPr>
            <w:tcW w:w="120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12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12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1220" w:type="dxa"/>
            <w:vAlign w:val="bottom"/>
            <w:tcBorders>
              <w:top w:val="single" w:sz="8" w:color="auto"/>
            </w:tcBorders>
            <w:shd w:val="clear" w:color="auto" w:fill="CCEEFF"/>
          </w:tcPr>
          <w:p>
            <w:pPr>
              <w:spacing w:after="0"/>
              <w:rPr>
                <w:sz w:val="18"/>
                <w:szCs w:val="18"/>
                <w:color w:val="auto"/>
              </w:rPr>
            </w:pPr>
          </w:p>
        </w:tc>
      </w:tr>
      <w:tr>
        <w:trPr>
          <w:trHeight w:val="229"/>
        </w:trPr>
        <w:tc>
          <w:tcPr>
            <w:tcW w:w="5200" w:type="dxa"/>
            <w:vAlign w:val="bottom"/>
          </w:tcPr>
          <w:p>
            <w:pPr>
              <w:ind w:left="360"/>
              <w:spacing w:after="0"/>
              <w:rPr>
                <w:sz w:val="20"/>
                <w:szCs w:val="20"/>
                <w:color w:val="auto"/>
              </w:rPr>
            </w:pPr>
            <w:r>
              <w:rPr>
                <w:rFonts w:ascii="Arial" w:cs="Arial" w:eastAsia="Arial" w:hAnsi="Arial"/>
                <w:sz w:val="18"/>
                <w:szCs w:val="18"/>
                <w:color w:val="auto"/>
              </w:rPr>
              <w:t>United States</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200" w:type="dxa"/>
            <w:vAlign w:val="bottom"/>
          </w:tcPr>
          <w:p>
            <w:pPr>
              <w:ind w:left="640"/>
              <w:spacing w:after="0"/>
              <w:rPr>
                <w:sz w:val="20"/>
                <w:szCs w:val="20"/>
                <w:color w:val="auto"/>
              </w:rPr>
            </w:pPr>
            <w:r>
              <w:rPr>
                <w:rFonts w:ascii="Arial" w:cs="Arial" w:eastAsia="Arial" w:hAnsi="Arial"/>
                <w:sz w:val="18"/>
                <w:szCs w:val="18"/>
                <w:color w:val="auto"/>
                <w:w w:val="98"/>
              </w:rPr>
              <w:t>60,684</w:t>
            </w:r>
          </w:p>
        </w:tc>
        <w:tc>
          <w:tcPr>
            <w:tcW w:w="120" w:type="dxa"/>
            <w:vAlign w:val="bottom"/>
          </w:tcPr>
          <w:p>
            <w:pPr>
              <w:spacing w:after="0"/>
              <w:rPr>
                <w:sz w:val="19"/>
                <w:szCs w:val="19"/>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55,555</w:t>
            </w:r>
          </w:p>
        </w:tc>
        <w:tc>
          <w:tcPr>
            <w:tcW w:w="100" w:type="dxa"/>
            <w:vAlign w:val="bottom"/>
          </w:tcPr>
          <w:p>
            <w:pPr>
              <w:spacing w:after="0"/>
              <w:rPr>
                <w:sz w:val="19"/>
                <w:szCs w:val="19"/>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114,792</w:t>
            </w:r>
          </w:p>
        </w:tc>
        <w:tc>
          <w:tcPr>
            <w:tcW w:w="100" w:type="dxa"/>
            <w:vAlign w:val="bottom"/>
          </w:tcPr>
          <w:p>
            <w:pPr>
              <w:spacing w:after="0"/>
              <w:rPr>
                <w:sz w:val="19"/>
                <w:szCs w:val="19"/>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108,492</w:t>
            </w:r>
          </w:p>
        </w:tc>
      </w:tr>
      <w:tr>
        <w:trPr>
          <w:trHeight w:val="230"/>
        </w:trPr>
        <w:tc>
          <w:tcPr>
            <w:tcW w:w="52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International</w:t>
            </w:r>
          </w:p>
        </w:tc>
        <w:tc>
          <w:tcPr>
            <w:tcW w:w="22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ind w:left="640"/>
              <w:spacing w:after="0"/>
              <w:rPr>
                <w:sz w:val="20"/>
                <w:szCs w:val="20"/>
                <w:color w:val="auto"/>
              </w:rPr>
            </w:pPr>
            <w:r>
              <w:rPr>
                <w:rFonts w:ascii="Arial" w:cs="Arial" w:eastAsia="Arial" w:hAnsi="Arial"/>
                <w:sz w:val="18"/>
                <w:szCs w:val="18"/>
                <w:color w:val="auto"/>
                <w:w w:val="98"/>
              </w:rPr>
              <w:t>12,086</w:t>
            </w:r>
          </w:p>
        </w:tc>
        <w:tc>
          <w:tcPr>
            <w:tcW w:w="12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14,448</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28,194</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27,553</w:t>
            </w:r>
          </w:p>
        </w:tc>
      </w:tr>
      <w:tr>
        <w:trPr>
          <w:trHeight w:val="223"/>
        </w:trPr>
        <w:tc>
          <w:tcPr>
            <w:tcW w:w="5200" w:type="dxa"/>
            <w:vAlign w:val="bottom"/>
          </w:tcPr>
          <w:p>
            <w:pPr>
              <w:ind w:left="680"/>
              <w:spacing w:after="0"/>
              <w:rPr>
                <w:sz w:val="20"/>
                <w:szCs w:val="20"/>
                <w:color w:val="auto"/>
              </w:rPr>
            </w:pPr>
            <w:r>
              <w:rPr>
                <w:rFonts w:ascii="Arial" w:cs="Arial" w:eastAsia="Arial" w:hAnsi="Arial"/>
                <w:sz w:val="18"/>
                <w:szCs w:val="18"/>
                <w:color w:val="auto"/>
              </w:rPr>
              <w:t>Total</w:t>
            </w:r>
          </w:p>
        </w:tc>
        <w:tc>
          <w:tcPr>
            <w:tcW w:w="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tcPr>
          <w:p>
            <w:pPr>
              <w:ind w:left="640"/>
              <w:spacing w:after="0"/>
              <w:rPr>
                <w:sz w:val="20"/>
                <w:szCs w:val="20"/>
                <w:color w:val="auto"/>
              </w:rPr>
            </w:pPr>
            <w:r>
              <w:rPr>
                <w:rFonts w:ascii="Arial" w:cs="Arial" w:eastAsia="Arial" w:hAnsi="Arial"/>
                <w:sz w:val="18"/>
                <w:szCs w:val="18"/>
                <w:color w:val="auto"/>
                <w:w w:val="98"/>
              </w:rPr>
              <w:t>72,770</w:t>
            </w:r>
          </w:p>
        </w:tc>
        <w:tc>
          <w:tcPr>
            <w:tcW w:w="120" w:type="dxa"/>
            <w:vAlign w:val="bottom"/>
          </w:tcPr>
          <w:p>
            <w:pPr>
              <w:spacing w:after="0"/>
              <w:rPr>
                <w:sz w:val="19"/>
                <w:szCs w:val="19"/>
                <w:color w:val="auto"/>
              </w:rPr>
            </w:pPr>
          </w:p>
        </w:tc>
        <w:tc>
          <w:tcPr>
            <w:tcW w:w="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70,003</w:t>
            </w:r>
          </w:p>
        </w:tc>
        <w:tc>
          <w:tcPr>
            <w:tcW w:w="100" w:type="dxa"/>
            <w:vAlign w:val="bottom"/>
          </w:tcPr>
          <w:p>
            <w:pPr>
              <w:spacing w:after="0"/>
              <w:rPr>
                <w:sz w:val="19"/>
                <w:szCs w:val="19"/>
                <w:color w:val="auto"/>
              </w:rPr>
            </w:pPr>
          </w:p>
        </w:tc>
        <w:tc>
          <w:tcPr>
            <w:tcW w:w="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142,986</w:t>
            </w:r>
          </w:p>
        </w:tc>
        <w:tc>
          <w:tcPr>
            <w:tcW w:w="100" w:type="dxa"/>
            <w:vAlign w:val="bottom"/>
          </w:tcPr>
          <w:p>
            <w:pPr>
              <w:spacing w:after="0"/>
              <w:rPr>
                <w:sz w:val="19"/>
                <w:szCs w:val="19"/>
                <w:color w:val="auto"/>
              </w:rPr>
            </w:pPr>
          </w:p>
        </w:tc>
        <w:tc>
          <w:tcPr>
            <w:tcW w:w="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136,045</w:t>
            </w:r>
          </w:p>
        </w:tc>
      </w:tr>
      <w:tr>
        <w:trPr>
          <w:trHeight w:val="20"/>
        </w:trPr>
        <w:tc>
          <w:tcPr>
            <w:tcW w:w="52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6" w:name="page17"/>
    <w:bookmarkEnd w:id="16"/>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FAIR VALUE</w:t>
      </w:r>
    </w:p>
    <w:p>
      <w:pPr>
        <w:spacing w:after="0" w:line="175" w:lineRule="exact"/>
        <w:rPr>
          <w:sz w:val="20"/>
          <w:szCs w:val="20"/>
          <w:color w:val="auto"/>
        </w:rPr>
      </w:pPr>
    </w:p>
    <w:p>
      <w:pPr>
        <w:ind w:firstLine="405"/>
        <w:spacing w:after="0" w:line="275" w:lineRule="auto"/>
        <w:rPr>
          <w:sz w:val="20"/>
          <w:szCs w:val="20"/>
          <w:color w:val="auto"/>
        </w:rPr>
      </w:pPr>
      <w:r>
        <w:rPr>
          <w:rFonts w:ascii="Arial" w:cs="Arial" w:eastAsia="Arial" w:hAnsi="Arial"/>
          <w:sz w:val="17"/>
          <w:szCs w:val="17"/>
          <w:color w:val="auto"/>
        </w:rPr>
        <w:t xml:space="preserve">On a recurring basis, the Company measures certain financial assets and financial liabilities at fair value based upon quoted market prices, where available. Where quoted market prices or other observable inputs are not available, the Company applies valuation techniques to estimate fair value. FASB ASC Topic 820, </w:t>
      </w:r>
      <w:r>
        <w:rPr>
          <w:rFonts w:ascii="Arial" w:cs="Arial" w:eastAsia="Arial" w:hAnsi="Arial"/>
          <w:sz w:val="17"/>
          <w:szCs w:val="17"/>
          <w:i w:val="1"/>
          <w:iCs w:val="1"/>
          <w:color w:val="auto"/>
        </w:rPr>
        <w:t>Fair Value Measurements and Disclosures,</w:t>
      </w:r>
      <w:r>
        <w:rPr>
          <w:rFonts w:ascii="Arial" w:cs="Arial" w:eastAsia="Arial" w:hAnsi="Arial"/>
          <w:sz w:val="17"/>
          <w:szCs w:val="17"/>
          <w:color w:val="auto"/>
        </w:rPr>
        <w:t xml:space="preserve"> establishes a three-level valuation hierarchy for disclosure of fair value measurements. The categorization of financial assets and financial liabilities within the valuation hierarchy is based upon the lowest level of input that is significant to the measurement of fair value. The three levels of the hierarchy are defined as follows:</w:t>
      </w:r>
    </w:p>
    <w:p>
      <w:pPr>
        <w:spacing w:after="0" w:line="122" w:lineRule="exact"/>
        <w:rPr>
          <w:sz w:val="20"/>
          <w:szCs w:val="20"/>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Level 1 - Inputs to the valuation methodology are quoted market prices for identical assets or liabilities.</w:t>
      </w:r>
    </w:p>
    <w:p>
      <w:pPr>
        <w:spacing w:after="0" w:line="252" w:lineRule="exact"/>
        <w:rPr>
          <w:rFonts w:ascii="Arial" w:cs="Arial" w:eastAsia="Arial" w:hAnsi="Arial"/>
          <w:sz w:val="18"/>
          <w:szCs w:val="18"/>
          <w:color w:val="auto"/>
        </w:rPr>
      </w:pPr>
    </w:p>
    <w:p>
      <w:pPr>
        <w:ind w:left="660" w:right="420" w:hanging="328"/>
        <w:spacing w:after="0" w:line="277" w:lineRule="auto"/>
        <w:tabs>
          <w:tab w:leader="none" w:pos="655" w:val="left"/>
        </w:tabs>
        <w:numPr>
          <w:ilvl w:val="0"/>
          <w:numId w:val="5"/>
        </w:numPr>
        <w:rPr>
          <w:rFonts w:ascii="Arial" w:cs="Arial" w:eastAsia="Arial" w:hAnsi="Arial"/>
          <w:sz w:val="18"/>
          <w:szCs w:val="18"/>
          <w:color w:val="auto"/>
        </w:rPr>
      </w:pPr>
      <w:r>
        <w:rPr>
          <w:rFonts w:ascii="Arial" w:cs="Arial" w:eastAsia="Arial" w:hAnsi="Arial"/>
          <w:sz w:val="18"/>
          <w:szCs w:val="18"/>
          <w:color w:val="auto"/>
        </w:rPr>
        <w:t>Level 2 - Inputs to the valuation methodology are other observable inputs, including quoted market prices for similar assets or liabilities and market-corroborated inputs.</w:t>
      </w:r>
    </w:p>
    <w:p>
      <w:pPr>
        <w:spacing w:after="0" w:line="197" w:lineRule="exact"/>
        <w:rPr>
          <w:rFonts w:ascii="Arial" w:cs="Arial" w:eastAsia="Arial" w:hAnsi="Arial"/>
          <w:sz w:val="18"/>
          <w:szCs w:val="18"/>
          <w:color w:val="auto"/>
        </w:rPr>
      </w:pPr>
    </w:p>
    <w:p>
      <w:pPr>
        <w:ind w:left="660" w:right="100" w:hanging="328"/>
        <w:spacing w:after="0" w:line="277" w:lineRule="auto"/>
        <w:tabs>
          <w:tab w:leader="none" w:pos="655" w:val="left"/>
        </w:tabs>
        <w:numPr>
          <w:ilvl w:val="0"/>
          <w:numId w:val="5"/>
        </w:numPr>
        <w:rPr>
          <w:rFonts w:ascii="Arial" w:cs="Arial" w:eastAsia="Arial" w:hAnsi="Arial"/>
          <w:sz w:val="18"/>
          <w:szCs w:val="18"/>
          <w:color w:val="auto"/>
        </w:rPr>
      </w:pPr>
      <w:r>
        <w:rPr>
          <w:rFonts w:ascii="Arial" w:cs="Arial" w:eastAsia="Arial" w:hAnsi="Arial"/>
          <w:sz w:val="18"/>
          <w:szCs w:val="18"/>
          <w:color w:val="auto"/>
        </w:rPr>
        <w:t>Level 3 - Inputs to the valuation methodology are unobservable inputs based on management’s best estimate of inputs market participants would use in pricing the asset or liability at the measurement date, including assumptions about risk.</w:t>
      </w:r>
    </w:p>
    <w:p>
      <w:pPr>
        <w:spacing w:after="0" w:line="116" w:lineRule="exact"/>
        <w:rPr>
          <w:sz w:val="20"/>
          <w:szCs w:val="20"/>
          <w:color w:val="auto"/>
        </w:rPr>
      </w:pPr>
    </w:p>
    <w:p>
      <w:pPr>
        <w:ind w:right="60" w:firstLine="405"/>
        <w:spacing w:after="0" w:line="311" w:lineRule="auto"/>
        <w:rPr>
          <w:sz w:val="20"/>
          <w:szCs w:val="20"/>
          <w:color w:val="auto"/>
        </w:rPr>
      </w:pPr>
      <w:r>
        <w:rPr>
          <w:rFonts w:ascii="Arial" w:cs="Arial" w:eastAsia="Arial" w:hAnsi="Arial"/>
          <w:sz w:val="16"/>
          <w:szCs w:val="16"/>
          <w:color w:val="auto"/>
        </w:rPr>
        <w:t>The Company's financial instruments include cash and cash equivalents, accounts receivable, accounts payable and contingent consideration. The carrying amount of cash and cash equivalents, accounts receivable, and accounts payable approximates fair value due to the immediate or short-term maturities. The Company's recurring fair value measurements using significant unobservable inputs (Level 3) relate to contingent consideration liabilities.</w:t>
      </w:r>
    </w:p>
    <w:p>
      <w:pPr>
        <w:spacing w:after="0" w:line="95"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following tables provide information by level for assets and liabilities that are measured at fair value on a recurring basis:</w:t>
      </w: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60"/>
          </w:cols>
          <w:pgMar w:left="320" w:top="122" w:right="419" w:bottom="1440" w:gutter="0" w:footer="0" w:header="0"/>
        </w:sectPr>
      </w:pPr>
    </w:p>
    <w:bookmarkStart w:id="17" w:name="page18"/>
    <w:bookmarkEnd w:id="17"/>
    <w:tbl>
      <w:tblPr>
        <w:tblLayout w:type="fixed"/>
        <w:tblInd w:w="0" w:type="dxa"/>
        <w:tblCellMar>
          <w:top w:w="0" w:type="dxa"/>
          <w:left w:w="0" w:type="dxa"/>
          <w:bottom w:w="0" w:type="dxa"/>
          <w:right w:w="0" w:type="dxa"/>
        </w:tblCellMar>
      </w:tblPr>
      <w:tr>
        <w:trPr>
          <w:trHeight w:val="181"/>
        </w:trPr>
        <w:tc>
          <w:tcPr>
            <w:tcW w:w="5120" w:type="dxa"/>
            <w:vAlign w:val="bottom"/>
            <w:gridSpan w:val="3"/>
          </w:tcPr>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tc>
        <w:tc>
          <w:tcPr>
            <w:tcW w:w="30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768"/>
        </w:trPr>
        <w:tc>
          <w:tcPr>
            <w:tcW w:w="2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36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240" w:type="dxa"/>
            <w:vAlign w:val="bottom"/>
            <w:gridSpan w:val="7"/>
            <w:vMerge w:val="restart"/>
          </w:tcPr>
          <w:p>
            <w:pPr>
              <w:jc w:val="center"/>
              <w:ind w:right="216"/>
              <w:spacing w:after="0"/>
              <w:rPr>
                <w:sz w:val="20"/>
                <w:szCs w:val="20"/>
                <w:color w:val="auto"/>
              </w:rPr>
            </w:pPr>
            <w:r>
              <w:rPr>
                <w:rFonts w:ascii="Arial" w:cs="Arial" w:eastAsia="Arial" w:hAnsi="Arial"/>
                <w:sz w:val="14"/>
                <w:szCs w:val="14"/>
                <w:color w:val="auto"/>
                <w:w w:val="91"/>
              </w:rPr>
              <w:t>Fair Value Measurements using inputs considered as:</w:t>
            </w: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80" w:type="dxa"/>
            <w:vAlign w:val="bottom"/>
            <w:gridSpan w:val="3"/>
          </w:tcPr>
          <w:p>
            <w:pPr>
              <w:jc w:val="center"/>
              <w:ind w:right="40"/>
              <w:spacing w:after="0"/>
              <w:rPr>
                <w:sz w:val="20"/>
                <w:szCs w:val="20"/>
                <w:color w:val="auto"/>
              </w:rPr>
            </w:pPr>
            <w:r>
              <w:rPr>
                <w:rFonts w:ascii="Arial" w:cs="Arial" w:eastAsia="Arial" w:hAnsi="Arial"/>
                <w:sz w:val="14"/>
                <w:szCs w:val="14"/>
                <w:color w:val="auto"/>
                <w:w w:val="94"/>
              </w:rPr>
              <w:t>Fair Value at Nov 30,</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3640" w:type="dxa"/>
            <w:vAlign w:val="bottom"/>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4240" w:type="dxa"/>
            <w:vAlign w:val="bottom"/>
            <w:tcBorders>
              <w:bottom w:val="single" w:sz="8" w:color="auto"/>
            </w:tcBorders>
            <w:gridSpan w:val="7"/>
            <w:vMerge w:val="continue"/>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320" w:type="dxa"/>
            <w:vAlign w:val="bottom"/>
            <w:tcBorders>
              <w:bottom w:val="single" w:sz="8" w:color="auto"/>
            </w:tcBorders>
          </w:tcPr>
          <w:p>
            <w:pPr>
              <w:jc w:val="center"/>
              <w:ind w:right="39"/>
              <w:spacing w:after="0"/>
              <w:rPr>
                <w:sz w:val="20"/>
                <w:szCs w:val="20"/>
                <w:color w:val="auto"/>
              </w:rPr>
            </w:pPr>
            <w:r>
              <w:rPr>
                <w:rFonts w:ascii="Arial" w:cs="Arial" w:eastAsia="Arial" w:hAnsi="Arial"/>
                <w:sz w:val="14"/>
                <w:szCs w:val="14"/>
                <w:color w:val="auto"/>
                <w:w w:val="89"/>
              </w:rPr>
              <w:t>2020</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5100" w:type="dxa"/>
            <w:vAlign w:val="bottom"/>
            <w:gridSpan w:val="2"/>
          </w:tcPr>
          <w:p>
            <w:pPr>
              <w:spacing w:after="0"/>
              <w:rPr>
                <w:sz w:val="20"/>
                <w:szCs w:val="20"/>
                <w:color w:val="auto"/>
              </w:rPr>
            </w:pPr>
            <w:r>
              <w:rPr>
                <w:rFonts w:ascii="Arial" w:cs="Arial" w:eastAsia="Arial" w:hAnsi="Arial"/>
                <w:sz w:val="14"/>
                <w:szCs w:val="14"/>
                <w:color w:val="auto"/>
              </w:rPr>
              <w:t>(in thousands)</w:t>
            </w:r>
          </w:p>
        </w:tc>
        <w:tc>
          <w:tcPr>
            <w:tcW w:w="300" w:type="dxa"/>
            <w:vAlign w:val="bottom"/>
          </w:tcPr>
          <w:p>
            <w:pPr>
              <w:spacing w:after="0"/>
              <w:rPr>
                <w:sz w:val="16"/>
                <w:szCs w:val="16"/>
                <w:color w:val="auto"/>
              </w:rPr>
            </w:pPr>
          </w:p>
        </w:tc>
        <w:tc>
          <w:tcPr>
            <w:tcW w:w="1240" w:type="dxa"/>
            <w:vAlign w:val="bottom"/>
            <w:gridSpan w:val="2"/>
          </w:tcPr>
          <w:p>
            <w:pPr>
              <w:ind w:left="200"/>
              <w:spacing w:after="0"/>
              <w:rPr>
                <w:sz w:val="20"/>
                <w:szCs w:val="20"/>
                <w:color w:val="auto"/>
              </w:rPr>
            </w:pPr>
            <w:r>
              <w:rPr>
                <w:rFonts w:ascii="Arial" w:cs="Arial" w:eastAsia="Arial" w:hAnsi="Arial"/>
                <w:sz w:val="14"/>
                <w:szCs w:val="14"/>
                <w:color w:val="auto"/>
              </w:rPr>
              <w:t>Level 1</w:t>
            </w:r>
          </w:p>
        </w:tc>
        <w:tc>
          <w:tcPr>
            <w:tcW w:w="300" w:type="dxa"/>
            <w:vAlign w:val="bottom"/>
          </w:tcPr>
          <w:p>
            <w:pPr>
              <w:spacing w:after="0"/>
              <w:rPr>
                <w:sz w:val="16"/>
                <w:szCs w:val="16"/>
                <w:color w:val="auto"/>
              </w:rPr>
            </w:pPr>
          </w:p>
        </w:tc>
        <w:tc>
          <w:tcPr>
            <w:tcW w:w="1260" w:type="dxa"/>
            <w:vAlign w:val="bottom"/>
            <w:gridSpan w:val="2"/>
          </w:tcPr>
          <w:p>
            <w:pPr>
              <w:jc w:val="center"/>
              <w:ind w:right="420"/>
              <w:spacing w:after="0"/>
              <w:rPr>
                <w:sz w:val="20"/>
                <w:szCs w:val="20"/>
                <w:color w:val="auto"/>
              </w:rPr>
            </w:pPr>
            <w:r>
              <w:rPr>
                <w:rFonts w:ascii="Arial" w:cs="Arial" w:eastAsia="Arial" w:hAnsi="Arial"/>
                <w:sz w:val="14"/>
                <w:szCs w:val="14"/>
                <w:color w:val="auto"/>
                <w:w w:val="97"/>
              </w:rPr>
              <w:t>Level 2</w:t>
            </w:r>
          </w:p>
        </w:tc>
        <w:tc>
          <w:tcPr>
            <w:tcW w:w="300" w:type="dxa"/>
            <w:vAlign w:val="bottom"/>
          </w:tcPr>
          <w:p>
            <w:pPr>
              <w:spacing w:after="0"/>
              <w:rPr>
                <w:sz w:val="16"/>
                <w:szCs w:val="16"/>
                <w:color w:val="auto"/>
              </w:rPr>
            </w:pPr>
          </w:p>
        </w:tc>
        <w:tc>
          <w:tcPr>
            <w:tcW w:w="1140" w:type="dxa"/>
            <w:vAlign w:val="bottom"/>
          </w:tcPr>
          <w:p>
            <w:pPr>
              <w:jc w:val="right"/>
              <w:ind w:right="416"/>
              <w:spacing w:after="0"/>
              <w:rPr>
                <w:sz w:val="20"/>
                <w:szCs w:val="20"/>
                <w:color w:val="auto"/>
              </w:rPr>
            </w:pPr>
            <w:r>
              <w:rPr>
                <w:rFonts w:ascii="Arial" w:cs="Arial" w:eastAsia="Arial" w:hAnsi="Arial"/>
                <w:sz w:val="14"/>
                <w:szCs w:val="14"/>
                <w:color w:val="auto"/>
              </w:rPr>
              <w:t>Level 3</w:t>
            </w: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3"/>
        </w:trPr>
        <w:tc>
          <w:tcPr>
            <w:tcW w:w="20" w:type="dxa"/>
            <w:vAlign w:val="bottom"/>
            <w:tcBorders>
              <w:bottom w:val="single" w:sz="8" w:color="CCEEFF"/>
            </w:tcBorders>
            <w:shd w:val="clear" w:color="auto" w:fill="CCEEFF"/>
          </w:tcPr>
          <w:p>
            <w:pPr>
              <w:spacing w:after="0"/>
              <w:rPr>
                <w:sz w:val="18"/>
                <w:szCs w:val="18"/>
                <w:color w:val="auto"/>
              </w:rPr>
            </w:pPr>
          </w:p>
        </w:tc>
        <w:tc>
          <w:tcPr>
            <w:tcW w:w="1460" w:type="dxa"/>
            <w:vAlign w:val="bottom"/>
            <w:tcBorders>
              <w:bottom w:val="single" w:sz="8" w:color="auto"/>
            </w:tcBorders>
            <w:shd w:val="clear" w:color="auto" w:fill="CCEEFF"/>
          </w:tcPr>
          <w:p>
            <w:pPr>
              <w:spacing w:after="0" w:line="193" w:lineRule="exact"/>
              <w:rPr>
                <w:sz w:val="20"/>
                <w:szCs w:val="20"/>
                <w:color w:val="auto"/>
              </w:rPr>
            </w:pPr>
            <w:r>
              <w:rPr>
                <w:rFonts w:ascii="Arial" w:cs="Arial" w:eastAsia="Arial" w:hAnsi="Arial"/>
                <w:sz w:val="18"/>
                <w:szCs w:val="18"/>
                <w:color w:val="auto"/>
                <w:w w:val="95"/>
              </w:rPr>
              <w:t>Financial Liabilities</w:t>
            </w:r>
          </w:p>
        </w:tc>
        <w:tc>
          <w:tcPr>
            <w:tcW w:w="364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CCEEFF"/>
            </w:tcBorders>
            <w:shd w:val="clear" w:color="auto" w:fill="CCEEFF"/>
          </w:tcPr>
          <w:p>
            <w:pPr>
              <w:spacing w:after="0"/>
              <w:rPr>
                <w:sz w:val="18"/>
                <w:szCs w:val="18"/>
                <w:color w:val="auto"/>
              </w:rPr>
            </w:pPr>
          </w:p>
        </w:tc>
        <w:tc>
          <w:tcPr>
            <w:tcW w:w="114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CCEEFF"/>
            </w:tcBorders>
            <w:shd w:val="clear" w:color="auto" w:fill="CCEEFF"/>
          </w:tcPr>
          <w:p>
            <w:pPr>
              <w:spacing w:after="0"/>
              <w:rPr>
                <w:sz w:val="18"/>
                <w:szCs w:val="18"/>
                <w:color w:val="auto"/>
              </w:rPr>
            </w:pPr>
          </w:p>
        </w:tc>
        <w:tc>
          <w:tcPr>
            <w:tcW w:w="114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CCEEFF"/>
            </w:tcBorders>
            <w:shd w:val="clear" w:color="auto" w:fill="CCEEFF"/>
          </w:tcPr>
          <w:p>
            <w:pPr>
              <w:spacing w:after="0"/>
              <w:rPr>
                <w:sz w:val="18"/>
                <w:szCs w:val="18"/>
                <w:color w:val="auto"/>
              </w:rPr>
            </w:pPr>
          </w:p>
        </w:tc>
        <w:tc>
          <w:tcPr>
            <w:tcW w:w="1140" w:type="dxa"/>
            <w:vAlign w:val="bottom"/>
            <w:tcBorders>
              <w:bottom w:val="single" w:sz="8" w:color="CCEEFF"/>
            </w:tcBorders>
            <w:shd w:val="clear" w:color="auto" w:fill="CCEEFF"/>
          </w:tcPr>
          <w:p>
            <w:pPr>
              <w:spacing w:after="0"/>
              <w:rPr>
                <w:sz w:val="18"/>
                <w:szCs w:val="18"/>
                <w:color w:val="auto"/>
              </w:rPr>
            </w:pPr>
          </w:p>
        </w:tc>
        <w:tc>
          <w:tcPr>
            <w:tcW w:w="60" w:type="dxa"/>
            <w:vAlign w:val="bottom"/>
            <w:tcBorders>
              <w:bottom w:val="single" w:sz="8" w:color="CCEEFF"/>
            </w:tcBorders>
            <w:shd w:val="clear" w:color="auto" w:fill="CCEEFF"/>
          </w:tcPr>
          <w:p>
            <w:pPr>
              <w:spacing w:after="0"/>
              <w:rPr>
                <w:sz w:val="18"/>
                <w:szCs w:val="18"/>
                <w:color w:val="auto"/>
              </w:rPr>
            </w:pPr>
          </w:p>
        </w:tc>
        <w:tc>
          <w:tcPr>
            <w:tcW w:w="4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1320" w:type="dxa"/>
            <w:vAlign w:val="bottom"/>
            <w:tcBorders>
              <w:bottom w:val="single" w:sz="8" w:color="CCEEFF"/>
            </w:tcBorders>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100" w:type="dxa"/>
            <w:vAlign w:val="bottom"/>
            <w:gridSpan w:val="2"/>
          </w:tcPr>
          <w:p>
            <w:pPr>
              <w:spacing w:after="0"/>
              <w:rPr>
                <w:sz w:val="20"/>
                <w:szCs w:val="20"/>
                <w:color w:val="auto"/>
              </w:rPr>
            </w:pPr>
            <w:r>
              <w:rPr>
                <w:rFonts w:ascii="Arial" w:cs="Arial" w:eastAsia="Arial" w:hAnsi="Arial"/>
                <w:sz w:val="18"/>
                <w:szCs w:val="18"/>
                <w:color w:val="auto"/>
              </w:rPr>
              <w:t>Contingent consideration for acquisition earn outs</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240" w:type="dxa"/>
            <w:vAlign w:val="bottom"/>
            <w:gridSpan w:val="2"/>
          </w:tcPr>
          <w:p>
            <w:pPr>
              <w:ind w:left="880"/>
              <w:spacing w:after="0"/>
              <w:rPr>
                <w:sz w:val="20"/>
                <w:szCs w:val="20"/>
                <w:color w:val="auto"/>
              </w:rPr>
            </w:pPr>
            <w:r>
              <w:rPr>
                <w:rFonts w:ascii="Arial" w:cs="Arial" w:eastAsia="Arial" w:hAnsi="Arial"/>
                <w:sz w:val="18"/>
                <w:szCs w:val="18"/>
                <w:color w:val="auto"/>
              </w:rPr>
              <w:t>—</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260" w:type="dxa"/>
            <w:vAlign w:val="bottom"/>
            <w:gridSpan w:val="2"/>
          </w:tcPr>
          <w:p>
            <w:pPr>
              <w:ind w:left="900"/>
              <w:spacing w:after="0"/>
              <w:rPr>
                <w:sz w:val="20"/>
                <w:szCs w:val="20"/>
                <w:color w:val="auto"/>
              </w:rPr>
            </w:pPr>
            <w:r>
              <w:rPr>
                <w:rFonts w:ascii="Arial" w:cs="Arial" w:eastAsia="Arial" w:hAnsi="Arial"/>
                <w:sz w:val="18"/>
                <w:szCs w:val="18"/>
                <w:color w:val="auto"/>
              </w:rPr>
              <w:t>—</w:t>
            </w: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15,178</w:t>
            </w:r>
          </w:p>
        </w:tc>
        <w:tc>
          <w:tcPr>
            <w:tcW w:w="22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15,178</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20" w:type="dxa"/>
            <w:vAlign w:val="bottom"/>
            <w:tcBorders>
              <w:top w:val="single" w:sz="8" w:color="CCEEFF"/>
              <w:bottom w:val="single" w:sz="8" w:color="CCEEFF"/>
            </w:tcBorders>
            <w:shd w:val="clear" w:color="auto" w:fill="CCEEFF"/>
          </w:tcPr>
          <w:p>
            <w:pPr>
              <w:spacing w:after="0"/>
              <w:rPr>
                <w:sz w:val="21"/>
                <w:szCs w:val="21"/>
                <w:color w:val="auto"/>
              </w:rPr>
            </w:pPr>
          </w:p>
        </w:tc>
        <w:tc>
          <w:tcPr>
            <w:tcW w:w="5100" w:type="dxa"/>
            <w:vAlign w:val="bottom"/>
            <w:tcBorders>
              <w:top w:val="single" w:sz="8" w:color="CCEEFF"/>
              <w:bottom w:val="single" w:sz="8" w:color="CCEEFF"/>
            </w:tcBorders>
            <w:gridSpan w:val="2"/>
            <w:shd w:val="clear" w:color="auto" w:fill="CCEEFF"/>
          </w:tcPr>
          <w:p>
            <w:pPr>
              <w:ind w:left="540"/>
              <w:spacing w:after="0"/>
              <w:rPr>
                <w:sz w:val="20"/>
                <w:szCs w:val="20"/>
                <w:color w:val="auto"/>
              </w:rPr>
            </w:pPr>
            <w:r>
              <w:rPr>
                <w:rFonts w:ascii="Arial" w:cs="Arial" w:eastAsia="Arial" w:hAnsi="Arial"/>
                <w:sz w:val="18"/>
                <w:szCs w:val="18"/>
                <w:color w:val="auto"/>
              </w:rPr>
              <w:t>Total Financial Liabilities</w:t>
            </w:r>
          </w:p>
        </w:tc>
        <w:tc>
          <w:tcPr>
            <w:tcW w:w="300" w:type="dxa"/>
            <w:vAlign w:val="bottom"/>
            <w:tcBorders>
              <w:top w:val="single" w:sz="8" w:color="auto"/>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bottom w:val="single" w:sz="8" w:color="auto"/>
            </w:tcBorders>
            <w:shd w:val="clear" w:color="auto" w:fill="CCEEFF"/>
          </w:tcPr>
          <w:p>
            <w:pPr>
              <w:ind w:left="880"/>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00" w:type="dxa"/>
            <w:vAlign w:val="bottom"/>
            <w:tcBorders>
              <w:top w:val="single" w:sz="8" w:color="auto"/>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bottom w:val="single" w:sz="8" w:color="auto"/>
            </w:tcBorders>
            <w:shd w:val="clear" w:color="auto" w:fill="CCEEFF"/>
          </w:tcPr>
          <w:p>
            <w:pPr>
              <w:ind w:left="900"/>
              <w:spacing w:after="0"/>
              <w:rPr>
                <w:sz w:val="20"/>
                <w:szCs w:val="20"/>
                <w:color w:val="auto"/>
              </w:rPr>
            </w:pPr>
            <w:r>
              <w:rPr>
                <w:rFonts w:ascii="Arial" w:cs="Arial" w:eastAsia="Arial" w:hAnsi="Arial"/>
                <w:sz w:val="18"/>
                <w:szCs w:val="18"/>
                <w:color w:val="auto"/>
              </w:rPr>
              <w:t>—</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300" w:type="dxa"/>
            <w:vAlign w:val="bottom"/>
            <w:tcBorders>
              <w:top w:val="single" w:sz="8" w:color="auto"/>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15,178</w:t>
            </w:r>
          </w:p>
        </w:tc>
        <w:tc>
          <w:tcPr>
            <w:tcW w:w="60" w:type="dxa"/>
            <w:vAlign w:val="bottom"/>
            <w:tcBorders>
              <w:top w:val="single" w:sz="8" w:color="CCEEFF"/>
              <w:bottom w:val="single" w:sz="8" w:color="CCEEFF"/>
            </w:tcBorders>
            <w:shd w:val="clear" w:color="auto" w:fill="CCEEFF"/>
          </w:tcPr>
          <w:p>
            <w:pPr>
              <w:spacing w:after="0"/>
              <w:rPr>
                <w:sz w:val="21"/>
                <w:szCs w:val="21"/>
                <w:color w:val="auto"/>
              </w:rPr>
            </w:pPr>
          </w:p>
        </w:tc>
        <w:tc>
          <w:tcPr>
            <w:tcW w:w="4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15,178</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1460" w:type="dxa"/>
            <w:vAlign w:val="bottom"/>
            <w:tcBorders>
              <w:top w:val="single" w:sz="8" w:color="CCEEFF"/>
            </w:tcBorders>
          </w:tcPr>
          <w:p>
            <w:pPr>
              <w:spacing w:after="0" w:line="20" w:lineRule="exact"/>
              <w:rPr>
                <w:sz w:val="1"/>
                <w:szCs w:val="1"/>
                <w:color w:val="auto"/>
              </w:rPr>
            </w:pPr>
          </w:p>
        </w:tc>
        <w:tc>
          <w:tcPr>
            <w:tcW w:w="364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1440" w:type="dxa"/>
            <w:vAlign w:val="bottom"/>
            <w:tcBorders>
              <w:top w:val="single" w:sz="8" w:color="CCEEFF"/>
              <w:bottom w:val="single" w:sz="8" w:color="auto"/>
            </w:tcBorders>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9"/>
        </w:trPr>
        <w:tc>
          <w:tcPr>
            <w:tcW w:w="2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36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240" w:type="dxa"/>
            <w:vAlign w:val="bottom"/>
            <w:gridSpan w:val="7"/>
            <w:vMerge w:val="restart"/>
          </w:tcPr>
          <w:p>
            <w:pPr>
              <w:jc w:val="center"/>
              <w:ind w:right="216"/>
              <w:spacing w:after="0"/>
              <w:rPr>
                <w:sz w:val="20"/>
                <w:szCs w:val="20"/>
                <w:color w:val="auto"/>
              </w:rPr>
            </w:pPr>
            <w:r>
              <w:rPr>
                <w:rFonts w:ascii="Arial" w:cs="Arial" w:eastAsia="Arial" w:hAnsi="Arial"/>
                <w:sz w:val="14"/>
                <w:szCs w:val="14"/>
                <w:color w:val="auto"/>
                <w:w w:val="91"/>
              </w:rPr>
              <w:t>Fair Value Measurements using inputs considered as:</w:t>
            </w: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80" w:type="dxa"/>
            <w:vAlign w:val="bottom"/>
            <w:gridSpan w:val="3"/>
          </w:tcPr>
          <w:p>
            <w:pPr>
              <w:jc w:val="center"/>
              <w:ind w:right="40"/>
              <w:spacing w:after="0"/>
              <w:rPr>
                <w:sz w:val="20"/>
                <w:szCs w:val="20"/>
                <w:color w:val="auto"/>
              </w:rPr>
            </w:pPr>
            <w:r>
              <w:rPr>
                <w:rFonts w:ascii="Arial" w:cs="Arial" w:eastAsia="Arial" w:hAnsi="Arial"/>
                <w:sz w:val="14"/>
                <w:szCs w:val="14"/>
                <w:color w:val="auto"/>
                <w:w w:val="93"/>
              </w:rPr>
              <w:t>Fair Value at May 31,</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3640" w:type="dxa"/>
            <w:vAlign w:val="bottom"/>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4240" w:type="dxa"/>
            <w:vAlign w:val="bottom"/>
            <w:tcBorders>
              <w:bottom w:val="single" w:sz="8" w:color="auto"/>
            </w:tcBorders>
            <w:gridSpan w:val="7"/>
            <w:vMerge w:val="continue"/>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320" w:type="dxa"/>
            <w:vAlign w:val="bottom"/>
            <w:tcBorders>
              <w:bottom w:val="single" w:sz="8" w:color="auto"/>
            </w:tcBorders>
          </w:tcPr>
          <w:p>
            <w:pPr>
              <w:jc w:val="center"/>
              <w:ind w:right="39"/>
              <w:spacing w:after="0"/>
              <w:rPr>
                <w:sz w:val="20"/>
                <w:szCs w:val="20"/>
                <w:color w:val="auto"/>
              </w:rPr>
            </w:pPr>
            <w:r>
              <w:rPr>
                <w:rFonts w:ascii="Arial" w:cs="Arial" w:eastAsia="Arial" w:hAnsi="Arial"/>
                <w:sz w:val="14"/>
                <w:szCs w:val="14"/>
                <w:color w:val="auto"/>
                <w:w w:val="89"/>
              </w:rPr>
              <w:t>2020</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5100" w:type="dxa"/>
            <w:vAlign w:val="bottom"/>
            <w:gridSpan w:val="2"/>
          </w:tcPr>
          <w:p>
            <w:pPr>
              <w:spacing w:after="0"/>
              <w:rPr>
                <w:sz w:val="20"/>
                <w:szCs w:val="20"/>
                <w:color w:val="auto"/>
              </w:rPr>
            </w:pPr>
            <w:r>
              <w:rPr>
                <w:rFonts w:ascii="Arial" w:cs="Arial" w:eastAsia="Arial" w:hAnsi="Arial"/>
                <w:sz w:val="14"/>
                <w:szCs w:val="14"/>
                <w:color w:val="auto"/>
              </w:rPr>
              <w:t>(in thousands)</w:t>
            </w:r>
          </w:p>
        </w:tc>
        <w:tc>
          <w:tcPr>
            <w:tcW w:w="300" w:type="dxa"/>
            <w:vAlign w:val="bottom"/>
          </w:tcPr>
          <w:p>
            <w:pPr>
              <w:spacing w:after="0"/>
              <w:rPr>
                <w:sz w:val="16"/>
                <w:szCs w:val="16"/>
                <w:color w:val="auto"/>
              </w:rPr>
            </w:pPr>
          </w:p>
        </w:tc>
        <w:tc>
          <w:tcPr>
            <w:tcW w:w="1240" w:type="dxa"/>
            <w:vAlign w:val="bottom"/>
            <w:gridSpan w:val="2"/>
          </w:tcPr>
          <w:p>
            <w:pPr>
              <w:ind w:left="200"/>
              <w:spacing w:after="0"/>
              <w:rPr>
                <w:sz w:val="20"/>
                <w:szCs w:val="20"/>
                <w:color w:val="auto"/>
              </w:rPr>
            </w:pPr>
            <w:r>
              <w:rPr>
                <w:rFonts w:ascii="Arial" w:cs="Arial" w:eastAsia="Arial" w:hAnsi="Arial"/>
                <w:sz w:val="14"/>
                <w:szCs w:val="14"/>
                <w:color w:val="auto"/>
              </w:rPr>
              <w:t>Level 1</w:t>
            </w:r>
          </w:p>
        </w:tc>
        <w:tc>
          <w:tcPr>
            <w:tcW w:w="300" w:type="dxa"/>
            <w:vAlign w:val="bottom"/>
          </w:tcPr>
          <w:p>
            <w:pPr>
              <w:spacing w:after="0"/>
              <w:rPr>
                <w:sz w:val="16"/>
                <w:szCs w:val="16"/>
                <w:color w:val="auto"/>
              </w:rPr>
            </w:pPr>
          </w:p>
        </w:tc>
        <w:tc>
          <w:tcPr>
            <w:tcW w:w="1260" w:type="dxa"/>
            <w:vAlign w:val="bottom"/>
            <w:gridSpan w:val="2"/>
          </w:tcPr>
          <w:p>
            <w:pPr>
              <w:jc w:val="center"/>
              <w:ind w:right="420"/>
              <w:spacing w:after="0"/>
              <w:rPr>
                <w:sz w:val="20"/>
                <w:szCs w:val="20"/>
                <w:color w:val="auto"/>
              </w:rPr>
            </w:pPr>
            <w:r>
              <w:rPr>
                <w:rFonts w:ascii="Arial" w:cs="Arial" w:eastAsia="Arial" w:hAnsi="Arial"/>
                <w:sz w:val="14"/>
                <w:szCs w:val="14"/>
                <w:color w:val="auto"/>
                <w:w w:val="97"/>
              </w:rPr>
              <w:t>Level 2</w:t>
            </w:r>
          </w:p>
        </w:tc>
        <w:tc>
          <w:tcPr>
            <w:tcW w:w="300" w:type="dxa"/>
            <w:vAlign w:val="bottom"/>
          </w:tcPr>
          <w:p>
            <w:pPr>
              <w:spacing w:after="0"/>
              <w:rPr>
                <w:sz w:val="16"/>
                <w:szCs w:val="16"/>
                <w:color w:val="auto"/>
              </w:rPr>
            </w:pPr>
          </w:p>
        </w:tc>
        <w:tc>
          <w:tcPr>
            <w:tcW w:w="1140" w:type="dxa"/>
            <w:vAlign w:val="bottom"/>
          </w:tcPr>
          <w:p>
            <w:pPr>
              <w:jc w:val="right"/>
              <w:ind w:right="416"/>
              <w:spacing w:after="0"/>
              <w:rPr>
                <w:sz w:val="20"/>
                <w:szCs w:val="20"/>
                <w:color w:val="auto"/>
              </w:rPr>
            </w:pPr>
            <w:r>
              <w:rPr>
                <w:rFonts w:ascii="Arial" w:cs="Arial" w:eastAsia="Arial" w:hAnsi="Arial"/>
                <w:sz w:val="14"/>
                <w:szCs w:val="14"/>
                <w:color w:val="auto"/>
              </w:rPr>
              <w:t>Level 3</w:t>
            </w: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3"/>
        </w:trPr>
        <w:tc>
          <w:tcPr>
            <w:tcW w:w="20" w:type="dxa"/>
            <w:vAlign w:val="bottom"/>
            <w:tcBorders>
              <w:bottom w:val="single" w:sz="8" w:color="CCEEFF"/>
            </w:tcBorders>
            <w:shd w:val="clear" w:color="auto" w:fill="CCEEFF"/>
          </w:tcPr>
          <w:p>
            <w:pPr>
              <w:spacing w:after="0"/>
              <w:rPr>
                <w:sz w:val="18"/>
                <w:szCs w:val="18"/>
                <w:color w:val="auto"/>
              </w:rPr>
            </w:pPr>
          </w:p>
        </w:tc>
        <w:tc>
          <w:tcPr>
            <w:tcW w:w="1460" w:type="dxa"/>
            <w:vAlign w:val="bottom"/>
            <w:tcBorders>
              <w:bottom w:val="single" w:sz="8" w:color="auto"/>
            </w:tcBorders>
            <w:shd w:val="clear" w:color="auto" w:fill="CCEEFF"/>
          </w:tcPr>
          <w:p>
            <w:pPr>
              <w:spacing w:after="0" w:line="193" w:lineRule="exact"/>
              <w:rPr>
                <w:sz w:val="20"/>
                <w:szCs w:val="20"/>
                <w:color w:val="auto"/>
              </w:rPr>
            </w:pPr>
            <w:r>
              <w:rPr>
                <w:rFonts w:ascii="Arial" w:cs="Arial" w:eastAsia="Arial" w:hAnsi="Arial"/>
                <w:sz w:val="18"/>
                <w:szCs w:val="18"/>
                <w:color w:val="auto"/>
                <w:w w:val="95"/>
              </w:rPr>
              <w:t>Financial Liabilities</w:t>
            </w:r>
          </w:p>
        </w:tc>
        <w:tc>
          <w:tcPr>
            <w:tcW w:w="364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CCEEFF"/>
            </w:tcBorders>
            <w:shd w:val="clear" w:color="auto" w:fill="CCEEFF"/>
          </w:tcPr>
          <w:p>
            <w:pPr>
              <w:spacing w:after="0"/>
              <w:rPr>
                <w:sz w:val="18"/>
                <w:szCs w:val="18"/>
                <w:color w:val="auto"/>
              </w:rPr>
            </w:pPr>
          </w:p>
        </w:tc>
        <w:tc>
          <w:tcPr>
            <w:tcW w:w="114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CCEEFF"/>
            </w:tcBorders>
            <w:shd w:val="clear" w:color="auto" w:fill="CCEEFF"/>
          </w:tcPr>
          <w:p>
            <w:pPr>
              <w:spacing w:after="0"/>
              <w:rPr>
                <w:sz w:val="18"/>
                <w:szCs w:val="18"/>
                <w:color w:val="auto"/>
              </w:rPr>
            </w:pPr>
          </w:p>
        </w:tc>
        <w:tc>
          <w:tcPr>
            <w:tcW w:w="114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CCEEFF"/>
            </w:tcBorders>
            <w:shd w:val="clear" w:color="auto" w:fill="CCEEFF"/>
          </w:tcPr>
          <w:p>
            <w:pPr>
              <w:spacing w:after="0"/>
              <w:rPr>
                <w:sz w:val="18"/>
                <w:szCs w:val="18"/>
                <w:color w:val="auto"/>
              </w:rPr>
            </w:pPr>
          </w:p>
        </w:tc>
        <w:tc>
          <w:tcPr>
            <w:tcW w:w="1140" w:type="dxa"/>
            <w:vAlign w:val="bottom"/>
            <w:tcBorders>
              <w:bottom w:val="single" w:sz="8" w:color="CCEEFF"/>
            </w:tcBorders>
            <w:shd w:val="clear" w:color="auto" w:fill="CCEEFF"/>
          </w:tcPr>
          <w:p>
            <w:pPr>
              <w:spacing w:after="0"/>
              <w:rPr>
                <w:sz w:val="18"/>
                <w:szCs w:val="18"/>
                <w:color w:val="auto"/>
              </w:rPr>
            </w:pPr>
          </w:p>
        </w:tc>
        <w:tc>
          <w:tcPr>
            <w:tcW w:w="60" w:type="dxa"/>
            <w:vAlign w:val="bottom"/>
            <w:tcBorders>
              <w:bottom w:val="single" w:sz="8" w:color="CCEEFF"/>
            </w:tcBorders>
            <w:shd w:val="clear" w:color="auto" w:fill="CCEEFF"/>
          </w:tcPr>
          <w:p>
            <w:pPr>
              <w:spacing w:after="0"/>
              <w:rPr>
                <w:sz w:val="18"/>
                <w:szCs w:val="18"/>
                <w:color w:val="auto"/>
              </w:rPr>
            </w:pPr>
          </w:p>
        </w:tc>
        <w:tc>
          <w:tcPr>
            <w:tcW w:w="4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1320" w:type="dxa"/>
            <w:vAlign w:val="bottom"/>
            <w:tcBorders>
              <w:bottom w:val="single" w:sz="8" w:color="CCEEFF"/>
            </w:tcBorders>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5100" w:type="dxa"/>
            <w:vAlign w:val="bottom"/>
            <w:gridSpan w:val="2"/>
          </w:tcPr>
          <w:p>
            <w:pPr>
              <w:spacing w:after="0"/>
              <w:rPr>
                <w:sz w:val="20"/>
                <w:szCs w:val="20"/>
                <w:color w:val="auto"/>
              </w:rPr>
            </w:pPr>
            <w:r>
              <w:rPr>
                <w:rFonts w:ascii="Arial" w:cs="Arial" w:eastAsia="Arial" w:hAnsi="Arial"/>
                <w:sz w:val="18"/>
                <w:szCs w:val="18"/>
                <w:color w:val="auto"/>
              </w:rPr>
              <w:t>Contingent consideration for acquisition earn outs</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240" w:type="dxa"/>
            <w:vAlign w:val="bottom"/>
            <w:gridSpan w:val="2"/>
          </w:tcPr>
          <w:p>
            <w:pPr>
              <w:ind w:left="880"/>
              <w:spacing w:after="0"/>
              <w:rPr>
                <w:sz w:val="20"/>
                <w:szCs w:val="20"/>
                <w:color w:val="auto"/>
              </w:rPr>
            </w:pPr>
            <w:r>
              <w:rPr>
                <w:rFonts w:ascii="Arial" w:cs="Arial" w:eastAsia="Arial" w:hAnsi="Arial"/>
                <w:sz w:val="18"/>
                <w:szCs w:val="18"/>
                <w:color w:val="auto"/>
              </w:rPr>
              <w:t>—</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260" w:type="dxa"/>
            <w:vAlign w:val="bottom"/>
            <w:gridSpan w:val="2"/>
          </w:tcPr>
          <w:p>
            <w:pPr>
              <w:ind w:left="900"/>
              <w:spacing w:after="0"/>
              <w:rPr>
                <w:sz w:val="20"/>
                <w:szCs w:val="20"/>
                <w:color w:val="auto"/>
              </w:rPr>
            </w:pPr>
            <w:r>
              <w:rPr>
                <w:rFonts w:ascii="Arial" w:cs="Arial" w:eastAsia="Arial" w:hAnsi="Arial"/>
                <w:sz w:val="18"/>
                <w:szCs w:val="18"/>
                <w:color w:val="auto"/>
              </w:rPr>
              <w:t>—</w:t>
            </w: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15,647</w:t>
            </w:r>
          </w:p>
        </w:tc>
        <w:tc>
          <w:tcPr>
            <w:tcW w:w="22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15,647</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20" w:type="dxa"/>
            <w:vAlign w:val="bottom"/>
            <w:tcBorders>
              <w:top w:val="single" w:sz="8" w:color="CCEEFF"/>
              <w:bottom w:val="single" w:sz="8" w:color="CCEEFF"/>
            </w:tcBorders>
            <w:shd w:val="clear" w:color="auto" w:fill="CCEEFF"/>
          </w:tcPr>
          <w:p>
            <w:pPr>
              <w:spacing w:after="0"/>
              <w:rPr>
                <w:sz w:val="21"/>
                <w:szCs w:val="21"/>
                <w:color w:val="auto"/>
              </w:rPr>
            </w:pPr>
          </w:p>
        </w:tc>
        <w:tc>
          <w:tcPr>
            <w:tcW w:w="5100" w:type="dxa"/>
            <w:vAlign w:val="bottom"/>
            <w:tcBorders>
              <w:top w:val="single" w:sz="8" w:color="CCEEFF"/>
              <w:bottom w:val="single" w:sz="8" w:color="CCEEFF"/>
            </w:tcBorders>
            <w:gridSpan w:val="2"/>
            <w:shd w:val="clear" w:color="auto" w:fill="CCEEFF"/>
          </w:tcPr>
          <w:p>
            <w:pPr>
              <w:ind w:left="540"/>
              <w:spacing w:after="0"/>
              <w:rPr>
                <w:sz w:val="20"/>
                <w:szCs w:val="20"/>
                <w:color w:val="auto"/>
              </w:rPr>
            </w:pPr>
            <w:r>
              <w:rPr>
                <w:rFonts w:ascii="Arial" w:cs="Arial" w:eastAsia="Arial" w:hAnsi="Arial"/>
                <w:sz w:val="18"/>
                <w:szCs w:val="18"/>
                <w:color w:val="auto"/>
              </w:rPr>
              <w:t>Total Financial Liabilities</w:t>
            </w:r>
          </w:p>
        </w:tc>
        <w:tc>
          <w:tcPr>
            <w:tcW w:w="300" w:type="dxa"/>
            <w:vAlign w:val="bottom"/>
            <w:tcBorders>
              <w:top w:val="single" w:sz="8" w:color="auto"/>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bottom w:val="single" w:sz="8" w:color="auto"/>
            </w:tcBorders>
            <w:shd w:val="clear" w:color="auto" w:fill="CCEEFF"/>
          </w:tcPr>
          <w:p>
            <w:pPr>
              <w:ind w:left="880"/>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00" w:type="dxa"/>
            <w:vAlign w:val="bottom"/>
            <w:tcBorders>
              <w:top w:val="single" w:sz="8" w:color="auto"/>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bottom w:val="single" w:sz="8" w:color="auto"/>
            </w:tcBorders>
            <w:shd w:val="clear" w:color="auto" w:fill="CCEEFF"/>
          </w:tcPr>
          <w:p>
            <w:pPr>
              <w:ind w:left="900"/>
              <w:spacing w:after="0"/>
              <w:rPr>
                <w:sz w:val="20"/>
                <w:szCs w:val="20"/>
                <w:color w:val="auto"/>
              </w:rPr>
            </w:pPr>
            <w:r>
              <w:rPr>
                <w:rFonts w:ascii="Arial" w:cs="Arial" w:eastAsia="Arial" w:hAnsi="Arial"/>
                <w:sz w:val="18"/>
                <w:szCs w:val="18"/>
                <w:color w:val="auto"/>
              </w:rPr>
              <w:t>—</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300" w:type="dxa"/>
            <w:vAlign w:val="bottom"/>
            <w:tcBorders>
              <w:top w:val="single" w:sz="8" w:color="auto"/>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15,647</w:t>
            </w:r>
          </w:p>
        </w:tc>
        <w:tc>
          <w:tcPr>
            <w:tcW w:w="60" w:type="dxa"/>
            <w:vAlign w:val="bottom"/>
            <w:tcBorders>
              <w:top w:val="single" w:sz="8" w:color="CCEEFF"/>
              <w:bottom w:val="single" w:sz="8" w:color="CCEEFF"/>
            </w:tcBorders>
            <w:shd w:val="clear" w:color="auto" w:fill="CCEEFF"/>
          </w:tcPr>
          <w:p>
            <w:pPr>
              <w:spacing w:after="0"/>
              <w:rPr>
                <w:sz w:val="21"/>
                <w:szCs w:val="21"/>
                <w:color w:val="auto"/>
              </w:rPr>
            </w:pPr>
          </w:p>
        </w:tc>
        <w:tc>
          <w:tcPr>
            <w:tcW w:w="4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15,647</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1460" w:type="dxa"/>
            <w:vAlign w:val="bottom"/>
            <w:tcBorders>
              <w:top w:val="single" w:sz="8" w:color="CCEEFF"/>
            </w:tcBorders>
          </w:tcPr>
          <w:p>
            <w:pPr>
              <w:spacing w:after="0" w:line="20" w:lineRule="exact"/>
              <w:rPr>
                <w:sz w:val="1"/>
                <w:szCs w:val="1"/>
                <w:color w:val="auto"/>
              </w:rPr>
            </w:pPr>
          </w:p>
        </w:tc>
        <w:tc>
          <w:tcPr>
            <w:tcW w:w="3640" w:type="dxa"/>
            <w:vAlign w:val="bottom"/>
            <w:tcBorders>
              <w:top w:val="single" w:sz="8" w:color="CCEEFF"/>
            </w:tcBorders>
          </w:tcPr>
          <w:p>
            <w:pPr>
              <w:spacing w:after="0" w:line="20" w:lineRule="exact"/>
              <w:rPr>
                <w:sz w:val="1"/>
                <w:szCs w:val="1"/>
                <w:color w:val="auto"/>
              </w:rPr>
            </w:pPr>
          </w:p>
        </w:tc>
        <w:tc>
          <w:tcPr>
            <w:tcW w:w="1440" w:type="dxa"/>
            <w:vAlign w:val="bottom"/>
            <w:tcBorders>
              <w:top w:val="single" w:sz="8" w:color="CCEEFF"/>
              <w:bottom w:val="single" w:sz="8" w:color="auto"/>
            </w:tcBorders>
            <w:gridSpan w:val="2"/>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40" w:type="dxa"/>
            <w:vAlign w:val="bottom"/>
            <w:tcBorders>
              <w:top w:val="single" w:sz="8" w:color="CCEEFF"/>
              <w:bottom w:val="single" w:sz="8" w:color="auto"/>
            </w:tcBorders>
            <w:gridSpan w:val="2"/>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41"/>
        </w:trPr>
        <w:tc>
          <w:tcPr>
            <w:tcW w:w="20" w:type="dxa"/>
            <w:vAlign w:val="bottom"/>
          </w:tcPr>
          <w:p>
            <w:pPr>
              <w:spacing w:after="0"/>
              <w:rPr>
                <w:sz w:val="24"/>
                <w:szCs w:val="24"/>
                <w:color w:val="auto"/>
              </w:rPr>
            </w:pPr>
          </w:p>
        </w:tc>
        <w:tc>
          <w:tcPr>
            <w:tcW w:w="8200" w:type="dxa"/>
            <w:vAlign w:val="bottom"/>
            <w:gridSpan w:val="8"/>
          </w:tcPr>
          <w:p>
            <w:pPr>
              <w:ind w:left="400"/>
              <w:spacing w:after="0"/>
              <w:rPr>
                <w:sz w:val="20"/>
                <w:szCs w:val="20"/>
                <w:color w:val="auto"/>
              </w:rPr>
            </w:pPr>
            <w:r>
              <w:rPr>
                <w:rFonts w:ascii="Arial" w:cs="Arial" w:eastAsia="Arial" w:hAnsi="Arial"/>
                <w:sz w:val="18"/>
                <w:szCs w:val="18"/>
                <w:color w:val="auto"/>
                <w:w w:val="91"/>
              </w:rPr>
              <w:t>There were no transfers between Level 1, 2 and 3 for the three and six months ended November 30, 2020.</w:t>
            </w:r>
          </w:p>
        </w:tc>
        <w:tc>
          <w:tcPr>
            <w:tcW w:w="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20" w:type="dxa"/>
            <w:vAlign w:val="bottom"/>
          </w:tcPr>
          <w:p>
            <w:pPr>
              <w:spacing w:after="0"/>
              <w:rPr>
                <w:sz w:val="24"/>
                <w:szCs w:val="24"/>
                <w:color w:val="auto"/>
              </w:rPr>
            </w:pPr>
          </w:p>
        </w:tc>
        <w:tc>
          <w:tcPr>
            <w:tcW w:w="6640" w:type="dxa"/>
            <w:vAlign w:val="bottom"/>
            <w:gridSpan w:val="5"/>
          </w:tcPr>
          <w:p>
            <w:pPr>
              <w:ind w:left="400"/>
              <w:spacing w:after="0"/>
              <w:rPr>
                <w:sz w:val="20"/>
                <w:szCs w:val="20"/>
                <w:color w:val="auto"/>
              </w:rPr>
            </w:pPr>
            <w:r>
              <w:rPr>
                <w:rFonts w:ascii="Arial" w:cs="Arial" w:eastAsia="Arial" w:hAnsi="Arial"/>
                <w:sz w:val="18"/>
                <w:szCs w:val="18"/>
                <w:color w:val="auto"/>
                <w:w w:val="90"/>
              </w:rPr>
              <w:t>The table below presents the changes in fair value components of Level 3 instruments:</w:t>
            </w:r>
          </w:p>
        </w:tc>
        <w:tc>
          <w:tcPr>
            <w:tcW w:w="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2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36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60" w:type="dxa"/>
            <w:vAlign w:val="bottom"/>
            <w:gridSpan w:val="2"/>
          </w:tcPr>
          <w:p>
            <w:pPr>
              <w:jc w:val="center"/>
              <w:ind w:right="140"/>
              <w:spacing w:after="0"/>
              <w:rPr>
                <w:sz w:val="20"/>
                <w:szCs w:val="20"/>
                <w:color w:val="auto"/>
              </w:rPr>
            </w:pPr>
            <w:r>
              <w:rPr>
                <w:rFonts w:ascii="Arial" w:cs="Arial" w:eastAsia="Arial" w:hAnsi="Arial"/>
                <w:sz w:val="14"/>
                <w:szCs w:val="14"/>
                <w:color w:val="auto"/>
                <w:w w:val="93"/>
              </w:rPr>
              <w:t>Three Months Ended</w:t>
            </w: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36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gridSpan w:val="2"/>
          </w:tcPr>
          <w:p>
            <w:pPr>
              <w:jc w:val="center"/>
              <w:ind w:right="140"/>
              <w:spacing w:after="0"/>
              <w:rPr>
                <w:sz w:val="20"/>
                <w:szCs w:val="20"/>
                <w:color w:val="auto"/>
              </w:rPr>
            </w:pPr>
            <w:r>
              <w:rPr>
                <w:rFonts w:ascii="Arial" w:cs="Arial" w:eastAsia="Arial" w:hAnsi="Arial"/>
                <w:sz w:val="14"/>
                <w:szCs w:val="14"/>
                <w:color w:val="auto"/>
                <w:w w:val="93"/>
              </w:rPr>
              <w:t>Nov 30, 2020</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460" w:type="dxa"/>
            <w:vAlign w:val="bottom"/>
          </w:tcPr>
          <w:p>
            <w:pPr>
              <w:spacing w:after="0"/>
              <w:rPr>
                <w:sz w:val="11"/>
                <w:szCs w:val="11"/>
                <w:color w:val="auto"/>
              </w:rPr>
            </w:pPr>
          </w:p>
        </w:tc>
        <w:tc>
          <w:tcPr>
            <w:tcW w:w="36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520" w:type="dxa"/>
            <w:vAlign w:val="bottom"/>
            <w:gridSpan w:val="4"/>
          </w:tcPr>
          <w:p>
            <w:pPr>
              <w:ind w:left="40"/>
              <w:spacing w:after="0" w:line="132" w:lineRule="exact"/>
              <w:rPr>
                <w:sz w:val="20"/>
                <w:szCs w:val="20"/>
                <w:color w:val="auto"/>
              </w:rPr>
            </w:pPr>
            <w:r>
              <w:rPr>
                <w:rFonts w:ascii="Arial" w:cs="Arial" w:eastAsia="Arial" w:hAnsi="Arial"/>
                <w:sz w:val="14"/>
                <w:szCs w:val="14"/>
                <w:color w:val="auto"/>
                <w:w w:val="91"/>
              </w:rPr>
              <w:t>Fair Value Measurements</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460" w:type="dxa"/>
            <w:vAlign w:val="bottom"/>
          </w:tcPr>
          <w:p>
            <w:pPr>
              <w:spacing w:after="0"/>
              <w:rPr>
                <w:sz w:val="11"/>
                <w:szCs w:val="11"/>
                <w:color w:val="auto"/>
              </w:rPr>
            </w:pPr>
          </w:p>
        </w:tc>
        <w:tc>
          <w:tcPr>
            <w:tcW w:w="36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360" w:type="dxa"/>
            <w:vAlign w:val="bottom"/>
            <w:gridSpan w:val="2"/>
          </w:tcPr>
          <w:p>
            <w:pPr>
              <w:jc w:val="center"/>
              <w:ind w:right="160"/>
              <w:spacing w:after="0" w:line="135" w:lineRule="exact"/>
              <w:rPr>
                <w:sz w:val="20"/>
                <w:szCs w:val="20"/>
                <w:color w:val="auto"/>
              </w:rPr>
            </w:pPr>
            <w:r>
              <w:rPr>
                <w:rFonts w:ascii="Arial" w:cs="Arial" w:eastAsia="Arial" w:hAnsi="Arial"/>
                <w:sz w:val="14"/>
                <w:szCs w:val="14"/>
                <w:color w:val="auto"/>
                <w:w w:val="95"/>
              </w:rPr>
              <w:t>Using Significant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5100" w:type="dxa"/>
            <w:vAlign w:val="bottom"/>
            <w:gridSpan w:val="2"/>
            <w:vMerge w:val="restart"/>
          </w:tcPr>
          <w:p>
            <w:pPr>
              <w:spacing w:after="0"/>
              <w:rPr>
                <w:sz w:val="20"/>
                <w:szCs w:val="20"/>
                <w:color w:val="auto"/>
              </w:rPr>
            </w:pPr>
            <w:r>
              <w:rPr>
                <w:rFonts w:ascii="Arial" w:cs="Arial" w:eastAsia="Arial" w:hAnsi="Arial"/>
                <w:sz w:val="14"/>
                <w:szCs w:val="14"/>
                <w:color w:val="auto"/>
              </w:rPr>
              <w:t>(in thousands)</w:t>
            </w:r>
          </w:p>
        </w:tc>
        <w:tc>
          <w:tcPr>
            <w:tcW w:w="3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360" w:type="dxa"/>
            <w:vAlign w:val="bottom"/>
            <w:gridSpan w:val="2"/>
          </w:tcPr>
          <w:p>
            <w:pPr>
              <w:jc w:val="center"/>
              <w:ind w:right="160"/>
              <w:spacing w:after="0" w:line="135" w:lineRule="exact"/>
              <w:rPr>
                <w:sz w:val="20"/>
                <w:szCs w:val="20"/>
                <w:color w:val="auto"/>
              </w:rPr>
            </w:pPr>
            <w:r>
              <w:rPr>
                <w:rFonts w:ascii="Arial" w:cs="Arial" w:eastAsia="Arial" w:hAnsi="Arial"/>
                <w:sz w:val="14"/>
                <w:szCs w:val="14"/>
                <w:color w:val="auto"/>
                <w:w w:val="93"/>
              </w:rPr>
              <w:t>Unobservable Inputs</w:t>
            </w:r>
          </w:p>
        </w:tc>
        <w:tc>
          <w:tcPr>
            <w:tcW w:w="0" w:type="dxa"/>
            <w:vAlign w:val="bottom"/>
          </w:tcPr>
          <w:p>
            <w:pPr>
              <w:spacing w:after="0"/>
              <w:rPr>
                <w:sz w:val="1"/>
                <w:szCs w:val="1"/>
                <w:color w:val="auto"/>
              </w:rPr>
            </w:pPr>
          </w:p>
        </w:tc>
      </w:tr>
      <w:tr>
        <w:trPr>
          <w:trHeight w:val="186"/>
        </w:trPr>
        <w:tc>
          <w:tcPr>
            <w:tcW w:w="20" w:type="dxa"/>
            <w:vAlign w:val="bottom"/>
            <w:tcBorders>
              <w:bottom w:val="single" w:sz="8" w:color="CCEEFF"/>
            </w:tcBorders>
          </w:tcPr>
          <w:p>
            <w:pPr>
              <w:spacing w:after="0"/>
              <w:rPr>
                <w:sz w:val="16"/>
                <w:szCs w:val="16"/>
                <w:color w:val="auto"/>
              </w:rPr>
            </w:pPr>
          </w:p>
        </w:tc>
        <w:tc>
          <w:tcPr>
            <w:tcW w:w="5100" w:type="dxa"/>
            <w:vAlign w:val="bottom"/>
            <w:tcBorders>
              <w:bottom w:val="single" w:sz="8" w:color="CCEEFF"/>
            </w:tcBorders>
            <w:gridSpan w:val="2"/>
            <w:vMerge w:val="continue"/>
          </w:tcPr>
          <w:p>
            <w:pPr>
              <w:spacing w:after="0"/>
              <w:rPr>
                <w:sz w:val="16"/>
                <w:szCs w:val="16"/>
                <w:color w:val="auto"/>
              </w:rPr>
            </w:pPr>
          </w:p>
        </w:tc>
        <w:tc>
          <w:tcPr>
            <w:tcW w:w="300" w:type="dxa"/>
            <w:vAlign w:val="bottom"/>
            <w:tcBorders>
              <w:bottom w:val="single" w:sz="8" w:color="CCEEFF"/>
            </w:tcBorders>
          </w:tcPr>
          <w:p>
            <w:pPr>
              <w:spacing w:after="0"/>
              <w:rPr>
                <w:sz w:val="16"/>
                <w:szCs w:val="16"/>
                <w:color w:val="auto"/>
              </w:rPr>
            </w:pPr>
          </w:p>
        </w:tc>
        <w:tc>
          <w:tcPr>
            <w:tcW w:w="1140" w:type="dxa"/>
            <w:vAlign w:val="bottom"/>
            <w:tcBorders>
              <w:bottom w:val="single" w:sz="8" w:color="CCEEFF"/>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300" w:type="dxa"/>
            <w:vAlign w:val="bottom"/>
            <w:tcBorders>
              <w:bottom w:val="single" w:sz="8" w:color="CCEEFF"/>
            </w:tcBorders>
          </w:tcPr>
          <w:p>
            <w:pPr>
              <w:spacing w:after="0"/>
              <w:rPr>
                <w:sz w:val="16"/>
                <w:szCs w:val="16"/>
                <w:color w:val="auto"/>
              </w:rPr>
            </w:pPr>
          </w:p>
        </w:tc>
        <w:tc>
          <w:tcPr>
            <w:tcW w:w="1140" w:type="dxa"/>
            <w:vAlign w:val="bottom"/>
            <w:tcBorders>
              <w:bottom w:val="single" w:sz="8" w:color="CCEEFF"/>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300" w:type="dxa"/>
            <w:vAlign w:val="bottom"/>
            <w:tcBorders>
              <w:bottom w:val="single" w:sz="8" w:color="CCEEFF"/>
            </w:tcBorders>
          </w:tcPr>
          <w:p>
            <w:pPr>
              <w:spacing w:after="0"/>
              <w:rPr>
                <w:sz w:val="16"/>
                <w:szCs w:val="16"/>
                <w:color w:val="auto"/>
              </w:rPr>
            </w:pPr>
          </w:p>
        </w:tc>
        <w:tc>
          <w:tcPr>
            <w:tcW w:w="1140" w:type="dxa"/>
            <w:vAlign w:val="bottom"/>
            <w:tcBorders>
              <w:bottom w:val="single" w:sz="8" w:color="CCEEFF"/>
            </w:tcBorders>
          </w:tcPr>
          <w:p>
            <w:pPr>
              <w:spacing w:after="0"/>
              <w:rPr>
                <w:sz w:val="16"/>
                <w:szCs w:val="16"/>
                <w:color w:val="auto"/>
              </w:rPr>
            </w:pPr>
          </w:p>
        </w:tc>
        <w:tc>
          <w:tcPr>
            <w:tcW w:w="60" w:type="dxa"/>
            <w:vAlign w:val="bottom"/>
            <w:tcBorders>
              <w:bottom w:val="single" w:sz="8" w:color="CCEEFF"/>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gridSpan w:val="2"/>
          </w:tcPr>
          <w:p>
            <w:pPr>
              <w:jc w:val="center"/>
              <w:ind w:right="160"/>
              <w:spacing w:after="0"/>
              <w:rPr>
                <w:sz w:val="20"/>
                <w:szCs w:val="20"/>
                <w:color w:val="auto"/>
              </w:rPr>
            </w:pPr>
            <w:r>
              <w:rPr>
                <w:rFonts w:ascii="Arial" w:cs="Arial" w:eastAsia="Arial" w:hAnsi="Arial"/>
                <w:sz w:val="14"/>
                <w:szCs w:val="14"/>
                <w:color w:val="auto"/>
                <w:w w:val="95"/>
              </w:rPr>
              <w:t>(Level 3)</w:t>
            </w:r>
          </w:p>
        </w:tc>
        <w:tc>
          <w:tcPr>
            <w:tcW w:w="0" w:type="dxa"/>
            <w:vAlign w:val="bottom"/>
          </w:tcPr>
          <w:p>
            <w:pPr>
              <w:spacing w:after="0"/>
              <w:rPr>
                <w:sz w:val="1"/>
                <w:szCs w:val="1"/>
                <w:color w:val="auto"/>
              </w:rPr>
            </w:pPr>
          </w:p>
        </w:tc>
      </w:tr>
      <w:tr>
        <w:trPr>
          <w:trHeight w:val="226"/>
        </w:trPr>
        <w:tc>
          <w:tcPr>
            <w:tcW w:w="20" w:type="dxa"/>
            <w:vAlign w:val="bottom"/>
            <w:shd w:val="clear" w:color="auto" w:fill="CCEEFF"/>
          </w:tcPr>
          <w:p>
            <w:pPr>
              <w:spacing w:after="0"/>
              <w:rPr>
                <w:sz w:val="19"/>
                <w:szCs w:val="19"/>
                <w:color w:val="auto"/>
              </w:rPr>
            </w:pPr>
          </w:p>
        </w:tc>
        <w:tc>
          <w:tcPr>
            <w:tcW w:w="51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Balance, August 31, 2020</w:t>
            </w:r>
          </w:p>
        </w:tc>
        <w:tc>
          <w:tcPr>
            <w:tcW w:w="30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14,994</w:t>
            </w:r>
          </w:p>
        </w:tc>
        <w:tc>
          <w:tcPr>
            <w:tcW w:w="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100" w:type="dxa"/>
            <w:vAlign w:val="bottom"/>
            <w:gridSpan w:val="2"/>
          </w:tcPr>
          <w:p>
            <w:pPr>
              <w:spacing w:after="0"/>
              <w:rPr>
                <w:sz w:val="20"/>
                <w:szCs w:val="20"/>
                <w:color w:val="auto"/>
              </w:rPr>
            </w:pPr>
            <w:r>
              <w:rPr>
                <w:rFonts w:ascii="Arial" w:cs="Arial" w:eastAsia="Arial" w:hAnsi="Arial"/>
                <w:sz w:val="18"/>
                <w:szCs w:val="18"/>
                <w:color w:val="auto"/>
              </w:rPr>
              <w:t>Total gains or losses (realized/unrealized):</w:t>
            </w:r>
          </w:p>
        </w:tc>
        <w:tc>
          <w:tcPr>
            <w:tcW w:w="3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5100" w:type="dxa"/>
            <w:vAlign w:val="bottom"/>
            <w:gridSpan w:val="2"/>
            <w:shd w:val="clear" w:color="auto" w:fill="CCEEFF"/>
          </w:tcPr>
          <w:p>
            <w:pPr>
              <w:ind w:left="340"/>
              <w:spacing w:after="0" w:line="230" w:lineRule="exact"/>
              <w:rPr>
                <w:sz w:val="20"/>
                <w:szCs w:val="20"/>
                <w:color w:val="auto"/>
              </w:rPr>
            </w:pPr>
            <w:r>
              <w:rPr>
                <w:rFonts w:ascii="Arial" w:cs="Arial" w:eastAsia="Arial" w:hAnsi="Arial"/>
                <w:sz w:val="18"/>
                <w:szCs w:val="18"/>
                <w:color w:val="auto"/>
              </w:rPr>
              <w:t xml:space="preserve">Change in present value of contingent consideration </w:t>
            </w:r>
            <w:r>
              <w:rPr>
                <w:rFonts w:ascii="Arial" w:cs="Arial" w:eastAsia="Arial" w:hAnsi="Arial"/>
                <w:sz w:val="23"/>
                <w:szCs w:val="23"/>
                <w:color w:val="auto"/>
                <w:vertAlign w:val="superscript"/>
              </w:rPr>
              <w:t>(1)</w:t>
            </w:r>
          </w:p>
        </w:tc>
        <w:tc>
          <w:tcPr>
            <w:tcW w:w="30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 w:type="dxa"/>
            <w:vAlign w:val="bottom"/>
            <w:tcBorders>
              <w:bottom w:val="single" w:sz="8" w:color="auto"/>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184</w:t>
            </w:r>
          </w:p>
        </w:tc>
        <w:tc>
          <w:tcPr>
            <w:tcW w:w="40" w:type="dxa"/>
            <w:vAlign w:val="bottom"/>
            <w:tcBorders>
              <w:bottom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100" w:type="dxa"/>
            <w:vAlign w:val="bottom"/>
            <w:gridSpan w:val="2"/>
          </w:tcPr>
          <w:p>
            <w:pPr>
              <w:spacing w:after="0"/>
              <w:rPr>
                <w:sz w:val="20"/>
                <w:szCs w:val="20"/>
                <w:color w:val="auto"/>
              </w:rPr>
            </w:pPr>
            <w:r>
              <w:rPr>
                <w:rFonts w:ascii="Arial" w:cs="Arial" w:eastAsia="Arial" w:hAnsi="Arial"/>
                <w:sz w:val="18"/>
                <w:szCs w:val="18"/>
                <w:color w:val="auto"/>
              </w:rPr>
              <w:t>Balance, November 30, 2020</w:t>
            </w:r>
          </w:p>
        </w:tc>
        <w:tc>
          <w:tcPr>
            <w:tcW w:w="3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60" w:type="dxa"/>
            <w:vAlign w:val="bottom"/>
            <w:tcBorders>
              <w:bottom w:val="single" w:sz="8" w:color="auto"/>
            </w:tcBorders>
            <w:gridSpan w:val="2"/>
          </w:tcPr>
          <w:p>
            <w:pPr>
              <w:ind w:left="20"/>
              <w:spacing w:after="0"/>
              <w:rPr>
                <w:sz w:val="20"/>
                <w:szCs w:val="20"/>
                <w:color w:val="auto"/>
              </w:rPr>
            </w:pPr>
            <w:r>
              <w:rPr>
                <w:rFonts w:ascii="Arial" w:cs="Arial" w:eastAsia="Arial" w:hAnsi="Arial"/>
                <w:sz w:val="18"/>
                <w:szCs w:val="18"/>
                <w:color w:val="auto"/>
              </w:rPr>
              <w:t>$</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15,178</w:t>
            </w:r>
          </w:p>
        </w:tc>
        <w:tc>
          <w:tcPr>
            <w:tcW w:w="4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36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gridSpan w:val="2"/>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749"/>
        </w:trPr>
        <w:tc>
          <w:tcPr>
            <w:tcW w:w="2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36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60" w:type="dxa"/>
            <w:vAlign w:val="bottom"/>
            <w:gridSpan w:val="2"/>
          </w:tcPr>
          <w:p>
            <w:pPr>
              <w:jc w:val="center"/>
              <w:ind w:right="160"/>
              <w:spacing w:after="0"/>
              <w:rPr>
                <w:sz w:val="20"/>
                <w:szCs w:val="20"/>
                <w:color w:val="auto"/>
              </w:rPr>
            </w:pPr>
            <w:r>
              <w:rPr>
                <w:rFonts w:ascii="Arial" w:cs="Arial" w:eastAsia="Arial" w:hAnsi="Arial"/>
                <w:sz w:val="14"/>
                <w:szCs w:val="14"/>
                <w:color w:val="auto"/>
                <w:w w:val="95"/>
              </w:rPr>
              <w:t>Six Months Ended</w:t>
            </w: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36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gridSpan w:val="2"/>
          </w:tcPr>
          <w:p>
            <w:pPr>
              <w:jc w:val="center"/>
              <w:ind w:right="140"/>
              <w:spacing w:after="0"/>
              <w:rPr>
                <w:sz w:val="20"/>
                <w:szCs w:val="20"/>
                <w:color w:val="auto"/>
              </w:rPr>
            </w:pPr>
            <w:r>
              <w:rPr>
                <w:rFonts w:ascii="Arial" w:cs="Arial" w:eastAsia="Arial" w:hAnsi="Arial"/>
                <w:sz w:val="14"/>
                <w:szCs w:val="14"/>
                <w:color w:val="auto"/>
                <w:w w:val="93"/>
              </w:rPr>
              <w:t>Nov 30, 2020</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460" w:type="dxa"/>
            <w:vAlign w:val="bottom"/>
          </w:tcPr>
          <w:p>
            <w:pPr>
              <w:spacing w:after="0"/>
              <w:rPr>
                <w:sz w:val="11"/>
                <w:szCs w:val="11"/>
                <w:color w:val="auto"/>
              </w:rPr>
            </w:pPr>
          </w:p>
        </w:tc>
        <w:tc>
          <w:tcPr>
            <w:tcW w:w="36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520" w:type="dxa"/>
            <w:vAlign w:val="bottom"/>
            <w:gridSpan w:val="4"/>
          </w:tcPr>
          <w:p>
            <w:pPr>
              <w:ind w:left="40"/>
              <w:spacing w:after="0" w:line="132" w:lineRule="exact"/>
              <w:rPr>
                <w:sz w:val="20"/>
                <w:szCs w:val="20"/>
                <w:color w:val="auto"/>
              </w:rPr>
            </w:pPr>
            <w:r>
              <w:rPr>
                <w:rFonts w:ascii="Arial" w:cs="Arial" w:eastAsia="Arial" w:hAnsi="Arial"/>
                <w:sz w:val="14"/>
                <w:szCs w:val="14"/>
                <w:color w:val="auto"/>
                <w:w w:val="91"/>
              </w:rPr>
              <w:t>Fair Value Measurements</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460" w:type="dxa"/>
            <w:vAlign w:val="bottom"/>
          </w:tcPr>
          <w:p>
            <w:pPr>
              <w:spacing w:after="0"/>
              <w:rPr>
                <w:sz w:val="11"/>
                <w:szCs w:val="11"/>
                <w:color w:val="auto"/>
              </w:rPr>
            </w:pPr>
          </w:p>
        </w:tc>
        <w:tc>
          <w:tcPr>
            <w:tcW w:w="36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360" w:type="dxa"/>
            <w:vAlign w:val="bottom"/>
            <w:gridSpan w:val="2"/>
          </w:tcPr>
          <w:p>
            <w:pPr>
              <w:jc w:val="center"/>
              <w:ind w:right="160"/>
              <w:spacing w:after="0" w:line="135" w:lineRule="exact"/>
              <w:rPr>
                <w:sz w:val="20"/>
                <w:szCs w:val="20"/>
                <w:color w:val="auto"/>
              </w:rPr>
            </w:pPr>
            <w:r>
              <w:rPr>
                <w:rFonts w:ascii="Arial" w:cs="Arial" w:eastAsia="Arial" w:hAnsi="Arial"/>
                <w:sz w:val="14"/>
                <w:szCs w:val="14"/>
                <w:color w:val="auto"/>
                <w:w w:val="95"/>
              </w:rPr>
              <w:t>Using Significant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5100" w:type="dxa"/>
            <w:vAlign w:val="bottom"/>
            <w:gridSpan w:val="2"/>
            <w:vMerge w:val="restart"/>
          </w:tcPr>
          <w:p>
            <w:pPr>
              <w:spacing w:after="0"/>
              <w:rPr>
                <w:sz w:val="20"/>
                <w:szCs w:val="20"/>
                <w:color w:val="auto"/>
              </w:rPr>
            </w:pPr>
            <w:r>
              <w:rPr>
                <w:rFonts w:ascii="Arial" w:cs="Arial" w:eastAsia="Arial" w:hAnsi="Arial"/>
                <w:sz w:val="14"/>
                <w:szCs w:val="14"/>
                <w:color w:val="auto"/>
              </w:rPr>
              <w:t>(in thousands)</w:t>
            </w:r>
          </w:p>
        </w:tc>
        <w:tc>
          <w:tcPr>
            <w:tcW w:w="3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360" w:type="dxa"/>
            <w:vAlign w:val="bottom"/>
            <w:gridSpan w:val="2"/>
          </w:tcPr>
          <w:p>
            <w:pPr>
              <w:jc w:val="center"/>
              <w:ind w:right="160"/>
              <w:spacing w:after="0" w:line="135" w:lineRule="exact"/>
              <w:rPr>
                <w:sz w:val="20"/>
                <w:szCs w:val="20"/>
                <w:color w:val="auto"/>
              </w:rPr>
            </w:pPr>
            <w:r>
              <w:rPr>
                <w:rFonts w:ascii="Arial" w:cs="Arial" w:eastAsia="Arial" w:hAnsi="Arial"/>
                <w:sz w:val="14"/>
                <w:szCs w:val="14"/>
                <w:color w:val="auto"/>
                <w:w w:val="93"/>
              </w:rPr>
              <w:t>Unobservable Inputs</w:t>
            </w:r>
          </w:p>
        </w:tc>
        <w:tc>
          <w:tcPr>
            <w:tcW w:w="0" w:type="dxa"/>
            <w:vAlign w:val="bottom"/>
          </w:tcPr>
          <w:p>
            <w:pPr>
              <w:spacing w:after="0"/>
              <w:rPr>
                <w:sz w:val="1"/>
                <w:szCs w:val="1"/>
                <w:color w:val="auto"/>
              </w:rPr>
            </w:pPr>
          </w:p>
        </w:tc>
      </w:tr>
      <w:tr>
        <w:trPr>
          <w:trHeight w:val="186"/>
        </w:trPr>
        <w:tc>
          <w:tcPr>
            <w:tcW w:w="20" w:type="dxa"/>
            <w:vAlign w:val="bottom"/>
            <w:tcBorders>
              <w:bottom w:val="single" w:sz="8" w:color="CCEEFF"/>
            </w:tcBorders>
          </w:tcPr>
          <w:p>
            <w:pPr>
              <w:spacing w:after="0"/>
              <w:rPr>
                <w:sz w:val="16"/>
                <w:szCs w:val="16"/>
                <w:color w:val="auto"/>
              </w:rPr>
            </w:pPr>
          </w:p>
        </w:tc>
        <w:tc>
          <w:tcPr>
            <w:tcW w:w="5100" w:type="dxa"/>
            <w:vAlign w:val="bottom"/>
            <w:tcBorders>
              <w:bottom w:val="single" w:sz="8" w:color="CCEEFF"/>
            </w:tcBorders>
            <w:gridSpan w:val="2"/>
            <w:vMerge w:val="continue"/>
          </w:tcPr>
          <w:p>
            <w:pPr>
              <w:spacing w:after="0"/>
              <w:rPr>
                <w:sz w:val="16"/>
                <w:szCs w:val="16"/>
                <w:color w:val="auto"/>
              </w:rPr>
            </w:pPr>
          </w:p>
        </w:tc>
        <w:tc>
          <w:tcPr>
            <w:tcW w:w="300" w:type="dxa"/>
            <w:vAlign w:val="bottom"/>
            <w:tcBorders>
              <w:bottom w:val="single" w:sz="8" w:color="CCEEFF"/>
            </w:tcBorders>
          </w:tcPr>
          <w:p>
            <w:pPr>
              <w:spacing w:after="0"/>
              <w:rPr>
                <w:sz w:val="16"/>
                <w:szCs w:val="16"/>
                <w:color w:val="auto"/>
              </w:rPr>
            </w:pPr>
          </w:p>
        </w:tc>
        <w:tc>
          <w:tcPr>
            <w:tcW w:w="1140" w:type="dxa"/>
            <w:vAlign w:val="bottom"/>
            <w:tcBorders>
              <w:bottom w:val="single" w:sz="8" w:color="CCEEFF"/>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300" w:type="dxa"/>
            <w:vAlign w:val="bottom"/>
            <w:tcBorders>
              <w:bottom w:val="single" w:sz="8" w:color="CCEEFF"/>
            </w:tcBorders>
          </w:tcPr>
          <w:p>
            <w:pPr>
              <w:spacing w:after="0"/>
              <w:rPr>
                <w:sz w:val="16"/>
                <w:szCs w:val="16"/>
                <w:color w:val="auto"/>
              </w:rPr>
            </w:pPr>
          </w:p>
        </w:tc>
        <w:tc>
          <w:tcPr>
            <w:tcW w:w="1140" w:type="dxa"/>
            <w:vAlign w:val="bottom"/>
            <w:tcBorders>
              <w:bottom w:val="single" w:sz="8" w:color="CCEEFF"/>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300" w:type="dxa"/>
            <w:vAlign w:val="bottom"/>
            <w:tcBorders>
              <w:bottom w:val="single" w:sz="8" w:color="CCEEFF"/>
            </w:tcBorders>
          </w:tcPr>
          <w:p>
            <w:pPr>
              <w:spacing w:after="0"/>
              <w:rPr>
                <w:sz w:val="16"/>
                <w:szCs w:val="16"/>
                <w:color w:val="auto"/>
              </w:rPr>
            </w:pPr>
          </w:p>
        </w:tc>
        <w:tc>
          <w:tcPr>
            <w:tcW w:w="1140" w:type="dxa"/>
            <w:vAlign w:val="bottom"/>
            <w:tcBorders>
              <w:bottom w:val="single" w:sz="8" w:color="CCEEFF"/>
            </w:tcBorders>
          </w:tcPr>
          <w:p>
            <w:pPr>
              <w:spacing w:after="0"/>
              <w:rPr>
                <w:sz w:val="16"/>
                <w:szCs w:val="16"/>
                <w:color w:val="auto"/>
              </w:rPr>
            </w:pPr>
          </w:p>
        </w:tc>
        <w:tc>
          <w:tcPr>
            <w:tcW w:w="60" w:type="dxa"/>
            <w:vAlign w:val="bottom"/>
            <w:tcBorders>
              <w:bottom w:val="single" w:sz="8" w:color="CCEEFF"/>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gridSpan w:val="2"/>
          </w:tcPr>
          <w:p>
            <w:pPr>
              <w:jc w:val="center"/>
              <w:ind w:right="160"/>
              <w:spacing w:after="0"/>
              <w:rPr>
                <w:sz w:val="20"/>
                <w:szCs w:val="20"/>
                <w:color w:val="auto"/>
              </w:rPr>
            </w:pPr>
            <w:r>
              <w:rPr>
                <w:rFonts w:ascii="Arial" w:cs="Arial" w:eastAsia="Arial" w:hAnsi="Arial"/>
                <w:sz w:val="14"/>
                <w:szCs w:val="14"/>
                <w:color w:val="auto"/>
                <w:w w:val="95"/>
              </w:rPr>
              <w:t>(Level 3)</w:t>
            </w:r>
          </w:p>
        </w:tc>
        <w:tc>
          <w:tcPr>
            <w:tcW w:w="0" w:type="dxa"/>
            <w:vAlign w:val="bottom"/>
          </w:tcPr>
          <w:p>
            <w:pPr>
              <w:spacing w:after="0"/>
              <w:rPr>
                <w:sz w:val="1"/>
                <w:szCs w:val="1"/>
                <w:color w:val="auto"/>
              </w:rPr>
            </w:pPr>
          </w:p>
        </w:tc>
      </w:tr>
      <w:tr>
        <w:trPr>
          <w:trHeight w:val="226"/>
        </w:trPr>
        <w:tc>
          <w:tcPr>
            <w:tcW w:w="20" w:type="dxa"/>
            <w:vAlign w:val="bottom"/>
            <w:shd w:val="clear" w:color="auto" w:fill="CCEEFF"/>
          </w:tcPr>
          <w:p>
            <w:pPr>
              <w:spacing w:after="0"/>
              <w:rPr>
                <w:sz w:val="19"/>
                <w:szCs w:val="19"/>
                <w:color w:val="auto"/>
              </w:rPr>
            </w:pPr>
          </w:p>
        </w:tc>
        <w:tc>
          <w:tcPr>
            <w:tcW w:w="51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Balance, May 31, 2020</w:t>
            </w:r>
          </w:p>
        </w:tc>
        <w:tc>
          <w:tcPr>
            <w:tcW w:w="30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15,647</w:t>
            </w:r>
          </w:p>
        </w:tc>
        <w:tc>
          <w:tcPr>
            <w:tcW w:w="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100" w:type="dxa"/>
            <w:vAlign w:val="bottom"/>
            <w:gridSpan w:val="2"/>
          </w:tcPr>
          <w:p>
            <w:pPr>
              <w:spacing w:after="0"/>
              <w:rPr>
                <w:sz w:val="20"/>
                <w:szCs w:val="20"/>
                <w:color w:val="auto"/>
              </w:rPr>
            </w:pPr>
            <w:r>
              <w:rPr>
                <w:rFonts w:ascii="Arial" w:cs="Arial" w:eastAsia="Arial" w:hAnsi="Arial"/>
                <w:sz w:val="18"/>
                <w:szCs w:val="18"/>
                <w:color w:val="auto"/>
              </w:rPr>
              <w:t>Total gains or losses (realized/unrealized):</w:t>
            </w:r>
          </w:p>
        </w:tc>
        <w:tc>
          <w:tcPr>
            <w:tcW w:w="3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5100" w:type="dxa"/>
            <w:vAlign w:val="bottom"/>
            <w:gridSpan w:val="2"/>
            <w:shd w:val="clear" w:color="auto" w:fill="CCEEFF"/>
          </w:tcPr>
          <w:p>
            <w:pPr>
              <w:ind w:left="340"/>
              <w:spacing w:after="0" w:line="230" w:lineRule="exact"/>
              <w:rPr>
                <w:sz w:val="20"/>
                <w:szCs w:val="20"/>
                <w:color w:val="auto"/>
              </w:rPr>
            </w:pPr>
            <w:r>
              <w:rPr>
                <w:rFonts w:ascii="Arial" w:cs="Arial" w:eastAsia="Arial" w:hAnsi="Arial"/>
                <w:sz w:val="18"/>
                <w:szCs w:val="18"/>
                <w:color w:val="auto"/>
              </w:rPr>
              <w:t xml:space="preserve">Change in present value of contingent consideration </w:t>
            </w:r>
            <w:r>
              <w:rPr>
                <w:rFonts w:ascii="Arial" w:cs="Arial" w:eastAsia="Arial" w:hAnsi="Arial"/>
                <w:sz w:val="23"/>
                <w:szCs w:val="23"/>
                <w:color w:val="auto"/>
                <w:vertAlign w:val="superscript"/>
              </w:rPr>
              <w:t>(1)</w:t>
            </w:r>
          </w:p>
        </w:tc>
        <w:tc>
          <w:tcPr>
            <w:tcW w:w="30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(473)</w:t>
            </w:r>
          </w:p>
        </w:tc>
        <w:tc>
          <w:tcPr>
            <w:tcW w:w="0" w:type="dxa"/>
            <w:vAlign w:val="bottom"/>
          </w:tcPr>
          <w:p>
            <w:pPr>
              <w:spacing w:after="0"/>
              <w:rPr>
                <w:sz w:val="1"/>
                <w:szCs w:val="1"/>
                <w:color w:val="auto"/>
              </w:rPr>
            </w:pPr>
          </w:p>
        </w:tc>
      </w:tr>
      <w:tr>
        <w:trPr>
          <w:trHeight w:val="229"/>
        </w:trPr>
        <w:tc>
          <w:tcPr>
            <w:tcW w:w="20" w:type="dxa"/>
            <w:vAlign w:val="bottom"/>
            <w:tcBorders>
              <w:bottom w:val="single" w:sz="8" w:color="CCEEFF"/>
            </w:tcBorders>
          </w:tcPr>
          <w:p>
            <w:pPr>
              <w:spacing w:after="0"/>
              <w:rPr>
                <w:sz w:val="19"/>
                <w:szCs w:val="19"/>
                <w:color w:val="auto"/>
              </w:rPr>
            </w:pPr>
          </w:p>
        </w:tc>
        <w:tc>
          <w:tcPr>
            <w:tcW w:w="5100" w:type="dxa"/>
            <w:vAlign w:val="bottom"/>
            <w:tcBorders>
              <w:bottom w:val="single" w:sz="8" w:color="CCEEFF"/>
            </w:tcBorders>
            <w:gridSpan w:val="2"/>
          </w:tcPr>
          <w:p>
            <w:pPr>
              <w:ind w:left="340"/>
              <w:spacing w:after="0"/>
              <w:rPr>
                <w:sz w:val="20"/>
                <w:szCs w:val="20"/>
                <w:color w:val="auto"/>
              </w:rPr>
            </w:pPr>
            <w:r>
              <w:rPr>
                <w:rFonts w:ascii="Arial" w:cs="Arial" w:eastAsia="Arial" w:hAnsi="Arial"/>
                <w:sz w:val="18"/>
                <w:szCs w:val="18"/>
                <w:color w:val="auto"/>
              </w:rPr>
              <w:t>Currency gain from remeasurement</w:t>
            </w:r>
          </w:p>
        </w:tc>
        <w:tc>
          <w:tcPr>
            <w:tcW w:w="300" w:type="dxa"/>
            <w:vAlign w:val="bottom"/>
            <w:tcBorders>
              <w:bottom w:val="single" w:sz="8" w:color="CCEEFF"/>
            </w:tcBorders>
          </w:tcPr>
          <w:p>
            <w:pPr>
              <w:spacing w:after="0"/>
              <w:rPr>
                <w:sz w:val="19"/>
                <w:szCs w:val="19"/>
                <w:color w:val="auto"/>
              </w:rPr>
            </w:pPr>
          </w:p>
        </w:tc>
        <w:tc>
          <w:tcPr>
            <w:tcW w:w="114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CCEEFF"/>
            </w:tcBorders>
          </w:tcPr>
          <w:p>
            <w:pPr>
              <w:spacing w:after="0"/>
              <w:rPr>
                <w:sz w:val="19"/>
                <w:szCs w:val="19"/>
                <w:color w:val="auto"/>
              </w:rPr>
            </w:pPr>
          </w:p>
        </w:tc>
        <w:tc>
          <w:tcPr>
            <w:tcW w:w="114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300" w:type="dxa"/>
            <w:vAlign w:val="bottom"/>
            <w:tcBorders>
              <w:bottom w:val="single" w:sz="8" w:color="CCEEFF"/>
            </w:tcBorders>
          </w:tcPr>
          <w:p>
            <w:pPr>
              <w:spacing w:after="0"/>
              <w:rPr>
                <w:sz w:val="19"/>
                <w:szCs w:val="19"/>
                <w:color w:val="auto"/>
              </w:rPr>
            </w:pPr>
          </w:p>
        </w:tc>
        <w:tc>
          <w:tcPr>
            <w:tcW w:w="1140" w:type="dxa"/>
            <w:vAlign w:val="bottom"/>
            <w:tcBorders>
              <w:bottom w:val="single" w:sz="8" w:color="CCEEFF"/>
            </w:tcBorders>
          </w:tcPr>
          <w:p>
            <w:pPr>
              <w:spacing w:after="0"/>
              <w:rPr>
                <w:sz w:val="19"/>
                <w:szCs w:val="19"/>
                <w:color w:val="auto"/>
              </w:rPr>
            </w:pPr>
          </w:p>
        </w:tc>
        <w:tc>
          <w:tcPr>
            <w:tcW w:w="60" w:type="dxa"/>
            <w:vAlign w:val="bottom"/>
            <w:tcBorders>
              <w:bottom w:val="single" w:sz="8" w:color="CCEEFF"/>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w:t>
            </w:r>
          </w:p>
        </w:tc>
        <w:tc>
          <w:tcPr>
            <w:tcW w:w="4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20" w:type="dxa"/>
            <w:vAlign w:val="bottom"/>
            <w:tcBorders>
              <w:bottom w:val="single" w:sz="8" w:color="CCEEFF"/>
            </w:tcBorders>
            <w:shd w:val="clear" w:color="auto" w:fill="CCEEFF"/>
          </w:tcPr>
          <w:p>
            <w:pPr>
              <w:spacing w:after="0"/>
              <w:rPr>
                <w:sz w:val="21"/>
                <w:szCs w:val="21"/>
                <w:color w:val="auto"/>
              </w:rPr>
            </w:pPr>
          </w:p>
        </w:tc>
        <w:tc>
          <w:tcPr>
            <w:tcW w:w="510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Balance, November 30, 2020</w:t>
            </w:r>
          </w:p>
        </w:tc>
        <w:tc>
          <w:tcPr>
            <w:tcW w:w="3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gridSpan w:val="2"/>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15,178</w:t>
            </w:r>
          </w:p>
        </w:tc>
        <w:tc>
          <w:tcPr>
            <w:tcW w:w="40" w:type="dxa"/>
            <w:vAlign w:val="bottom"/>
            <w:tcBorders>
              <w:bottom w:val="single" w:sz="8" w:color="auto"/>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1460" w:type="dxa"/>
            <w:vAlign w:val="bottom"/>
            <w:tcBorders>
              <w:top w:val="single" w:sz="8" w:color="CCEEFF"/>
            </w:tcBorders>
          </w:tcPr>
          <w:p>
            <w:pPr>
              <w:spacing w:after="0" w:line="20" w:lineRule="exact"/>
              <w:rPr>
                <w:sz w:val="1"/>
                <w:szCs w:val="1"/>
                <w:color w:val="auto"/>
              </w:rPr>
            </w:pPr>
          </w:p>
        </w:tc>
        <w:tc>
          <w:tcPr>
            <w:tcW w:w="364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41" w:lineRule="exact"/>
        <w:rPr>
          <w:sz w:val="20"/>
          <w:szCs w:val="20"/>
          <w:color w:val="auto"/>
        </w:rPr>
      </w:pPr>
    </w:p>
    <w:p>
      <w:pPr>
        <w:ind w:right="120" w:firstLine="8"/>
        <w:spacing w:after="0" w:line="275" w:lineRule="auto"/>
        <w:tabs>
          <w:tab w:leader="none" w:pos="229" w:val="left"/>
        </w:tabs>
        <w:numPr>
          <w:ilvl w:val="0"/>
          <w:numId w:val="6"/>
        </w:numPr>
        <w:rPr>
          <w:rFonts w:ascii="Arial" w:cs="Arial" w:eastAsia="Arial" w:hAnsi="Arial"/>
          <w:sz w:val="16"/>
          <w:szCs w:val="16"/>
          <w:color w:val="auto"/>
        </w:rPr>
      </w:pPr>
      <w:r>
        <w:rPr>
          <w:rFonts w:ascii="Arial" w:cs="Arial" w:eastAsia="Arial" w:hAnsi="Arial"/>
          <w:sz w:val="16"/>
          <w:szCs w:val="16"/>
          <w:color w:val="auto"/>
        </w:rPr>
        <w:t>Change in the fair value of contingent consideration is included in earnings and comprised of changes in estimated earn out payments based on projections of Company performance and amortization of the present value discount.</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Contingent Consideration for Acquisition Earn Outs</w:t>
      </w:r>
    </w:p>
    <w:p>
      <w:pPr>
        <w:spacing w:after="0" w:line="175" w:lineRule="exact"/>
        <w:rPr>
          <w:sz w:val="20"/>
          <w:szCs w:val="20"/>
          <w:color w:val="auto"/>
        </w:rPr>
      </w:pPr>
    </w:p>
    <w:p>
      <w:pPr>
        <w:ind w:right="60" w:firstLine="405"/>
        <w:spacing w:after="0" w:line="273" w:lineRule="auto"/>
        <w:rPr>
          <w:sz w:val="20"/>
          <w:szCs w:val="20"/>
          <w:color w:val="auto"/>
        </w:rPr>
      </w:pPr>
      <w:r>
        <w:rPr>
          <w:rFonts w:ascii="Arial" w:cs="Arial" w:eastAsia="Arial" w:hAnsi="Arial"/>
          <w:sz w:val="17"/>
          <w:szCs w:val="17"/>
          <w:color w:val="auto"/>
        </w:rPr>
        <w:t>Some of the Company's business combinations involve the potential for the payment of future contingent consideration upon the achievement of certain product development milestones or various other performance conditions. Payment of the additional consideration is generally contingent on the acquired company reaching certain performance milestones, including attaining specified revenue levels or product development targets. Contingent consideration is recorded at the estimated fair value of the contingent payments on the acquisition date. The fair value of the contingent consideration is remeasured at the estimated fair value at each reporting period with the change in fair value recognized as income or expense within change in fair value of contingent consideration in the Consolidated Statements of Operations.</w:t>
      </w: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8" w:name="page19"/>
    <w:bookmarkEnd w:id="18"/>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right="20" w:firstLine="405"/>
        <w:spacing w:after="0" w:line="257" w:lineRule="auto"/>
        <w:rPr>
          <w:sz w:val="20"/>
          <w:szCs w:val="20"/>
          <w:color w:val="auto"/>
        </w:rPr>
      </w:pPr>
      <w:r>
        <w:rPr>
          <w:rFonts w:ascii="Arial" w:cs="Arial" w:eastAsia="Arial" w:hAnsi="Arial"/>
          <w:sz w:val="18"/>
          <w:szCs w:val="18"/>
          <w:color w:val="auto"/>
        </w:rPr>
        <w:t>The Company measures the initial liability and remeasures the liability on a recurring basis using Level 3 inputs as defined under authoritative guidance for fair value measurements. The fair value is determined using a discounted cash flow model applied to projected net sales, using probabilities of achieving projected net sales and projected payment dates. Projected net sales are based on the Company's internal projections and extensive analysis of the target market and the sales potential. Increases or decreases in any valuation inputs in isolation may result in a significantly lower or higher fair value measurement in the future.</w:t>
      </w:r>
    </w:p>
    <w:p>
      <w:pPr>
        <w:spacing w:after="0" w:line="134" w:lineRule="exact"/>
        <w:rPr>
          <w:sz w:val="20"/>
          <w:szCs w:val="20"/>
          <w:color w:val="auto"/>
        </w:rPr>
      </w:pPr>
    </w:p>
    <w:p>
      <w:pPr>
        <w:ind w:left="420"/>
        <w:spacing w:after="0"/>
        <w:rPr>
          <w:sz w:val="20"/>
          <w:szCs w:val="20"/>
          <w:color w:val="auto"/>
        </w:rPr>
      </w:pPr>
      <w:r>
        <w:rPr>
          <w:rFonts w:ascii="Arial" w:cs="Arial" w:eastAsia="Arial" w:hAnsi="Arial"/>
          <w:sz w:val="16"/>
          <w:szCs w:val="16"/>
          <w:color w:val="auto"/>
        </w:rPr>
        <w:t>The recurring Level 3 fair value measurements of the contingent consideration liabilities include the following significant unobservable inputs as of</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November 30, 2020:</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2920" w:type="dxa"/>
            <w:vAlign w:val="bottom"/>
          </w:tcPr>
          <w:p>
            <w:pPr>
              <w:ind w:left="20"/>
              <w:spacing w:after="0"/>
              <w:rPr>
                <w:sz w:val="20"/>
                <w:szCs w:val="20"/>
                <w:color w:val="auto"/>
              </w:rPr>
            </w:pPr>
            <w:r>
              <w:rPr>
                <w:rFonts w:ascii="Arial" w:cs="Arial" w:eastAsia="Arial" w:hAnsi="Arial"/>
                <w:sz w:val="14"/>
                <w:szCs w:val="14"/>
                <w:color w:val="auto"/>
              </w:rPr>
              <w:t>(in thousands)</w:t>
            </w:r>
          </w:p>
        </w:tc>
        <w:tc>
          <w:tcPr>
            <w:tcW w:w="260" w:type="dxa"/>
            <w:vAlign w:val="bottom"/>
          </w:tcPr>
          <w:p>
            <w:pPr>
              <w:spacing w:after="0"/>
              <w:rPr>
                <w:sz w:val="16"/>
                <w:szCs w:val="16"/>
                <w:color w:val="auto"/>
              </w:rPr>
            </w:pPr>
          </w:p>
        </w:tc>
        <w:tc>
          <w:tcPr>
            <w:tcW w:w="1240" w:type="dxa"/>
            <w:vAlign w:val="bottom"/>
            <w:gridSpan w:val="2"/>
          </w:tcPr>
          <w:p>
            <w:pPr>
              <w:ind w:left="140"/>
              <w:spacing w:after="0"/>
              <w:rPr>
                <w:sz w:val="20"/>
                <w:szCs w:val="20"/>
                <w:color w:val="auto"/>
              </w:rPr>
            </w:pPr>
            <w:r>
              <w:rPr>
                <w:rFonts w:ascii="Arial" w:cs="Arial" w:eastAsia="Arial" w:hAnsi="Arial"/>
                <w:sz w:val="14"/>
                <w:szCs w:val="14"/>
                <w:color w:val="auto"/>
              </w:rPr>
              <w:t>Fair Value</w:t>
            </w:r>
          </w:p>
        </w:tc>
        <w:tc>
          <w:tcPr>
            <w:tcW w:w="2140" w:type="dxa"/>
            <w:vAlign w:val="bottom"/>
            <w:gridSpan w:val="2"/>
          </w:tcPr>
          <w:p>
            <w:pPr>
              <w:ind w:left="420"/>
              <w:spacing w:after="0"/>
              <w:rPr>
                <w:sz w:val="20"/>
                <w:szCs w:val="20"/>
                <w:color w:val="auto"/>
              </w:rPr>
            </w:pPr>
            <w:r>
              <w:rPr>
                <w:rFonts w:ascii="Arial" w:cs="Arial" w:eastAsia="Arial" w:hAnsi="Arial"/>
                <w:sz w:val="14"/>
                <w:szCs w:val="14"/>
                <w:color w:val="auto"/>
              </w:rPr>
              <w:t>Valuation Technique</w:t>
            </w:r>
          </w:p>
        </w:tc>
        <w:tc>
          <w:tcPr>
            <w:tcW w:w="3220" w:type="dxa"/>
            <w:vAlign w:val="bottom"/>
            <w:gridSpan w:val="2"/>
          </w:tcPr>
          <w:p>
            <w:pPr>
              <w:jc w:val="center"/>
              <w:ind w:right="120"/>
              <w:spacing w:after="0"/>
              <w:rPr>
                <w:sz w:val="20"/>
                <w:szCs w:val="20"/>
                <w:color w:val="auto"/>
              </w:rPr>
            </w:pPr>
            <w:r>
              <w:rPr>
                <w:rFonts w:ascii="Arial" w:cs="Arial" w:eastAsia="Arial" w:hAnsi="Arial"/>
                <w:sz w:val="14"/>
                <w:szCs w:val="14"/>
                <w:color w:val="auto"/>
                <w:w w:val="93"/>
              </w:rPr>
              <w:t>Unobservable Input</w:t>
            </w:r>
          </w:p>
        </w:tc>
        <w:tc>
          <w:tcPr>
            <w:tcW w:w="1400" w:type="dxa"/>
            <w:vAlign w:val="bottom"/>
          </w:tcPr>
          <w:p>
            <w:pPr>
              <w:ind w:left="520"/>
              <w:spacing w:after="0"/>
              <w:rPr>
                <w:sz w:val="20"/>
                <w:szCs w:val="20"/>
                <w:color w:val="auto"/>
              </w:rPr>
            </w:pPr>
            <w:r>
              <w:rPr>
                <w:rFonts w:ascii="Arial" w:cs="Arial" w:eastAsia="Arial" w:hAnsi="Arial"/>
                <w:sz w:val="14"/>
                <w:szCs w:val="14"/>
                <w:color w:val="auto"/>
              </w:rPr>
              <w:t>Range</w:t>
            </w:r>
          </w:p>
        </w:tc>
      </w:tr>
      <w:tr>
        <w:trPr>
          <w:trHeight w:val="229"/>
        </w:trPr>
        <w:tc>
          <w:tcPr>
            <w:tcW w:w="29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Revenue based payments</w:t>
            </w:r>
          </w:p>
        </w:tc>
        <w:tc>
          <w:tcPr>
            <w:tcW w:w="26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15,178</w:t>
            </w:r>
          </w:p>
        </w:tc>
        <w:tc>
          <w:tcPr>
            <w:tcW w:w="100" w:type="dxa"/>
            <w:vAlign w:val="bottom"/>
            <w:tcBorders>
              <w:top w:val="single" w:sz="8" w:color="CCEEFF"/>
            </w:tcBorders>
            <w:shd w:val="clear" w:color="auto" w:fill="CCEEFF"/>
          </w:tcPr>
          <w:p>
            <w:pPr>
              <w:spacing w:after="0"/>
              <w:rPr>
                <w:sz w:val="19"/>
                <w:szCs w:val="19"/>
                <w:color w:val="auto"/>
              </w:rPr>
            </w:pPr>
          </w:p>
        </w:tc>
        <w:tc>
          <w:tcPr>
            <w:tcW w:w="202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Discounted cash flow</w:t>
            </w:r>
          </w:p>
        </w:tc>
        <w:tc>
          <w:tcPr>
            <w:tcW w:w="120" w:type="dxa"/>
            <w:vAlign w:val="bottom"/>
            <w:tcBorders>
              <w:top w:val="single" w:sz="8" w:color="CCEEFF"/>
            </w:tcBorders>
            <w:shd w:val="clear" w:color="auto" w:fill="CCEEFF"/>
          </w:tcPr>
          <w:p>
            <w:pPr>
              <w:spacing w:after="0"/>
              <w:rPr>
                <w:sz w:val="19"/>
                <w:szCs w:val="19"/>
                <w:color w:val="auto"/>
              </w:rPr>
            </w:pPr>
          </w:p>
        </w:tc>
        <w:tc>
          <w:tcPr>
            <w:tcW w:w="312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0"/>
              </w:rPr>
              <w:t>Discount rate</w:t>
            </w:r>
          </w:p>
        </w:tc>
        <w:tc>
          <w:tcPr>
            <w:tcW w:w="100" w:type="dxa"/>
            <w:vAlign w:val="bottom"/>
            <w:tcBorders>
              <w:top w:val="single" w:sz="8" w:color="CCEEFF"/>
            </w:tcBorders>
            <w:shd w:val="clear" w:color="auto" w:fill="CCEEFF"/>
          </w:tcPr>
          <w:p>
            <w:pPr>
              <w:spacing w:after="0"/>
              <w:rPr>
                <w:sz w:val="19"/>
                <w:szCs w:val="19"/>
                <w:color w:val="auto"/>
              </w:rPr>
            </w:pPr>
          </w:p>
        </w:tc>
        <w:tc>
          <w:tcPr>
            <w:tcW w:w="140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2"/>
              </w:rPr>
              <w:t>5%</w:t>
            </w:r>
          </w:p>
        </w:tc>
      </w:tr>
      <w:tr>
        <w:trPr>
          <w:trHeight w:val="229"/>
        </w:trPr>
        <w:tc>
          <w:tcPr>
            <w:tcW w:w="29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20" w:type="dxa"/>
            <w:vAlign w:val="bottom"/>
            <w:gridSpan w:val="2"/>
          </w:tcPr>
          <w:p>
            <w:pPr>
              <w:jc w:val="center"/>
              <w:ind w:right="120"/>
              <w:spacing w:after="0"/>
              <w:rPr>
                <w:sz w:val="20"/>
                <w:szCs w:val="20"/>
                <w:color w:val="auto"/>
              </w:rPr>
            </w:pPr>
            <w:r>
              <w:rPr>
                <w:rFonts w:ascii="Arial" w:cs="Arial" w:eastAsia="Arial" w:hAnsi="Arial"/>
                <w:sz w:val="18"/>
                <w:szCs w:val="18"/>
                <w:color w:val="auto"/>
                <w:w w:val="93"/>
              </w:rPr>
              <w:t>Probability of payment</w:t>
            </w:r>
          </w:p>
        </w:tc>
        <w:tc>
          <w:tcPr>
            <w:tcW w:w="1400" w:type="dxa"/>
            <w:vAlign w:val="bottom"/>
          </w:tcPr>
          <w:p>
            <w:pPr>
              <w:jc w:val="center"/>
              <w:spacing w:after="0"/>
              <w:rPr>
                <w:sz w:val="20"/>
                <w:szCs w:val="20"/>
                <w:color w:val="auto"/>
              </w:rPr>
            </w:pPr>
            <w:r>
              <w:rPr>
                <w:rFonts w:ascii="Arial" w:cs="Arial" w:eastAsia="Arial" w:hAnsi="Arial"/>
                <w:sz w:val="18"/>
                <w:szCs w:val="18"/>
                <w:color w:val="auto"/>
                <w:w w:val="91"/>
              </w:rPr>
              <w:t>66% - 100%</w:t>
            </w:r>
          </w:p>
        </w:tc>
      </w:tr>
      <w:tr>
        <w:trPr>
          <w:trHeight w:val="230"/>
        </w:trPr>
        <w:tc>
          <w:tcPr>
            <w:tcW w:w="29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220" w:type="dxa"/>
            <w:vAlign w:val="bottom"/>
            <w:gridSpan w:val="2"/>
          </w:tcPr>
          <w:p>
            <w:pPr>
              <w:jc w:val="center"/>
              <w:ind w:right="100"/>
              <w:spacing w:after="0"/>
              <w:rPr>
                <w:sz w:val="20"/>
                <w:szCs w:val="20"/>
                <w:color w:val="auto"/>
              </w:rPr>
            </w:pPr>
            <w:r>
              <w:rPr>
                <w:rFonts w:ascii="Arial" w:cs="Arial" w:eastAsia="Arial" w:hAnsi="Arial"/>
                <w:sz w:val="18"/>
                <w:szCs w:val="18"/>
                <w:color w:val="auto"/>
                <w:w w:val="90"/>
              </w:rPr>
              <w:t>Projected fiscal year of payment</w:t>
            </w:r>
          </w:p>
        </w:tc>
        <w:tc>
          <w:tcPr>
            <w:tcW w:w="1400" w:type="dxa"/>
            <w:vAlign w:val="bottom"/>
          </w:tcPr>
          <w:p>
            <w:pPr>
              <w:jc w:val="center"/>
              <w:spacing w:after="0"/>
              <w:rPr>
                <w:sz w:val="20"/>
                <w:szCs w:val="20"/>
                <w:color w:val="auto"/>
              </w:rPr>
            </w:pPr>
            <w:r>
              <w:rPr>
                <w:rFonts w:ascii="Arial" w:cs="Arial" w:eastAsia="Arial" w:hAnsi="Arial"/>
                <w:sz w:val="18"/>
                <w:szCs w:val="18"/>
                <w:color w:val="auto"/>
                <w:w w:val="91"/>
              </w:rPr>
              <w:t>2024 - 2025</w:t>
            </w:r>
          </w:p>
        </w:tc>
      </w:tr>
    </w:tbl>
    <w:p>
      <w:pPr>
        <w:spacing w:after="0" w:line="337" w:lineRule="exact"/>
        <w:rPr>
          <w:sz w:val="20"/>
          <w:szCs w:val="20"/>
          <w:color w:val="auto"/>
        </w:rPr>
      </w:pPr>
    </w:p>
    <w:p>
      <w:pPr>
        <w:ind w:right="160" w:firstLine="405"/>
        <w:spacing w:after="0" w:line="263" w:lineRule="auto"/>
        <w:rPr>
          <w:sz w:val="20"/>
          <w:szCs w:val="20"/>
          <w:color w:val="auto"/>
        </w:rPr>
      </w:pPr>
      <w:r>
        <w:rPr>
          <w:rFonts w:ascii="Arial" w:cs="Arial" w:eastAsia="Arial" w:hAnsi="Arial"/>
          <w:sz w:val="18"/>
          <w:szCs w:val="18"/>
          <w:color w:val="auto"/>
        </w:rPr>
        <w:t>At November 30, 2020, the range of estimated potential undiscounted future contingent consideration that the Company expects to pay as a result of all completed acquisitions is $20.0 million. The revenue projections milestones associated with the contingent consideration must be reached in future periods ranging from fiscal years 2021 to 2029 in order for the associated consideration to be paid.</w:t>
      </w:r>
    </w:p>
    <w:p>
      <w:pPr>
        <w:spacing w:after="0" w:line="3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13. LEASES</w:t>
      </w:r>
    </w:p>
    <w:p>
      <w:pPr>
        <w:spacing w:after="0" w:line="175" w:lineRule="exact"/>
        <w:rPr>
          <w:sz w:val="20"/>
          <w:szCs w:val="20"/>
          <w:color w:val="auto"/>
        </w:rPr>
      </w:pPr>
    </w:p>
    <w:p>
      <w:pPr>
        <w:ind w:right="400" w:firstLine="405"/>
        <w:spacing w:after="0" w:line="277" w:lineRule="auto"/>
        <w:rPr>
          <w:sz w:val="20"/>
          <w:szCs w:val="20"/>
          <w:color w:val="auto"/>
        </w:rPr>
      </w:pPr>
      <w:r>
        <w:rPr>
          <w:rFonts w:ascii="Arial" w:cs="Arial" w:eastAsia="Arial" w:hAnsi="Arial"/>
          <w:sz w:val="18"/>
          <w:szCs w:val="18"/>
          <w:color w:val="auto"/>
        </w:rPr>
        <w:t>The Company determines if an arrangement is a lease at inception of the contract. The Company has operating leases for buildings, primarily for office space, R&amp;D, manufacturing and warehousing.</w:t>
      </w:r>
    </w:p>
    <w:p>
      <w:pPr>
        <w:spacing w:after="0" w:line="116" w:lineRule="exact"/>
        <w:rPr>
          <w:sz w:val="20"/>
          <w:szCs w:val="20"/>
          <w:color w:val="auto"/>
        </w:rPr>
      </w:pPr>
    </w:p>
    <w:p>
      <w:pPr>
        <w:ind w:right="100" w:firstLine="405"/>
        <w:spacing w:after="0" w:line="259" w:lineRule="auto"/>
        <w:rPr>
          <w:sz w:val="20"/>
          <w:szCs w:val="20"/>
          <w:color w:val="auto"/>
        </w:rPr>
      </w:pPr>
      <w:r>
        <w:rPr>
          <w:rFonts w:ascii="Arial" w:cs="Arial" w:eastAsia="Arial" w:hAnsi="Arial"/>
          <w:sz w:val="18"/>
          <w:szCs w:val="18"/>
          <w:color w:val="auto"/>
        </w:rPr>
        <w:t>Operating lease right-of-use (“ROU”) assets and operating lease liabilities are recognized based on the present value of the future minimum lease payments over the lease term at commencement date. Many of the lease agreements contain renewal or termination clauses that are factored into the determination of the lease term if it is reasonably certain that these options would be exercised. The Company recognizes lease expense for these leases on a straight-line basis over the lease term.</w:t>
      </w:r>
    </w:p>
    <w:p>
      <w:pPr>
        <w:spacing w:after="0" w:line="133"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following table presents supplemental balance sheet information related to leases: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5580" w:type="dxa"/>
            <w:vAlign w:val="bottom"/>
          </w:tcPr>
          <w:p>
            <w:pPr>
              <w:ind w:left="20"/>
              <w:spacing w:after="0"/>
              <w:rPr>
                <w:sz w:val="20"/>
                <w:szCs w:val="20"/>
                <w:color w:val="auto"/>
              </w:rPr>
            </w:pPr>
            <w:r>
              <w:rPr>
                <w:rFonts w:ascii="Arial" w:cs="Arial" w:eastAsia="Arial" w:hAnsi="Arial"/>
                <w:sz w:val="14"/>
                <w:szCs w:val="14"/>
                <w:color w:val="auto"/>
              </w:rPr>
              <w:t>(in thousands)</w:t>
            </w:r>
          </w:p>
        </w:tc>
        <w:tc>
          <w:tcPr>
            <w:tcW w:w="2680" w:type="dxa"/>
            <w:vAlign w:val="bottom"/>
            <w:gridSpan w:val="2"/>
          </w:tcPr>
          <w:p>
            <w:pPr>
              <w:ind w:left="620"/>
              <w:spacing w:after="0"/>
              <w:rPr>
                <w:sz w:val="20"/>
                <w:szCs w:val="20"/>
                <w:color w:val="auto"/>
              </w:rPr>
            </w:pPr>
            <w:r>
              <w:rPr>
                <w:rFonts w:ascii="Arial" w:cs="Arial" w:eastAsia="Arial" w:hAnsi="Arial"/>
                <w:sz w:val="14"/>
                <w:szCs w:val="14"/>
                <w:color w:val="auto"/>
              </w:rPr>
              <w:t>Balance Sheet Location</w:t>
            </w:r>
          </w:p>
        </w:tc>
        <w:tc>
          <w:tcPr>
            <w:tcW w:w="220" w:type="dxa"/>
            <w:vAlign w:val="bottom"/>
          </w:tcPr>
          <w:p>
            <w:pPr>
              <w:spacing w:after="0"/>
              <w:rPr>
                <w:sz w:val="16"/>
                <w:szCs w:val="16"/>
                <w:color w:val="auto"/>
              </w:rPr>
            </w:pPr>
          </w:p>
        </w:tc>
        <w:tc>
          <w:tcPr>
            <w:tcW w:w="1320" w:type="dxa"/>
            <w:vAlign w:val="bottom"/>
            <w:gridSpan w:val="2"/>
          </w:tcPr>
          <w:p>
            <w:pPr>
              <w:ind w:left="120"/>
              <w:spacing w:after="0"/>
              <w:rPr>
                <w:sz w:val="20"/>
                <w:szCs w:val="20"/>
                <w:color w:val="auto"/>
              </w:rPr>
            </w:pPr>
            <w:r>
              <w:rPr>
                <w:rFonts w:ascii="Arial" w:cs="Arial" w:eastAsia="Arial" w:hAnsi="Arial"/>
                <w:sz w:val="14"/>
                <w:szCs w:val="14"/>
                <w:color w:val="auto"/>
              </w:rPr>
              <w:t>Nov 30, 2020</w:t>
            </w:r>
          </w:p>
        </w:tc>
        <w:tc>
          <w:tcPr>
            <w:tcW w:w="220" w:type="dxa"/>
            <w:vAlign w:val="bottom"/>
          </w:tcPr>
          <w:p>
            <w:pPr>
              <w:spacing w:after="0"/>
              <w:rPr>
                <w:sz w:val="16"/>
                <w:szCs w:val="16"/>
                <w:color w:val="auto"/>
              </w:rPr>
            </w:pPr>
          </w:p>
        </w:tc>
        <w:tc>
          <w:tcPr>
            <w:tcW w:w="1220" w:type="dxa"/>
            <w:vAlign w:val="bottom"/>
          </w:tcPr>
          <w:p>
            <w:pPr>
              <w:jc w:val="right"/>
              <w:ind w:right="234"/>
              <w:spacing w:after="0"/>
              <w:rPr>
                <w:sz w:val="20"/>
                <w:szCs w:val="20"/>
                <w:color w:val="auto"/>
              </w:rPr>
            </w:pPr>
            <w:r>
              <w:rPr>
                <w:rFonts w:ascii="Arial" w:cs="Arial" w:eastAsia="Arial" w:hAnsi="Arial"/>
                <w:sz w:val="14"/>
                <w:szCs w:val="14"/>
                <w:color w:val="auto"/>
              </w:rPr>
              <w:t>May 31, 2020</w:t>
            </w:r>
          </w:p>
        </w:tc>
      </w:tr>
      <w:tr>
        <w:trPr>
          <w:trHeight w:val="215"/>
        </w:trPr>
        <w:tc>
          <w:tcPr>
            <w:tcW w:w="55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Assets</w:t>
            </w:r>
          </w:p>
        </w:tc>
        <w:tc>
          <w:tcPr>
            <w:tcW w:w="260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12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1220" w:type="dxa"/>
            <w:vAlign w:val="bottom"/>
            <w:tcBorders>
              <w:top w:val="single" w:sz="8" w:color="auto"/>
            </w:tcBorders>
            <w:shd w:val="clear" w:color="auto" w:fill="CCEEFF"/>
          </w:tcPr>
          <w:p>
            <w:pPr>
              <w:spacing w:after="0"/>
              <w:rPr>
                <w:sz w:val="18"/>
                <w:szCs w:val="18"/>
                <w:color w:val="auto"/>
              </w:rPr>
            </w:pPr>
          </w:p>
        </w:tc>
      </w:tr>
      <w:tr>
        <w:trPr>
          <w:trHeight w:val="230"/>
        </w:trPr>
        <w:tc>
          <w:tcPr>
            <w:tcW w:w="5580" w:type="dxa"/>
            <w:vAlign w:val="bottom"/>
          </w:tcPr>
          <w:p>
            <w:pPr>
              <w:ind w:left="220"/>
              <w:spacing w:after="0"/>
              <w:rPr>
                <w:sz w:val="20"/>
                <w:szCs w:val="20"/>
                <w:color w:val="auto"/>
              </w:rPr>
            </w:pPr>
            <w:r>
              <w:rPr>
                <w:rFonts w:ascii="Arial" w:cs="Arial" w:eastAsia="Arial" w:hAnsi="Arial"/>
                <w:sz w:val="18"/>
                <w:szCs w:val="18"/>
                <w:color w:val="auto"/>
              </w:rPr>
              <w:t>Operating lease ROU asset</w:t>
            </w:r>
          </w:p>
        </w:tc>
        <w:tc>
          <w:tcPr>
            <w:tcW w:w="2680" w:type="dxa"/>
            <w:vAlign w:val="bottom"/>
            <w:gridSpan w:val="2"/>
          </w:tcPr>
          <w:p>
            <w:pPr>
              <w:ind w:left="20"/>
              <w:spacing w:after="0"/>
              <w:rPr>
                <w:sz w:val="20"/>
                <w:szCs w:val="20"/>
                <w:color w:val="auto"/>
              </w:rPr>
            </w:pPr>
            <w:r>
              <w:rPr>
                <w:rFonts w:ascii="Arial" w:cs="Arial" w:eastAsia="Arial" w:hAnsi="Arial"/>
                <w:sz w:val="18"/>
                <w:szCs w:val="18"/>
                <w:color w:val="auto"/>
              </w:rPr>
              <w:t>Other assets</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9,421</w:t>
            </w:r>
          </w:p>
        </w:tc>
        <w:tc>
          <w:tcPr>
            <w:tcW w:w="100" w:type="dxa"/>
            <w:vAlign w:val="bottom"/>
          </w:tcPr>
          <w:p>
            <w:pPr>
              <w:spacing w:after="0"/>
              <w:rPr>
                <w:sz w:val="19"/>
                <w:szCs w:val="19"/>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10,146</w:t>
            </w:r>
          </w:p>
        </w:tc>
      </w:tr>
      <w:tr>
        <w:trPr>
          <w:trHeight w:val="230"/>
        </w:trPr>
        <w:tc>
          <w:tcPr>
            <w:tcW w:w="5580" w:type="dxa"/>
            <w:vAlign w:val="bottom"/>
            <w:shd w:val="clear" w:color="auto" w:fill="CCEEFF"/>
          </w:tcPr>
          <w:p>
            <w:pPr>
              <w:ind w:left="20"/>
              <w:spacing w:after="0"/>
              <w:rPr>
                <w:sz w:val="20"/>
                <w:szCs w:val="20"/>
                <w:color w:val="auto"/>
              </w:rPr>
            </w:pPr>
            <w:r>
              <w:rPr>
                <w:rFonts w:ascii="Arial" w:cs="Arial" w:eastAsia="Arial" w:hAnsi="Arial"/>
                <w:sz w:val="18"/>
                <w:szCs w:val="18"/>
                <w:color w:val="auto"/>
              </w:rPr>
              <w:t>Liabilities</w:t>
            </w:r>
          </w:p>
        </w:tc>
        <w:tc>
          <w:tcPr>
            <w:tcW w:w="26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r>
      <w:tr>
        <w:trPr>
          <w:trHeight w:val="230"/>
        </w:trPr>
        <w:tc>
          <w:tcPr>
            <w:tcW w:w="5580" w:type="dxa"/>
            <w:vAlign w:val="bottom"/>
          </w:tcPr>
          <w:p>
            <w:pPr>
              <w:ind w:left="220"/>
              <w:spacing w:after="0"/>
              <w:rPr>
                <w:sz w:val="20"/>
                <w:szCs w:val="20"/>
                <w:color w:val="auto"/>
              </w:rPr>
            </w:pPr>
            <w:r>
              <w:rPr>
                <w:rFonts w:ascii="Arial" w:cs="Arial" w:eastAsia="Arial" w:hAnsi="Arial"/>
                <w:sz w:val="18"/>
                <w:szCs w:val="18"/>
                <w:color w:val="auto"/>
              </w:rPr>
              <w:t>Current operating lease liabilities</w:t>
            </w:r>
          </w:p>
        </w:tc>
        <w:tc>
          <w:tcPr>
            <w:tcW w:w="2680" w:type="dxa"/>
            <w:vAlign w:val="bottom"/>
            <w:gridSpan w:val="2"/>
          </w:tcPr>
          <w:p>
            <w:pPr>
              <w:ind w:left="20"/>
              <w:spacing w:after="0"/>
              <w:rPr>
                <w:sz w:val="20"/>
                <w:szCs w:val="20"/>
                <w:color w:val="auto"/>
              </w:rPr>
            </w:pPr>
            <w:r>
              <w:rPr>
                <w:rFonts w:ascii="Arial" w:cs="Arial" w:eastAsia="Arial" w:hAnsi="Arial"/>
                <w:sz w:val="18"/>
                <w:szCs w:val="18"/>
                <w:color w:val="auto"/>
              </w:rPr>
              <w:t>Other current liabilities</w:t>
            </w:r>
          </w:p>
        </w:tc>
        <w:tc>
          <w:tcPr>
            <w:tcW w:w="2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2,145</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2,077</w:t>
            </w:r>
          </w:p>
        </w:tc>
      </w:tr>
      <w:tr>
        <w:trPr>
          <w:trHeight w:val="229"/>
        </w:trPr>
        <w:tc>
          <w:tcPr>
            <w:tcW w:w="55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Non-current operating lease liabilities</w:t>
            </w:r>
          </w:p>
        </w:tc>
        <w:tc>
          <w:tcPr>
            <w:tcW w:w="26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Other long-term liabilities</w:t>
            </w:r>
          </w:p>
        </w:tc>
        <w:tc>
          <w:tcPr>
            <w:tcW w:w="22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7,636</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8,345</w:t>
            </w:r>
          </w:p>
        </w:tc>
      </w:tr>
      <w:tr>
        <w:trPr>
          <w:trHeight w:val="223"/>
        </w:trPr>
        <w:tc>
          <w:tcPr>
            <w:tcW w:w="5580" w:type="dxa"/>
            <w:vAlign w:val="bottom"/>
          </w:tcPr>
          <w:p>
            <w:pPr>
              <w:ind w:left="20"/>
              <w:spacing w:after="0"/>
              <w:rPr>
                <w:sz w:val="20"/>
                <w:szCs w:val="20"/>
                <w:color w:val="auto"/>
              </w:rPr>
            </w:pPr>
            <w:r>
              <w:rPr>
                <w:rFonts w:ascii="Arial" w:cs="Arial" w:eastAsia="Arial" w:hAnsi="Arial"/>
                <w:sz w:val="18"/>
                <w:szCs w:val="18"/>
                <w:color w:val="auto"/>
              </w:rPr>
              <w:t>Total lease liabilities</w:t>
            </w:r>
          </w:p>
        </w:tc>
        <w:tc>
          <w:tcPr>
            <w:tcW w:w="26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9,781</w:t>
            </w:r>
          </w:p>
        </w:tc>
        <w:tc>
          <w:tcPr>
            <w:tcW w:w="100" w:type="dxa"/>
            <w:vAlign w:val="bottom"/>
          </w:tcPr>
          <w:p>
            <w:pPr>
              <w:spacing w:after="0"/>
              <w:rPr>
                <w:sz w:val="19"/>
                <w:szCs w:val="19"/>
                <w:color w:val="auto"/>
              </w:rPr>
            </w:pPr>
          </w:p>
        </w:tc>
        <w:tc>
          <w:tcPr>
            <w:tcW w:w="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10,422</w:t>
            </w:r>
          </w:p>
        </w:tc>
      </w:tr>
      <w:tr>
        <w:trPr>
          <w:trHeight w:val="20"/>
        </w:trPr>
        <w:tc>
          <w:tcPr>
            <w:tcW w:w="5580" w:type="dxa"/>
            <w:vAlign w:val="bottom"/>
          </w:tcPr>
          <w:p>
            <w:pPr>
              <w:spacing w:after="0" w:line="20" w:lineRule="exact"/>
              <w:rPr>
                <w:sz w:val="1"/>
                <w:szCs w:val="1"/>
                <w:color w:val="auto"/>
              </w:rPr>
            </w:pPr>
          </w:p>
        </w:tc>
        <w:tc>
          <w:tcPr>
            <w:tcW w:w="26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bl>
    <w:p>
      <w:pPr>
        <w:spacing w:after="0" w:line="391" w:lineRule="exact"/>
        <w:rPr>
          <w:sz w:val="20"/>
          <w:szCs w:val="20"/>
          <w:color w:val="auto"/>
        </w:rPr>
      </w:pPr>
    </w:p>
    <w:p>
      <w:pPr>
        <w:ind w:firstLine="405"/>
        <w:spacing w:after="0" w:line="259" w:lineRule="auto"/>
        <w:rPr>
          <w:sz w:val="20"/>
          <w:szCs w:val="20"/>
          <w:color w:val="auto"/>
        </w:rPr>
      </w:pPr>
      <w:r>
        <w:rPr>
          <w:rFonts w:ascii="Arial" w:cs="Arial" w:eastAsia="Arial" w:hAnsi="Arial"/>
          <w:sz w:val="18"/>
          <w:szCs w:val="18"/>
          <w:color w:val="auto"/>
        </w:rPr>
        <w:t>The interest rate implicit in lease agreements is typically not readily determinable, and as such the Company used the incremental borrowing rate based on the information available at commencement date in determining the present value of future payments. The incremental borrowing rate is defined as the interest the Company would pay to borrow on a collateralized basis, considering factors such as length of lease term. The following table presents the weighted average remaining lease term and discount rate:</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9680" w:type="dxa"/>
            <w:vAlign w:val="bottom"/>
            <w:tcBorders>
              <w:bottom w:val="single" w:sz="8" w:color="CCEEFF"/>
            </w:tcBorders>
          </w:tcPr>
          <w:p>
            <w:pPr>
              <w:spacing w:after="0"/>
              <w:rPr>
                <w:sz w:val="16"/>
                <w:szCs w:val="16"/>
                <w:color w:val="auto"/>
              </w:rPr>
            </w:pPr>
          </w:p>
        </w:tc>
        <w:tc>
          <w:tcPr>
            <w:tcW w:w="1560" w:type="dxa"/>
            <w:vAlign w:val="bottom"/>
            <w:tcBorders>
              <w:bottom w:val="single" w:sz="8" w:color="auto"/>
            </w:tcBorders>
          </w:tcPr>
          <w:p>
            <w:pPr>
              <w:jc w:val="right"/>
              <w:ind w:right="296"/>
              <w:spacing w:after="0"/>
              <w:rPr>
                <w:sz w:val="20"/>
                <w:szCs w:val="20"/>
                <w:color w:val="auto"/>
              </w:rPr>
            </w:pPr>
            <w:r>
              <w:rPr>
                <w:rFonts w:ascii="Arial" w:cs="Arial" w:eastAsia="Arial" w:hAnsi="Arial"/>
                <w:sz w:val="14"/>
                <w:szCs w:val="14"/>
                <w:color w:val="auto"/>
              </w:rPr>
              <w:t>Nov 30, 2020</w:t>
            </w:r>
          </w:p>
        </w:tc>
      </w:tr>
      <w:tr>
        <w:trPr>
          <w:trHeight w:val="229"/>
        </w:trPr>
        <w:tc>
          <w:tcPr>
            <w:tcW w:w="9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Weighted average remaining term (in years)</w:t>
            </w: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4.53</w:t>
            </w:r>
          </w:p>
        </w:tc>
      </w:tr>
      <w:tr>
        <w:trPr>
          <w:trHeight w:val="230"/>
        </w:trPr>
        <w:tc>
          <w:tcPr>
            <w:tcW w:w="9680" w:type="dxa"/>
            <w:vAlign w:val="bottom"/>
          </w:tcPr>
          <w:p>
            <w:pPr>
              <w:ind w:left="20"/>
              <w:spacing w:after="0"/>
              <w:rPr>
                <w:sz w:val="20"/>
                <w:szCs w:val="20"/>
                <w:color w:val="auto"/>
              </w:rPr>
            </w:pPr>
            <w:r>
              <w:rPr>
                <w:rFonts w:ascii="Arial" w:cs="Arial" w:eastAsia="Arial" w:hAnsi="Arial"/>
                <w:sz w:val="18"/>
                <w:szCs w:val="18"/>
                <w:color w:val="auto"/>
              </w:rPr>
              <w:t>Weighted average discount rate</w:t>
            </w:r>
          </w:p>
        </w:tc>
        <w:tc>
          <w:tcPr>
            <w:tcW w:w="1560" w:type="dxa"/>
            <w:vAlign w:val="bottom"/>
          </w:tcPr>
          <w:p>
            <w:pPr>
              <w:jc w:val="right"/>
              <w:spacing w:after="0"/>
              <w:rPr>
                <w:sz w:val="20"/>
                <w:szCs w:val="20"/>
                <w:color w:val="auto"/>
              </w:rPr>
            </w:pPr>
            <w:r>
              <w:rPr>
                <w:rFonts w:ascii="Arial" w:cs="Arial" w:eastAsia="Arial" w:hAnsi="Arial"/>
                <w:sz w:val="18"/>
                <w:szCs w:val="18"/>
                <w:color w:val="auto"/>
              </w:rPr>
              <w:t>4.1 %</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9" w:name="page20"/>
    <w:bookmarkEnd w:id="19"/>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following table presents the maturities of the lease liabilities:</w:t>
      </w:r>
    </w:p>
    <w:p>
      <w:pPr>
        <w:spacing w:after="0" w:line="45"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980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(in thousands)</w:t>
            </w:r>
          </w:p>
        </w:tc>
        <w:tc>
          <w:tcPr>
            <w:tcW w:w="22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232"/>
              <w:spacing w:after="0"/>
              <w:rPr>
                <w:sz w:val="20"/>
                <w:szCs w:val="20"/>
                <w:color w:val="auto"/>
              </w:rPr>
            </w:pPr>
            <w:r>
              <w:rPr>
                <w:rFonts w:ascii="Arial" w:cs="Arial" w:eastAsia="Arial" w:hAnsi="Arial"/>
                <w:sz w:val="14"/>
                <w:szCs w:val="14"/>
                <w:color w:val="auto"/>
              </w:rPr>
              <w:t>Nov 30, 2020</w:t>
            </w:r>
          </w:p>
        </w:tc>
      </w:tr>
      <w:tr>
        <w:trPr>
          <w:trHeight w:val="229"/>
        </w:trPr>
        <w:tc>
          <w:tcPr>
            <w:tcW w:w="980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Remainder of 2021</w:t>
            </w: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1,254</w:t>
            </w:r>
          </w:p>
        </w:tc>
      </w:tr>
      <w:tr>
        <w:trPr>
          <w:trHeight w:val="229"/>
        </w:trPr>
        <w:tc>
          <w:tcPr>
            <w:tcW w:w="9800" w:type="dxa"/>
            <w:vAlign w:val="bottom"/>
          </w:tcPr>
          <w:p>
            <w:pPr>
              <w:ind w:left="20"/>
              <w:spacing w:after="0"/>
              <w:rPr>
                <w:sz w:val="20"/>
                <w:szCs w:val="20"/>
                <w:color w:val="auto"/>
              </w:rPr>
            </w:pPr>
            <w:r>
              <w:rPr>
                <w:rFonts w:ascii="Arial" w:cs="Arial" w:eastAsia="Arial" w:hAnsi="Arial"/>
                <w:sz w:val="18"/>
                <w:szCs w:val="18"/>
                <w:color w:val="auto"/>
              </w:rPr>
              <w:t>2022</w:t>
            </w:r>
          </w:p>
        </w:tc>
        <w:tc>
          <w:tcPr>
            <w:tcW w:w="2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2,484</w:t>
            </w:r>
          </w:p>
        </w:tc>
      </w:tr>
      <w:tr>
        <w:trPr>
          <w:trHeight w:val="230"/>
        </w:trPr>
        <w:tc>
          <w:tcPr>
            <w:tcW w:w="980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2023</w:t>
            </w: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2,532</w:t>
            </w:r>
          </w:p>
        </w:tc>
      </w:tr>
      <w:tr>
        <w:trPr>
          <w:trHeight w:val="229"/>
        </w:trPr>
        <w:tc>
          <w:tcPr>
            <w:tcW w:w="9800" w:type="dxa"/>
            <w:vAlign w:val="bottom"/>
          </w:tcPr>
          <w:p>
            <w:pPr>
              <w:ind w:left="20"/>
              <w:spacing w:after="0"/>
              <w:rPr>
                <w:sz w:val="20"/>
                <w:szCs w:val="20"/>
                <w:color w:val="auto"/>
              </w:rPr>
            </w:pPr>
            <w:r>
              <w:rPr>
                <w:rFonts w:ascii="Arial" w:cs="Arial" w:eastAsia="Arial" w:hAnsi="Arial"/>
                <w:sz w:val="18"/>
                <w:szCs w:val="18"/>
                <w:color w:val="auto"/>
              </w:rPr>
              <w:t>2024</w:t>
            </w:r>
          </w:p>
        </w:tc>
        <w:tc>
          <w:tcPr>
            <w:tcW w:w="2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1,984</w:t>
            </w:r>
          </w:p>
        </w:tc>
      </w:tr>
      <w:tr>
        <w:trPr>
          <w:trHeight w:val="229"/>
        </w:trPr>
        <w:tc>
          <w:tcPr>
            <w:tcW w:w="980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2025</w:t>
            </w: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1,259</w:t>
            </w:r>
          </w:p>
        </w:tc>
      </w:tr>
      <w:tr>
        <w:trPr>
          <w:trHeight w:val="230"/>
        </w:trPr>
        <w:tc>
          <w:tcPr>
            <w:tcW w:w="98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2026 and thereafter</w:t>
            </w:r>
          </w:p>
        </w:tc>
        <w:tc>
          <w:tcPr>
            <w:tcW w:w="22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1,188</w:t>
            </w:r>
          </w:p>
        </w:tc>
      </w:tr>
      <w:tr>
        <w:trPr>
          <w:trHeight w:val="223"/>
        </w:trPr>
        <w:tc>
          <w:tcPr>
            <w:tcW w:w="980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lease payments</w:t>
            </w: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10,701</w:t>
            </w:r>
          </w:p>
        </w:tc>
      </w:tr>
      <w:tr>
        <w:trPr>
          <w:trHeight w:val="230"/>
        </w:trPr>
        <w:tc>
          <w:tcPr>
            <w:tcW w:w="98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Less: Imputed Interest</w:t>
            </w:r>
          </w:p>
        </w:tc>
        <w:tc>
          <w:tcPr>
            <w:tcW w:w="22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920</w:t>
            </w:r>
          </w:p>
        </w:tc>
      </w:tr>
      <w:tr>
        <w:trPr>
          <w:trHeight w:val="223"/>
        </w:trPr>
        <w:tc>
          <w:tcPr>
            <w:tcW w:w="980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lease obligations</w:t>
            </w: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9,781</w:t>
            </w:r>
          </w:p>
        </w:tc>
      </w:tr>
      <w:tr>
        <w:trPr>
          <w:trHeight w:val="230"/>
        </w:trPr>
        <w:tc>
          <w:tcPr>
            <w:tcW w:w="98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Less: Current portion of lease obligations</w:t>
            </w:r>
          </w:p>
        </w:tc>
        <w:tc>
          <w:tcPr>
            <w:tcW w:w="22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2,145</w:t>
            </w:r>
          </w:p>
        </w:tc>
      </w:tr>
      <w:tr>
        <w:trPr>
          <w:trHeight w:val="248"/>
        </w:trPr>
        <w:tc>
          <w:tcPr>
            <w:tcW w:w="98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Long-term lease obligations</w:t>
            </w: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7,636</w:t>
            </w:r>
          </w:p>
        </w:tc>
      </w:tr>
      <w:tr>
        <w:trPr>
          <w:trHeight w:val="20"/>
        </w:trPr>
        <w:tc>
          <w:tcPr>
            <w:tcW w:w="98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ind w:left="420"/>
        <w:spacing w:after="0"/>
        <w:rPr>
          <w:sz w:val="20"/>
          <w:szCs w:val="20"/>
          <w:color w:val="auto"/>
        </w:rPr>
      </w:pPr>
      <w:r>
        <w:rPr>
          <w:rFonts w:ascii="Arial" w:cs="Arial" w:eastAsia="Arial" w:hAnsi="Arial"/>
          <w:sz w:val="16"/>
          <w:szCs w:val="16"/>
          <w:color w:val="auto"/>
        </w:rPr>
        <w:t>During the three months ended November 30, 2020 and 2019, the Company recognized $0.7 million and $0.9 million of operating lease expense,</w:t>
      </w:r>
    </w:p>
    <w:p>
      <w:pPr>
        <w:spacing w:after="0" w:line="46" w:lineRule="exact"/>
        <w:rPr>
          <w:sz w:val="20"/>
          <w:szCs w:val="20"/>
          <w:color w:val="auto"/>
        </w:rPr>
      </w:pPr>
    </w:p>
    <w:p>
      <w:pPr>
        <w:spacing w:after="0"/>
        <w:rPr>
          <w:sz w:val="20"/>
          <w:szCs w:val="20"/>
          <w:color w:val="auto"/>
        </w:rPr>
      </w:pPr>
      <w:r>
        <w:rPr>
          <w:rFonts w:ascii="Arial" w:cs="Arial" w:eastAsia="Arial" w:hAnsi="Arial"/>
          <w:sz w:val="17"/>
          <w:szCs w:val="17"/>
          <w:color w:val="auto"/>
        </w:rPr>
        <w:t>respectively, which includes immaterial short-term leases. During the six months ended November 30, 2020 and 2019, the Company recognized</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$1.6 million and $1.5 million of operating lease expense, respectively, which includes immaterial short-term leases. The expenses on the Consolidated</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Statement of Operations were classified as follows:</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52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820" w:type="dxa"/>
            <w:vAlign w:val="bottom"/>
            <w:gridSpan w:val="5"/>
          </w:tcPr>
          <w:p>
            <w:pPr>
              <w:ind w:left="640"/>
              <w:spacing w:after="0"/>
              <w:rPr>
                <w:sz w:val="20"/>
                <w:szCs w:val="20"/>
                <w:color w:val="auto"/>
              </w:rPr>
            </w:pPr>
            <w:r>
              <w:rPr>
                <w:rFonts w:ascii="Arial" w:cs="Arial" w:eastAsia="Arial" w:hAnsi="Arial"/>
                <w:sz w:val="14"/>
                <w:szCs w:val="14"/>
                <w:color w:val="auto"/>
              </w:rPr>
              <w:t>Three Months Ended</w:t>
            </w:r>
          </w:p>
        </w:tc>
        <w:tc>
          <w:tcPr>
            <w:tcW w:w="220" w:type="dxa"/>
            <w:vAlign w:val="bottom"/>
          </w:tcPr>
          <w:p>
            <w:pPr>
              <w:spacing w:after="0"/>
              <w:rPr>
                <w:sz w:val="16"/>
                <w:szCs w:val="16"/>
                <w:color w:val="auto"/>
              </w:rPr>
            </w:pPr>
          </w:p>
        </w:tc>
        <w:tc>
          <w:tcPr>
            <w:tcW w:w="2760" w:type="dxa"/>
            <w:vAlign w:val="bottom"/>
            <w:gridSpan w:val="4"/>
          </w:tcPr>
          <w:p>
            <w:pPr>
              <w:jc w:val="right"/>
              <w:ind w:right="853"/>
              <w:spacing w:after="0"/>
              <w:rPr>
                <w:sz w:val="20"/>
                <w:szCs w:val="20"/>
                <w:color w:val="auto"/>
              </w:rPr>
            </w:pPr>
            <w:r>
              <w:rPr>
                <w:rFonts w:ascii="Arial" w:cs="Arial" w:eastAsia="Arial" w:hAnsi="Arial"/>
                <w:sz w:val="14"/>
                <w:szCs w:val="14"/>
                <w:color w:val="auto"/>
              </w:rPr>
              <w:t>Six Months Ended</w:t>
            </w:r>
          </w:p>
        </w:tc>
      </w:tr>
      <w:tr>
        <w:trPr>
          <w:trHeight w:val="186"/>
        </w:trPr>
        <w:tc>
          <w:tcPr>
            <w:tcW w:w="5220" w:type="dxa"/>
            <w:vAlign w:val="bottom"/>
          </w:tcPr>
          <w:p>
            <w:pPr>
              <w:ind w:left="20"/>
              <w:spacing w:after="0"/>
              <w:rPr>
                <w:sz w:val="20"/>
                <w:szCs w:val="20"/>
                <w:color w:val="auto"/>
              </w:rPr>
            </w:pPr>
            <w:r>
              <w:rPr>
                <w:rFonts w:ascii="Arial" w:cs="Arial" w:eastAsia="Arial" w:hAnsi="Arial"/>
                <w:sz w:val="14"/>
                <w:szCs w:val="14"/>
                <w:color w:val="auto"/>
              </w:rPr>
              <w:t>(in thousands)</w:t>
            </w:r>
          </w:p>
        </w:tc>
        <w:tc>
          <w:tcPr>
            <w:tcW w:w="220" w:type="dxa"/>
            <w:vAlign w:val="bottom"/>
            <w:tcBorders>
              <w:top w:val="single" w:sz="8" w:color="auto"/>
            </w:tcBorders>
          </w:tcPr>
          <w:p>
            <w:pPr>
              <w:spacing w:after="0"/>
              <w:rPr>
                <w:sz w:val="16"/>
                <w:szCs w:val="16"/>
                <w:color w:val="auto"/>
              </w:rPr>
            </w:pPr>
          </w:p>
        </w:tc>
        <w:tc>
          <w:tcPr>
            <w:tcW w:w="1300" w:type="dxa"/>
            <w:vAlign w:val="bottom"/>
            <w:tcBorders>
              <w:top w:val="single" w:sz="8" w:color="auto"/>
            </w:tcBorders>
            <w:gridSpan w:val="2"/>
          </w:tcPr>
          <w:p>
            <w:pPr>
              <w:ind w:left="100"/>
              <w:spacing w:after="0"/>
              <w:rPr>
                <w:sz w:val="20"/>
                <w:szCs w:val="20"/>
                <w:color w:val="auto"/>
              </w:rPr>
            </w:pPr>
            <w:r>
              <w:rPr>
                <w:rFonts w:ascii="Arial" w:cs="Arial" w:eastAsia="Arial" w:hAnsi="Arial"/>
                <w:sz w:val="14"/>
                <w:szCs w:val="14"/>
                <w:color w:val="auto"/>
              </w:rPr>
              <w:t>Nov 30, 2020</w:t>
            </w:r>
          </w:p>
        </w:tc>
        <w:tc>
          <w:tcPr>
            <w:tcW w:w="220" w:type="dxa"/>
            <w:vAlign w:val="bottom"/>
            <w:tcBorders>
              <w:top w:val="single" w:sz="8" w:color="auto"/>
            </w:tcBorders>
          </w:tcPr>
          <w:p>
            <w:pPr>
              <w:spacing w:after="0"/>
              <w:rPr>
                <w:sz w:val="16"/>
                <w:szCs w:val="16"/>
                <w:color w:val="auto"/>
              </w:rPr>
            </w:pPr>
          </w:p>
        </w:tc>
        <w:tc>
          <w:tcPr>
            <w:tcW w:w="1200" w:type="dxa"/>
            <w:vAlign w:val="bottom"/>
            <w:tcBorders>
              <w:top w:val="single" w:sz="8" w:color="auto"/>
            </w:tcBorders>
          </w:tcPr>
          <w:p>
            <w:pPr>
              <w:jc w:val="right"/>
              <w:ind w:right="233"/>
              <w:spacing w:after="0"/>
              <w:rPr>
                <w:sz w:val="20"/>
                <w:szCs w:val="20"/>
                <w:color w:val="auto"/>
              </w:rPr>
            </w:pPr>
            <w:r>
              <w:rPr>
                <w:rFonts w:ascii="Arial" w:cs="Arial" w:eastAsia="Arial" w:hAnsi="Arial"/>
                <w:sz w:val="14"/>
                <w:szCs w:val="14"/>
                <w:color w:val="auto"/>
              </w:rPr>
              <w:t>Nov 30, 2019</w:t>
            </w:r>
          </w:p>
        </w:tc>
        <w:tc>
          <w:tcPr>
            <w:tcW w:w="100" w:type="dxa"/>
            <w:vAlign w:val="bottom"/>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1320" w:type="dxa"/>
            <w:vAlign w:val="bottom"/>
            <w:tcBorders>
              <w:top w:val="single" w:sz="8" w:color="auto"/>
            </w:tcBorders>
            <w:gridSpan w:val="2"/>
          </w:tcPr>
          <w:p>
            <w:pPr>
              <w:ind w:left="120"/>
              <w:spacing w:after="0"/>
              <w:rPr>
                <w:sz w:val="20"/>
                <w:szCs w:val="20"/>
                <w:color w:val="auto"/>
              </w:rPr>
            </w:pPr>
            <w:r>
              <w:rPr>
                <w:rFonts w:ascii="Arial" w:cs="Arial" w:eastAsia="Arial" w:hAnsi="Arial"/>
                <w:sz w:val="14"/>
                <w:szCs w:val="14"/>
                <w:color w:val="auto"/>
              </w:rPr>
              <w:t>Nov 30, 2020</w:t>
            </w:r>
          </w:p>
        </w:tc>
        <w:tc>
          <w:tcPr>
            <w:tcW w:w="220" w:type="dxa"/>
            <w:vAlign w:val="bottom"/>
            <w:tcBorders>
              <w:top w:val="single" w:sz="8" w:color="auto"/>
            </w:tcBorders>
          </w:tcPr>
          <w:p>
            <w:pPr>
              <w:spacing w:after="0"/>
              <w:rPr>
                <w:sz w:val="16"/>
                <w:szCs w:val="16"/>
                <w:color w:val="auto"/>
              </w:rPr>
            </w:pPr>
          </w:p>
        </w:tc>
        <w:tc>
          <w:tcPr>
            <w:tcW w:w="1220" w:type="dxa"/>
            <w:vAlign w:val="bottom"/>
            <w:tcBorders>
              <w:top w:val="single" w:sz="8" w:color="auto"/>
            </w:tcBorders>
          </w:tcPr>
          <w:p>
            <w:pPr>
              <w:jc w:val="right"/>
              <w:ind w:right="233"/>
              <w:spacing w:after="0"/>
              <w:rPr>
                <w:sz w:val="20"/>
                <w:szCs w:val="20"/>
                <w:color w:val="auto"/>
              </w:rPr>
            </w:pPr>
            <w:r>
              <w:rPr>
                <w:rFonts w:ascii="Arial" w:cs="Arial" w:eastAsia="Arial" w:hAnsi="Arial"/>
                <w:sz w:val="14"/>
                <w:szCs w:val="14"/>
                <w:color w:val="auto"/>
              </w:rPr>
              <w:t>Nov 30, 2019</w:t>
            </w:r>
          </w:p>
        </w:tc>
      </w:tr>
      <w:tr>
        <w:trPr>
          <w:trHeight w:val="226"/>
        </w:trPr>
        <w:tc>
          <w:tcPr>
            <w:tcW w:w="52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Cost of sales</w:t>
            </w: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192</w:t>
            </w: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289</w:t>
            </w: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393</w:t>
            </w: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559</w:t>
            </w:r>
          </w:p>
        </w:tc>
      </w:tr>
      <w:tr>
        <w:trPr>
          <w:trHeight w:val="229"/>
        </w:trPr>
        <w:tc>
          <w:tcPr>
            <w:tcW w:w="5220" w:type="dxa"/>
            <w:vAlign w:val="bottom"/>
          </w:tcPr>
          <w:p>
            <w:pPr>
              <w:ind w:left="20"/>
              <w:spacing w:after="0"/>
              <w:rPr>
                <w:sz w:val="20"/>
                <w:szCs w:val="20"/>
                <w:color w:val="auto"/>
              </w:rPr>
            </w:pPr>
            <w:r>
              <w:rPr>
                <w:rFonts w:ascii="Arial" w:cs="Arial" w:eastAsia="Arial" w:hAnsi="Arial"/>
                <w:sz w:val="18"/>
                <w:szCs w:val="18"/>
                <w:color w:val="auto"/>
              </w:rPr>
              <w:t>Research and development</w:t>
            </w:r>
          </w:p>
        </w:tc>
        <w:tc>
          <w:tcPr>
            <w:tcW w:w="2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197</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203</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485</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196</w:t>
            </w:r>
          </w:p>
        </w:tc>
      </w:tr>
      <w:tr>
        <w:trPr>
          <w:trHeight w:val="230"/>
        </w:trPr>
        <w:tc>
          <w:tcPr>
            <w:tcW w:w="5220" w:type="dxa"/>
            <w:vAlign w:val="bottom"/>
            <w:shd w:val="clear" w:color="auto" w:fill="CCEEFF"/>
          </w:tcPr>
          <w:p>
            <w:pPr>
              <w:ind w:left="20"/>
              <w:spacing w:after="0"/>
              <w:rPr>
                <w:sz w:val="20"/>
                <w:szCs w:val="20"/>
                <w:color w:val="auto"/>
              </w:rPr>
            </w:pPr>
            <w:r>
              <w:rPr>
                <w:rFonts w:ascii="Arial" w:cs="Arial" w:eastAsia="Arial" w:hAnsi="Arial"/>
                <w:sz w:val="18"/>
                <w:szCs w:val="18"/>
                <w:color w:val="auto"/>
              </w:rPr>
              <w:t>Sales and marketing</w:t>
            </w:r>
          </w:p>
        </w:tc>
        <w:tc>
          <w:tcPr>
            <w:tcW w:w="2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193</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198</w:t>
            </w:r>
          </w:p>
        </w:tc>
      </w:tr>
      <w:tr>
        <w:trPr>
          <w:trHeight w:val="230"/>
        </w:trPr>
        <w:tc>
          <w:tcPr>
            <w:tcW w:w="52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General and administrative</w:t>
            </w:r>
          </w:p>
        </w:tc>
        <w:tc>
          <w:tcPr>
            <w:tcW w:w="22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256</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312</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551</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591</w:t>
            </w:r>
          </w:p>
        </w:tc>
      </w:tr>
      <w:tr>
        <w:trPr>
          <w:trHeight w:val="248"/>
        </w:trPr>
        <w:tc>
          <w:tcPr>
            <w:tcW w:w="52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737</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904</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1,622</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1,544</w:t>
            </w:r>
          </w:p>
        </w:tc>
      </w:tr>
      <w:tr>
        <w:trPr>
          <w:trHeight w:val="20"/>
        </w:trPr>
        <w:tc>
          <w:tcPr>
            <w:tcW w:w="52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r>
    </w:tbl>
    <w:p>
      <w:pPr>
        <w:spacing w:after="0" w:line="337"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following table presents supplemental cash flow and other information related to leases for the six months ended:</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8260" w:type="dxa"/>
            <w:vAlign w:val="bottom"/>
          </w:tcPr>
          <w:p>
            <w:pPr>
              <w:ind w:left="20"/>
              <w:spacing w:after="0"/>
              <w:rPr>
                <w:sz w:val="20"/>
                <w:szCs w:val="20"/>
                <w:color w:val="auto"/>
              </w:rPr>
            </w:pPr>
            <w:r>
              <w:rPr>
                <w:rFonts w:ascii="Arial" w:cs="Arial" w:eastAsia="Arial" w:hAnsi="Arial"/>
                <w:sz w:val="14"/>
                <w:szCs w:val="14"/>
                <w:color w:val="auto"/>
              </w:rPr>
              <w:t>(in thousands)</w:t>
            </w:r>
          </w:p>
        </w:tc>
        <w:tc>
          <w:tcPr>
            <w:tcW w:w="220" w:type="dxa"/>
            <w:vAlign w:val="bottom"/>
          </w:tcPr>
          <w:p>
            <w:pPr>
              <w:spacing w:after="0"/>
              <w:rPr>
                <w:sz w:val="16"/>
                <w:szCs w:val="16"/>
                <w:color w:val="auto"/>
              </w:rPr>
            </w:pPr>
          </w:p>
        </w:tc>
        <w:tc>
          <w:tcPr>
            <w:tcW w:w="1320" w:type="dxa"/>
            <w:vAlign w:val="bottom"/>
            <w:gridSpan w:val="2"/>
          </w:tcPr>
          <w:p>
            <w:pPr>
              <w:ind w:left="120"/>
              <w:spacing w:after="0"/>
              <w:rPr>
                <w:sz w:val="20"/>
                <w:szCs w:val="20"/>
                <w:color w:val="auto"/>
              </w:rPr>
            </w:pPr>
            <w:r>
              <w:rPr>
                <w:rFonts w:ascii="Arial" w:cs="Arial" w:eastAsia="Arial" w:hAnsi="Arial"/>
                <w:sz w:val="14"/>
                <w:szCs w:val="14"/>
                <w:color w:val="auto"/>
              </w:rPr>
              <w:t>Nov 30, 2020</w:t>
            </w:r>
          </w:p>
        </w:tc>
        <w:tc>
          <w:tcPr>
            <w:tcW w:w="220" w:type="dxa"/>
            <w:vAlign w:val="bottom"/>
          </w:tcPr>
          <w:p>
            <w:pPr>
              <w:spacing w:after="0"/>
              <w:rPr>
                <w:sz w:val="16"/>
                <w:szCs w:val="16"/>
                <w:color w:val="auto"/>
              </w:rPr>
            </w:pPr>
          </w:p>
        </w:tc>
        <w:tc>
          <w:tcPr>
            <w:tcW w:w="1220" w:type="dxa"/>
            <w:vAlign w:val="bottom"/>
          </w:tcPr>
          <w:p>
            <w:pPr>
              <w:jc w:val="right"/>
              <w:ind w:right="236"/>
              <w:spacing w:after="0"/>
              <w:rPr>
                <w:sz w:val="20"/>
                <w:szCs w:val="20"/>
                <w:color w:val="auto"/>
              </w:rPr>
            </w:pPr>
            <w:r>
              <w:rPr>
                <w:rFonts w:ascii="Arial" w:cs="Arial" w:eastAsia="Arial" w:hAnsi="Arial"/>
                <w:sz w:val="14"/>
                <w:szCs w:val="14"/>
                <w:color w:val="auto"/>
              </w:rPr>
              <w:t>Nov 30, 2019</w:t>
            </w:r>
          </w:p>
        </w:tc>
      </w:tr>
      <w:tr>
        <w:trPr>
          <w:trHeight w:val="215"/>
        </w:trPr>
        <w:tc>
          <w:tcPr>
            <w:tcW w:w="82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Cash paid for amounts included in the measurement of lease liabilities</w:t>
            </w:r>
          </w:p>
        </w:tc>
        <w:tc>
          <w:tcPr>
            <w:tcW w:w="220" w:type="dxa"/>
            <w:vAlign w:val="bottom"/>
            <w:tcBorders>
              <w:top w:val="single" w:sz="8" w:color="auto"/>
            </w:tcBorders>
            <w:shd w:val="clear" w:color="auto" w:fill="CCEEFF"/>
          </w:tcPr>
          <w:p>
            <w:pPr>
              <w:spacing w:after="0"/>
              <w:rPr>
                <w:sz w:val="18"/>
                <w:szCs w:val="18"/>
                <w:color w:val="auto"/>
              </w:rPr>
            </w:pPr>
          </w:p>
        </w:tc>
        <w:tc>
          <w:tcPr>
            <w:tcW w:w="12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1220" w:type="dxa"/>
            <w:vAlign w:val="bottom"/>
            <w:tcBorders>
              <w:top w:val="single" w:sz="8" w:color="auto"/>
            </w:tcBorders>
            <w:shd w:val="clear" w:color="auto" w:fill="CCEEFF"/>
          </w:tcPr>
          <w:p>
            <w:pPr>
              <w:spacing w:after="0"/>
              <w:rPr>
                <w:sz w:val="18"/>
                <w:szCs w:val="18"/>
                <w:color w:val="auto"/>
              </w:rPr>
            </w:pPr>
          </w:p>
        </w:tc>
      </w:tr>
      <w:tr>
        <w:trPr>
          <w:trHeight w:val="230"/>
        </w:trPr>
        <w:tc>
          <w:tcPr>
            <w:tcW w:w="8260" w:type="dxa"/>
            <w:vAlign w:val="bottom"/>
          </w:tcPr>
          <w:p>
            <w:pPr>
              <w:ind w:left="220"/>
              <w:spacing w:after="0"/>
              <w:rPr>
                <w:sz w:val="20"/>
                <w:szCs w:val="20"/>
                <w:color w:val="auto"/>
              </w:rPr>
            </w:pPr>
            <w:r>
              <w:rPr>
                <w:rFonts w:ascii="Arial" w:cs="Arial" w:eastAsia="Arial" w:hAnsi="Arial"/>
                <w:sz w:val="18"/>
                <w:szCs w:val="18"/>
                <w:color w:val="auto"/>
              </w:rPr>
              <w:t>Operating cash flows from operating leases</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1,360</w:t>
            </w:r>
          </w:p>
        </w:tc>
        <w:tc>
          <w:tcPr>
            <w:tcW w:w="100" w:type="dxa"/>
            <w:vAlign w:val="bottom"/>
          </w:tcPr>
          <w:p>
            <w:pPr>
              <w:spacing w:after="0"/>
              <w:rPr>
                <w:sz w:val="19"/>
                <w:szCs w:val="19"/>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563</w:t>
            </w:r>
          </w:p>
        </w:tc>
      </w:tr>
      <w:tr>
        <w:trPr>
          <w:trHeight w:val="230"/>
        </w:trPr>
        <w:tc>
          <w:tcPr>
            <w:tcW w:w="8260" w:type="dxa"/>
            <w:vAlign w:val="bottom"/>
            <w:shd w:val="clear" w:color="auto" w:fill="CCEEFF"/>
          </w:tcPr>
          <w:p>
            <w:pPr>
              <w:ind w:left="20"/>
              <w:spacing w:after="0"/>
              <w:rPr>
                <w:sz w:val="20"/>
                <w:szCs w:val="20"/>
                <w:color w:val="auto"/>
              </w:rPr>
            </w:pPr>
            <w:r>
              <w:rPr>
                <w:rFonts w:ascii="Arial" w:cs="Arial" w:eastAsia="Arial" w:hAnsi="Arial"/>
                <w:sz w:val="18"/>
                <w:szCs w:val="18"/>
                <w:color w:val="auto"/>
              </w:rPr>
              <w:t>ROU assets obtained in exchange for lease liabilities</w:t>
            </w: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r>
      <w:tr>
        <w:trPr>
          <w:trHeight w:val="230"/>
        </w:trPr>
        <w:tc>
          <w:tcPr>
            <w:tcW w:w="8260" w:type="dxa"/>
            <w:vAlign w:val="bottom"/>
          </w:tcPr>
          <w:p>
            <w:pPr>
              <w:ind w:left="220"/>
              <w:spacing w:after="0"/>
              <w:rPr>
                <w:sz w:val="20"/>
                <w:szCs w:val="20"/>
                <w:color w:val="auto"/>
              </w:rPr>
            </w:pPr>
            <w:r>
              <w:rPr>
                <w:rFonts w:ascii="Arial" w:cs="Arial" w:eastAsia="Arial" w:hAnsi="Arial"/>
                <w:sz w:val="18"/>
                <w:szCs w:val="18"/>
                <w:color w:val="auto"/>
              </w:rPr>
              <w:t>Operating leases</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487</w:t>
            </w:r>
          </w:p>
        </w:tc>
        <w:tc>
          <w:tcPr>
            <w:tcW w:w="100" w:type="dxa"/>
            <w:vAlign w:val="bottom"/>
          </w:tcPr>
          <w:p>
            <w:pPr>
              <w:spacing w:after="0"/>
              <w:rPr>
                <w:sz w:val="20"/>
                <w:szCs w:val="20"/>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w:t>
            </w:r>
          </w:p>
        </w:tc>
      </w:tr>
    </w:tbl>
    <w:p>
      <w:pPr>
        <w:spacing w:after="0" w:line="33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14. COMMITMENTS AND CONTINGENCIES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Legal Proceedings</w:t>
      </w:r>
    </w:p>
    <w:p>
      <w:pPr>
        <w:spacing w:after="0" w:line="171" w:lineRule="exact"/>
        <w:rPr>
          <w:sz w:val="20"/>
          <w:szCs w:val="20"/>
          <w:color w:val="auto"/>
        </w:rPr>
      </w:pPr>
    </w:p>
    <w:p>
      <w:pPr>
        <w:ind w:right="120" w:firstLine="405"/>
        <w:spacing w:after="0" w:line="279" w:lineRule="auto"/>
        <w:rPr>
          <w:sz w:val="20"/>
          <w:szCs w:val="20"/>
          <w:color w:val="auto"/>
        </w:rPr>
      </w:pPr>
      <w:r>
        <w:rPr>
          <w:rFonts w:ascii="Arial" w:cs="Arial" w:eastAsia="Arial" w:hAnsi="Arial"/>
          <w:sz w:val="17"/>
          <w:szCs w:val="17"/>
          <w:color w:val="auto"/>
        </w:rPr>
        <w:t>The Company is involved in various legal proceedings, including commercial, intellectual property, product liability, and regulatory matters of a nature considered normal for its business. The Company accrues for amounts related to these matters if it is probable that a liability has been incurred, and an amount can be reasonably estimated. The Company discloses such matters when there is at least a reasonable possibility that a material loss may have been incurred. However, the Company cannot predict the outcome of any litigation or the potential for future litigation.</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C.R. Bard, Inc. v. AngioDynamics, Inc.</w:t>
      </w:r>
    </w:p>
    <w:p>
      <w:pPr>
        <w:spacing w:after="0" w:line="171" w:lineRule="exact"/>
        <w:rPr>
          <w:sz w:val="20"/>
          <w:szCs w:val="20"/>
          <w:color w:val="auto"/>
        </w:rPr>
      </w:pPr>
    </w:p>
    <w:p>
      <w:pPr>
        <w:ind w:right="20" w:firstLine="405"/>
        <w:spacing w:after="0" w:line="259" w:lineRule="auto"/>
        <w:rPr>
          <w:sz w:val="20"/>
          <w:szCs w:val="20"/>
          <w:color w:val="auto"/>
        </w:rPr>
      </w:pPr>
      <w:r>
        <w:rPr>
          <w:rFonts w:ascii="Arial" w:cs="Arial" w:eastAsia="Arial" w:hAnsi="Arial"/>
          <w:sz w:val="18"/>
          <w:szCs w:val="18"/>
          <w:color w:val="auto"/>
        </w:rPr>
        <w:t>On January 11, 2012, C.R. Bard, Inc. (“Bard”) filed a suit in the United States District Court of Utah claiming certain of the Company's implantable port products infringe on three U.S. patents held by Bard (the "Utah Action"). Bard’s complaint sought unspecified damages and other relief. The Company filed petitions for reexamination in the US Patent and Trademark Office ("USPTO") seeking to invalidate all three patents asserted by Bard in the litigation. The Company's petitions were</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13232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20" w:name="page21"/>
    <w:bookmarkEnd w:id="20"/>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right="40"/>
        <w:spacing w:after="0" w:line="272" w:lineRule="auto"/>
        <w:rPr>
          <w:sz w:val="20"/>
          <w:szCs w:val="20"/>
          <w:color w:val="auto"/>
        </w:rPr>
      </w:pPr>
      <w:r>
        <w:rPr>
          <w:rFonts w:ascii="Arial" w:cs="Arial" w:eastAsia="Arial" w:hAnsi="Arial"/>
          <w:sz w:val="17"/>
          <w:szCs w:val="17"/>
          <w:color w:val="auto"/>
        </w:rPr>
        <w:t>granted and 40 of Bard's 41 patent claims were rejected and, following further proceedings, the Patent Office issued a Final Rejection of all 40 claims subject to reexamination. Thereafter, Bard filed appeals to the USPTO Board of Appeals and Interferences for all three reexaminations which were decided as follows: For US Patent No. 7,785,302, the rejections of six of the ten claims under reexamination were affirmed, but were reversed on four of the ten claims. For U.S. Patent No. 7,959,615 the rejections of eight of the ten claims under reexamination were affirmed but the rejections of the other two of the ten claims were reversed. In the third, for U.S. Patent No. 7,947,022 the rejections of all twenty claims under reexamination were affirmed. Thereafter, Bard sought Rehearing in all three appeals and the Company sought Rehearing in the ‘302 and ‘615 appeals. The USPTO denied all three Rehearing Requests, but modified its characterization of one prior art reference for the ‘302 and ‘022 decisions.</w:t>
      </w:r>
    </w:p>
    <w:p>
      <w:pPr>
        <w:spacing w:after="0" w:line="123" w:lineRule="exact"/>
        <w:rPr>
          <w:sz w:val="20"/>
          <w:szCs w:val="20"/>
          <w:color w:val="auto"/>
        </w:rPr>
      </w:pPr>
    </w:p>
    <w:p>
      <w:pPr>
        <w:ind w:firstLine="405"/>
        <w:spacing w:after="0" w:line="285" w:lineRule="auto"/>
        <w:rPr>
          <w:sz w:val="20"/>
          <w:szCs w:val="20"/>
          <w:color w:val="auto"/>
        </w:rPr>
      </w:pPr>
      <w:r>
        <w:rPr>
          <w:rFonts w:ascii="Arial" w:cs="Arial" w:eastAsia="Arial" w:hAnsi="Arial"/>
          <w:sz w:val="16"/>
          <w:szCs w:val="16"/>
          <w:color w:val="auto"/>
        </w:rPr>
        <w:t>Bard filed appeals to the Federal Circuit Court of Appeals in all three reexams and the Company Cross-Appealed for the ‘302 and the ‘615 reexams. MedComp also filed an Amicus Brief in support of the Company on November 22, 2017. Meanwhile, on July 12, 2017 Bard assigned the asserted patents to Bard Peripheral Vascular, Inc. (“BPV”) which was added as co-Appellant before the Federal Circuit and as a co-Plaintiff in the Utah action. An oral hearing was held on September 5, 2018 and the Court rendered its decision on September 28, 2018, affirming that claims 1-5 and 10 of the ‘615 patent were invalid, but that claims 6-7 of the 615 patent and claims 1-4 of the 302 patent were valid over the prior art references considered in the Reexamination proceedings. The Federal Circuit also reversed the PTAB’s claim construction ruling and remanded for consideration of obviousness for the remaining claims under the new claim construction ruling and for further findings with respect to whether one of the asserted references qualified as a printed publication. On January 28, 2019, on remand, the USPTO reversed the rejections of the ‘302 claims 1-10, ‘022 claims 1-20 and ‘615 claims 8-9. The USPTO has since issued Inter Partes Reexamination Certificates for the ‘302 Patent for the ‘022 patent and for the ‘615 patent. The Company thereafter filed a Motion to Unstay the Utah Case and that motion was granted. On November 4, 2019 the Court held a joint Status Conference among the Company’s Utah Action and two other cases filed by Bard on the same patents against MedComp and Smiths. The Court set a schedule for defendant's Motions to Dismiss or Transfer. The Company filed its motion on November 25, 2019; and Bard filed a responsive brief and a motion for venue discovery on December 9, 2019. The Company filed a responsive brief on December 16, 2019 and Bard filed a reply on December 23, 2019. On February 27, 2020, the Court referred all non-dispositive motions to the presiding Magistrate and on March 3, 2020 the Court granted Bard’s Motion for Venue Discovery and denied the Company’s transfer motion without prejudice to re-filing after completion of the venue discovery, but no later than June 30, 2020. Following venue discovery, AngioDynamics re-filed its Motion to Dismiss or Transfer on June 30, 2020. Bard filed an opposition brief on July 28, 2020, and the Company filed a subsequent reply. The Court granted AngioDynamics’s Motion to Transfer on November 16, 2020. The case is currently pending in the District of Delaware and a scheduling conference has been set for January 21, 2021.The Company believes these claims are without merit and intends to defend them vigorously. The Company has not recorded an expense related to the outcome of this litigation because it is not yet possible to determine if a potential loss is probable nor reasonably estimable.</w:t>
      </w:r>
    </w:p>
    <w:p>
      <w:pPr>
        <w:spacing w:after="0" w:line="200" w:lineRule="exact"/>
        <w:rPr>
          <w:sz w:val="20"/>
          <w:szCs w:val="20"/>
          <w:color w:val="auto"/>
        </w:rPr>
      </w:pPr>
    </w:p>
    <w:p>
      <w:pPr>
        <w:spacing w:after="0" w:line="212" w:lineRule="exact"/>
        <w:rPr>
          <w:sz w:val="20"/>
          <w:szCs w:val="20"/>
          <w:color w:val="auto"/>
        </w:rPr>
      </w:pPr>
    </w:p>
    <w:p>
      <w:pPr>
        <w:ind w:right="40" w:firstLine="405"/>
        <w:spacing w:after="0" w:line="255" w:lineRule="auto"/>
        <w:rPr>
          <w:sz w:val="20"/>
          <w:szCs w:val="20"/>
          <w:color w:val="auto"/>
        </w:rPr>
      </w:pPr>
      <w:r>
        <w:rPr>
          <w:rFonts w:ascii="Arial" w:cs="Arial" w:eastAsia="Arial" w:hAnsi="Arial"/>
          <w:sz w:val="18"/>
          <w:szCs w:val="18"/>
          <w:color w:val="auto"/>
        </w:rPr>
        <w:t>On March 10, 2015, Bard and BPV filed suit in the United States District Court for the District of Delaware (the “Delaware Action") claiming certain of the Company's implantable port products infringe on three other U.S. patents held by Bard, which are different from those asserted in the Utah action. Bard's complaint seeks unspecified damages and other relief. On June 1, 2015, the Company filed two motions in response to Bard’s Complaint - one sought transfer to the District of Utah where the Utah Action is currently pending, and the other sought dismissal of the entire complaint on grounds that none of the claims in the asserted patents is directed to patent eligible subject matter under Section 101 of the Patent Statute and in light of recent authority from the U. S. Supreme Court.</w:t>
      </w:r>
    </w:p>
    <w:p>
      <w:pPr>
        <w:spacing w:after="0" w:line="138" w:lineRule="exact"/>
        <w:rPr>
          <w:sz w:val="20"/>
          <w:szCs w:val="20"/>
          <w:color w:val="auto"/>
        </w:rPr>
      </w:pPr>
    </w:p>
    <w:p>
      <w:pPr>
        <w:ind w:right="160" w:firstLine="405"/>
        <w:spacing w:after="0" w:line="263" w:lineRule="auto"/>
        <w:rPr>
          <w:sz w:val="20"/>
          <w:szCs w:val="20"/>
          <w:color w:val="auto"/>
        </w:rPr>
      </w:pPr>
      <w:r>
        <w:rPr>
          <w:rFonts w:ascii="Arial" w:cs="Arial" w:eastAsia="Arial" w:hAnsi="Arial"/>
          <w:sz w:val="18"/>
          <w:szCs w:val="18"/>
          <w:color w:val="auto"/>
        </w:rPr>
        <w:t>On January 12, 2016, the Court issued a decision denying both motions. A Markman hearing was held on March 10, 2017 and the Court issued its Claim Construction Order on May 19, 2017. On May 19, 2017, Bard served its Final Infringement Contentions and on June 2, 2017, the Company served its Final Invalidity Contentions.</w:t>
      </w:r>
    </w:p>
    <w:p>
      <w:pPr>
        <w:spacing w:after="0" w:line="130" w:lineRule="exact"/>
        <w:rPr>
          <w:sz w:val="20"/>
          <w:szCs w:val="20"/>
          <w:color w:val="auto"/>
        </w:rPr>
      </w:pPr>
    </w:p>
    <w:p>
      <w:pPr>
        <w:ind w:right="80" w:firstLine="405"/>
        <w:spacing w:after="0" w:line="288" w:lineRule="auto"/>
        <w:rPr>
          <w:sz w:val="20"/>
          <w:szCs w:val="20"/>
          <w:color w:val="auto"/>
        </w:rPr>
      </w:pPr>
      <w:r>
        <w:rPr>
          <w:rFonts w:ascii="Arial" w:cs="Arial" w:eastAsia="Arial" w:hAnsi="Arial"/>
          <w:sz w:val="16"/>
          <w:szCs w:val="16"/>
          <w:color w:val="auto"/>
        </w:rPr>
        <w:t>On October 20, 2017, the scheduling order for the case was amended to, among other things, set a trial date commencing July 23, 2018. The parties completed Expert Discovery in January 2018 and completed briefing on their respective case dispositive motions on April 27, 2018. On June 26, 2018, the Court denied all case dispositive motions, ruling that issues of material fact remained in dispute. On July 9, 2018, the Court continued the trial until March 2019. On January 9, 2019 the Court held a further claim construction hearing to resolve two outstanding claim construction issues prior to trial. A Report and Recommendation (by Magistrate-Judge Fallon) was issued on February 11, 2019 and entered by the Court on February 28, 2019. Jury selection was held on Friday March 1, 2019 and trial began on March 4, 2019. On day four of the jury trial, at the close of C.R. Bard’s case, the Court granted the Company's oral motion for judgment as a matter of law under rule 50(a) as well as its motions for summary judgement on the grounds that the asserted patents are invalid, ineligible, not infringed and not willfully infringed. On April 5, 2019, Bard filed a precautionary Notice of Appeal to the Federal Circuit. On April 26, 2019, the District Court issued a Memorandum and Order confirming the grant of judgment in the Company’s favor of patent ineligibility, non-infringement, patent invalidity and no willful infringement. Meanwhile, on May 10, 2019, the Company filed</w:t>
      </w:r>
    </w:p>
    <w:p>
      <w:pPr>
        <w:spacing w:after="0" w:line="200" w:lineRule="exact"/>
        <w:rPr>
          <w:sz w:val="20"/>
          <w:szCs w:val="20"/>
          <w:color w:val="auto"/>
        </w:rPr>
      </w:pPr>
    </w:p>
    <w:p>
      <w:pPr>
        <w:spacing w:after="0" w:line="30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21" w:name="page22"/>
    <w:bookmarkEnd w:id="21"/>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right="60"/>
        <w:spacing w:after="0" w:line="253" w:lineRule="auto"/>
        <w:rPr>
          <w:sz w:val="20"/>
          <w:szCs w:val="20"/>
          <w:color w:val="auto"/>
        </w:rPr>
      </w:pPr>
      <w:r>
        <w:rPr>
          <w:rFonts w:ascii="Arial" w:cs="Arial" w:eastAsia="Arial" w:hAnsi="Arial"/>
          <w:sz w:val="18"/>
          <w:szCs w:val="18"/>
          <w:color w:val="auto"/>
        </w:rPr>
        <w:t xml:space="preserve">a Motion for Attorney fees and non-taxable expenses under 35 USC Sec. 285. On May 21, 2019, the Court issued a Memorandum and Order which, inter alia, stayed proceedings on the Company’s fee Motion and the Company’s equitable claims pending appeal; and entered Final Judgment on May 21, 2019 as well. Bard filed a second Notice of Appeal on May 23, 2019. Both appeals have since been consolidated and Bard’s opening brief was filed on September 27, 2019; the Company's answering brief was filed on January 15, 2020; and Bard’s reply brief was filed on March 4, 2020. A hearing was held on June 1, 2020, and the court issued its decision on November 10, 2020. The Federal Circuit reversed the judgment in part with respect to Section 101, and vacated and remanded the trial court’s invalidity and non-infringement judgments. The Company filed a combined Petition for rehearing and rehearing </w:t>
      </w:r>
      <w:r>
        <w:rPr>
          <w:rFonts w:ascii="Arial" w:cs="Arial" w:eastAsia="Arial" w:hAnsi="Arial"/>
          <w:sz w:val="18"/>
          <w:szCs w:val="18"/>
          <w:i w:val="1"/>
          <w:iCs w:val="1"/>
          <w:color w:val="auto"/>
        </w:rPr>
        <w:t xml:space="preserve">en banc </w:t>
      </w:r>
      <w:r>
        <w:rPr>
          <w:rFonts w:ascii="Arial" w:cs="Arial" w:eastAsia="Arial" w:hAnsi="Arial"/>
          <w:sz w:val="18"/>
          <w:szCs w:val="18"/>
          <w:color w:val="auto"/>
        </w:rPr>
        <w:t>on December 10, 2020 which remains pending. The Company maintains its belief that Bard’s claims are without merit. The Company has not</w:t>
      </w:r>
      <w:r>
        <w:rPr>
          <w:rFonts w:ascii="Arial" w:cs="Arial" w:eastAsia="Arial" w:hAnsi="Arial"/>
          <w:sz w:val="18"/>
          <w:szCs w:val="18"/>
          <w:i w:val="1"/>
          <w:iCs w:val="1"/>
          <w:color w:val="auto"/>
        </w:rPr>
        <w:t xml:space="preserve"> </w:t>
      </w:r>
      <w:r>
        <w:rPr>
          <w:rFonts w:ascii="Arial" w:cs="Arial" w:eastAsia="Arial" w:hAnsi="Arial"/>
          <w:sz w:val="18"/>
          <w:szCs w:val="18"/>
          <w:color w:val="auto"/>
        </w:rPr>
        <w:t>recorded an expense related to the outcome of this litigation because it is not yet possible to determine if a potential loss is probable nor reasonably estimable.</w:t>
      </w: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AngioDynamics, Inc. v. C.R. Bard, Inc.</w:t>
      </w:r>
    </w:p>
    <w:p>
      <w:pPr>
        <w:spacing w:after="0" w:line="171" w:lineRule="exact"/>
        <w:rPr>
          <w:sz w:val="20"/>
          <w:szCs w:val="20"/>
          <w:color w:val="auto"/>
        </w:rPr>
      </w:pPr>
    </w:p>
    <w:p>
      <w:pPr>
        <w:ind w:right="100" w:firstLine="405"/>
        <w:spacing w:after="0" w:line="273" w:lineRule="auto"/>
        <w:rPr>
          <w:sz w:val="20"/>
          <w:szCs w:val="20"/>
          <w:color w:val="auto"/>
        </w:rPr>
      </w:pPr>
      <w:r>
        <w:rPr>
          <w:rFonts w:ascii="Arial" w:cs="Arial" w:eastAsia="Arial" w:hAnsi="Arial"/>
          <w:sz w:val="17"/>
          <w:szCs w:val="17"/>
          <w:color w:val="auto"/>
        </w:rPr>
        <w:t>On May 30, 2017, the Company commenced an action in the United States District Court for the Northern District of New York entitled AngioDynamics, Inc. v. C.R. Bard, Inc. and Bard Access Systems, Inc. (“Bard”). In this action, the Company alleges that Bard has illegally tied the sales of its tip location systems to the sales of its PICCs. The Company alleges that this practice violates the federal antitrust laws and has had, and continues to have, an anti-competitive effect in the market for PICCs. The Company seeks both monetary damages and injunctive relief. Bard moved to dismiss on September 8, 2017. On August 6, 2018 the court denied Bard’s motion in its entirety. Discovery is largely complete, summary judgment, including all reply briefs, were fully briefed in October 2020, and the case will subsequently proceed to trial thereafter.</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Merz North America Settlement</w:t>
      </w:r>
    </w:p>
    <w:p>
      <w:pPr>
        <w:spacing w:after="0" w:line="171" w:lineRule="exact"/>
        <w:rPr>
          <w:sz w:val="20"/>
          <w:szCs w:val="20"/>
          <w:color w:val="auto"/>
        </w:rPr>
      </w:pPr>
    </w:p>
    <w:p>
      <w:pPr>
        <w:ind w:firstLine="405"/>
        <w:spacing w:after="0" w:line="301" w:lineRule="auto"/>
        <w:rPr>
          <w:sz w:val="20"/>
          <w:szCs w:val="20"/>
          <w:color w:val="auto"/>
        </w:rPr>
      </w:pPr>
      <w:r>
        <w:rPr>
          <w:rFonts w:ascii="Arial" w:cs="Arial" w:eastAsia="Arial" w:hAnsi="Arial"/>
          <w:sz w:val="16"/>
          <w:szCs w:val="16"/>
          <w:color w:val="auto"/>
        </w:rPr>
        <w:t>On May 16, 2019, Merz North America, Inc. (“Merz”) commenced an action in the United States District Court for the Southern District of New York entitled Merz North America, Inc. v. AngioDynamics, Inc. In this action, Merz alleged breach of contract against AngioDynamics based on a March 1, 2016 Distribution Agreement. On June 28, 2019, AngioDynamics reached a settlement with Merz. AngioDynamics made a lump-sum payment of $2.5 million to Merz in return for dismissal of the case with prejudice during the first quarter of fiscal year 2020. The case was subsequently dismissed.</w:t>
      </w:r>
    </w:p>
    <w:p>
      <w:pPr>
        <w:spacing w:after="0" w:line="3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15. ACQUISITION, RESTRUCTURING, AND OTHER ITEMS, NET</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Acquisition, Restructuring and Other Items</w:t>
      </w:r>
    </w:p>
    <w:p>
      <w:pPr>
        <w:spacing w:after="0" w:line="171" w:lineRule="exact"/>
        <w:rPr>
          <w:sz w:val="20"/>
          <w:szCs w:val="20"/>
          <w:color w:val="auto"/>
        </w:rPr>
      </w:pPr>
    </w:p>
    <w:p>
      <w:pPr>
        <w:ind w:left="420"/>
        <w:spacing w:after="0"/>
        <w:rPr>
          <w:sz w:val="20"/>
          <w:szCs w:val="20"/>
          <w:color w:val="auto"/>
        </w:rPr>
      </w:pPr>
      <w:r>
        <w:rPr>
          <w:rFonts w:ascii="Arial" w:cs="Arial" w:eastAsia="Arial" w:hAnsi="Arial"/>
          <w:sz w:val="18"/>
          <w:szCs w:val="18"/>
          <w:color w:val="auto"/>
        </w:rPr>
        <w:t>Acquisition, restructuring and other items, net consisted of:</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52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820" w:type="dxa"/>
            <w:vAlign w:val="bottom"/>
            <w:gridSpan w:val="5"/>
          </w:tcPr>
          <w:p>
            <w:pPr>
              <w:ind w:left="640"/>
              <w:spacing w:after="0"/>
              <w:rPr>
                <w:sz w:val="20"/>
                <w:szCs w:val="20"/>
                <w:color w:val="auto"/>
              </w:rPr>
            </w:pPr>
            <w:r>
              <w:rPr>
                <w:rFonts w:ascii="Arial" w:cs="Arial" w:eastAsia="Arial" w:hAnsi="Arial"/>
                <w:sz w:val="14"/>
                <w:szCs w:val="14"/>
                <w:color w:val="auto"/>
              </w:rPr>
              <w:t>Three Months Ended</w:t>
            </w:r>
          </w:p>
        </w:tc>
        <w:tc>
          <w:tcPr>
            <w:tcW w:w="200" w:type="dxa"/>
            <w:vAlign w:val="bottom"/>
          </w:tcPr>
          <w:p>
            <w:pPr>
              <w:spacing w:after="0"/>
              <w:rPr>
                <w:sz w:val="16"/>
                <w:szCs w:val="16"/>
                <w:color w:val="auto"/>
              </w:rPr>
            </w:pPr>
          </w:p>
        </w:tc>
        <w:tc>
          <w:tcPr>
            <w:tcW w:w="2740" w:type="dxa"/>
            <w:vAlign w:val="bottom"/>
            <w:gridSpan w:val="4"/>
          </w:tcPr>
          <w:p>
            <w:pPr>
              <w:jc w:val="right"/>
              <w:ind w:right="852"/>
              <w:spacing w:after="0"/>
              <w:rPr>
                <w:sz w:val="20"/>
                <w:szCs w:val="20"/>
                <w:color w:val="auto"/>
              </w:rPr>
            </w:pPr>
            <w:r>
              <w:rPr>
                <w:rFonts w:ascii="Arial" w:cs="Arial" w:eastAsia="Arial" w:hAnsi="Arial"/>
                <w:sz w:val="14"/>
                <w:szCs w:val="14"/>
                <w:color w:val="auto"/>
              </w:rPr>
              <w:t>Six Months Ended</w:t>
            </w:r>
          </w:p>
        </w:tc>
      </w:tr>
      <w:tr>
        <w:trPr>
          <w:trHeight w:val="186"/>
        </w:trPr>
        <w:tc>
          <w:tcPr>
            <w:tcW w:w="5280" w:type="dxa"/>
            <w:vAlign w:val="bottom"/>
          </w:tcPr>
          <w:p>
            <w:pPr>
              <w:ind w:left="20"/>
              <w:spacing w:after="0"/>
              <w:rPr>
                <w:sz w:val="20"/>
                <w:szCs w:val="20"/>
                <w:color w:val="auto"/>
              </w:rPr>
            </w:pPr>
            <w:r>
              <w:rPr>
                <w:rFonts w:ascii="Arial" w:cs="Arial" w:eastAsia="Arial" w:hAnsi="Arial"/>
                <w:sz w:val="14"/>
                <w:szCs w:val="14"/>
                <w:color w:val="auto"/>
              </w:rPr>
              <w:t>(in thousands)</w:t>
            </w:r>
          </w:p>
        </w:tc>
        <w:tc>
          <w:tcPr>
            <w:tcW w:w="200" w:type="dxa"/>
            <w:vAlign w:val="bottom"/>
            <w:tcBorders>
              <w:top w:val="single" w:sz="8" w:color="auto"/>
            </w:tcBorders>
          </w:tcPr>
          <w:p>
            <w:pPr>
              <w:spacing w:after="0"/>
              <w:rPr>
                <w:sz w:val="16"/>
                <w:szCs w:val="16"/>
                <w:color w:val="auto"/>
              </w:rPr>
            </w:pPr>
          </w:p>
        </w:tc>
        <w:tc>
          <w:tcPr>
            <w:tcW w:w="1300" w:type="dxa"/>
            <w:vAlign w:val="bottom"/>
            <w:tcBorders>
              <w:top w:val="single" w:sz="8" w:color="auto"/>
            </w:tcBorders>
            <w:gridSpan w:val="2"/>
          </w:tcPr>
          <w:p>
            <w:pPr>
              <w:ind w:left="100"/>
              <w:spacing w:after="0"/>
              <w:rPr>
                <w:sz w:val="20"/>
                <w:szCs w:val="20"/>
                <w:color w:val="auto"/>
              </w:rPr>
            </w:pPr>
            <w:r>
              <w:rPr>
                <w:rFonts w:ascii="Arial" w:cs="Arial" w:eastAsia="Arial" w:hAnsi="Arial"/>
                <w:sz w:val="14"/>
                <w:szCs w:val="14"/>
                <w:color w:val="auto"/>
              </w:rPr>
              <w:t>Nov 30, 2020</w:t>
            </w:r>
          </w:p>
        </w:tc>
        <w:tc>
          <w:tcPr>
            <w:tcW w:w="220" w:type="dxa"/>
            <w:vAlign w:val="bottom"/>
            <w:tcBorders>
              <w:top w:val="single" w:sz="8" w:color="auto"/>
            </w:tcBorders>
          </w:tcPr>
          <w:p>
            <w:pPr>
              <w:spacing w:after="0"/>
              <w:rPr>
                <w:sz w:val="16"/>
                <w:szCs w:val="16"/>
                <w:color w:val="auto"/>
              </w:rPr>
            </w:pPr>
          </w:p>
        </w:tc>
        <w:tc>
          <w:tcPr>
            <w:tcW w:w="1180" w:type="dxa"/>
            <w:vAlign w:val="bottom"/>
            <w:tcBorders>
              <w:top w:val="single" w:sz="8" w:color="auto"/>
            </w:tcBorders>
          </w:tcPr>
          <w:p>
            <w:pPr>
              <w:jc w:val="right"/>
              <w:ind w:right="212"/>
              <w:spacing w:after="0"/>
              <w:rPr>
                <w:sz w:val="20"/>
                <w:szCs w:val="20"/>
                <w:color w:val="auto"/>
              </w:rPr>
            </w:pPr>
            <w:r>
              <w:rPr>
                <w:rFonts w:ascii="Arial" w:cs="Arial" w:eastAsia="Arial" w:hAnsi="Arial"/>
                <w:sz w:val="14"/>
                <w:szCs w:val="14"/>
                <w:color w:val="auto"/>
              </w:rPr>
              <w:t>Nov 30, 2019</w:t>
            </w:r>
          </w:p>
        </w:tc>
        <w:tc>
          <w:tcPr>
            <w:tcW w:w="120" w:type="dxa"/>
            <w:vAlign w:val="bottom"/>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1320" w:type="dxa"/>
            <w:vAlign w:val="bottom"/>
            <w:tcBorders>
              <w:top w:val="single" w:sz="8" w:color="auto"/>
            </w:tcBorders>
            <w:gridSpan w:val="2"/>
          </w:tcPr>
          <w:p>
            <w:pPr>
              <w:ind w:left="120"/>
              <w:spacing w:after="0"/>
              <w:rPr>
                <w:sz w:val="20"/>
                <w:szCs w:val="20"/>
                <w:color w:val="auto"/>
              </w:rPr>
            </w:pPr>
            <w:r>
              <w:rPr>
                <w:rFonts w:ascii="Arial" w:cs="Arial" w:eastAsia="Arial" w:hAnsi="Arial"/>
                <w:sz w:val="14"/>
                <w:szCs w:val="14"/>
                <w:color w:val="auto"/>
              </w:rPr>
              <w:t>Nov 30, 2020</w:t>
            </w:r>
          </w:p>
        </w:tc>
        <w:tc>
          <w:tcPr>
            <w:tcW w:w="220" w:type="dxa"/>
            <w:vAlign w:val="bottom"/>
            <w:tcBorders>
              <w:top w:val="single" w:sz="8" w:color="auto"/>
            </w:tcBorders>
          </w:tcPr>
          <w:p>
            <w:pPr>
              <w:spacing w:after="0"/>
              <w:rPr>
                <w:sz w:val="16"/>
                <w:szCs w:val="16"/>
                <w:color w:val="auto"/>
              </w:rPr>
            </w:pPr>
          </w:p>
        </w:tc>
        <w:tc>
          <w:tcPr>
            <w:tcW w:w="1200" w:type="dxa"/>
            <w:vAlign w:val="bottom"/>
            <w:tcBorders>
              <w:top w:val="single" w:sz="8" w:color="auto"/>
            </w:tcBorders>
          </w:tcPr>
          <w:p>
            <w:pPr>
              <w:jc w:val="right"/>
              <w:ind w:right="232"/>
              <w:spacing w:after="0"/>
              <w:rPr>
                <w:sz w:val="20"/>
                <w:szCs w:val="20"/>
                <w:color w:val="auto"/>
              </w:rPr>
            </w:pPr>
            <w:r>
              <w:rPr>
                <w:rFonts w:ascii="Arial" w:cs="Arial" w:eastAsia="Arial" w:hAnsi="Arial"/>
                <w:sz w:val="14"/>
                <w:szCs w:val="14"/>
                <w:color w:val="auto"/>
              </w:rPr>
              <w:t>Nov 30, 2019</w:t>
            </w:r>
          </w:p>
        </w:tc>
      </w:tr>
      <w:tr>
        <w:trPr>
          <w:trHeight w:val="226"/>
        </w:trPr>
        <w:tc>
          <w:tcPr>
            <w:tcW w:w="5280" w:type="dxa"/>
            <w:vAlign w:val="bottom"/>
            <w:tcBorders>
              <w:top w:val="single" w:sz="8" w:color="CCEEFF"/>
            </w:tcBorders>
            <w:shd w:val="clear" w:color="auto" w:fill="CCEEFF"/>
          </w:tcPr>
          <w:p>
            <w:pPr>
              <w:ind w:left="20"/>
              <w:spacing w:after="0" w:line="226" w:lineRule="exact"/>
              <w:rPr>
                <w:sz w:val="20"/>
                <w:szCs w:val="20"/>
                <w:color w:val="auto"/>
              </w:rPr>
            </w:pPr>
            <w:r>
              <w:rPr>
                <w:rFonts w:ascii="Arial" w:cs="Arial" w:eastAsia="Arial" w:hAnsi="Arial"/>
                <w:sz w:val="18"/>
                <w:szCs w:val="18"/>
                <w:color w:val="auto"/>
              </w:rPr>
              <w:t xml:space="preserve">Legal </w:t>
            </w:r>
            <w:r>
              <w:rPr>
                <w:rFonts w:ascii="Arial" w:cs="Arial" w:eastAsia="Arial" w:hAnsi="Arial"/>
                <w:sz w:val="23"/>
                <w:szCs w:val="23"/>
                <w:color w:val="auto"/>
                <w:vertAlign w:val="superscript"/>
              </w:rPr>
              <w:t>(1)</w:t>
            </w: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1,185</w:t>
            </w: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684</w:t>
            </w:r>
          </w:p>
        </w:tc>
        <w:tc>
          <w:tcPr>
            <w:tcW w:w="12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2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1,980</w:t>
            </w: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1,353</w:t>
            </w:r>
          </w:p>
        </w:tc>
      </w:tr>
      <w:tr>
        <w:trPr>
          <w:trHeight w:val="230"/>
        </w:trPr>
        <w:tc>
          <w:tcPr>
            <w:tcW w:w="5280" w:type="dxa"/>
            <w:vAlign w:val="bottom"/>
          </w:tcPr>
          <w:p>
            <w:pPr>
              <w:ind w:left="20"/>
              <w:spacing w:after="0" w:line="230" w:lineRule="exact"/>
              <w:rPr>
                <w:sz w:val="20"/>
                <w:szCs w:val="20"/>
                <w:color w:val="auto"/>
              </w:rPr>
            </w:pPr>
            <w:r>
              <w:rPr>
                <w:rFonts w:ascii="Arial" w:cs="Arial" w:eastAsia="Arial" w:hAnsi="Arial"/>
                <w:sz w:val="18"/>
                <w:szCs w:val="18"/>
                <w:color w:val="auto"/>
              </w:rPr>
              <w:t xml:space="preserve">Mergers and acquisitions </w:t>
            </w:r>
            <w:r>
              <w:rPr>
                <w:rFonts w:ascii="Arial" w:cs="Arial" w:eastAsia="Arial" w:hAnsi="Arial"/>
                <w:sz w:val="23"/>
                <w:szCs w:val="23"/>
                <w:color w:val="auto"/>
                <w:vertAlign w:val="superscript"/>
              </w:rPr>
              <w:t>(2)</w:t>
            </w:r>
          </w:p>
        </w:tc>
        <w:tc>
          <w:tcPr>
            <w:tcW w:w="200" w:type="dxa"/>
            <w:vAlign w:val="bottom"/>
          </w:tcPr>
          <w:p>
            <w:pPr>
              <w:spacing w:after="0"/>
              <w:rPr>
                <w:sz w:val="19"/>
                <w:szCs w:val="19"/>
                <w:color w:val="auto"/>
              </w:rPr>
            </w:pPr>
          </w:p>
        </w:tc>
        <w:tc>
          <w:tcPr>
            <w:tcW w:w="13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382</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628</w:t>
            </w:r>
          </w:p>
        </w:tc>
      </w:tr>
      <w:tr>
        <w:trPr>
          <w:trHeight w:val="229"/>
        </w:trPr>
        <w:tc>
          <w:tcPr>
            <w:tcW w:w="5280" w:type="dxa"/>
            <w:vAlign w:val="bottom"/>
            <w:shd w:val="clear" w:color="auto" w:fill="CCEEFF"/>
          </w:tcPr>
          <w:p>
            <w:pPr>
              <w:ind w:left="20"/>
              <w:spacing w:after="0" w:line="230" w:lineRule="exact"/>
              <w:rPr>
                <w:sz w:val="20"/>
                <w:szCs w:val="20"/>
                <w:color w:val="auto"/>
              </w:rPr>
            </w:pPr>
            <w:r>
              <w:rPr>
                <w:rFonts w:ascii="Arial" w:cs="Arial" w:eastAsia="Arial" w:hAnsi="Arial"/>
                <w:sz w:val="18"/>
                <w:szCs w:val="18"/>
                <w:color w:val="auto"/>
              </w:rPr>
              <w:t xml:space="preserve">Transition service agreement </w:t>
            </w:r>
            <w:r>
              <w:rPr>
                <w:rFonts w:ascii="Arial" w:cs="Arial" w:eastAsia="Arial" w:hAnsi="Arial"/>
                <w:sz w:val="23"/>
                <w:szCs w:val="23"/>
                <w:color w:val="auto"/>
                <w:vertAlign w:val="superscript"/>
              </w:rPr>
              <w:t>(3)</w:t>
            </w:r>
          </w:p>
        </w:tc>
        <w:tc>
          <w:tcPr>
            <w:tcW w:w="20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(334)</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(597)</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(709)</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(1,334)</w:t>
            </w:r>
          </w:p>
        </w:tc>
      </w:tr>
      <w:tr>
        <w:trPr>
          <w:trHeight w:val="230"/>
        </w:trPr>
        <w:tc>
          <w:tcPr>
            <w:tcW w:w="5280" w:type="dxa"/>
            <w:vAlign w:val="bottom"/>
          </w:tcPr>
          <w:p>
            <w:pPr>
              <w:ind w:left="20"/>
              <w:spacing w:after="0" w:line="230" w:lineRule="exact"/>
              <w:rPr>
                <w:sz w:val="20"/>
                <w:szCs w:val="20"/>
                <w:color w:val="auto"/>
              </w:rPr>
            </w:pPr>
            <w:r>
              <w:rPr>
                <w:rFonts w:ascii="Arial" w:cs="Arial" w:eastAsia="Arial" w:hAnsi="Arial"/>
                <w:sz w:val="18"/>
                <w:szCs w:val="18"/>
                <w:color w:val="auto"/>
              </w:rPr>
              <w:t xml:space="preserve">Divestiture </w:t>
            </w:r>
            <w:r>
              <w:rPr>
                <w:rFonts w:ascii="Arial" w:cs="Arial" w:eastAsia="Arial" w:hAnsi="Arial"/>
                <w:sz w:val="23"/>
                <w:szCs w:val="23"/>
                <w:color w:val="auto"/>
                <w:vertAlign w:val="superscript"/>
              </w:rPr>
              <w:t>(4)</w:t>
            </w:r>
          </w:p>
        </w:tc>
        <w:tc>
          <w:tcPr>
            <w:tcW w:w="2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112</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701</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384</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1,459</w:t>
            </w:r>
          </w:p>
        </w:tc>
      </w:tr>
      <w:tr>
        <w:trPr>
          <w:trHeight w:val="230"/>
        </w:trPr>
        <w:tc>
          <w:tcPr>
            <w:tcW w:w="528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Restructuring</w:t>
            </w:r>
          </w:p>
        </w:tc>
        <w:tc>
          <w:tcPr>
            <w:tcW w:w="20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w:t>
            </w:r>
          </w:p>
        </w:tc>
      </w:tr>
      <w:tr>
        <w:trPr>
          <w:trHeight w:val="230"/>
        </w:trPr>
        <w:tc>
          <w:tcPr>
            <w:tcW w:w="52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Other</w:t>
            </w:r>
          </w:p>
        </w:tc>
        <w:tc>
          <w:tcPr>
            <w:tcW w:w="20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165</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251</w:t>
            </w:r>
          </w:p>
        </w:tc>
        <w:tc>
          <w:tcPr>
            <w:tcW w:w="12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791</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789</w:t>
            </w:r>
          </w:p>
        </w:tc>
      </w:tr>
      <w:tr>
        <w:trPr>
          <w:trHeight w:val="248"/>
        </w:trPr>
        <w:tc>
          <w:tcPr>
            <w:tcW w:w="528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Total</w:t>
            </w: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1,128</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1,421</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2,447</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2,921</w:t>
            </w:r>
          </w:p>
        </w:tc>
      </w:tr>
      <w:tr>
        <w:trPr>
          <w:trHeight w:val="20"/>
        </w:trPr>
        <w:tc>
          <w:tcPr>
            <w:tcW w:w="52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r>
    </w:tbl>
    <w:p>
      <w:pPr>
        <w:spacing w:after="0" w:line="98" w:lineRule="exact"/>
        <w:rPr>
          <w:sz w:val="20"/>
          <w:szCs w:val="20"/>
          <w:color w:val="auto"/>
        </w:rPr>
      </w:pPr>
    </w:p>
    <w:p>
      <w:pPr>
        <w:ind w:left="240" w:hanging="232"/>
        <w:spacing w:after="0"/>
        <w:tabs>
          <w:tab w:leader="none" w:pos="240" w:val="left"/>
        </w:tabs>
        <w:numPr>
          <w:ilvl w:val="0"/>
          <w:numId w:val="7"/>
        </w:numPr>
        <w:rPr>
          <w:rFonts w:ascii="Arial" w:cs="Arial" w:eastAsia="Arial" w:hAnsi="Arial"/>
          <w:sz w:val="16"/>
          <w:szCs w:val="16"/>
          <w:color w:val="auto"/>
        </w:rPr>
      </w:pPr>
      <w:r>
        <w:rPr>
          <w:rFonts w:ascii="Arial" w:cs="Arial" w:eastAsia="Arial" w:hAnsi="Arial"/>
          <w:sz w:val="16"/>
          <w:szCs w:val="16"/>
          <w:color w:val="auto"/>
        </w:rPr>
        <w:t>Legal expenses related to litigation that is outside the normal course of business.</w:t>
      </w:r>
    </w:p>
    <w:p>
      <w:pPr>
        <w:spacing w:after="0" w:line="19" w:lineRule="exact"/>
        <w:rPr>
          <w:rFonts w:ascii="Arial" w:cs="Arial" w:eastAsia="Arial" w:hAnsi="Arial"/>
          <w:sz w:val="16"/>
          <w:szCs w:val="16"/>
          <w:color w:val="auto"/>
        </w:rPr>
      </w:pPr>
    </w:p>
    <w:p>
      <w:pPr>
        <w:ind w:left="240" w:hanging="232"/>
        <w:spacing w:after="0"/>
        <w:tabs>
          <w:tab w:leader="none" w:pos="240" w:val="left"/>
        </w:tabs>
        <w:numPr>
          <w:ilvl w:val="0"/>
          <w:numId w:val="7"/>
        </w:numPr>
        <w:rPr>
          <w:rFonts w:ascii="Arial" w:cs="Arial" w:eastAsia="Arial" w:hAnsi="Arial"/>
          <w:sz w:val="16"/>
          <w:szCs w:val="16"/>
          <w:color w:val="auto"/>
        </w:rPr>
      </w:pPr>
      <w:r>
        <w:rPr>
          <w:rFonts w:ascii="Arial" w:cs="Arial" w:eastAsia="Arial" w:hAnsi="Arial"/>
          <w:sz w:val="16"/>
          <w:szCs w:val="16"/>
          <w:color w:val="auto"/>
        </w:rPr>
        <w:t>Mergers and acquisitions expenses related to investment banking, legal and due diligence.</w:t>
      </w:r>
    </w:p>
    <w:p>
      <w:pPr>
        <w:spacing w:after="0" w:line="5" w:lineRule="exact"/>
        <w:rPr>
          <w:rFonts w:ascii="Arial" w:cs="Arial" w:eastAsia="Arial" w:hAnsi="Arial"/>
          <w:sz w:val="16"/>
          <w:szCs w:val="16"/>
          <w:color w:val="auto"/>
        </w:rPr>
      </w:pPr>
    </w:p>
    <w:p>
      <w:pPr>
        <w:ind w:left="240" w:hanging="232"/>
        <w:spacing w:after="0"/>
        <w:tabs>
          <w:tab w:leader="none" w:pos="240" w:val="left"/>
        </w:tabs>
        <w:numPr>
          <w:ilvl w:val="0"/>
          <w:numId w:val="7"/>
        </w:numPr>
        <w:rPr>
          <w:rFonts w:ascii="Arial" w:cs="Arial" w:eastAsia="Arial" w:hAnsi="Arial"/>
          <w:sz w:val="16"/>
          <w:szCs w:val="16"/>
          <w:color w:val="auto"/>
        </w:rPr>
      </w:pPr>
      <w:r>
        <w:rPr>
          <w:rFonts w:ascii="Arial" w:cs="Arial" w:eastAsia="Arial" w:hAnsi="Arial"/>
          <w:sz w:val="16"/>
          <w:szCs w:val="16"/>
          <w:color w:val="auto"/>
        </w:rPr>
        <w:t>Transition services agreement that was entered into as a result of the sale of the Fluid Management business.</w:t>
      </w:r>
    </w:p>
    <w:p>
      <w:pPr>
        <w:spacing w:after="0" w:line="5" w:lineRule="exact"/>
        <w:rPr>
          <w:rFonts w:ascii="Arial" w:cs="Arial" w:eastAsia="Arial" w:hAnsi="Arial"/>
          <w:sz w:val="16"/>
          <w:szCs w:val="16"/>
          <w:color w:val="auto"/>
        </w:rPr>
      </w:pPr>
    </w:p>
    <w:p>
      <w:pPr>
        <w:ind w:left="240" w:hanging="232"/>
        <w:spacing w:after="0"/>
        <w:tabs>
          <w:tab w:leader="none" w:pos="240" w:val="left"/>
        </w:tabs>
        <w:numPr>
          <w:ilvl w:val="0"/>
          <w:numId w:val="7"/>
        </w:numPr>
        <w:rPr>
          <w:rFonts w:ascii="Arial" w:cs="Arial" w:eastAsia="Arial" w:hAnsi="Arial"/>
          <w:sz w:val="16"/>
          <w:szCs w:val="16"/>
          <w:color w:val="auto"/>
        </w:rPr>
      </w:pPr>
      <w:r>
        <w:rPr>
          <w:rFonts w:ascii="Arial" w:cs="Arial" w:eastAsia="Arial" w:hAnsi="Arial"/>
          <w:sz w:val="16"/>
          <w:szCs w:val="16"/>
          <w:color w:val="auto"/>
        </w:rPr>
        <w:t>Divestiture expenses incurred to transition manufacturing from Glens Falls, NY to Queensbury, NY.</w:t>
      </w:r>
    </w:p>
    <w:p>
      <w:pPr>
        <w:spacing w:after="0" w:line="230" w:lineRule="exact"/>
        <w:rPr>
          <w:sz w:val="20"/>
          <w:szCs w:val="20"/>
          <w:color w:val="auto"/>
        </w:rPr>
      </w:pPr>
    </w:p>
    <w:p>
      <w:pPr>
        <w:ind w:right="300" w:firstLine="405"/>
        <w:spacing w:after="0" w:line="277" w:lineRule="auto"/>
        <w:rPr>
          <w:sz w:val="20"/>
          <w:szCs w:val="20"/>
          <w:color w:val="auto"/>
        </w:rPr>
      </w:pPr>
      <w:r>
        <w:rPr>
          <w:rFonts w:ascii="Arial" w:cs="Arial" w:eastAsia="Arial" w:hAnsi="Arial"/>
          <w:sz w:val="18"/>
          <w:szCs w:val="18"/>
          <w:color w:val="auto"/>
        </w:rPr>
        <w:t>Included in the $1.4 million in legal for the six months ended November 30, 2019 is a $0.4 million settlement received for the Biolitec bankruptcy litigation. The settlement received offsets legal expenses paid related to the settlement proceedings.</w:t>
      </w:r>
    </w:p>
    <w:p>
      <w:pPr>
        <w:spacing w:after="0" w:line="200" w:lineRule="exact"/>
        <w:rPr>
          <w:sz w:val="20"/>
          <w:szCs w:val="20"/>
          <w:color w:val="auto"/>
        </w:rPr>
      </w:pPr>
    </w:p>
    <w:p>
      <w:pPr>
        <w:spacing w:after="0" w:line="3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2" w:name="page23"/>
    <w:bookmarkEnd w:id="22"/>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16. ACCUMULATED OTHER COMPREHENSIVE INCOME</w:t>
      </w:r>
    </w:p>
    <w:p>
      <w:pPr>
        <w:spacing w:after="0" w:line="175" w:lineRule="exact"/>
        <w:rPr>
          <w:sz w:val="20"/>
          <w:szCs w:val="20"/>
          <w:color w:val="auto"/>
        </w:rPr>
      </w:pPr>
    </w:p>
    <w:p>
      <w:pPr>
        <w:ind w:left="420"/>
        <w:spacing w:after="0"/>
        <w:rPr>
          <w:sz w:val="20"/>
          <w:szCs w:val="20"/>
          <w:color w:val="auto"/>
        </w:rPr>
      </w:pPr>
      <w:r>
        <w:rPr>
          <w:rFonts w:ascii="Arial" w:cs="Arial" w:eastAsia="Arial" w:hAnsi="Arial"/>
          <w:sz w:val="18"/>
          <w:szCs w:val="18"/>
          <w:color w:val="auto"/>
        </w:rPr>
        <w:t>Changes in each component of accumulated other comprehensive income, net of tax, are as follows:</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3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20" w:type="dxa"/>
            <w:vAlign w:val="bottom"/>
          </w:tcPr>
          <w:p>
            <w:pPr>
              <w:jc w:val="center"/>
              <w:ind w:right="17"/>
              <w:spacing w:after="0"/>
              <w:rPr>
                <w:sz w:val="20"/>
                <w:szCs w:val="20"/>
                <w:color w:val="auto"/>
              </w:rPr>
            </w:pPr>
            <w:r>
              <w:rPr>
                <w:rFonts w:ascii="Arial" w:cs="Arial" w:eastAsia="Arial" w:hAnsi="Arial"/>
                <w:sz w:val="14"/>
                <w:szCs w:val="14"/>
                <w:color w:val="auto"/>
                <w:w w:val="94"/>
              </w:rPr>
              <w:t>Three Months Ended Nov 30,</w:t>
            </w:r>
          </w:p>
        </w:tc>
        <w:tc>
          <w:tcPr>
            <w:tcW w:w="0" w:type="dxa"/>
            <w:vAlign w:val="bottom"/>
          </w:tcPr>
          <w:p>
            <w:pPr>
              <w:spacing w:after="0"/>
              <w:rPr>
                <w:sz w:val="1"/>
                <w:szCs w:val="1"/>
                <w:color w:val="auto"/>
              </w:rPr>
            </w:pPr>
          </w:p>
        </w:tc>
      </w:tr>
      <w:tr>
        <w:trPr>
          <w:trHeight w:val="186"/>
        </w:trPr>
        <w:tc>
          <w:tcPr>
            <w:tcW w:w="930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820" w:type="dxa"/>
            <w:vAlign w:val="bottom"/>
            <w:tcBorders>
              <w:bottom w:val="single" w:sz="8" w:color="auto"/>
            </w:tcBorders>
          </w:tcPr>
          <w:p>
            <w:pPr>
              <w:jc w:val="center"/>
              <w:ind w:right="17"/>
              <w:spacing w:after="0"/>
              <w:rPr>
                <w:sz w:val="20"/>
                <w:szCs w:val="20"/>
                <w:color w:val="auto"/>
              </w:rPr>
            </w:pPr>
            <w:r>
              <w:rPr>
                <w:rFonts w:ascii="Arial" w:cs="Arial" w:eastAsia="Arial" w:hAnsi="Arial"/>
                <w:sz w:val="14"/>
                <w:szCs w:val="14"/>
                <w:color w:val="auto"/>
                <w:w w:val="89"/>
              </w:rPr>
              <w:t>2020</w:t>
            </w:r>
          </w:p>
        </w:tc>
        <w:tc>
          <w:tcPr>
            <w:tcW w:w="0" w:type="dxa"/>
            <w:vAlign w:val="bottom"/>
          </w:tcPr>
          <w:p>
            <w:pPr>
              <w:spacing w:after="0"/>
              <w:rPr>
                <w:sz w:val="1"/>
                <w:szCs w:val="1"/>
                <w:color w:val="auto"/>
              </w:rPr>
            </w:pPr>
          </w:p>
        </w:tc>
      </w:tr>
      <w:tr>
        <w:trPr>
          <w:trHeight w:val="132"/>
        </w:trPr>
        <w:tc>
          <w:tcPr>
            <w:tcW w:w="9300" w:type="dxa"/>
            <w:vAlign w:val="bottom"/>
            <w:vMerge w:val="restart"/>
          </w:tcPr>
          <w:p>
            <w:pPr>
              <w:ind w:left="20"/>
              <w:spacing w:after="0"/>
              <w:rPr>
                <w:sz w:val="20"/>
                <w:szCs w:val="20"/>
                <w:color w:val="auto"/>
              </w:rPr>
            </w:pPr>
            <w:r>
              <w:rPr>
                <w:rFonts w:ascii="Arial" w:cs="Arial" w:eastAsia="Arial" w:hAnsi="Arial"/>
                <w:sz w:val="14"/>
                <w:szCs w:val="14"/>
                <w:color w:val="auto"/>
              </w:rPr>
              <w:t>(in thousands)</w:t>
            </w:r>
          </w:p>
        </w:tc>
        <w:tc>
          <w:tcPr>
            <w:tcW w:w="120" w:type="dxa"/>
            <w:vAlign w:val="bottom"/>
          </w:tcPr>
          <w:p>
            <w:pPr>
              <w:spacing w:after="0"/>
              <w:rPr>
                <w:sz w:val="11"/>
                <w:szCs w:val="11"/>
                <w:color w:val="auto"/>
              </w:rPr>
            </w:pPr>
          </w:p>
        </w:tc>
        <w:tc>
          <w:tcPr>
            <w:tcW w:w="1820" w:type="dxa"/>
            <w:vAlign w:val="bottom"/>
          </w:tcPr>
          <w:p>
            <w:pPr>
              <w:jc w:val="center"/>
              <w:ind w:right="37"/>
              <w:spacing w:after="0" w:line="132" w:lineRule="exact"/>
              <w:rPr>
                <w:sz w:val="20"/>
                <w:szCs w:val="20"/>
                <w:color w:val="auto"/>
              </w:rPr>
            </w:pPr>
            <w:r>
              <w:rPr>
                <w:rFonts w:ascii="Arial" w:cs="Arial" w:eastAsia="Arial" w:hAnsi="Arial"/>
                <w:sz w:val="14"/>
                <w:szCs w:val="14"/>
                <w:color w:val="auto"/>
                <w:w w:val="93"/>
              </w:rPr>
              <w:t>Foreign currency translation</w:t>
            </w:r>
          </w:p>
        </w:tc>
        <w:tc>
          <w:tcPr>
            <w:tcW w:w="0" w:type="dxa"/>
            <w:vAlign w:val="bottom"/>
          </w:tcPr>
          <w:p>
            <w:pPr>
              <w:spacing w:after="0"/>
              <w:rPr>
                <w:sz w:val="1"/>
                <w:szCs w:val="1"/>
                <w:color w:val="auto"/>
              </w:rPr>
            </w:pPr>
          </w:p>
        </w:tc>
      </w:tr>
      <w:tr>
        <w:trPr>
          <w:trHeight w:val="186"/>
        </w:trPr>
        <w:tc>
          <w:tcPr>
            <w:tcW w:w="9300" w:type="dxa"/>
            <w:vAlign w:val="bottom"/>
            <w:tcBorders>
              <w:bottom w:val="single" w:sz="8" w:color="CCEEFF"/>
            </w:tcBorders>
            <w:vMerge w:val="continue"/>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820" w:type="dxa"/>
            <w:vAlign w:val="bottom"/>
            <w:tcBorders>
              <w:bottom w:val="single" w:sz="8" w:color="auto"/>
            </w:tcBorders>
          </w:tcPr>
          <w:p>
            <w:pPr>
              <w:jc w:val="center"/>
              <w:ind w:right="37"/>
              <w:spacing w:after="0"/>
              <w:rPr>
                <w:sz w:val="20"/>
                <w:szCs w:val="20"/>
                <w:color w:val="auto"/>
              </w:rPr>
            </w:pPr>
            <w:r>
              <w:rPr>
                <w:rFonts w:ascii="Arial" w:cs="Arial" w:eastAsia="Arial" w:hAnsi="Arial"/>
                <w:sz w:val="14"/>
                <w:szCs w:val="14"/>
                <w:color w:val="auto"/>
                <w:w w:val="92"/>
              </w:rPr>
              <w:t>income</w:t>
            </w:r>
          </w:p>
        </w:tc>
        <w:tc>
          <w:tcPr>
            <w:tcW w:w="0" w:type="dxa"/>
            <w:vAlign w:val="bottom"/>
          </w:tcPr>
          <w:p>
            <w:pPr>
              <w:spacing w:after="0"/>
              <w:rPr>
                <w:sz w:val="1"/>
                <w:szCs w:val="1"/>
                <w:color w:val="auto"/>
              </w:rPr>
            </w:pPr>
          </w:p>
        </w:tc>
      </w:tr>
      <w:tr>
        <w:trPr>
          <w:trHeight w:val="226"/>
        </w:trPr>
        <w:tc>
          <w:tcPr>
            <w:tcW w:w="9300" w:type="dxa"/>
            <w:vAlign w:val="bottom"/>
            <w:shd w:val="clear" w:color="auto" w:fill="CCEEFF"/>
          </w:tcPr>
          <w:p>
            <w:pPr>
              <w:ind w:left="20"/>
              <w:spacing w:after="0"/>
              <w:rPr>
                <w:sz w:val="20"/>
                <w:szCs w:val="20"/>
                <w:color w:val="auto"/>
              </w:rPr>
            </w:pPr>
            <w:r>
              <w:rPr>
                <w:rFonts w:ascii="Arial" w:cs="Arial" w:eastAsia="Arial" w:hAnsi="Arial"/>
                <w:sz w:val="18"/>
                <w:szCs w:val="18"/>
                <w:color w:val="auto"/>
              </w:rPr>
              <w:t>Balance at August 31, 2020</w:t>
            </w:r>
          </w:p>
        </w:tc>
        <w:tc>
          <w:tcPr>
            <w:tcW w:w="120" w:type="dxa"/>
            <w:vAlign w:val="bottom"/>
            <w:shd w:val="clear" w:color="auto" w:fill="CCEEFF"/>
          </w:tcPr>
          <w:p>
            <w:pPr>
              <w:ind w:left="20"/>
              <w:spacing w:after="0"/>
              <w:rPr>
                <w:sz w:val="20"/>
                <w:szCs w:val="20"/>
                <w:color w:val="auto"/>
              </w:rPr>
            </w:pPr>
            <w:r>
              <w:rPr>
                <w:rFonts w:ascii="Arial" w:cs="Arial" w:eastAsia="Arial" w:hAnsi="Arial"/>
                <w:sz w:val="18"/>
                <w:szCs w:val="18"/>
                <w:color w:val="auto"/>
                <w:w w:val="79"/>
              </w:rPr>
              <w:t>$</w:t>
            </w:r>
          </w:p>
        </w:tc>
        <w:tc>
          <w:tcPr>
            <w:tcW w:w="1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754</w:t>
            </w:r>
          </w:p>
        </w:tc>
        <w:tc>
          <w:tcPr>
            <w:tcW w:w="0" w:type="dxa"/>
            <w:vAlign w:val="bottom"/>
          </w:tcPr>
          <w:p>
            <w:pPr>
              <w:spacing w:after="0"/>
              <w:rPr>
                <w:sz w:val="1"/>
                <w:szCs w:val="1"/>
                <w:color w:val="auto"/>
              </w:rPr>
            </w:pPr>
          </w:p>
        </w:tc>
      </w:tr>
      <w:tr>
        <w:trPr>
          <w:trHeight w:val="229"/>
        </w:trPr>
        <w:tc>
          <w:tcPr>
            <w:tcW w:w="9300" w:type="dxa"/>
            <w:vAlign w:val="bottom"/>
          </w:tcPr>
          <w:p>
            <w:pPr>
              <w:ind w:left="360"/>
              <w:spacing w:after="0"/>
              <w:rPr>
                <w:sz w:val="20"/>
                <w:szCs w:val="20"/>
                <w:color w:val="auto"/>
              </w:rPr>
            </w:pPr>
            <w:r>
              <w:rPr>
                <w:rFonts w:ascii="Arial" w:cs="Arial" w:eastAsia="Arial" w:hAnsi="Arial"/>
                <w:sz w:val="18"/>
                <w:szCs w:val="18"/>
                <w:color w:val="auto"/>
              </w:rPr>
              <w:t>Other comprehensive income before reclassifications, net of tax</w:t>
            </w:r>
          </w:p>
        </w:tc>
        <w:tc>
          <w:tcPr>
            <w:tcW w:w="120" w:type="dxa"/>
            <w:vAlign w:val="bottom"/>
          </w:tcPr>
          <w:p>
            <w:pPr>
              <w:spacing w:after="0"/>
              <w:rPr>
                <w:sz w:val="19"/>
                <w:szCs w:val="19"/>
                <w:color w:val="auto"/>
              </w:rPr>
            </w:pPr>
          </w:p>
        </w:tc>
        <w:tc>
          <w:tcPr>
            <w:tcW w:w="1820" w:type="dxa"/>
            <w:vAlign w:val="bottom"/>
          </w:tcPr>
          <w:p>
            <w:pPr>
              <w:jc w:val="right"/>
              <w:spacing w:after="0"/>
              <w:rPr>
                <w:sz w:val="20"/>
                <w:szCs w:val="20"/>
                <w:color w:val="auto"/>
              </w:rPr>
            </w:pPr>
            <w:r>
              <w:rPr>
                <w:rFonts w:ascii="Arial" w:cs="Arial" w:eastAsia="Arial" w:hAnsi="Arial"/>
                <w:sz w:val="18"/>
                <w:szCs w:val="18"/>
                <w:color w:val="auto"/>
              </w:rPr>
              <w:t>1,180</w:t>
            </w:r>
          </w:p>
        </w:tc>
        <w:tc>
          <w:tcPr>
            <w:tcW w:w="0" w:type="dxa"/>
            <w:vAlign w:val="bottom"/>
          </w:tcPr>
          <w:p>
            <w:pPr>
              <w:spacing w:after="0"/>
              <w:rPr>
                <w:sz w:val="1"/>
                <w:szCs w:val="1"/>
                <w:color w:val="auto"/>
              </w:rPr>
            </w:pPr>
          </w:p>
        </w:tc>
      </w:tr>
      <w:tr>
        <w:trPr>
          <w:trHeight w:val="229"/>
        </w:trPr>
        <w:tc>
          <w:tcPr>
            <w:tcW w:w="93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Amounts reclassified from accumulated other comprehensive loss</w:t>
            </w:r>
          </w:p>
        </w:tc>
        <w:tc>
          <w:tcPr>
            <w:tcW w:w="120" w:type="dxa"/>
            <w:vAlign w:val="bottom"/>
            <w:tcBorders>
              <w:bottom w:val="single" w:sz="8" w:color="auto"/>
            </w:tcBorders>
            <w:shd w:val="clear" w:color="auto" w:fill="CCEEFF"/>
          </w:tcPr>
          <w:p>
            <w:pPr>
              <w:spacing w:after="0"/>
              <w:rPr>
                <w:sz w:val="19"/>
                <w:szCs w:val="19"/>
                <w:color w:val="auto"/>
              </w:rPr>
            </w:pPr>
          </w:p>
        </w:tc>
        <w:tc>
          <w:tcPr>
            <w:tcW w:w="1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93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Net other comprehensive income</w:t>
            </w:r>
          </w:p>
        </w:tc>
        <w:tc>
          <w:tcPr>
            <w:tcW w:w="12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w w:val="79"/>
              </w:rPr>
              <w:t>$</w:t>
            </w:r>
          </w:p>
        </w:tc>
        <w:tc>
          <w:tcPr>
            <w:tcW w:w="1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1,180</w:t>
            </w:r>
          </w:p>
        </w:tc>
        <w:tc>
          <w:tcPr>
            <w:tcW w:w="0" w:type="dxa"/>
            <w:vAlign w:val="bottom"/>
          </w:tcPr>
          <w:p>
            <w:pPr>
              <w:spacing w:after="0"/>
              <w:rPr>
                <w:sz w:val="1"/>
                <w:szCs w:val="1"/>
                <w:color w:val="auto"/>
              </w:rPr>
            </w:pPr>
          </w:p>
        </w:tc>
      </w:tr>
      <w:tr>
        <w:trPr>
          <w:trHeight w:val="248"/>
        </w:trPr>
        <w:tc>
          <w:tcPr>
            <w:tcW w:w="93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at November 30, 2020</w:t>
            </w:r>
          </w:p>
        </w:tc>
        <w:tc>
          <w:tcPr>
            <w:tcW w:w="1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w w:val="79"/>
              </w:rPr>
              <w:t>$</w:t>
            </w:r>
          </w:p>
        </w:tc>
        <w:tc>
          <w:tcPr>
            <w:tcW w:w="1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1,934</w:t>
            </w:r>
          </w:p>
        </w:tc>
        <w:tc>
          <w:tcPr>
            <w:tcW w:w="0" w:type="dxa"/>
            <w:vAlign w:val="bottom"/>
          </w:tcPr>
          <w:p>
            <w:pPr>
              <w:spacing w:after="0"/>
              <w:rPr>
                <w:sz w:val="1"/>
                <w:szCs w:val="1"/>
                <w:color w:val="auto"/>
              </w:rPr>
            </w:pPr>
          </w:p>
        </w:tc>
      </w:tr>
      <w:tr>
        <w:trPr>
          <w:trHeight w:val="20"/>
        </w:trPr>
        <w:tc>
          <w:tcPr>
            <w:tcW w:w="9300" w:type="dxa"/>
            <w:vAlign w:val="bottom"/>
            <w:tcBorders>
              <w:top w:val="single" w:sz="8" w:color="CCEEFF"/>
            </w:tcBorders>
          </w:tcPr>
          <w:p>
            <w:pPr>
              <w:spacing w:after="0" w:line="20" w:lineRule="exact"/>
              <w:rPr>
                <w:sz w:val="1"/>
                <w:szCs w:val="1"/>
                <w:color w:val="auto"/>
              </w:rPr>
            </w:pPr>
          </w:p>
        </w:tc>
        <w:tc>
          <w:tcPr>
            <w:tcW w:w="1940" w:type="dxa"/>
            <w:vAlign w:val="bottom"/>
            <w:tcBorders>
              <w:top w:val="single" w:sz="8" w:color="CCEEFF"/>
              <w:bottom w:val="single" w:sz="8" w:color="auto"/>
            </w:tcBorders>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51"/>
        </w:trPr>
        <w:tc>
          <w:tcPr>
            <w:tcW w:w="9300" w:type="dxa"/>
            <w:vAlign w:val="bottom"/>
          </w:tcPr>
          <w:p>
            <w:pPr>
              <w:spacing w:after="0"/>
              <w:rPr>
                <w:sz w:val="24"/>
                <w:szCs w:val="24"/>
                <w:color w:val="auto"/>
              </w:rPr>
            </w:pPr>
          </w:p>
        </w:tc>
        <w:tc>
          <w:tcPr>
            <w:tcW w:w="1940" w:type="dxa"/>
            <w:vAlign w:val="bottom"/>
            <w:tcBorders>
              <w:bottom w:val="single" w:sz="8" w:color="auto"/>
            </w:tcBorders>
            <w:gridSpan w:val="2"/>
          </w:tcPr>
          <w:p>
            <w:pPr>
              <w:ind w:left="20"/>
              <w:spacing w:after="0"/>
              <w:rPr>
                <w:sz w:val="20"/>
                <w:szCs w:val="20"/>
                <w:color w:val="auto"/>
              </w:rPr>
            </w:pPr>
            <w:r>
              <w:rPr>
                <w:rFonts w:ascii="Arial" w:cs="Arial" w:eastAsia="Arial" w:hAnsi="Arial"/>
                <w:sz w:val="14"/>
                <w:szCs w:val="14"/>
                <w:color w:val="auto"/>
                <w:w w:val="94"/>
              </w:rPr>
              <w:t>Six Months Ended Nov 30, 2020</w:t>
            </w:r>
          </w:p>
        </w:tc>
        <w:tc>
          <w:tcPr>
            <w:tcW w:w="0" w:type="dxa"/>
            <w:vAlign w:val="bottom"/>
          </w:tcPr>
          <w:p>
            <w:pPr>
              <w:spacing w:after="0"/>
              <w:rPr>
                <w:sz w:val="1"/>
                <w:szCs w:val="1"/>
                <w:color w:val="auto"/>
              </w:rPr>
            </w:pPr>
          </w:p>
        </w:tc>
      </w:tr>
      <w:tr>
        <w:trPr>
          <w:trHeight w:val="134"/>
        </w:trPr>
        <w:tc>
          <w:tcPr>
            <w:tcW w:w="9300" w:type="dxa"/>
            <w:vAlign w:val="bottom"/>
            <w:vMerge w:val="restart"/>
          </w:tcPr>
          <w:p>
            <w:pPr>
              <w:ind w:left="20"/>
              <w:spacing w:after="0"/>
              <w:rPr>
                <w:sz w:val="20"/>
                <w:szCs w:val="20"/>
                <w:color w:val="auto"/>
              </w:rPr>
            </w:pPr>
            <w:r>
              <w:rPr>
                <w:rFonts w:ascii="Arial" w:cs="Arial" w:eastAsia="Arial" w:hAnsi="Arial"/>
                <w:sz w:val="14"/>
                <w:szCs w:val="14"/>
                <w:color w:val="auto"/>
              </w:rPr>
              <w:t>(in thousands)</w:t>
            </w:r>
          </w:p>
        </w:tc>
        <w:tc>
          <w:tcPr>
            <w:tcW w:w="120" w:type="dxa"/>
            <w:vAlign w:val="bottom"/>
          </w:tcPr>
          <w:p>
            <w:pPr>
              <w:spacing w:after="0"/>
              <w:rPr>
                <w:sz w:val="11"/>
                <w:szCs w:val="11"/>
                <w:color w:val="auto"/>
              </w:rPr>
            </w:pPr>
          </w:p>
        </w:tc>
        <w:tc>
          <w:tcPr>
            <w:tcW w:w="1820" w:type="dxa"/>
            <w:vAlign w:val="bottom"/>
          </w:tcPr>
          <w:p>
            <w:pPr>
              <w:jc w:val="center"/>
              <w:ind w:right="37"/>
              <w:spacing w:after="0" w:line="135" w:lineRule="exact"/>
              <w:rPr>
                <w:sz w:val="20"/>
                <w:szCs w:val="20"/>
                <w:color w:val="auto"/>
              </w:rPr>
            </w:pPr>
            <w:r>
              <w:rPr>
                <w:rFonts w:ascii="Arial" w:cs="Arial" w:eastAsia="Arial" w:hAnsi="Arial"/>
                <w:sz w:val="14"/>
                <w:szCs w:val="14"/>
                <w:color w:val="auto"/>
                <w:w w:val="93"/>
              </w:rPr>
              <w:t>Foreign currency translation</w:t>
            </w:r>
          </w:p>
        </w:tc>
        <w:tc>
          <w:tcPr>
            <w:tcW w:w="0" w:type="dxa"/>
            <w:vAlign w:val="bottom"/>
          </w:tcPr>
          <w:p>
            <w:pPr>
              <w:spacing w:after="0"/>
              <w:rPr>
                <w:sz w:val="1"/>
                <w:szCs w:val="1"/>
                <w:color w:val="auto"/>
              </w:rPr>
            </w:pPr>
          </w:p>
        </w:tc>
      </w:tr>
      <w:tr>
        <w:trPr>
          <w:trHeight w:val="186"/>
        </w:trPr>
        <w:tc>
          <w:tcPr>
            <w:tcW w:w="9300" w:type="dxa"/>
            <w:vAlign w:val="bottom"/>
            <w:tcBorders>
              <w:bottom w:val="single" w:sz="8" w:color="CCEEFF"/>
            </w:tcBorders>
            <w:vMerge w:val="continue"/>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820" w:type="dxa"/>
            <w:vAlign w:val="bottom"/>
            <w:tcBorders>
              <w:bottom w:val="single" w:sz="8" w:color="auto"/>
            </w:tcBorders>
          </w:tcPr>
          <w:p>
            <w:pPr>
              <w:jc w:val="center"/>
              <w:ind w:right="37"/>
              <w:spacing w:after="0"/>
              <w:rPr>
                <w:sz w:val="20"/>
                <w:szCs w:val="20"/>
                <w:color w:val="auto"/>
              </w:rPr>
            </w:pPr>
            <w:r>
              <w:rPr>
                <w:rFonts w:ascii="Arial" w:cs="Arial" w:eastAsia="Arial" w:hAnsi="Arial"/>
                <w:sz w:val="14"/>
                <w:szCs w:val="14"/>
                <w:color w:val="auto"/>
                <w:w w:val="92"/>
              </w:rPr>
              <w:t>income</w:t>
            </w:r>
          </w:p>
        </w:tc>
        <w:tc>
          <w:tcPr>
            <w:tcW w:w="0" w:type="dxa"/>
            <w:vAlign w:val="bottom"/>
          </w:tcPr>
          <w:p>
            <w:pPr>
              <w:spacing w:after="0"/>
              <w:rPr>
                <w:sz w:val="1"/>
                <w:szCs w:val="1"/>
                <w:color w:val="auto"/>
              </w:rPr>
            </w:pPr>
          </w:p>
        </w:tc>
      </w:tr>
      <w:tr>
        <w:trPr>
          <w:trHeight w:val="226"/>
        </w:trPr>
        <w:tc>
          <w:tcPr>
            <w:tcW w:w="9300" w:type="dxa"/>
            <w:vAlign w:val="bottom"/>
            <w:shd w:val="clear" w:color="auto" w:fill="CCEEFF"/>
          </w:tcPr>
          <w:p>
            <w:pPr>
              <w:ind w:left="20"/>
              <w:spacing w:after="0"/>
              <w:rPr>
                <w:sz w:val="20"/>
                <w:szCs w:val="20"/>
                <w:color w:val="auto"/>
              </w:rPr>
            </w:pPr>
            <w:r>
              <w:rPr>
                <w:rFonts w:ascii="Arial" w:cs="Arial" w:eastAsia="Arial" w:hAnsi="Arial"/>
                <w:sz w:val="18"/>
                <w:szCs w:val="18"/>
                <w:color w:val="auto"/>
              </w:rPr>
              <w:t>Balance at May 31, 2020</w:t>
            </w:r>
          </w:p>
        </w:tc>
        <w:tc>
          <w:tcPr>
            <w:tcW w:w="120" w:type="dxa"/>
            <w:vAlign w:val="bottom"/>
            <w:shd w:val="clear" w:color="auto" w:fill="CCEEFF"/>
          </w:tcPr>
          <w:p>
            <w:pPr>
              <w:ind w:left="20"/>
              <w:spacing w:after="0"/>
              <w:rPr>
                <w:sz w:val="20"/>
                <w:szCs w:val="20"/>
                <w:color w:val="auto"/>
              </w:rPr>
            </w:pPr>
            <w:r>
              <w:rPr>
                <w:rFonts w:ascii="Arial" w:cs="Arial" w:eastAsia="Arial" w:hAnsi="Arial"/>
                <w:sz w:val="18"/>
                <w:szCs w:val="18"/>
                <w:color w:val="auto"/>
                <w:w w:val="79"/>
              </w:rPr>
              <w:t>$</w:t>
            </w:r>
          </w:p>
        </w:tc>
        <w:tc>
          <w:tcPr>
            <w:tcW w:w="1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(1,341)</w:t>
            </w:r>
          </w:p>
        </w:tc>
        <w:tc>
          <w:tcPr>
            <w:tcW w:w="0" w:type="dxa"/>
            <w:vAlign w:val="bottom"/>
          </w:tcPr>
          <w:p>
            <w:pPr>
              <w:spacing w:after="0"/>
              <w:rPr>
                <w:sz w:val="1"/>
                <w:szCs w:val="1"/>
                <w:color w:val="auto"/>
              </w:rPr>
            </w:pPr>
          </w:p>
        </w:tc>
      </w:tr>
      <w:tr>
        <w:trPr>
          <w:trHeight w:val="230"/>
        </w:trPr>
        <w:tc>
          <w:tcPr>
            <w:tcW w:w="9300" w:type="dxa"/>
            <w:vAlign w:val="bottom"/>
          </w:tcPr>
          <w:p>
            <w:pPr>
              <w:ind w:left="360"/>
              <w:spacing w:after="0"/>
              <w:rPr>
                <w:sz w:val="20"/>
                <w:szCs w:val="20"/>
                <w:color w:val="auto"/>
              </w:rPr>
            </w:pPr>
            <w:r>
              <w:rPr>
                <w:rFonts w:ascii="Arial" w:cs="Arial" w:eastAsia="Arial" w:hAnsi="Arial"/>
                <w:sz w:val="18"/>
                <w:szCs w:val="18"/>
                <w:color w:val="auto"/>
              </w:rPr>
              <w:t>Other comprehensive income before reclassifications, net of tax</w:t>
            </w:r>
          </w:p>
        </w:tc>
        <w:tc>
          <w:tcPr>
            <w:tcW w:w="120" w:type="dxa"/>
            <w:vAlign w:val="bottom"/>
          </w:tcPr>
          <w:p>
            <w:pPr>
              <w:spacing w:after="0"/>
              <w:rPr>
                <w:sz w:val="19"/>
                <w:szCs w:val="19"/>
                <w:color w:val="auto"/>
              </w:rPr>
            </w:pPr>
          </w:p>
        </w:tc>
        <w:tc>
          <w:tcPr>
            <w:tcW w:w="1820" w:type="dxa"/>
            <w:vAlign w:val="bottom"/>
          </w:tcPr>
          <w:p>
            <w:pPr>
              <w:jc w:val="right"/>
              <w:spacing w:after="0"/>
              <w:rPr>
                <w:sz w:val="20"/>
                <w:szCs w:val="20"/>
                <w:color w:val="auto"/>
              </w:rPr>
            </w:pPr>
            <w:r>
              <w:rPr>
                <w:rFonts w:ascii="Arial" w:cs="Arial" w:eastAsia="Arial" w:hAnsi="Arial"/>
                <w:sz w:val="18"/>
                <w:szCs w:val="18"/>
                <w:color w:val="auto"/>
              </w:rPr>
              <w:t>3,275</w:t>
            </w:r>
          </w:p>
        </w:tc>
        <w:tc>
          <w:tcPr>
            <w:tcW w:w="0" w:type="dxa"/>
            <w:vAlign w:val="bottom"/>
          </w:tcPr>
          <w:p>
            <w:pPr>
              <w:spacing w:after="0"/>
              <w:rPr>
                <w:sz w:val="1"/>
                <w:szCs w:val="1"/>
                <w:color w:val="auto"/>
              </w:rPr>
            </w:pPr>
          </w:p>
        </w:tc>
      </w:tr>
      <w:tr>
        <w:trPr>
          <w:trHeight w:val="229"/>
        </w:trPr>
        <w:tc>
          <w:tcPr>
            <w:tcW w:w="93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Amounts reclassified from accumulated other comprehensive loss</w:t>
            </w:r>
          </w:p>
        </w:tc>
        <w:tc>
          <w:tcPr>
            <w:tcW w:w="120" w:type="dxa"/>
            <w:vAlign w:val="bottom"/>
            <w:tcBorders>
              <w:bottom w:val="single" w:sz="8" w:color="auto"/>
            </w:tcBorders>
            <w:shd w:val="clear" w:color="auto" w:fill="CCEEFF"/>
          </w:tcPr>
          <w:p>
            <w:pPr>
              <w:spacing w:after="0"/>
              <w:rPr>
                <w:sz w:val="19"/>
                <w:szCs w:val="19"/>
                <w:color w:val="auto"/>
              </w:rPr>
            </w:pPr>
          </w:p>
        </w:tc>
        <w:tc>
          <w:tcPr>
            <w:tcW w:w="1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93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Net other comprehensive income</w:t>
            </w:r>
          </w:p>
        </w:tc>
        <w:tc>
          <w:tcPr>
            <w:tcW w:w="12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w w:val="79"/>
              </w:rPr>
              <w:t>$</w:t>
            </w:r>
          </w:p>
        </w:tc>
        <w:tc>
          <w:tcPr>
            <w:tcW w:w="1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3,275</w:t>
            </w:r>
          </w:p>
        </w:tc>
        <w:tc>
          <w:tcPr>
            <w:tcW w:w="0" w:type="dxa"/>
            <w:vAlign w:val="bottom"/>
          </w:tcPr>
          <w:p>
            <w:pPr>
              <w:spacing w:after="0"/>
              <w:rPr>
                <w:sz w:val="1"/>
                <w:szCs w:val="1"/>
                <w:color w:val="auto"/>
              </w:rPr>
            </w:pPr>
          </w:p>
        </w:tc>
      </w:tr>
      <w:tr>
        <w:trPr>
          <w:trHeight w:val="248"/>
        </w:trPr>
        <w:tc>
          <w:tcPr>
            <w:tcW w:w="93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at November 30, 2020</w:t>
            </w:r>
          </w:p>
        </w:tc>
        <w:tc>
          <w:tcPr>
            <w:tcW w:w="1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w w:val="79"/>
              </w:rPr>
              <w:t>$</w:t>
            </w:r>
          </w:p>
        </w:tc>
        <w:tc>
          <w:tcPr>
            <w:tcW w:w="1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1,934</w:t>
            </w:r>
          </w:p>
        </w:tc>
        <w:tc>
          <w:tcPr>
            <w:tcW w:w="0" w:type="dxa"/>
            <w:vAlign w:val="bottom"/>
          </w:tcPr>
          <w:p>
            <w:pPr>
              <w:spacing w:after="0"/>
              <w:rPr>
                <w:sz w:val="1"/>
                <w:szCs w:val="1"/>
                <w:color w:val="auto"/>
              </w:rPr>
            </w:pPr>
          </w:p>
        </w:tc>
      </w:tr>
      <w:tr>
        <w:trPr>
          <w:trHeight w:val="20"/>
        </w:trPr>
        <w:tc>
          <w:tcPr>
            <w:tcW w:w="93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8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17. RECENTLY ISSUED ACCOUNTING PRONOUNCEMENTS</w:t>
      </w:r>
    </w:p>
    <w:p>
      <w:pPr>
        <w:spacing w:after="0" w:line="175" w:lineRule="exact"/>
        <w:rPr>
          <w:sz w:val="20"/>
          <w:szCs w:val="20"/>
          <w:color w:val="auto"/>
        </w:rPr>
      </w:pPr>
    </w:p>
    <w:p>
      <w:pPr>
        <w:ind w:right="480" w:firstLine="405"/>
        <w:spacing w:after="0" w:line="277" w:lineRule="auto"/>
        <w:rPr>
          <w:sz w:val="20"/>
          <w:szCs w:val="20"/>
          <w:color w:val="auto"/>
        </w:rPr>
      </w:pPr>
      <w:r>
        <w:rPr>
          <w:rFonts w:ascii="Arial" w:cs="Arial" w:eastAsia="Arial" w:hAnsi="Arial"/>
          <w:sz w:val="18"/>
          <w:szCs w:val="18"/>
          <w:color w:val="auto"/>
        </w:rPr>
        <w:t>The following table provides a description of recent accounting pronouncements that may have a material effect on the Company's consolidated financial statements:</w:t>
      </w:r>
    </w:p>
    <w:p>
      <w:pPr>
        <w:spacing w:after="0" w:line="153"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Recently Issued Accounting Pronouncements - Adopted</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2440" w:type="dxa"/>
            <w:vAlign w:val="bottom"/>
            <w:tcBorders>
              <w:bottom w:val="single" w:sz="8" w:color="auto"/>
            </w:tcBorders>
          </w:tcPr>
          <w:p>
            <w:pPr>
              <w:ind w:left="920"/>
              <w:spacing w:after="0"/>
              <w:rPr>
                <w:sz w:val="20"/>
                <w:szCs w:val="20"/>
                <w:color w:val="auto"/>
              </w:rPr>
            </w:pPr>
            <w:r>
              <w:rPr>
                <w:rFonts w:ascii="Arial" w:cs="Arial" w:eastAsia="Arial" w:hAnsi="Arial"/>
                <w:sz w:val="14"/>
                <w:szCs w:val="14"/>
                <w:b w:val="1"/>
                <w:bCs w:val="1"/>
                <w:color w:val="auto"/>
              </w:rPr>
              <w:t>Standard</w:t>
            </w:r>
          </w:p>
        </w:tc>
        <w:tc>
          <w:tcPr>
            <w:tcW w:w="3820" w:type="dxa"/>
            <w:vAlign w:val="bottom"/>
            <w:tcBorders>
              <w:bottom w:val="single" w:sz="8" w:color="auto"/>
            </w:tcBorders>
          </w:tcPr>
          <w:p>
            <w:pPr>
              <w:ind w:left="1520"/>
              <w:spacing w:after="0"/>
              <w:rPr>
                <w:sz w:val="20"/>
                <w:szCs w:val="20"/>
                <w:color w:val="auto"/>
              </w:rPr>
            </w:pPr>
            <w:r>
              <w:rPr>
                <w:rFonts w:ascii="Arial" w:cs="Arial" w:eastAsia="Arial" w:hAnsi="Arial"/>
                <w:sz w:val="14"/>
                <w:szCs w:val="14"/>
                <w:b w:val="1"/>
                <w:bCs w:val="1"/>
                <w:color w:val="auto"/>
              </w:rPr>
              <w:t>Description</w:t>
            </w:r>
          </w:p>
        </w:tc>
        <w:tc>
          <w:tcPr>
            <w:tcW w:w="12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Date Adopted</w:t>
            </w:r>
          </w:p>
        </w:tc>
        <w:tc>
          <w:tcPr>
            <w:tcW w:w="3720" w:type="dxa"/>
            <w:vAlign w:val="bottom"/>
            <w:tcBorders>
              <w:bottom w:val="single" w:sz="8" w:color="auto"/>
            </w:tcBorders>
          </w:tcPr>
          <w:p>
            <w:pPr>
              <w:ind w:left="380"/>
              <w:spacing w:after="0"/>
              <w:rPr>
                <w:sz w:val="20"/>
                <w:szCs w:val="20"/>
                <w:color w:val="auto"/>
              </w:rPr>
            </w:pPr>
            <w:r>
              <w:rPr>
                <w:rFonts w:ascii="Arial" w:cs="Arial" w:eastAsia="Arial" w:hAnsi="Arial"/>
                <w:sz w:val="14"/>
                <w:szCs w:val="14"/>
                <w:b w:val="1"/>
                <w:bCs w:val="1"/>
                <w:color w:val="auto"/>
              </w:rPr>
              <w:t>Effect on the Consolidated Financial Statements</w:t>
            </w:r>
          </w:p>
        </w:tc>
      </w:tr>
      <w:tr>
        <w:trPr>
          <w:trHeight w:val="170"/>
        </w:trPr>
        <w:tc>
          <w:tcPr>
            <w:tcW w:w="2440" w:type="dxa"/>
            <w:vAlign w:val="bottom"/>
            <w:tcBorders>
              <w:right w:val="single" w:sz="8" w:color="auto"/>
            </w:tcBorders>
          </w:tcPr>
          <w:p>
            <w:pPr>
              <w:ind w:left="20"/>
              <w:spacing w:after="0" w:line="170" w:lineRule="exact"/>
              <w:rPr>
                <w:sz w:val="20"/>
                <w:szCs w:val="20"/>
                <w:color w:val="auto"/>
              </w:rPr>
            </w:pPr>
            <w:r>
              <w:rPr>
                <w:rFonts w:ascii="Arial" w:cs="Arial" w:eastAsia="Arial" w:hAnsi="Arial"/>
                <w:sz w:val="18"/>
                <w:szCs w:val="18"/>
                <w:color w:val="auto"/>
              </w:rPr>
              <w:t xml:space="preserve">ASU 2018-13, </w:t>
            </w:r>
            <w:r>
              <w:rPr>
                <w:rFonts w:ascii="Arial" w:cs="Arial" w:eastAsia="Arial" w:hAnsi="Arial"/>
                <w:sz w:val="18"/>
                <w:szCs w:val="18"/>
                <w:i w:val="1"/>
                <w:iCs w:val="1"/>
                <w:color w:val="auto"/>
              </w:rPr>
              <w:t>Fair Value</w:t>
            </w:r>
          </w:p>
        </w:tc>
        <w:tc>
          <w:tcPr>
            <w:tcW w:w="3820" w:type="dxa"/>
            <w:vAlign w:val="bottom"/>
            <w:tcBorders>
              <w:right w:val="single" w:sz="8" w:color="auto"/>
            </w:tcBorders>
          </w:tcPr>
          <w:p>
            <w:pPr>
              <w:spacing w:after="0" w:line="170" w:lineRule="exact"/>
              <w:rPr>
                <w:sz w:val="20"/>
                <w:szCs w:val="20"/>
                <w:color w:val="auto"/>
              </w:rPr>
            </w:pPr>
            <w:r>
              <w:rPr>
                <w:rFonts w:ascii="Arial" w:cs="Arial" w:eastAsia="Arial" w:hAnsi="Arial"/>
                <w:sz w:val="18"/>
                <w:szCs w:val="18"/>
                <w:color w:val="auto"/>
              </w:rPr>
              <w:t>This ASU removes, modifies and adds various</w:t>
            </w:r>
          </w:p>
        </w:tc>
        <w:tc>
          <w:tcPr>
            <w:tcW w:w="1240" w:type="dxa"/>
            <w:vAlign w:val="bottom"/>
            <w:tcBorders>
              <w:right w:val="single" w:sz="8" w:color="auto"/>
            </w:tcBorders>
          </w:tcPr>
          <w:p>
            <w:pPr>
              <w:jc w:val="center"/>
              <w:spacing w:after="0" w:line="170" w:lineRule="exact"/>
              <w:rPr>
                <w:sz w:val="20"/>
                <w:szCs w:val="20"/>
                <w:color w:val="auto"/>
              </w:rPr>
            </w:pPr>
            <w:r>
              <w:rPr>
                <w:rFonts w:ascii="Arial" w:cs="Arial" w:eastAsia="Arial" w:hAnsi="Arial"/>
                <w:sz w:val="18"/>
                <w:szCs w:val="18"/>
                <w:color w:val="auto"/>
                <w:w w:val="88"/>
              </w:rPr>
              <w:t>June 1, 2020</w:t>
            </w:r>
          </w:p>
        </w:tc>
        <w:tc>
          <w:tcPr>
            <w:tcW w:w="3720" w:type="dxa"/>
            <w:vAlign w:val="bottom"/>
          </w:tcPr>
          <w:p>
            <w:pPr>
              <w:ind w:left="20"/>
              <w:spacing w:after="0" w:line="170" w:lineRule="exact"/>
              <w:rPr>
                <w:sz w:val="20"/>
                <w:szCs w:val="20"/>
                <w:color w:val="auto"/>
              </w:rPr>
            </w:pPr>
            <w:r>
              <w:rPr>
                <w:rFonts w:ascii="Arial" w:cs="Arial" w:eastAsia="Arial" w:hAnsi="Arial"/>
                <w:sz w:val="18"/>
                <w:szCs w:val="18"/>
                <w:color w:val="auto"/>
                <w:w w:val="98"/>
              </w:rPr>
              <w:t>The Company adopted the new standard in the</w:t>
            </w:r>
          </w:p>
        </w:tc>
      </w:tr>
      <w:tr>
        <w:trPr>
          <w:trHeight w:val="175"/>
        </w:trPr>
        <w:tc>
          <w:tcPr>
            <w:tcW w:w="2440" w:type="dxa"/>
            <w:vAlign w:val="bottom"/>
            <w:tcBorders>
              <w:right w:val="single" w:sz="8" w:color="auto"/>
            </w:tcBorders>
          </w:tcPr>
          <w:p>
            <w:pPr>
              <w:ind w:left="20"/>
              <w:spacing w:after="0" w:line="176" w:lineRule="exact"/>
              <w:rPr>
                <w:sz w:val="20"/>
                <w:szCs w:val="20"/>
                <w:color w:val="auto"/>
              </w:rPr>
            </w:pPr>
            <w:r>
              <w:rPr>
                <w:rFonts w:ascii="Arial" w:cs="Arial" w:eastAsia="Arial" w:hAnsi="Arial"/>
                <w:sz w:val="18"/>
                <w:szCs w:val="18"/>
                <w:i w:val="1"/>
                <w:iCs w:val="1"/>
                <w:color w:val="auto"/>
              </w:rPr>
              <w:t>Measurement (Topic 820)</w:t>
            </w:r>
          </w:p>
        </w:tc>
        <w:tc>
          <w:tcPr>
            <w:tcW w:w="3820" w:type="dxa"/>
            <w:vAlign w:val="bottom"/>
            <w:tcBorders>
              <w:right w:val="single" w:sz="8" w:color="auto"/>
            </w:tcBorders>
          </w:tcPr>
          <w:p>
            <w:pPr>
              <w:spacing w:after="0" w:line="176" w:lineRule="exact"/>
              <w:rPr>
                <w:sz w:val="20"/>
                <w:szCs w:val="20"/>
                <w:color w:val="auto"/>
              </w:rPr>
            </w:pPr>
            <w:r>
              <w:rPr>
                <w:rFonts w:ascii="Arial" w:cs="Arial" w:eastAsia="Arial" w:hAnsi="Arial"/>
                <w:sz w:val="18"/>
                <w:szCs w:val="18"/>
                <w:color w:val="auto"/>
              </w:rPr>
              <w:t>disclosure requirements related to fair value</w:t>
            </w:r>
          </w:p>
        </w:tc>
        <w:tc>
          <w:tcPr>
            <w:tcW w:w="1240" w:type="dxa"/>
            <w:vAlign w:val="bottom"/>
            <w:tcBorders>
              <w:right w:val="single" w:sz="8" w:color="auto"/>
            </w:tcBorders>
          </w:tcPr>
          <w:p>
            <w:pPr>
              <w:spacing w:after="0"/>
              <w:rPr>
                <w:sz w:val="15"/>
                <w:szCs w:val="15"/>
                <w:color w:val="auto"/>
              </w:rPr>
            </w:pPr>
          </w:p>
        </w:tc>
        <w:tc>
          <w:tcPr>
            <w:tcW w:w="3720" w:type="dxa"/>
            <w:vAlign w:val="bottom"/>
          </w:tcPr>
          <w:p>
            <w:pPr>
              <w:ind w:left="20"/>
              <w:spacing w:after="0" w:line="176" w:lineRule="exact"/>
              <w:rPr>
                <w:sz w:val="20"/>
                <w:szCs w:val="20"/>
                <w:color w:val="auto"/>
              </w:rPr>
            </w:pPr>
            <w:r>
              <w:rPr>
                <w:rFonts w:ascii="Arial" w:cs="Arial" w:eastAsia="Arial" w:hAnsi="Arial"/>
                <w:sz w:val="18"/>
                <w:szCs w:val="18"/>
                <w:color w:val="auto"/>
                <w:w w:val="93"/>
              </w:rPr>
              <w:t>first quarter of fiscal year 2021 and it did not have</w:t>
            </w:r>
          </w:p>
        </w:tc>
      </w:tr>
      <w:tr>
        <w:trPr>
          <w:trHeight w:val="175"/>
        </w:trPr>
        <w:tc>
          <w:tcPr>
            <w:tcW w:w="2440" w:type="dxa"/>
            <w:vAlign w:val="bottom"/>
            <w:tcBorders>
              <w:right w:val="single" w:sz="8" w:color="auto"/>
            </w:tcBorders>
          </w:tcPr>
          <w:p>
            <w:pPr>
              <w:spacing w:after="0"/>
              <w:rPr>
                <w:sz w:val="15"/>
                <w:szCs w:val="15"/>
                <w:color w:val="auto"/>
              </w:rPr>
            </w:pPr>
          </w:p>
        </w:tc>
        <w:tc>
          <w:tcPr>
            <w:tcW w:w="3820" w:type="dxa"/>
            <w:vAlign w:val="bottom"/>
            <w:tcBorders>
              <w:right w:val="single" w:sz="8" w:color="auto"/>
            </w:tcBorders>
          </w:tcPr>
          <w:p>
            <w:pPr>
              <w:spacing w:after="0" w:line="176" w:lineRule="exact"/>
              <w:rPr>
                <w:sz w:val="20"/>
                <w:szCs w:val="20"/>
                <w:color w:val="auto"/>
              </w:rPr>
            </w:pPr>
            <w:r>
              <w:rPr>
                <w:rFonts w:ascii="Arial" w:cs="Arial" w:eastAsia="Arial" w:hAnsi="Arial"/>
                <w:sz w:val="18"/>
                <w:szCs w:val="18"/>
                <w:color w:val="auto"/>
                <w:w w:val="89"/>
              </w:rPr>
              <w:t>disclosures. Disclosures related to transfers between</w:t>
            </w:r>
          </w:p>
        </w:tc>
        <w:tc>
          <w:tcPr>
            <w:tcW w:w="1240" w:type="dxa"/>
            <w:vAlign w:val="bottom"/>
            <w:tcBorders>
              <w:right w:val="single" w:sz="8" w:color="auto"/>
            </w:tcBorders>
          </w:tcPr>
          <w:p>
            <w:pPr>
              <w:spacing w:after="0"/>
              <w:rPr>
                <w:sz w:val="15"/>
                <w:szCs w:val="15"/>
                <w:color w:val="auto"/>
              </w:rPr>
            </w:pPr>
          </w:p>
        </w:tc>
        <w:tc>
          <w:tcPr>
            <w:tcW w:w="3720" w:type="dxa"/>
            <w:vAlign w:val="bottom"/>
          </w:tcPr>
          <w:p>
            <w:pPr>
              <w:ind w:left="20"/>
              <w:spacing w:after="0" w:line="176" w:lineRule="exact"/>
              <w:rPr>
                <w:sz w:val="20"/>
                <w:szCs w:val="20"/>
                <w:color w:val="auto"/>
              </w:rPr>
            </w:pPr>
            <w:r>
              <w:rPr>
                <w:rFonts w:ascii="Arial" w:cs="Arial" w:eastAsia="Arial" w:hAnsi="Arial"/>
                <w:sz w:val="18"/>
                <w:szCs w:val="18"/>
                <w:color w:val="auto"/>
                <w:w w:val="90"/>
              </w:rPr>
              <w:t>an impact on the Company's consolidated financial</w:t>
            </w:r>
          </w:p>
        </w:tc>
      </w:tr>
      <w:tr>
        <w:trPr>
          <w:trHeight w:val="176"/>
        </w:trPr>
        <w:tc>
          <w:tcPr>
            <w:tcW w:w="2440" w:type="dxa"/>
            <w:vAlign w:val="bottom"/>
            <w:tcBorders>
              <w:right w:val="single" w:sz="8" w:color="auto"/>
            </w:tcBorders>
          </w:tcPr>
          <w:p>
            <w:pPr>
              <w:spacing w:after="0"/>
              <w:rPr>
                <w:sz w:val="15"/>
                <w:szCs w:val="15"/>
                <w:color w:val="auto"/>
              </w:rPr>
            </w:pPr>
          </w:p>
        </w:tc>
        <w:tc>
          <w:tcPr>
            <w:tcW w:w="3820" w:type="dxa"/>
            <w:vAlign w:val="bottom"/>
            <w:tcBorders>
              <w:right w:val="single" w:sz="8" w:color="auto"/>
            </w:tcBorders>
          </w:tcPr>
          <w:p>
            <w:pPr>
              <w:spacing w:after="0" w:line="176" w:lineRule="exact"/>
              <w:rPr>
                <w:sz w:val="20"/>
                <w:szCs w:val="20"/>
                <w:color w:val="auto"/>
              </w:rPr>
            </w:pPr>
            <w:r>
              <w:rPr>
                <w:rFonts w:ascii="Arial" w:cs="Arial" w:eastAsia="Arial" w:hAnsi="Arial"/>
                <w:sz w:val="18"/>
                <w:szCs w:val="18"/>
                <w:color w:val="auto"/>
              </w:rPr>
              <w:t>fair value hierarchy levels will be removed and</w:t>
            </w:r>
          </w:p>
        </w:tc>
        <w:tc>
          <w:tcPr>
            <w:tcW w:w="1240" w:type="dxa"/>
            <w:vAlign w:val="bottom"/>
            <w:tcBorders>
              <w:right w:val="single" w:sz="8" w:color="auto"/>
            </w:tcBorders>
          </w:tcPr>
          <w:p>
            <w:pPr>
              <w:spacing w:after="0"/>
              <w:rPr>
                <w:sz w:val="15"/>
                <w:szCs w:val="15"/>
                <w:color w:val="auto"/>
              </w:rPr>
            </w:pPr>
          </w:p>
        </w:tc>
        <w:tc>
          <w:tcPr>
            <w:tcW w:w="3720" w:type="dxa"/>
            <w:vAlign w:val="bottom"/>
          </w:tcPr>
          <w:p>
            <w:pPr>
              <w:ind w:left="20"/>
              <w:spacing w:after="0" w:line="176" w:lineRule="exact"/>
              <w:rPr>
                <w:sz w:val="20"/>
                <w:szCs w:val="20"/>
                <w:color w:val="auto"/>
              </w:rPr>
            </w:pPr>
            <w:r>
              <w:rPr>
                <w:rFonts w:ascii="Arial" w:cs="Arial" w:eastAsia="Arial" w:hAnsi="Arial"/>
                <w:sz w:val="18"/>
                <w:szCs w:val="18"/>
                <w:color w:val="auto"/>
              </w:rPr>
              <w:t>statements.</w:t>
            </w:r>
          </w:p>
        </w:tc>
      </w:tr>
      <w:tr>
        <w:trPr>
          <w:trHeight w:val="175"/>
        </w:trPr>
        <w:tc>
          <w:tcPr>
            <w:tcW w:w="2440" w:type="dxa"/>
            <w:vAlign w:val="bottom"/>
            <w:tcBorders>
              <w:right w:val="single" w:sz="8" w:color="auto"/>
            </w:tcBorders>
          </w:tcPr>
          <w:p>
            <w:pPr>
              <w:spacing w:after="0"/>
              <w:rPr>
                <w:sz w:val="15"/>
                <w:szCs w:val="15"/>
                <w:color w:val="auto"/>
              </w:rPr>
            </w:pPr>
          </w:p>
        </w:tc>
        <w:tc>
          <w:tcPr>
            <w:tcW w:w="3820" w:type="dxa"/>
            <w:vAlign w:val="bottom"/>
            <w:tcBorders>
              <w:right w:val="single" w:sz="8" w:color="auto"/>
            </w:tcBorders>
          </w:tcPr>
          <w:p>
            <w:pPr>
              <w:spacing w:after="0" w:line="176" w:lineRule="exact"/>
              <w:rPr>
                <w:sz w:val="20"/>
                <w:szCs w:val="20"/>
                <w:color w:val="auto"/>
              </w:rPr>
            </w:pPr>
            <w:r>
              <w:rPr>
                <w:rFonts w:ascii="Arial" w:cs="Arial" w:eastAsia="Arial" w:hAnsi="Arial"/>
                <w:sz w:val="18"/>
                <w:szCs w:val="18"/>
                <w:color w:val="auto"/>
                <w:w w:val="97"/>
              </w:rPr>
              <w:t>further detail around changes in unrealized gains</w:t>
            </w:r>
          </w:p>
        </w:tc>
        <w:tc>
          <w:tcPr>
            <w:tcW w:w="1240" w:type="dxa"/>
            <w:vAlign w:val="bottom"/>
            <w:tcBorders>
              <w:right w:val="single" w:sz="8" w:color="auto"/>
            </w:tcBorders>
          </w:tcPr>
          <w:p>
            <w:pPr>
              <w:spacing w:after="0"/>
              <w:rPr>
                <w:sz w:val="15"/>
                <w:szCs w:val="15"/>
                <w:color w:val="auto"/>
              </w:rPr>
            </w:pPr>
          </w:p>
        </w:tc>
        <w:tc>
          <w:tcPr>
            <w:tcW w:w="3720" w:type="dxa"/>
            <w:vAlign w:val="bottom"/>
          </w:tcPr>
          <w:p>
            <w:pPr>
              <w:spacing w:after="0"/>
              <w:rPr>
                <w:sz w:val="15"/>
                <w:szCs w:val="15"/>
                <w:color w:val="auto"/>
              </w:rPr>
            </w:pPr>
          </w:p>
        </w:tc>
      </w:tr>
      <w:tr>
        <w:trPr>
          <w:trHeight w:val="175"/>
        </w:trPr>
        <w:tc>
          <w:tcPr>
            <w:tcW w:w="2440" w:type="dxa"/>
            <w:vAlign w:val="bottom"/>
            <w:tcBorders>
              <w:right w:val="single" w:sz="8" w:color="auto"/>
            </w:tcBorders>
          </w:tcPr>
          <w:p>
            <w:pPr>
              <w:spacing w:after="0"/>
              <w:rPr>
                <w:sz w:val="15"/>
                <w:szCs w:val="15"/>
                <w:color w:val="auto"/>
              </w:rPr>
            </w:pPr>
          </w:p>
        </w:tc>
        <w:tc>
          <w:tcPr>
            <w:tcW w:w="3820" w:type="dxa"/>
            <w:vAlign w:val="bottom"/>
            <w:tcBorders>
              <w:right w:val="single" w:sz="8" w:color="auto"/>
            </w:tcBorders>
          </w:tcPr>
          <w:p>
            <w:pPr>
              <w:spacing w:after="0" w:line="176" w:lineRule="exact"/>
              <w:rPr>
                <w:sz w:val="20"/>
                <w:szCs w:val="20"/>
                <w:color w:val="auto"/>
              </w:rPr>
            </w:pPr>
            <w:r>
              <w:rPr>
                <w:rFonts w:ascii="Arial" w:cs="Arial" w:eastAsia="Arial" w:hAnsi="Arial"/>
                <w:sz w:val="18"/>
                <w:szCs w:val="18"/>
                <w:color w:val="auto"/>
                <w:w w:val="94"/>
              </w:rPr>
              <w:t>and losses for the period and unobservable inputs</w:t>
            </w:r>
          </w:p>
        </w:tc>
        <w:tc>
          <w:tcPr>
            <w:tcW w:w="1240" w:type="dxa"/>
            <w:vAlign w:val="bottom"/>
            <w:tcBorders>
              <w:right w:val="single" w:sz="8" w:color="auto"/>
            </w:tcBorders>
          </w:tcPr>
          <w:p>
            <w:pPr>
              <w:spacing w:after="0"/>
              <w:rPr>
                <w:sz w:val="15"/>
                <w:szCs w:val="15"/>
                <w:color w:val="auto"/>
              </w:rPr>
            </w:pPr>
          </w:p>
        </w:tc>
        <w:tc>
          <w:tcPr>
            <w:tcW w:w="3720" w:type="dxa"/>
            <w:vAlign w:val="bottom"/>
          </w:tcPr>
          <w:p>
            <w:pPr>
              <w:spacing w:after="0"/>
              <w:rPr>
                <w:sz w:val="15"/>
                <w:szCs w:val="15"/>
                <w:color w:val="auto"/>
              </w:rPr>
            </w:pPr>
          </w:p>
        </w:tc>
      </w:tr>
      <w:tr>
        <w:trPr>
          <w:trHeight w:val="175"/>
        </w:trPr>
        <w:tc>
          <w:tcPr>
            <w:tcW w:w="2440" w:type="dxa"/>
            <w:vAlign w:val="bottom"/>
            <w:tcBorders>
              <w:right w:val="single" w:sz="8" w:color="auto"/>
            </w:tcBorders>
          </w:tcPr>
          <w:p>
            <w:pPr>
              <w:spacing w:after="0"/>
              <w:rPr>
                <w:sz w:val="15"/>
                <w:szCs w:val="15"/>
                <w:color w:val="auto"/>
              </w:rPr>
            </w:pPr>
          </w:p>
        </w:tc>
        <w:tc>
          <w:tcPr>
            <w:tcW w:w="3820" w:type="dxa"/>
            <w:vAlign w:val="bottom"/>
            <w:tcBorders>
              <w:right w:val="single" w:sz="8" w:color="auto"/>
            </w:tcBorders>
          </w:tcPr>
          <w:p>
            <w:pPr>
              <w:spacing w:after="0" w:line="176" w:lineRule="exact"/>
              <w:rPr>
                <w:sz w:val="20"/>
                <w:szCs w:val="20"/>
                <w:color w:val="auto"/>
              </w:rPr>
            </w:pPr>
            <w:r>
              <w:rPr>
                <w:rFonts w:ascii="Arial" w:cs="Arial" w:eastAsia="Arial" w:hAnsi="Arial"/>
                <w:sz w:val="18"/>
                <w:szCs w:val="18"/>
                <w:color w:val="auto"/>
                <w:w w:val="90"/>
              </w:rPr>
              <w:t>used in determining level 3 fair value measurements</w:t>
            </w:r>
          </w:p>
        </w:tc>
        <w:tc>
          <w:tcPr>
            <w:tcW w:w="1240" w:type="dxa"/>
            <w:vAlign w:val="bottom"/>
            <w:tcBorders>
              <w:right w:val="single" w:sz="8" w:color="auto"/>
            </w:tcBorders>
          </w:tcPr>
          <w:p>
            <w:pPr>
              <w:spacing w:after="0"/>
              <w:rPr>
                <w:sz w:val="15"/>
                <w:szCs w:val="15"/>
                <w:color w:val="auto"/>
              </w:rPr>
            </w:pPr>
          </w:p>
        </w:tc>
        <w:tc>
          <w:tcPr>
            <w:tcW w:w="3720" w:type="dxa"/>
            <w:vAlign w:val="bottom"/>
          </w:tcPr>
          <w:p>
            <w:pPr>
              <w:spacing w:after="0"/>
              <w:rPr>
                <w:sz w:val="15"/>
                <w:szCs w:val="15"/>
                <w:color w:val="auto"/>
              </w:rPr>
            </w:pPr>
          </w:p>
        </w:tc>
      </w:tr>
      <w:tr>
        <w:trPr>
          <w:trHeight w:val="230"/>
        </w:trPr>
        <w:tc>
          <w:tcPr>
            <w:tcW w:w="2440" w:type="dxa"/>
            <w:vAlign w:val="bottom"/>
            <w:tcBorders>
              <w:bottom w:val="single" w:sz="8" w:color="auto"/>
              <w:right w:val="single" w:sz="8" w:color="auto"/>
            </w:tcBorders>
          </w:tcPr>
          <w:p>
            <w:pPr>
              <w:spacing w:after="0"/>
              <w:rPr>
                <w:sz w:val="19"/>
                <w:szCs w:val="19"/>
                <w:color w:val="auto"/>
              </w:rPr>
            </w:pPr>
          </w:p>
        </w:tc>
        <w:tc>
          <w:tcPr>
            <w:tcW w:w="382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will be added, among other changes.</w:t>
            </w:r>
          </w:p>
        </w:tc>
        <w:tc>
          <w:tcPr>
            <w:tcW w:w="1240" w:type="dxa"/>
            <w:vAlign w:val="bottom"/>
            <w:tcBorders>
              <w:bottom w:val="single" w:sz="8" w:color="auto"/>
              <w:right w:val="single" w:sz="8" w:color="auto"/>
            </w:tcBorders>
          </w:tcPr>
          <w:p>
            <w:pPr>
              <w:spacing w:after="0"/>
              <w:rPr>
                <w:sz w:val="19"/>
                <w:szCs w:val="19"/>
                <w:color w:val="auto"/>
              </w:rPr>
            </w:pPr>
          </w:p>
        </w:tc>
        <w:tc>
          <w:tcPr>
            <w:tcW w:w="3720" w:type="dxa"/>
            <w:vAlign w:val="bottom"/>
            <w:tcBorders>
              <w:bottom w:val="single" w:sz="8" w:color="auto"/>
            </w:tcBorders>
          </w:tcPr>
          <w:p>
            <w:pPr>
              <w:spacing w:after="0"/>
              <w:rPr>
                <w:sz w:val="19"/>
                <w:szCs w:val="19"/>
                <w:color w:val="auto"/>
              </w:rPr>
            </w:pPr>
          </w:p>
        </w:tc>
      </w:tr>
      <w:tr>
        <w:trPr>
          <w:trHeight w:val="169"/>
        </w:trPr>
        <w:tc>
          <w:tcPr>
            <w:tcW w:w="2440" w:type="dxa"/>
            <w:vAlign w:val="bottom"/>
            <w:tcBorders>
              <w:right w:val="single" w:sz="8" w:color="auto"/>
            </w:tcBorders>
          </w:tcPr>
          <w:p>
            <w:pPr>
              <w:ind w:left="20"/>
              <w:spacing w:after="0" w:line="169" w:lineRule="exact"/>
              <w:rPr>
                <w:sz w:val="20"/>
                <w:szCs w:val="20"/>
                <w:color w:val="auto"/>
              </w:rPr>
            </w:pPr>
            <w:r>
              <w:rPr>
                <w:rFonts w:ascii="Arial" w:cs="Arial" w:eastAsia="Arial" w:hAnsi="Arial"/>
                <w:sz w:val="18"/>
                <w:szCs w:val="18"/>
                <w:color w:val="auto"/>
              </w:rPr>
              <w:t xml:space="preserve">ASU 2016-13, </w:t>
            </w:r>
            <w:r>
              <w:rPr>
                <w:rFonts w:ascii="Arial" w:cs="Arial" w:eastAsia="Arial" w:hAnsi="Arial"/>
                <w:sz w:val="18"/>
                <w:szCs w:val="18"/>
                <w:i w:val="1"/>
                <w:iCs w:val="1"/>
                <w:color w:val="auto"/>
              </w:rPr>
              <w:t>Financial</w:t>
            </w:r>
          </w:p>
        </w:tc>
        <w:tc>
          <w:tcPr>
            <w:tcW w:w="3820" w:type="dxa"/>
            <w:vAlign w:val="bottom"/>
            <w:tcBorders>
              <w:right w:val="single" w:sz="8" w:color="auto"/>
            </w:tcBorders>
          </w:tcPr>
          <w:p>
            <w:pPr>
              <w:spacing w:after="0" w:line="169" w:lineRule="exact"/>
              <w:rPr>
                <w:sz w:val="20"/>
                <w:szCs w:val="20"/>
                <w:color w:val="auto"/>
              </w:rPr>
            </w:pPr>
            <w:r>
              <w:rPr>
                <w:rFonts w:ascii="Arial" w:cs="Arial" w:eastAsia="Arial" w:hAnsi="Arial"/>
                <w:sz w:val="18"/>
                <w:szCs w:val="18"/>
                <w:color w:val="auto"/>
              </w:rPr>
              <w:t>This ASU replaces the current incurred loss</w:t>
            </w:r>
          </w:p>
        </w:tc>
        <w:tc>
          <w:tcPr>
            <w:tcW w:w="1240" w:type="dxa"/>
            <w:vAlign w:val="bottom"/>
            <w:tcBorders>
              <w:right w:val="single" w:sz="8" w:color="auto"/>
            </w:tcBorders>
          </w:tcPr>
          <w:p>
            <w:pPr>
              <w:jc w:val="center"/>
              <w:spacing w:after="0" w:line="169" w:lineRule="exact"/>
              <w:rPr>
                <w:sz w:val="20"/>
                <w:szCs w:val="20"/>
                <w:color w:val="auto"/>
              </w:rPr>
            </w:pPr>
            <w:r>
              <w:rPr>
                <w:rFonts w:ascii="Arial" w:cs="Arial" w:eastAsia="Arial" w:hAnsi="Arial"/>
                <w:sz w:val="18"/>
                <w:szCs w:val="18"/>
                <w:color w:val="auto"/>
                <w:w w:val="88"/>
              </w:rPr>
              <w:t>June 1, 2020</w:t>
            </w:r>
          </w:p>
        </w:tc>
        <w:tc>
          <w:tcPr>
            <w:tcW w:w="3720" w:type="dxa"/>
            <w:vAlign w:val="bottom"/>
          </w:tcPr>
          <w:p>
            <w:pPr>
              <w:ind w:left="20"/>
              <w:spacing w:after="0" w:line="169" w:lineRule="exact"/>
              <w:rPr>
                <w:sz w:val="20"/>
                <w:szCs w:val="20"/>
                <w:color w:val="auto"/>
              </w:rPr>
            </w:pPr>
            <w:r>
              <w:rPr>
                <w:rFonts w:ascii="Arial" w:cs="Arial" w:eastAsia="Arial" w:hAnsi="Arial"/>
                <w:sz w:val="18"/>
                <w:szCs w:val="18"/>
                <w:color w:val="auto"/>
                <w:w w:val="98"/>
              </w:rPr>
              <w:t>The Company adopted the new standard in the</w:t>
            </w:r>
          </w:p>
        </w:tc>
      </w:tr>
      <w:tr>
        <w:trPr>
          <w:trHeight w:val="176"/>
        </w:trPr>
        <w:tc>
          <w:tcPr>
            <w:tcW w:w="2440" w:type="dxa"/>
            <w:vAlign w:val="bottom"/>
            <w:tcBorders>
              <w:right w:val="single" w:sz="8" w:color="auto"/>
            </w:tcBorders>
          </w:tcPr>
          <w:p>
            <w:pPr>
              <w:ind w:left="20"/>
              <w:spacing w:after="0" w:line="176" w:lineRule="exact"/>
              <w:rPr>
                <w:sz w:val="20"/>
                <w:szCs w:val="20"/>
                <w:color w:val="auto"/>
              </w:rPr>
            </w:pPr>
            <w:r>
              <w:rPr>
                <w:rFonts w:ascii="Arial" w:cs="Arial" w:eastAsia="Arial" w:hAnsi="Arial"/>
                <w:sz w:val="18"/>
                <w:szCs w:val="18"/>
                <w:i w:val="1"/>
                <w:iCs w:val="1"/>
                <w:color w:val="auto"/>
              </w:rPr>
              <w:t>Instruments - Credit</w:t>
            </w:r>
          </w:p>
        </w:tc>
        <w:tc>
          <w:tcPr>
            <w:tcW w:w="3820" w:type="dxa"/>
            <w:vAlign w:val="bottom"/>
            <w:tcBorders>
              <w:right w:val="single" w:sz="8" w:color="auto"/>
            </w:tcBorders>
          </w:tcPr>
          <w:p>
            <w:pPr>
              <w:spacing w:after="0" w:line="176" w:lineRule="exact"/>
              <w:rPr>
                <w:sz w:val="20"/>
                <w:szCs w:val="20"/>
                <w:color w:val="auto"/>
              </w:rPr>
            </w:pPr>
            <w:r>
              <w:rPr>
                <w:rFonts w:ascii="Arial" w:cs="Arial" w:eastAsia="Arial" w:hAnsi="Arial"/>
                <w:sz w:val="18"/>
                <w:szCs w:val="18"/>
                <w:color w:val="auto"/>
              </w:rPr>
              <w:t>impairment methodology for financial assets</w:t>
            </w:r>
          </w:p>
        </w:tc>
        <w:tc>
          <w:tcPr>
            <w:tcW w:w="1240" w:type="dxa"/>
            <w:vAlign w:val="bottom"/>
            <w:tcBorders>
              <w:right w:val="single" w:sz="8" w:color="auto"/>
            </w:tcBorders>
          </w:tcPr>
          <w:p>
            <w:pPr>
              <w:spacing w:after="0"/>
              <w:rPr>
                <w:sz w:val="15"/>
                <w:szCs w:val="15"/>
                <w:color w:val="auto"/>
              </w:rPr>
            </w:pPr>
          </w:p>
        </w:tc>
        <w:tc>
          <w:tcPr>
            <w:tcW w:w="3720" w:type="dxa"/>
            <w:vAlign w:val="bottom"/>
          </w:tcPr>
          <w:p>
            <w:pPr>
              <w:ind w:left="20"/>
              <w:spacing w:after="0" w:line="176" w:lineRule="exact"/>
              <w:rPr>
                <w:sz w:val="20"/>
                <w:szCs w:val="20"/>
                <w:color w:val="auto"/>
              </w:rPr>
            </w:pPr>
            <w:r>
              <w:rPr>
                <w:rFonts w:ascii="Arial" w:cs="Arial" w:eastAsia="Arial" w:hAnsi="Arial"/>
                <w:sz w:val="18"/>
                <w:szCs w:val="18"/>
                <w:color w:val="auto"/>
                <w:w w:val="93"/>
              </w:rPr>
              <w:t>first quarter of fiscal year 2021 and it did not have</w:t>
            </w:r>
          </w:p>
        </w:tc>
      </w:tr>
      <w:tr>
        <w:trPr>
          <w:trHeight w:val="175"/>
        </w:trPr>
        <w:tc>
          <w:tcPr>
            <w:tcW w:w="2440" w:type="dxa"/>
            <w:vAlign w:val="bottom"/>
            <w:tcBorders>
              <w:right w:val="single" w:sz="8" w:color="auto"/>
            </w:tcBorders>
          </w:tcPr>
          <w:p>
            <w:pPr>
              <w:ind w:left="20"/>
              <w:spacing w:after="0" w:line="176" w:lineRule="exact"/>
              <w:rPr>
                <w:sz w:val="20"/>
                <w:szCs w:val="20"/>
                <w:color w:val="auto"/>
              </w:rPr>
            </w:pPr>
            <w:r>
              <w:rPr>
                <w:rFonts w:ascii="Arial" w:cs="Arial" w:eastAsia="Arial" w:hAnsi="Arial"/>
                <w:sz w:val="18"/>
                <w:szCs w:val="18"/>
                <w:i w:val="1"/>
                <w:iCs w:val="1"/>
                <w:color w:val="auto"/>
              </w:rPr>
              <w:t>Losses (Topic 326):</w:t>
            </w:r>
          </w:p>
        </w:tc>
        <w:tc>
          <w:tcPr>
            <w:tcW w:w="3820" w:type="dxa"/>
            <w:vAlign w:val="bottom"/>
            <w:tcBorders>
              <w:right w:val="single" w:sz="8" w:color="auto"/>
            </w:tcBorders>
          </w:tcPr>
          <w:p>
            <w:pPr>
              <w:spacing w:after="0" w:line="176" w:lineRule="exact"/>
              <w:rPr>
                <w:sz w:val="20"/>
                <w:szCs w:val="20"/>
                <w:color w:val="auto"/>
              </w:rPr>
            </w:pPr>
            <w:r>
              <w:rPr>
                <w:rFonts w:ascii="Arial" w:cs="Arial" w:eastAsia="Arial" w:hAnsi="Arial"/>
                <w:sz w:val="18"/>
                <w:szCs w:val="18"/>
                <w:color w:val="auto"/>
                <w:w w:val="90"/>
              </w:rPr>
              <w:t>measured at amortized cost with a methodology that</w:t>
            </w:r>
          </w:p>
        </w:tc>
        <w:tc>
          <w:tcPr>
            <w:tcW w:w="1240" w:type="dxa"/>
            <w:vAlign w:val="bottom"/>
            <w:tcBorders>
              <w:right w:val="single" w:sz="8" w:color="auto"/>
            </w:tcBorders>
          </w:tcPr>
          <w:p>
            <w:pPr>
              <w:spacing w:after="0"/>
              <w:rPr>
                <w:sz w:val="15"/>
                <w:szCs w:val="15"/>
                <w:color w:val="auto"/>
              </w:rPr>
            </w:pPr>
          </w:p>
        </w:tc>
        <w:tc>
          <w:tcPr>
            <w:tcW w:w="3720" w:type="dxa"/>
            <w:vAlign w:val="bottom"/>
          </w:tcPr>
          <w:p>
            <w:pPr>
              <w:ind w:left="20"/>
              <w:spacing w:after="0" w:line="176" w:lineRule="exact"/>
              <w:rPr>
                <w:sz w:val="20"/>
                <w:szCs w:val="20"/>
                <w:color w:val="auto"/>
              </w:rPr>
            </w:pPr>
            <w:r>
              <w:rPr>
                <w:rFonts w:ascii="Arial" w:cs="Arial" w:eastAsia="Arial" w:hAnsi="Arial"/>
                <w:sz w:val="18"/>
                <w:szCs w:val="18"/>
                <w:color w:val="auto"/>
                <w:w w:val="90"/>
              </w:rPr>
              <w:t>an impact on the Company's consolidated financial</w:t>
            </w:r>
          </w:p>
        </w:tc>
      </w:tr>
      <w:tr>
        <w:trPr>
          <w:trHeight w:val="175"/>
        </w:trPr>
        <w:tc>
          <w:tcPr>
            <w:tcW w:w="2440" w:type="dxa"/>
            <w:vAlign w:val="bottom"/>
            <w:tcBorders>
              <w:right w:val="single" w:sz="8" w:color="auto"/>
            </w:tcBorders>
          </w:tcPr>
          <w:p>
            <w:pPr>
              <w:ind w:left="20"/>
              <w:spacing w:after="0" w:line="176" w:lineRule="exact"/>
              <w:rPr>
                <w:sz w:val="20"/>
                <w:szCs w:val="20"/>
                <w:color w:val="auto"/>
              </w:rPr>
            </w:pPr>
            <w:r>
              <w:rPr>
                <w:rFonts w:ascii="Arial" w:cs="Arial" w:eastAsia="Arial" w:hAnsi="Arial"/>
                <w:sz w:val="18"/>
                <w:szCs w:val="18"/>
                <w:i w:val="1"/>
                <w:iCs w:val="1"/>
                <w:color w:val="auto"/>
                <w:w w:val="97"/>
              </w:rPr>
              <w:t>Measurement of Credit Losses</w:t>
            </w:r>
          </w:p>
        </w:tc>
        <w:tc>
          <w:tcPr>
            <w:tcW w:w="3820" w:type="dxa"/>
            <w:vAlign w:val="bottom"/>
            <w:tcBorders>
              <w:right w:val="single" w:sz="8" w:color="auto"/>
            </w:tcBorders>
          </w:tcPr>
          <w:p>
            <w:pPr>
              <w:spacing w:after="0" w:line="176" w:lineRule="exact"/>
              <w:rPr>
                <w:sz w:val="20"/>
                <w:szCs w:val="20"/>
                <w:color w:val="auto"/>
              </w:rPr>
            </w:pPr>
            <w:r>
              <w:rPr>
                <w:rFonts w:ascii="Arial" w:cs="Arial" w:eastAsia="Arial" w:hAnsi="Arial"/>
                <w:sz w:val="18"/>
                <w:szCs w:val="18"/>
                <w:color w:val="auto"/>
              </w:rPr>
              <w:t>reflects expected credit losses and requires</w:t>
            </w:r>
          </w:p>
        </w:tc>
        <w:tc>
          <w:tcPr>
            <w:tcW w:w="1240" w:type="dxa"/>
            <w:vAlign w:val="bottom"/>
            <w:tcBorders>
              <w:right w:val="single" w:sz="8" w:color="auto"/>
            </w:tcBorders>
          </w:tcPr>
          <w:p>
            <w:pPr>
              <w:spacing w:after="0"/>
              <w:rPr>
                <w:sz w:val="15"/>
                <w:szCs w:val="15"/>
                <w:color w:val="auto"/>
              </w:rPr>
            </w:pPr>
          </w:p>
        </w:tc>
        <w:tc>
          <w:tcPr>
            <w:tcW w:w="3720" w:type="dxa"/>
            <w:vAlign w:val="bottom"/>
          </w:tcPr>
          <w:p>
            <w:pPr>
              <w:ind w:left="20"/>
              <w:spacing w:after="0" w:line="176" w:lineRule="exact"/>
              <w:rPr>
                <w:sz w:val="20"/>
                <w:szCs w:val="20"/>
                <w:color w:val="auto"/>
              </w:rPr>
            </w:pPr>
            <w:r>
              <w:rPr>
                <w:rFonts w:ascii="Arial" w:cs="Arial" w:eastAsia="Arial" w:hAnsi="Arial"/>
                <w:sz w:val="18"/>
                <w:szCs w:val="18"/>
                <w:color w:val="auto"/>
              </w:rPr>
              <w:t>statements.</w:t>
            </w:r>
          </w:p>
        </w:tc>
      </w:tr>
      <w:tr>
        <w:trPr>
          <w:trHeight w:val="175"/>
        </w:trPr>
        <w:tc>
          <w:tcPr>
            <w:tcW w:w="2440" w:type="dxa"/>
            <w:vAlign w:val="bottom"/>
            <w:tcBorders>
              <w:right w:val="single" w:sz="8" w:color="auto"/>
            </w:tcBorders>
          </w:tcPr>
          <w:p>
            <w:pPr>
              <w:ind w:left="20"/>
              <w:spacing w:after="0" w:line="176" w:lineRule="exact"/>
              <w:rPr>
                <w:sz w:val="20"/>
                <w:szCs w:val="20"/>
                <w:color w:val="auto"/>
              </w:rPr>
            </w:pPr>
            <w:r>
              <w:rPr>
                <w:rFonts w:ascii="Arial" w:cs="Arial" w:eastAsia="Arial" w:hAnsi="Arial"/>
                <w:sz w:val="18"/>
                <w:szCs w:val="18"/>
                <w:i w:val="1"/>
                <w:iCs w:val="1"/>
                <w:color w:val="auto"/>
              </w:rPr>
              <w:t>on Financial Instruments</w:t>
            </w:r>
          </w:p>
        </w:tc>
        <w:tc>
          <w:tcPr>
            <w:tcW w:w="3820" w:type="dxa"/>
            <w:vAlign w:val="bottom"/>
            <w:tcBorders>
              <w:right w:val="single" w:sz="8" w:color="auto"/>
            </w:tcBorders>
          </w:tcPr>
          <w:p>
            <w:pPr>
              <w:spacing w:after="0" w:line="176" w:lineRule="exact"/>
              <w:rPr>
                <w:sz w:val="20"/>
                <w:szCs w:val="20"/>
                <w:color w:val="auto"/>
              </w:rPr>
            </w:pPr>
            <w:r>
              <w:rPr>
                <w:rFonts w:ascii="Arial" w:cs="Arial" w:eastAsia="Arial" w:hAnsi="Arial"/>
                <w:sz w:val="18"/>
                <w:szCs w:val="18"/>
                <w:color w:val="auto"/>
                <w:w w:val="92"/>
              </w:rPr>
              <w:t>consideration of a broader range of reasonable and</w:t>
            </w:r>
          </w:p>
        </w:tc>
        <w:tc>
          <w:tcPr>
            <w:tcW w:w="1240" w:type="dxa"/>
            <w:vAlign w:val="bottom"/>
            <w:tcBorders>
              <w:right w:val="single" w:sz="8" w:color="auto"/>
            </w:tcBorders>
          </w:tcPr>
          <w:p>
            <w:pPr>
              <w:spacing w:after="0"/>
              <w:rPr>
                <w:sz w:val="15"/>
                <w:szCs w:val="15"/>
                <w:color w:val="auto"/>
              </w:rPr>
            </w:pPr>
          </w:p>
        </w:tc>
        <w:tc>
          <w:tcPr>
            <w:tcW w:w="3720" w:type="dxa"/>
            <w:vAlign w:val="bottom"/>
          </w:tcPr>
          <w:p>
            <w:pPr>
              <w:spacing w:after="0"/>
              <w:rPr>
                <w:sz w:val="15"/>
                <w:szCs w:val="15"/>
                <w:color w:val="auto"/>
              </w:rPr>
            </w:pPr>
          </w:p>
        </w:tc>
      </w:tr>
      <w:tr>
        <w:trPr>
          <w:trHeight w:val="175"/>
        </w:trPr>
        <w:tc>
          <w:tcPr>
            <w:tcW w:w="2440" w:type="dxa"/>
            <w:vAlign w:val="bottom"/>
            <w:tcBorders>
              <w:right w:val="single" w:sz="8" w:color="auto"/>
            </w:tcBorders>
          </w:tcPr>
          <w:p>
            <w:pPr>
              <w:spacing w:after="0"/>
              <w:rPr>
                <w:sz w:val="15"/>
                <w:szCs w:val="15"/>
                <w:color w:val="auto"/>
              </w:rPr>
            </w:pPr>
          </w:p>
        </w:tc>
        <w:tc>
          <w:tcPr>
            <w:tcW w:w="3820" w:type="dxa"/>
            <w:vAlign w:val="bottom"/>
            <w:tcBorders>
              <w:right w:val="single" w:sz="8" w:color="auto"/>
            </w:tcBorders>
          </w:tcPr>
          <w:p>
            <w:pPr>
              <w:spacing w:after="0" w:line="176" w:lineRule="exact"/>
              <w:rPr>
                <w:sz w:val="20"/>
                <w:szCs w:val="20"/>
                <w:color w:val="auto"/>
              </w:rPr>
            </w:pPr>
            <w:r>
              <w:rPr>
                <w:rFonts w:ascii="Arial" w:cs="Arial" w:eastAsia="Arial" w:hAnsi="Arial"/>
                <w:sz w:val="18"/>
                <w:szCs w:val="18"/>
                <w:color w:val="auto"/>
              </w:rPr>
              <w:t>supportable information, including forecasted</w:t>
            </w:r>
          </w:p>
        </w:tc>
        <w:tc>
          <w:tcPr>
            <w:tcW w:w="1240" w:type="dxa"/>
            <w:vAlign w:val="bottom"/>
            <w:tcBorders>
              <w:right w:val="single" w:sz="8" w:color="auto"/>
            </w:tcBorders>
          </w:tcPr>
          <w:p>
            <w:pPr>
              <w:spacing w:after="0"/>
              <w:rPr>
                <w:sz w:val="15"/>
                <w:szCs w:val="15"/>
                <w:color w:val="auto"/>
              </w:rPr>
            </w:pPr>
          </w:p>
        </w:tc>
        <w:tc>
          <w:tcPr>
            <w:tcW w:w="3720" w:type="dxa"/>
            <w:vAlign w:val="bottom"/>
          </w:tcPr>
          <w:p>
            <w:pPr>
              <w:spacing w:after="0"/>
              <w:rPr>
                <w:sz w:val="15"/>
                <w:szCs w:val="15"/>
                <w:color w:val="auto"/>
              </w:rPr>
            </w:pPr>
          </w:p>
        </w:tc>
      </w:tr>
      <w:tr>
        <w:trPr>
          <w:trHeight w:val="230"/>
        </w:trPr>
        <w:tc>
          <w:tcPr>
            <w:tcW w:w="2440" w:type="dxa"/>
            <w:vAlign w:val="bottom"/>
            <w:tcBorders>
              <w:bottom w:val="single" w:sz="8" w:color="auto"/>
              <w:right w:val="single" w:sz="8" w:color="auto"/>
            </w:tcBorders>
          </w:tcPr>
          <w:p>
            <w:pPr>
              <w:spacing w:after="0"/>
              <w:rPr>
                <w:sz w:val="19"/>
                <w:szCs w:val="19"/>
                <w:color w:val="auto"/>
              </w:rPr>
            </w:pPr>
          </w:p>
        </w:tc>
        <w:tc>
          <w:tcPr>
            <w:tcW w:w="382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information, to develop credit loss estimates.</w:t>
            </w:r>
          </w:p>
        </w:tc>
        <w:tc>
          <w:tcPr>
            <w:tcW w:w="1240" w:type="dxa"/>
            <w:vAlign w:val="bottom"/>
            <w:tcBorders>
              <w:bottom w:val="single" w:sz="8" w:color="auto"/>
              <w:right w:val="single" w:sz="8" w:color="auto"/>
            </w:tcBorders>
          </w:tcPr>
          <w:p>
            <w:pPr>
              <w:spacing w:after="0"/>
              <w:rPr>
                <w:sz w:val="19"/>
                <w:szCs w:val="19"/>
                <w:color w:val="auto"/>
              </w:rPr>
            </w:pPr>
          </w:p>
        </w:tc>
        <w:tc>
          <w:tcPr>
            <w:tcW w:w="3720" w:type="dxa"/>
            <w:vAlign w:val="bottom"/>
            <w:tcBorders>
              <w:bottom w:val="single" w:sz="8" w:color="auto"/>
            </w:tcBorders>
          </w:tcPr>
          <w:p>
            <w:pPr>
              <w:spacing w:after="0"/>
              <w:rPr>
                <w:sz w:val="19"/>
                <w:szCs w:val="19"/>
                <w:color w:val="auto"/>
              </w:rPr>
            </w:pPr>
          </w:p>
        </w:tc>
      </w:tr>
    </w:tbl>
    <w:p>
      <w:pPr>
        <w:spacing w:after="0" w:line="373"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Recently Issued Accounting Pronouncements - Not Yet Applicable or Adopted</w:t>
      </w:r>
    </w:p>
    <w:p>
      <w:pPr>
        <w:spacing w:after="0" w:line="364" w:lineRule="exact"/>
        <w:rPr>
          <w:sz w:val="20"/>
          <w:szCs w:val="20"/>
          <w:color w:val="auto"/>
        </w:rPr>
      </w:pPr>
    </w:p>
    <w:p>
      <w:pPr>
        <w:ind w:left="340"/>
        <w:spacing w:after="0"/>
        <w:rPr>
          <w:sz w:val="20"/>
          <w:szCs w:val="20"/>
          <w:color w:val="auto"/>
        </w:rPr>
      </w:pPr>
      <w:r>
        <w:rPr>
          <w:rFonts w:ascii="Arial" w:cs="Arial" w:eastAsia="Arial" w:hAnsi="Arial"/>
          <w:sz w:val="16"/>
          <w:szCs w:val="16"/>
          <w:color w:val="auto"/>
        </w:rPr>
        <w:t>There are no other new accounting pronouncements issued that are expected to have a material impact on our consolidated financial statements.</w:t>
      </w:r>
    </w:p>
    <w:p>
      <w:pPr>
        <w:spacing w:after="0" w:line="200" w:lineRule="exact"/>
        <w:rPr>
          <w:sz w:val="20"/>
          <w:szCs w:val="20"/>
          <w:color w:val="auto"/>
        </w:rPr>
      </w:pP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3" w:name="page24"/>
    <w:bookmarkEnd w:id="23"/>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175" w:lineRule="exact"/>
        <w:rPr>
          <w:sz w:val="20"/>
          <w:szCs w:val="20"/>
          <w:color w:val="auto"/>
        </w:rPr>
      </w:pPr>
    </w:p>
    <w:p>
      <w:pPr>
        <w:ind w:right="280" w:firstLine="405"/>
        <w:spacing w:after="0" w:line="277" w:lineRule="auto"/>
        <w:rPr>
          <w:sz w:val="20"/>
          <w:szCs w:val="20"/>
          <w:color w:val="auto"/>
        </w:rPr>
      </w:pPr>
      <w:r>
        <w:rPr>
          <w:rFonts w:ascii="Arial" w:cs="Arial" w:eastAsia="Arial" w:hAnsi="Arial"/>
          <w:sz w:val="18"/>
          <w:szCs w:val="18"/>
          <w:color w:val="auto"/>
        </w:rPr>
        <w:t>The following information should be read together with the consolidated financial statements and the notes thereto and other information included elsewhere in this quarterly report on Form 10-Q.</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Forward-Looking Statements</w:t>
      </w:r>
    </w:p>
    <w:p>
      <w:pPr>
        <w:spacing w:after="0" w:line="171" w:lineRule="exact"/>
        <w:rPr>
          <w:sz w:val="20"/>
          <w:szCs w:val="20"/>
          <w:color w:val="auto"/>
        </w:rPr>
      </w:pPr>
    </w:p>
    <w:p>
      <w:pPr>
        <w:ind w:right="220" w:firstLine="405"/>
        <w:spacing w:after="0" w:line="287" w:lineRule="auto"/>
        <w:rPr>
          <w:sz w:val="20"/>
          <w:szCs w:val="20"/>
          <w:color w:val="auto"/>
        </w:rPr>
      </w:pPr>
      <w:r>
        <w:rPr>
          <w:rFonts w:ascii="Arial" w:cs="Arial" w:eastAsia="Arial" w:hAnsi="Arial"/>
          <w:sz w:val="16"/>
          <w:szCs w:val="16"/>
          <w:color w:val="auto"/>
        </w:rPr>
        <w:t>This quarterly report on Form 10-Q, including the sections entitled “Management’s Discussion and Analysis of Financial Condition and Results of Operations,” contains forward-looking statements within the meaning of the Private Securities Litigation Reform Act of 1995. All statements regarding AngioDynamics’ expected future financial position, results of operations, cash flows, business strategy, budgets, projected costs, capital expenditures, products, competitive positions, growth opportunities, plans and objectives of management for future operations, as well as statements that include the words such as “expects,” “reaffirms,” “intends,” “anticipates,” “plans,” “believes,” “seeks,” “estimates,” or variations of such words and similar expressions, are forward-looking statements. These forward looking statements are not guarantees of future performance and are subject to risks and uncertainties. Investors are cautioned that actual events or results may differ from our expectations. Factors that may affect our actual results achieved include, without limitation, our ability to develop existing and new products, future actions by FDA or other regulatory agencies, results of pending or future clinical trials, the results of ongoing litigation, overall economic conditions, general market conditions, market acceptance, foreign currency exchange rate fluctuations, the effects on pricing from group purchasing organizations and competition, our ability to integrate purchased businesses and other factors including natural disasters and pandemics (such as the scope, scale and duration of the impact of the novel coronavirus, COVID-19). Other risks and uncertainties include, but are not limited to, the factors described from time to time in our reports filed with the SEC.</w:t>
      </w:r>
    </w:p>
    <w:p>
      <w:pPr>
        <w:spacing w:after="0" w:line="114" w:lineRule="exact"/>
        <w:rPr>
          <w:sz w:val="20"/>
          <w:szCs w:val="20"/>
          <w:color w:val="auto"/>
        </w:rPr>
      </w:pPr>
    </w:p>
    <w:p>
      <w:pPr>
        <w:ind w:firstLine="405"/>
        <w:spacing w:after="0" w:line="272" w:lineRule="auto"/>
        <w:rPr>
          <w:sz w:val="20"/>
          <w:szCs w:val="20"/>
          <w:color w:val="auto"/>
        </w:rPr>
      </w:pPr>
      <w:r>
        <w:rPr>
          <w:rFonts w:ascii="Arial" w:cs="Arial" w:eastAsia="Arial" w:hAnsi="Arial"/>
          <w:sz w:val="17"/>
          <w:szCs w:val="17"/>
          <w:color w:val="auto"/>
        </w:rPr>
        <w:t>Although we believe that the assumptions underlying the forward-looking statements contained herein are reasonable, any of the assumptions could be inaccurate and, therefore, there can be no assurance that the forward-looking statements included in this quarterly report on Form 10-Q will prove to be accurate. In light of the significant uncertainties inherent in the forward-looking statements included herein, the inclusion of such information should not be regarded as a representation by us or any other person that our objectives and plans will be achieved. Any forward-looking statements are made pursuant to the Private Securities Litigation Reform Act of 1995 and, as such, speak only as of the date made. AngioDynamics disclaims any obligation to update the forward-looking statements. Investors are cautioned not to place undue reliance on these forward-looking statements which speak only as of the date stated, or if no date is stated, as of the date of this document.</w:t>
      </w: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Executive Overview</w:t>
      </w:r>
    </w:p>
    <w:p>
      <w:pPr>
        <w:spacing w:after="0" w:line="171" w:lineRule="exact"/>
        <w:rPr>
          <w:sz w:val="20"/>
          <w:szCs w:val="20"/>
          <w:color w:val="auto"/>
        </w:rPr>
      </w:pPr>
    </w:p>
    <w:p>
      <w:pPr>
        <w:ind w:right="60" w:firstLine="405"/>
        <w:spacing w:after="0" w:line="259" w:lineRule="auto"/>
        <w:rPr>
          <w:sz w:val="20"/>
          <w:szCs w:val="20"/>
          <w:color w:val="auto"/>
        </w:rPr>
      </w:pPr>
      <w:r>
        <w:rPr>
          <w:rFonts w:ascii="Arial" w:cs="Arial" w:eastAsia="Arial" w:hAnsi="Arial"/>
          <w:sz w:val="18"/>
          <w:szCs w:val="18"/>
          <w:color w:val="auto"/>
        </w:rPr>
        <w:t>We design, manufacture and sell a wide range of medical, surgical and diagnostic devices used by professional healthcare providers for vascular access, for the treatment of peripheral vascular disease and for use in oncology and surgical settings. Our devices are generally used in minimally invasive, image-guided procedures. Many of our products are intended to be used once and then discarded, or they may be temporarily implanted for short- or longer-term use.</w:t>
      </w:r>
    </w:p>
    <w:p>
      <w:pPr>
        <w:spacing w:after="0" w:line="133" w:lineRule="exact"/>
        <w:rPr>
          <w:sz w:val="20"/>
          <w:szCs w:val="20"/>
          <w:color w:val="auto"/>
        </w:rPr>
      </w:pPr>
    </w:p>
    <w:p>
      <w:pPr>
        <w:ind w:right="320" w:firstLine="405"/>
        <w:spacing w:after="0" w:line="301" w:lineRule="auto"/>
        <w:rPr>
          <w:sz w:val="20"/>
          <w:szCs w:val="20"/>
          <w:color w:val="auto"/>
        </w:rPr>
      </w:pPr>
      <w:r>
        <w:rPr>
          <w:rFonts w:ascii="Arial" w:cs="Arial" w:eastAsia="Arial" w:hAnsi="Arial"/>
          <w:sz w:val="16"/>
          <w:szCs w:val="16"/>
          <w:color w:val="auto"/>
        </w:rPr>
        <w:t>Our business operations cross a variety of markets. Our financial performance is impacted by changing market dynamics, which have included an emergence of value-based purchasing by healthcare providers, consolidation of healthcare providers, the increased role of the consumer in health care decision-making and an aging population, among others. In addition, our growth is impacted by changes within our sector, such as the merging of competitors to gain scale and influence; changes in the regulatory environment for medical device; and fluctuations in the global economy.</w:t>
      </w:r>
    </w:p>
    <w:p>
      <w:pPr>
        <w:spacing w:after="0" w:line="103" w:lineRule="exact"/>
        <w:rPr>
          <w:sz w:val="20"/>
          <w:szCs w:val="20"/>
          <w:color w:val="auto"/>
        </w:rPr>
      </w:pPr>
    </w:p>
    <w:p>
      <w:pPr>
        <w:ind w:right="140" w:firstLine="405"/>
        <w:spacing w:after="0" w:line="301" w:lineRule="auto"/>
        <w:rPr>
          <w:sz w:val="20"/>
          <w:szCs w:val="20"/>
          <w:color w:val="auto"/>
        </w:rPr>
      </w:pPr>
      <w:r>
        <w:rPr>
          <w:rFonts w:ascii="Arial" w:cs="Arial" w:eastAsia="Arial" w:hAnsi="Arial"/>
          <w:sz w:val="16"/>
          <w:szCs w:val="16"/>
          <w:color w:val="auto"/>
        </w:rPr>
        <w:t>Our sales and profitability growth also depends, in part, on the introduction of new and innovative products, together with ongoing enhancements to our existing products. Expansions to our product offerings are created through internal product development, technology licensing and strategic alliances. We recognize the importance of, and intend to continue to make investments in research and development activities and business development opportunities and feel confident that our existing capital structure and free cash flow generation will allow us to properly fund those activities.</w:t>
      </w:r>
    </w:p>
    <w:p>
      <w:pPr>
        <w:spacing w:after="0" w:line="103" w:lineRule="exact"/>
        <w:rPr>
          <w:sz w:val="20"/>
          <w:szCs w:val="20"/>
          <w:color w:val="auto"/>
        </w:rPr>
      </w:pPr>
    </w:p>
    <w:p>
      <w:pPr>
        <w:ind w:right="160" w:firstLine="405"/>
        <w:spacing w:after="0" w:line="263" w:lineRule="auto"/>
        <w:rPr>
          <w:sz w:val="20"/>
          <w:szCs w:val="20"/>
          <w:color w:val="auto"/>
        </w:rPr>
      </w:pPr>
      <w:r>
        <w:rPr>
          <w:rFonts w:ascii="Arial" w:cs="Arial" w:eastAsia="Arial" w:hAnsi="Arial"/>
          <w:sz w:val="18"/>
          <w:szCs w:val="18"/>
          <w:color w:val="auto"/>
        </w:rPr>
        <w:t>We sell our products in the United States primarily through a direct sales force, and outside the U.S. through a combination of direct sales and distributor relationships. We expect our businesses to grow in both sales and profitability through geographic expansion, market penetration, new product introductions and increasing our direct presence internationally.</w:t>
      </w:r>
    </w:p>
    <w:p>
      <w:pPr>
        <w:spacing w:after="0" w:line="130" w:lineRule="exact"/>
        <w:rPr>
          <w:sz w:val="20"/>
          <w:szCs w:val="20"/>
          <w:color w:val="auto"/>
        </w:rPr>
      </w:pPr>
    </w:p>
    <w:p>
      <w:pPr>
        <w:ind w:right="20" w:firstLine="405"/>
        <w:spacing w:after="0" w:line="257" w:lineRule="auto"/>
        <w:rPr>
          <w:sz w:val="20"/>
          <w:szCs w:val="20"/>
          <w:color w:val="auto"/>
        </w:rPr>
      </w:pPr>
      <w:r>
        <w:rPr>
          <w:rFonts w:ascii="Arial" w:cs="Arial" w:eastAsia="Arial" w:hAnsi="Arial"/>
          <w:sz w:val="18"/>
          <w:szCs w:val="18"/>
          <w:color w:val="auto"/>
        </w:rPr>
        <w:t>The COVID-19 global pandemic may pose significant risks to our business. It is too early to quantify the impact this situation will have on fiscal year 2021 or beyond, but the public health actions being undertaken to reduce spread of the virus are causing and may continue to cause significant disruptions with respect to consumer demand, hospital operating procedures and workflow, our ability to continue to manufacture products and the reliability of our supply chain. Accordingly, management is evaluating the Company’s liquidity position, communicating with and monitoring the actions of our customers and suppliers,</w:t>
      </w: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24" w:name="page25"/>
    <w:bookmarkEnd w:id="24"/>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color w:val="auto"/>
        </w:rPr>
        <w:t>and reviewing our near-term financial performance as we manage the Company through the uncertainty related to the coronavirus.</w:t>
      </w:r>
    </w:p>
    <w:p>
      <w:pPr>
        <w:spacing w:after="0" w:line="171" w:lineRule="exact"/>
        <w:rPr>
          <w:sz w:val="20"/>
          <w:szCs w:val="20"/>
          <w:color w:val="auto"/>
        </w:rPr>
      </w:pPr>
    </w:p>
    <w:p>
      <w:pPr>
        <w:ind w:right="60" w:firstLine="405"/>
        <w:spacing w:after="0" w:line="263" w:lineRule="auto"/>
        <w:rPr>
          <w:sz w:val="20"/>
          <w:szCs w:val="20"/>
          <w:color w:val="auto"/>
        </w:rPr>
      </w:pPr>
      <w:r>
        <w:rPr>
          <w:rFonts w:ascii="Arial" w:cs="Arial" w:eastAsia="Arial" w:hAnsi="Arial"/>
          <w:sz w:val="18"/>
          <w:szCs w:val="18"/>
          <w:color w:val="auto"/>
        </w:rPr>
        <w:t>In evaluating the operating performance of our business, management focuses on revenue, gross margin, operating income, earnings per share and cash flow from operations. A summary of these key financial metrics for the three and six months ended November 30, 2020 compared to the three and six months ended November 30, 2019 are as follows:</w:t>
      </w:r>
    </w:p>
    <w:p>
      <w:pPr>
        <w:spacing w:after="0" w:line="211"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Three months ended November 30, 2020:</w:t>
      </w:r>
    </w:p>
    <w:p>
      <w:pPr>
        <w:spacing w:after="0" w:line="252" w:lineRule="exact"/>
        <w:rPr>
          <w:sz w:val="20"/>
          <w:szCs w:val="20"/>
          <w:color w:val="auto"/>
        </w:rPr>
      </w:pPr>
    </w:p>
    <w:p>
      <w:pPr>
        <w:ind w:left="980" w:hanging="324"/>
        <w:spacing w:after="0"/>
        <w:tabs>
          <w:tab w:leader="none" w:pos="980" w:val="left"/>
        </w:tabs>
        <w:numPr>
          <w:ilvl w:val="0"/>
          <w:numId w:val="8"/>
        </w:numPr>
        <w:rPr>
          <w:rFonts w:ascii="Arial" w:cs="Arial" w:eastAsia="Arial" w:hAnsi="Arial"/>
          <w:sz w:val="18"/>
          <w:szCs w:val="18"/>
          <w:color w:val="auto"/>
        </w:rPr>
      </w:pPr>
      <w:r>
        <w:rPr>
          <w:rFonts w:ascii="Arial" w:cs="Arial" w:eastAsia="Arial" w:hAnsi="Arial"/>
          <w:sz w:val="18"/>
          <w:szCs w:val="18"/>
          <w:color w:val="auto"/>
        </w:rPr>
        <w:t>Revenue increased by 4.0% to $72.8 million.</w:t>
      </w:r>
    </w:p>
    <w:p>
      <w:pPr>
        <w:spacing w:after="0" w:line="23" w:lineRule="exact"/>
        <w:rPr>
          <w:rFonts w:ascii="Arial" w:cs="Arial" w:eastAsia="Arial" w:hAnsi="Arial"/>
          <w:sz w:val="18"/>
          <w:szCs w:val="18"/>
          <w:color w:val="auto"/>
        </w:rPr>
      </w:pPr>
    </w:p>
    <w:p>
      <w:pPr>
        <w:ind w:left="980" w:hanging="324"/>
        <w:spacing w:after="0"/>
        <w:tabs>
          <w:tab w:leader="none" w:pos="980" w:val="left"/>
        </w:tabs>
        <w:numPr>
          <w:ilvl w:val="0"/>
          <w:numId w:val="8"/>
        </w:numPr>
        <w:rPr>
          <w:rFonts w:ascii="Arial" w:cs="Arial" w:eastAsia="Arial" w:hAnsi="Arial"/>
          <w:sz w:val="18"/>
          <w:szCs w:val="18"/>
          <w:color w:val="auto"/>
        </w:rPr>
      </w:pPr>
      <w:r>
        <w:rPr>
          <w:rFonts w:ascii="Arial" w:cs="Arial" w:eastAsia="Arial" w:hAnsi="Arial"/>
          <w:sz w:val="18"/>
          <w:szCs w:val="18"/>
          <w:color w:val="auto"/>
        </w:rPr>
        <w:t>Gross margin decreased 410 bps to 55.2%.</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8"/>
        </w:numPr>
        <w:rPr>
          <w:rFonts w:ascii="Arial" w:cs="Arial" w:eastAsia="Arial" w:hAnsi="Arial"/>
          <w:sz w:val="18"/>
          <w:szCs w:val="18"/>
          <w:color w:val="auto"/>
        </w:rPr>
      </w:pPr>
      <w:r>
        <w:rPr>
          <w:rFonts w:ascii="Arial" w:cs="Arial" w:eastAsia="Arial" w:hAnsi="Arial"/>
          <w:sz w:val="18"/>
          <w:szCs w:val="18"/>
          <w:color w:val="auto"/>
        </w:rPr>
        <w:t>Operating loss increased by $1.4 million to $4.8 million.</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8"/>
        </w:numPr>
        <w:rPr>
          <w:rFonts w:ascii="Arial" w:cs="Arial" w:eastAsia="Arial" w:hAnsi="Arial"/>
          <w:sz w:val="18"/>
          <w:szCs w:val="18"/>
          <w:color w:val="auto"/>
        </w:rPr>
      </w:pPr>
      <w:r>
        <w:rPr>
          <w:rFonts w:ascii="Arial" w:cs="Arial" w:eastAsia="Arial" w:hAnsi="Arial"/>
          <w:sz w:val="18"/>
          <w:szCs w:val="18"/>
          <w:color w:val="auto"/>
        </w:rPr>
        <w:t>Loss per share increased by $0.04 to a loss of $0.11.</w:t>
      </w:r>
    </w:p>
    <w:p>
      <w:pPr>
        <w:spacing w:after="0" w:line="238" w:lineRule="exact"/>
        <w:rPr>
          <w:sz w:val="20"/>
          <w:szCs w:val="20"/>
          <w:color w:val="auto"/>
        </w:rPr>
      </w:pPr>
    </w:p>
    <w:p>
      <w:pPr>
        <w:ind w:left="420"/>
        <w:spacing w:after="0"/>
        <w:rPr>
          <w:sz w:val="20"/>
          <w:szCs w:val="20"/>
          <w:color w:val="auto"/>
        </w:rPr>
      </w:pPr>
      <w:r>
        <w:rPr>
          <w:rFonts w:ascii="Arial" w:cs="Arial" w:eastAsia="Arial" w:hAnsi="Arial"/>
          <w:sz w:val="18"/>
          <w:szCs w:val="18"/>
          <w:color w:val="auto"/>
        </w:rPr>
        <w:t>Six months ended November 30, 2020:</w:t>
      </w:r>
    </w:p>
    <w:p>
      <w:pPr>
        <w:spacing w:after="0" w:line="252" w:lineRule="exact"/>
        <w:rPr>
          <w:sz w:val="20"/>
          <w:szCs w:val="20"/>
          <w:color w:val="auto"/>
        </w:rPr>
      </w:pPr>
    </w:p>
    <w:p>
      <w:pPr>
        <w:ind w:left="980" w:hanging="324"/>
        <w:spacing w:after="0"/>
        <w:tabs>
          <w:tab w:leader="none" w:pos="980" w:val="left"/>
        </w:tabs>
        <w:numPr>
          <w:ilvl w:val="0"/>
          <w:numId w:val="9"/>
        </w:numPr>
        <w:rPr>
          <w:rFonts w:ascii="Arial" w:cs="Arial" w:eastAsia="Arial" w:hAnsi="Arial"/>
          <w:sz w:val="18"/>
          <w:szCs w:val="18"/>
          <w:color w:val="auto"/>
        </w:rPr>
      </w:pPr>
      <w:r>
        <w:rPr>
          <w:rFonts w:ascii="Arial" w:cs="Arial" w:eastAsia="Arial" w:hAnsi="Arial"/>
          <w:sz w:val="18"/>
          <w:szCs w:val="18"/>
          <w:color w:val="auto"/>
        </w:rPr>
        <w:t>Revenue increased by 5.1% to $143.0 million.</w:t>
      </w:r>
    </w:p>
    <w:p>
      <w:pPr>
        <w:spacing w:after="0" w:line="23" w:lineRule="exact"/>
        <w:rPr>
          <w:rFonts w:ascii="Arial" w:cs="Arial" w:eastAsia="Arial" w:hAnsi="Arial"/>
          <w:sz w:val="18"/>
          <w:szCs w:val="18"/>
          <w:color w:val="auto"/>
        </w:rPr>
      </w:pPr>
    </w:p>
    <w:p>
      <w:pPr>
        <w:ind w:left="980" w:hanging="324"/>
        <w:spacing w:after="0"/>
        <w:tabs>
          <w:tab w:leader="none" w:pos="980" w:val="left"/>
        </w:tabs>
        <w:numPr>
          <w:ilvl w:val="0"/>
          <w:numId w:val="9"/>
        </w:numPr>
        <w:rPr>
          <w:rFonts w:ascii="Arial" w:cs="Arial" w:eastAsia="Arial" w:hAnsi="Arial"/>
          <w:sz w:val="18"/>
          <w:szCs w:val="18"/>
          <w:color w:val="auto"/>
        </w:rPr>
      </w:pPr>
      <w:r>
        <w:rPr>
          <w:rFonts w:ascii="Arial" w:cs="Arial" w:eastAsia="Arial" w:hAnsi="Arial"/>
          <w:sz w:val="18"/>
          <w:szCs w:val="18"/>
          <w:color w:val="auto"/>
        </w:rPr>
        <w:t>Gross margin decreased 550 bps to 53.1%.</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9"/>
        </w:numPr>
        <w:rPr>
          <w:rFonts w:ascii="Arial" w:cs="Arial" w:eastAsia="Arial" w:hAnsi="Arial"/>
          <w:sz w:val="18"/>
          <w:szCs w:val="18"/>
          <w:color w:val="auto"/>
        </w:rPr>
      </w:pPr>
      <w:r>
        <w:rPr>
          <w:rFonts w:ascii="Arial" w:cs="Arial" w:eastAsia="Arial" w:hAnsi="Arial"/>
          <w:sz w:val="18"/>
          <w:szCs w:val="18"/>
          <w:color w:val="auto"/>
        </w:rPr>
        <w:t>Operating loss increased by $5.7 million to $10.0 million.</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9"/>
        </w:numPr>
        <w:rPr>
          <w:rFonts w:ascii="Arial" w:cs="Arial" w:eastAsia="Arial" w:hAnsi="Arial"/>
          <w:sz w:val="18"/>
          <w:szCs w:val="18"/>
          <w:color w:val="auto"/>
        </w:rPr>
      </w:pPr>
      <w:r>
        <w:rPr>
          <w:rFonts w:ascii="Arial" w:cs="Arial" w:eastAsia="Arial" w:hAnsi="Arial"/>
          <w:sz w:val="18"/>
          <w:szCs w:val="18"/>
          <w:color w:val="auto"/>
        </w:rPr>
        <w:t>Loss per share increased by $0.11 to a loss of 0.22.</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9"/>
        </w:numPr>
        <w:rPr>
          <w:rFonts w:ascii="Arial" w:cs="Arial" w:eastAsia="Arial" w:hAnsi="Arial"/>
          <w:sz w:val="18"/>
          <w:szCs w:val="18"/>
          <w:color w:val="auto"/>
        </w:rPr>
      </w:pPr>
      <w:r>
        <w:rPr>
          <w:rFonts w:ascii="Arial" w:cs="Arial" w:eastAsia="Arial" w:hAnsi="Arial"/>
          <w:sz w:val="18"/>
          <w:szCs w:val="18"/>
          <w:color w:val="auto"/>
        </w:rPr>
        <w:t>Cash provided by operations increased by $6.6 million to $6.0 million.</w:t>
      </w:r>
    </w:p>
    <w:p>
      <w:pPr>
        <w:spacing w:after="0" w:line="157" w:lineRule="exact"/>
        <w:rPr>
          <w:sz w:val="20"/>
          <w:szCs w:val="20"/>
          <w:color w:val="auto"/>
        </w:rPr>
      </w:pPr>
    </w:p>
    <w:p>
      <w:pPr>
        <w:ind w:right="20" w:firstLine="405"/>
        <w:spacing w:after="0" w:line="275" w:lineRule="auto"/>
        <w:rPr>
          <w:sz w:val="20"/>
          <w:szCs w:val="20"/>
          <w:color w:val="auto"/>
        </w:rPr>
      </w:pPr>
      <w:r>
        <w:rPr>
          <w:rFonts w:ascii="Arial" w:cs="Arial" w:eastAsia="Arial" w:hAnsi="Arial"/>
          <w:sz w:val="17"/>
          <w:szCs w:val="17"/>
          <w:color w:val="auto"/>
        </w:rPr>
        <w:t>The ongoing recovery from the COVID-19 pandemic has had a varying impact on each of our three businesses. Our Vascular Interventions &amp; Therapies and Vascular Access businesses performed the strongest of the businesses during the quarter. The number of procedures improved from the COVID-19 lows in the second half of last fiscal year, but remain below pre-COVID-19 levels. Our Oncology business continued to face pressure from COVID-19 related procedure headwinds and a challenging capital spending environment. We continued our commitment to supporting and progressing our key growth initiatives (AngioVac, Auryon and NanoKnife), managing operating expenses and managing our cash and balance sheet.</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New Accounting Pronouncements</w:t>
      </w:r>
    </w:p>
    <w:p>
      <w:pPr>
        <w:spacing w:after="0" w:line="252" w:lineRule="exact"/>
        <w:rPr>
          <w:sz w:val="20"/>
          <w:szCs w:val="20"/>
          <w:color w:val="auto"/>
        </w:rPr>
      </w:pPr>
    </w:p>
    <w:p>
      <w:pPr>
        <w:ind w:right="260" w:firstLine="445"/>
        <w:spacing w:after="0" w:line="277" w:lineRule="auto"/>
        <w:rPr>
          <w:sz w:val="20"/>
          <w:szCs w:val="20"/>
          <w:color w:val="auto"/>
        </w:rPr>
      </w:pPr>
      <w:r>
        <w:rPr>
          <w:rFonts w:ascii="Arial" w:cs="Arial" w:eastAsia="Arial" w:hAnsi="Arial"/>
          <w:sz w:val="18"/>
          <w:szCs w:val="18"/>
          <w:color w:val="auto"/>
        </w:rPr>
        <w:t>Information regarding new accounting pronouncements is included in Note 17 to our consolidated financial statements in this Quarterly Report on Form 10-Q.</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 for the Three Months Ended November 30, 2020 and 2019</w:t>
      </w:r>
    </w:p>
    <w:p>
      <w:pPr>
        <w:spacing w:after="0" w:line="175" w:lineRule="exact"/>
        <w:rPr>
          <w:sz w:val="20"/>
          <w:szCs w:val="20"/>
          <w:color w:val="auto"/>
        </w:rPr>
      </w:pPr>
    </w:p>
    <w:p>
      <w:pPr>
        <w:ind w:right="140" w:firstLine="405"/>
        <w:spacing w:after="0" w:line="263" w:lineRule="auto"/>
        <w:rPr>
          <w:sz w:val="20"/>
          <w:szCs w:val="20"/>
          <w:color w:val="auto"/>
        </w:rPr>
      </w:pPr>
      <w:r>
        <w:rPr>
          <w:rFonts w:ascii="Arial" w:cs="Arial" w:eastAsia="Arial" w:hAnsi="Arial"/>
          <w:sz w:val="18"/>
          <w:szCs w:val="18"/>
          <w:color w:val="auto"/>
        </w:rPr>
        <w:t>For the three months ended November 30, 2020, the Company reported a net loss of $4.3 million, or a loss of $0.11 per diluted share, on net sales of $72.8 million, compared with a net loss of $2.7 million, or a loss of $0.07 per diluted share, on net sales of $70.0 million during the same quarter of the prior year.</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Sales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Net sales</w:t>
      </w:r>
      <w:r>
        <w:rPr>
          <w:rFonts w:ascii="Arial" w:cs="Arial" w:eastAsia="Arial" w:hAnsi="Arial"/>
          <w:sz w:val="18"/>
          <w:szCs w:val="18"/>
          <w:color w:val="auto"/>
        </w:rPr>
        <w:t xml:space="preserve"> - Net sales are derived from the sale of products and related freight charges, less discounts and returns.</w:t>
      </w:r>
    </w:p>
    <w:p>
      <w:pPr>
        <w:spacing w:after="0" w:line="200" w:lineRule="exact"/>
        <w:rPr>
          <w:sz w:val="20"/>
          <w:szCs w:val="20"/>
          <w:color w:val="auto"/>
        </w:rPr>
      </w:pPr>
    </w:p>
    <w:p>
      <w:pPr>
        <w:spacing w:after="0" w:line="250"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664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91"/>
              </w:rPr>
              <w:t>Three Months Ended</w:t>
            </w:r>
          </w:p>
        </w:tc>
        <w:tc>
          <w:tcPr>
            <w:tcW w:w="16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tcPr>
          <w:p>
            <w:pPr>
              <w:spacing w:after="0"/>
              <w:rPr>
                <w:sz w:val="16"/>
                <w:szCs w:val="16"/>
                <w:color w:val="auto"/>
              </w:rPr>
            </w:pPr>
          </w:p>
        </w:tc>
      </w:tr>
      <w:tr>
        <w:trPr>
          <w:trHeight w:val="186"/>
        </w:trPr>
        <w:tc>
          <w:tcPr>
            <w:tcW w:w="6640" w:type="dxa"/>
            <w:vAlign w:val="bottom"/>
          </w:tcPr>
          <w:p>
            <w:pPr>
              <w:ind w:left="20"/>
              <w:spacing w:after="0"/>
              <w:rPr>
                <w:sz w:val="20"/>
                <w:szCs w:val="20"/>
                <w:color w:val="auto"/>
              </w:rPr>
            </w:pPr>
            <w:r>
              <w:rPr>
                <w:rFonts w:ascii="Arial" w:cs="Arial" w:eastAsia="Arial" w:hAnsi="Arial"/>
                <w:sz w:val="14"/>
                <w:szCs w:val="14"/>
                <w:color w:val="auto"/>
              </w:rPr>
              <w:t>(in thousands)</w:t>
            </w:r>
          </w:p>
        </w:tc>
        <w:tc>
          <w:tcPr>
            <w:tcW w:w="220" w:type="dxa"/>
            <w:vAlign w:val="bottom"/>
          </w:tcPr>
          <w:p>
            <w:pPr>
              <w:spacing w:after="0"/>
              <w:rPr>
                <w:sz w:val="16"/>
                <w:szCs w:val="16"/>
                <w:color w:val="auto"/>
              </w:rPr>
            </w:pPr>
          </w:p>
        </w:tc>
        <w:tc>
          <w:tcPr>
            <w:tcW w:w="1360" w:type="dxa"/>
            <w:vAlign w:val="bottom"/>
            <w:gridSpan w:val="2"/>
          </w:tcPr>
          <w:p>
            <w:pPr>
              <w:ind w:left="120"/>
              <w:spacing w:after="0"/>
              <w:rPr>
                <w:sz w:val="20"/>
                <w:szCs w:val="20"/>
                <w:color w:val="auto"/>
              </w:rPr>
            </w:pPr>
            <w:r>
              <w:rPr>
                <w:rFonts w:ascii="Arial" w:cs="Arial" w:eastAsia="Arial" w:hAnsi="Arial"/>
                <w:sz w:val="14"/>
                <w:szCs w:val="14"/>
                <w:color w:val="auto"/>
              </w:rPr>
              <w:t>Nov 30, 2020</w:t>
            </w:r>
          </w:p>
        </w:tc>
        <w:tc>
          <w:tcPr>
            <w:tcW w:w="120" w:type="dxa"/>
            <w:vAlign w:val="bottom"/>
          </w:tcPr>
          <w:p>
            <w:pPr>
              <w:spacing w:after="0"/>
              <w:rPr>
                <w:sz w:val="16"/>
                <w:szCs w:val="16"/>
                <w:color w:val="auto"/>
              </w:rPr>
            </w:pPr>
          </w:p>
        </w:tc>
        <w:tc>
          <w:tcPr>
            <w:tcW w:w="1300" w:type="dxa"/>
            <w:vAlign w:val="bottom"/>
          </w:tcPr>
          <w:p>
            <w:pPr>
              <w:jc w:val="right"/>
              <w:ind w:right="234"/>
              <w:spacing w:after="0"/>
              <w:rPr>
                <w:sz w:val="20"/>
                <w:szCs w:val="20"/>
                <w:color w:val="auto"/>
              </w:rPr>
            </w:pPr>
            <w:r>
              <w:rPr>
                <w:rFonts w:ascii="Arial" w:cs="Arial" w:eastAsia="Arial" w:hAnsi="Arial"/>
                <w:sz w:val="14"/>
                <w:szCs w:val="14"/>
                <w:color w:val="auto"/>
              </w:rPr>
              <w:t>Nov 30, 2019</w:t>
            </w:r>
          </w:p>
        </w:tc>
        <w:tc>
          <w:tcPr>
            <w:tcW w:w="160" w:type="dxa"/>
            <w:vAlign w:val="bottom"/>
          </w:tcPr>
          <w:p>
            <w:pPr>
              <w:spacing w:after="0"/>
              <w:rPr>
                <w:sz w:val="16"/>
                <w:szCs w:val="16"/>
                <w:color w:val="auto"/>
              </w:rPr>
            </w:pPr>
          </w:p>
        </w:tc>
        <w:tc>
          <w:tcPr>
            <w:tcW w:w="1440" w:type="dxa"/>
            <w:vAlign w:val="bottom"/>
          </w:tcPr>
          <w:p>
            <w:pPr>
              <w:ind w:left="420"/>
              <w:spacing w:after="0"/>
              <w:rPr>
                <w:sz w:val="20"/>
                <w:szCs w:val="20"/>
                <w:color w:val="auto"/>
              </w:rPr>
            </w:pPr>
            <w:r>
              <w:rPr>
                <w:rFonts w:ascii="Arial" w:cs="Arial" w:eastAsia="Arial" w:hAnsi="Arial"/>
                <w:sz w:val="14"/>
                <w:szCs w:val="14"/>
                <w:color w:val="auto"/>
              </w:rPr>
              <w:t>% Growth</w:t>
            </w:r>
          </w:p>
        </w:tc>
      </w:tr>
      <w:tr>
        <w:trPr>
          <w:trHeight w:val="213"/>
        </w:trPr>
        <w:tc>
          <w:tcPr>
            <w:tcW w:w="66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Sales by Global Business Unit</w:t>
            </w:r>
          </w:p>
        </w:tc>
        <w:tc>
          <w:tcPr>
            <w:tcW w:w="220" w:type="dxa"/>
            <w:vAlign w:val="bottom"/>
            <w:tcBorders>
              <w:top w:val="single" w:sz="8" w:color="auto"/>
            </w:tcBorders>
            <w:shd w:val="clear" w:color="auto" w:fill="CCEEFF"/>
          </w:tcPr>
          <w:p>
            <w:pPr>
              <w:spacing w:after="0"/>
              <w:rPr>
                <w:sz w:val="18"/>
                <w:szCs w:val="18"/>
                <w:color w:val="auto"/>
              </w:rPr>
            </w:pPr>
          </w:p>
        </w:tc>
        <w:tc>
          <w:tcPr>
            <w:tcW w:w="122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30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440" w:type="dxa"/>
            <w:vAlign w:val="bottom"/>
            <w:tcBorders>
              <w:top w:val="single" w:sz="8" w:color="auto"/>
            </w:tcBorders>
            <w:shd w:val="clear" w:color="auto" w:fill="CCEEFF"/>
          </w:tcPr>
          <w:p>
            <w:pPr>
              <w:spacing w:after="0"/>
              <w:rPr>
                <w:sz w:val="18"/>
                <w:szCs w:val="18"/>
                <w:color w:val="auto"/>
              </w:rPr>
            </w:pPr>
          </w:p>
        </w:tc>
      </w:tr>
      <w:tr>
        <w:trPr>
          <w:trHeight w:val="230"/>
        </w:trPr>
        <w:tc>
          <w:tcPr>
            <w:tcW w:w="6640" w:type="dxa"/>
            <w:vAlign w:val="bottom"/>
          </w:tcPr>
          <w:p>
            <w:pPr>
              <w:ind w:left="340"/>
              <w:spacing w:after="0"/>
              <w:rPr>
                <w:sz w:val="20"/>
                <w:szCs w:val="20"/>
                <w:color w:val="auto"/>
              </w:rPr>
            </w:pPr>
            <w:r>
              <w:rPr>
                <w:rFonts w:ascii="Arial" w:cs="Arial" w:eastAsia="Arial" w:hAnsi="Arial"/>
                <w:sz w:val="18"/>
                <w:szCs w:val="18"/>
                <w:color w:val="auto"/>
              </w:rPr>
              <w:t>Vascular Interventions &amp; Therapies</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33,900</w:t>
            </w:r>
          </w:p>
        </w:tc>
        <w:tc>
          <w:tcPr>
            <w:tcW w:w="14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31,150</w:t>
            </w:r>
          </w:p>
        </w:tc>
        <w:tc>
          <w:tcPr>
            <w:tcW w:w="1600" w:type="dxa"/>
            <w:vAlign w:val="bottom"/>
            <w:gridSpan w:val="2"/>
          </w:tcPr>
          <w:p>
            <w:pPr>
              <w:jc w:val="center"/>
              <w:ind w:left="90"/>
              <w:spacing w:after="0"/>
              <w:rPr>
                <w:sz w:val="20"/>
                <w:szCs w:val="20"/>
                <w:color w:val="auto"/>
              </w:rPr>
            </w:pPr>
            <w:r>
              <w:rPr>
                <w:rFonts w:ascii="Arial" w:cs="Arial" w:eastAsia="Arial" w:hAnsi="Arial"/>
                <w:sz w:val="18"/>
                <w:szCs w:val="18"/>
                <w:color w:val="auto"/>
                <w:w w:val="92"/>
              </w:rPr>
              <w:t>8.8%</w:t>
            </w:r>
          </w:p>
        </w:tc>
      </w:tr>
      <w:tr>
        <w:trPr>
          <w:trHeight w:val="230"/>
        </w:trPr>
        <w:tc>
          <w:tcPr>
            <w:tcW w:w="66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Vascular Access</w:t>
            </w: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23,930</w:t>
            </w:r>
          </w:p>
        </w:tc>
        <w:tc>
          <w:tcPr>
            <w:tcW w:w="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22,784</w:t>
            </w:r>
          </w:p>
        </w:tc>
        <w:tc>
          <w:tcPr>
            <w:tcW w:w="1600" w:type="dxa"/>
            <w:vAlign w:val="bottom"/>
            <w:gridSpan w:val="2"/>
            <w:shd w:val="clear" w:color="auto" w:fill="CCEEFF"/>
          </w:tcPr>
          <w:p>
            <w:pPr>
              <w:jc w:val="center"/>
              <w:ind w:left="90"/>
              <w:spacing w:after="0"/>
              <w:rPr>
                <w:sz w:val="20"/>
                <w:szCs w:val="20"/>
                <w:color w:val="auto"/>
              </w:rPr>
            </w:pPr>
            <w:r>
              <w:rPr>
                <w:rFonts w:ascii="Arial" w:cs="Arial" w:eastAsia="Arial" w:hAnsi="Arial"/>
                <w:sz w:val="18"/>
                <w:szCs w:val="18"/>
                <w:color w:val="auto"/>
                <w:w w:val="92"/>
              </w:rPr>
              <w:t>5.0%</w:t>
            </w:r>
          </w:p>
        </w:tc>
      </w:tr>
      <w:tr>
        <w:trPr>
          <w:trHeight w:val="230"/>
        </w:trPr>
        <w:tc>
          <w:tcPr>
            <w:tcW w:w="6640" w:type="dxa"/>
            <w:vAlign w:val="bottom"/>
            <w:tcBorders>
              <w:bottom w:val="single" w:sz="8" w:color="CCEEFF"/>
            </w:tcBorders>
          </w:tcPr>
          <w:p>
            <w:pPr>
              <w:ind w:left="340"/>
              <w:spacing w:after="0"/>
              <w:rPr>
                <w:sz w:val="20"/>
                <w:szCs w:val="20"/>
                <w:color w:val="auto"/>
              </w:rPr>
            </w:pPr>
            <w:r>
              <w:rPr>
                <w:rFonts w:ascii="Arial" w:cs="Arial" w:eastAsia="Arial" w:hAnsi="Arial"/>
                <w:sz w:val="18"/>
                <w:szCs w:val="18"/>
                <w:color w:val="auto"/>
              </w:rPr>
              <w:t>Oncology</w:t>
            </w:r>
          </w:p>
        </w:tc>
        <w:tc>
          <w:tcPr>
            <w:tcW w:w="22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14,940</w:t>
            </w:r>
          </w:p>
        </w:tc>
        <w:tc>
          <w:tcPr>
            <w:tcW w:w="14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16,069</w:t>
            </w:r>
          </w:p>
        </w:tc>
        <w:tc>
          <w:tcPr>
            <w:tcW w:w="1600" w:type="dxa"/>
            <w:vAlign w:val="bottom"/>
            <w:tcBorders>
              <w:bottom w:val="single" w:sz="8" w:color="CCEEFF"/>
            </w:tcBorders>
            <w:gridSpan w:val="2"/>
          </w:tcPr>
          <w:p>
            <w:pPr>
              <w:jc w:val="center"/>
              <w:ind w:left="90"/>
              <w:spacing w:after="0"/>
              <w:rPr>
                <w:sz w:val="20"/>
                <w:szCs w:val="20"/>
                <w:color w:val="auto"/>
              </w:rPr>
            </w:pPr>
            <w:r>
              <w:rPr>
                <w:rFonts w:ascii="Arial" w:cs="Arial" w:eastAsia="Arial" w:hAnsi="Arial"/>
                <w:sz w:val="18"/>
                <w:szCs w:val="18"/>
                <w:color w:val="auto"/>
                <w:w w:val="94"/>
              </w:rPr>
              <w:t>(7.0)%</w:t>
            </w:r>
          </w:p>
        </w:tc>
      </w:tr>
      <w:tr>
        <w:trPr>
          <w:trHeight w:val="248"/>
        </w:trPr>
        <w:tc>
          <w:tcPr>
            <w:tcW w:w="6640" w:type="dxa"/>
            <w:vAlign w:val="bottom"/>
            <w:tcBorders>
              <w:bottom w:val="single" w:sz="8" w:color="CCEEFF"/>
            </w:tcBorders>
            <w:shd w:val="clear" w:color="auto" w:fill="CCEEFF"/>
          </w:tcPr>
          <w:p>
            <w:pPr>
              <w:ind w:left="560"/>
              <w:spacing w:after="0"/>
              <w:rPr>
                <w:sz w:val="20"/>
                <w:szCs w:val="20"/>
                <w:color w:val="auto"/>
              </w:rPr>
            </w:pPr>
            <w:r>
              <w:rPr>
                <w:rFonts w:ascii="Arial" w:cs="Arial" w:eastAsia="Arial" w:hAnsi="Arial"/>
                <w:sz w:val="18"/>
                <w:szCs w:val="18"/>
                <w:color w:val="auto"/>
              </w:rPr>
              <w:t>Total</w:t>
            </w: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72,770</w:t>
            </w:r>
          </w:p>
        </w:tc>
        <w:tc>
          <w:tcPr>
            <w:tcW w:w="1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70,003</w:t>
            </w:r>
          </w:p>
        </w:tc>
        <w:tc>
          <w:tcPr>
            <w:tcW w:w="1600" w:type="dxa"/>
            <w:vAlign w:val="bottom"/>
            <w:tcBorders>
              <w:bottom w:val="single" w:sz="8" w:color="CCEEFF"/>
            </w:tcBorders>
            <w:gridSpan w:val="2"/>
            <w:shd w:val="clear" w:color="auto" w:fill="CCEEFF"/>
          </w:tcPr>
          <w:p>
            <w:pPr>
              <w:jc w:val="center"/>
              <w:ind w:left="90"/>
              <w:spacing w:after="0"/>
              <w:rPr>
                <w:sz w:val="20"/>
                <w:szCs w:val="20"/>
                <w:color w:val="auto"/>
              </w:rPr>
            </w:pPr>
            <w:r>
              <w:rPr>
                <w:rFonts w:ascii="Arial" w:cs="Arial" w:eastAsia="Arial" w:hAnsi="Arial"/>
                <w:sz w:val="18"/>
                <w:szCs w:val="18"/>
                <w:color w:val="auto"/>
                <w:w w:val="92"/>
              </w:rPr>
              <w:t>4.0%</w:t>
            </w:r>
          </w:p>
        </w:tc>
      </w:tr>
      <w:tr>
        <w:trPr>
          <w:trHeight w:val="20"/>
        </w:trPr>
        <w:tc>
          <w:tcPr>
            <w:tcW w:w="66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440" w:type="dxa"/>
            <w:vAlign w:val="bottom"/>
            <w:tcBorders>
              <w:top w:val="single" w:sz="8" w:color="CCEEFF"/>
            </w:tcBorders>
          </w:tcPr>
          <w:p>
            <w:pPr>
              <w:spacing w:after="0" w:line="20" w:lineRule="exact"/>
              <w:rPr>
                <w:sz w:val="1"/>
                <w:szCs w:val="1"/>
                <w:color w:val="auto"/>
              </w:rPr>
            </w:pPr>
          </w:p>
        </w:tc>
      </w:tr>
      <w:tr>
        <w:trPr>
          <w:trHeight w:val="217"/>
        </w:trPr>
        <w:tc>
          <w:tcPr>
            <w:tcW w:w="66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40" w:type="dxa"/>
            <w:vAlign w:val="bottom"/>
          </w:tcPr>
          <w:p>
            <w:pPr>
              <w:spacing w:after="0"/>
              <w:rPr>
                <w:sz w:val="18"/>
                <w:szCs w:val="18"/>
                <w:color w:val="auto"/>
              </w:rPr>
            </w:pPr>
          </w:p>
        </w:tc>
      </w:tr>
      <w:tr>
        <w:trPr>
          <w:trHeight w:val="230"/>
        </w:trPr>
        <w:tc>
          <w:tcPr>
            <w:tcW w:w="664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Sales by Geography</w:t>
            </w: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r>
      <w:tr>
        <w:trPr>
          <w:trHeight w:val="229"/>
        </w:trPr>
        <w:tc>
          <w:tcPr>
            <w:tcW w:w="6640" w:type="dxa"/>
            <w:vAlign w:val="bottom"/>
          </w:tcPr>
          <w:p>
            <w:pPr>
              <w:ind w:left="340"/>
              <w:spacing w:after="0"/>
              <w:rPr>
                <w:sz w:val="20"/>
                <w:szCs w:val="20"/>
                <w:color w:val="auto"/>
              </w:rPr>
            </w:pPr>
            <w:r>
              <w:rPr>
                <w:rFonts w:ascii="Arial" w:cs="Arial" w:eastAsia="Arial" w:hAnsi="Arial"/>
                <w:sz w:val="18"/>
                <w:szCs w:val="18"/>
                <w:color w:val="auto"/>
              </w:rPr>
              <w:t>United States</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60,684</w:t>
            </w:r>
          </w:p>
        </w:tc>
        <w:tc>
          <w:tcPr>
            <w:tcW w:w="14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55,555</w:t>
            </w:r>
          </w:p>
        </w:tc>
        <w:tc>
          <w:tcPr>
            <w:tcW w:w="1600" w:type="dxa"/>
            <w:vAlign w:val="bottom"/>
            <w:gridSpan w:val="2"/>
          </w:tcPr>
          <w:p>
            <w:pPr>
              <w:jc w:val="center"/>
              <w:ind w:left="90"/>
              <w:spacing w:after="0"/>
              <w:rPr>
                <w:sz w:val="20"/>
                <w:szCs w:val="20"/>
                <w:color w:val="auto"/>
              </w:rPr>
            </w:pPr>
            <w:r>
              <w:rPr>
                <w:rFonts w:ascii="Arial" w:cs="Arial" w:eastAsia="Arial" w:hAnsi="Arial"/>
                <w:sz w:val="18"/>
                <w:szCs w:val="18"/>
                <w:color w:val="auto"/>
                <w:w w:val="92"/>
              </w:rPr>
              <w:t>9.2%</w:t>
            </w:r>
          </w:p>
        </w:tc>
      </w:tr>
      <w:tr>
        <w:trPr>
          <w:trHeight w:val="230"/>
        </w:trPr>
        <w:tc>
          <w:tcPr>
            <w:tcW w:w="66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International</w:t>
            </w:r>
          </w:p>
        </w:tc>
        <w:tc>
          <w:tcPr>
            <w:tcW w:w="22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12,086</w:t>
            </w:r>
          </w:p>
        </w:tc>
        <w:tc>
          <w:tcPr>
            <w:tcW w:w="14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14,448</w:t>
            </w:r>
          </w:p>
        </w:tc>
        <w:tc>
          <w:tcPr>
            <w:tcW w:w="1600" w:type="dxa"/>
            <w:vAlign w:val="bottom"/>
            <w:gridSpan w:val="2"/>
            <w:shd w:val="clear" w:color="auto" w:fill="CCEEFF"/>
          </w:tcPr>
          <w:p>
            <w:pPr>
              <w:jc w:val="center"/>
              <w:ind w:left="90"/>
              <w:spacing w:after="0"/>
              <w:rPr>
                <w:sz w:val="20"/>
                <w:szCs w:val="20"/>
                <w:color w:val="auto"/>
              </w:rPr>
            </w:pPr>
            <w:r>
              <w:rPr>
                <w:rFonts w:ascii="Arial" w:cs="Arial" w:eastAsia="Arial" w:hAnsi="Arial"/>
                <w:sz w:val="18"/>
                <w:szCs w:val="18"/>
                <w:color w:val="auto"/>
                <w:w w:val="91"/>
              </w:rPr>
              <w:t>(16.3)%</w:t>
            </w:r>
          </w:p>
        </w:tc>
      </w:tr>
      <w:tr>
        <w:trPr>
          <w:trHeight w:val="223"/>
        </w:trPr>
        <w:tc>
          <w:tcPr>
            <w:tcW w:w="6640" w:type="dxa"/>
            <w:vAlign w:val="bottom"/>
          </w:tcPr>
          <w:p>
            <w:pPr>
              <w:ind w:left="520"/>
              <w:spacing w:after="0"/>
              <w:rPr>
                <w:sz w:val="20"/>
                <w:szCs w:val="20"/>
                <w:color w:val="auto"/>
              </w:rPr>
            </w:pPr>
            <w:r>
              <w:rPr>
                <w:rFonts w:ascii="Arial" w:cs="Arial" w:eastAsia="Arial" w:hAnsi="Arial"/>
                <w:sz w:val="18"/>
                <w:szCs w:val="18"/>
                <w:color w:val="auto"/>
              </w:rPr>
              <w:t>Total</w:t>
            </w:r>
          </w:p>
        </w:tc>
        <w:tc>
          <w:tcPr>
            <w:tcW w:w="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72,770</w:t>
            </w:r>
          </w:p>
        </w:tc>
        <w:tc>
          <w:tcPr>
            <w:tcW w:w="14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70,003</w:t>
            </w:r>
          </w:p>
        </w:tc>
        <w:tc>
          <w:tcPr>
            <w:tcW w:w="1600" w:type="dxa"/>
            <w:vAlign w:val="bottom"/>
            <w:gridSpan w:val="2"/>
          </w:tcPr>
          <w:p>
            <w:pPr>
              <w:jc w:val="center"/>
              <w:ind w:left="90"/>
              <w:spacing w:after="0"/>
              <w:rPr>
                <w:sz w:val="20"/>
                <w:szCs w:val="20"/>
                <w:color w:val="auto"/>
              </w:rPr>
            </w:pPr>
            <w:r>
              <w:rPr>
                <w:rFonts w:ascii="Arial" w:cs="Arial" w:eastAsia="Arial" w:hAnsi="Arial"/>
                <w:sz w:val="18"/>
                <w:szCs w:val="18"/>
                <w:color w:val="auto"/>
                <w:w w:val="92"/>
              </w:rPr>
              <w:t>4.0%</w:t>
            </w:r>
          </w:p>
        </w:tc>
      </w:tr>
      <w:tr>
        <w:trPr>
          <w:trHeight w:val="20"/>
        </w:trPr>
        <w:tc>
          <w:tcPr>
            <w:tcW w:w="66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47"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132320"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25" w:name="page26"/>
    <w:bookmarkEnd w:id="25"/>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ind w:right="460" w:firstLine="405"/>
        <w:spacing w:after="0" w:line="465" w:lineRule="auto"/>
        <w:rPr>
          <w:sz w:val="20"/>
          <w:szCs w:val="20"/>
          <w:color w:val="auto"/>
        </w:rPr>
      </w:pPr>
      <w:r>
        <w:rPr>
          <w:rFonts w:ascii="Arial" w:cs="Arial" w:eastAsia="Arial" w:hAnsi="Arial"/>
          <w:sz w:val="18"/>
          <w:szCs w:val="18"/>
          <w:color w:val="auto"/>
        </w:rPr>
        <w:t xml:space="preserve">For the three months ended November 30, 2020, net sales increased $2.8 million to $72.8 million compared to the same period in the prior year. </w:t>
      </w:r>
      <w:r>
        <w:rPr>
          <w:rFonts w:ascii="Arial" w:cs="Arial" w:eastAsia="Arial" w:hAnsi="Arial"/>
          <w:sz w:val="18"/>
          <w:szCs w:val="18"/>
          <w:u w:val="single" w:color="auto"/>
          <w:color w:val="auto"/>
        </w:rPr>
        <w:t>Vascular Interventions &amp; Therapies</w:t>
      </w:r>
    </w:p>
    <w:p>
      <w:pPr>
        <w:spacing w:after="0" w:line="35" w:lineRule="exact"/>
        <w:rPr>
          <w:sz w:val="20"/>
          <w:szCs w:val="20"/>
          <w:color w:val="auto"/>
        </w:rPr>
      </w:pPr>
    </w:p>
    <w:p>
      <w:pPr>
        <w:ind w:left="660" w:right="80" w:hanging="328"/>
        <w:spacing w:after="0" w:line="253" w:lineRule="auto"/>
        <w:tabs>
          <w:tab w:leader="none" w:pos="655" w:val="left"/>
        </w:tabs>
        <w:numPr>
          <w:ilvl w:val="0"/>
          <w:numId w:val="10"/>
        </w:numPr>
        <w:rPr>
          <w:rFonts w:ascii="Arial" w:cs="Arial" w:eastAsia="Arial" w:hAnsi="Arial"/>
          <w:sz w:val="18"/>
          <w:szCs w:val="18"/>
          <w:color w:val="auto"/>
        </w:rPr>
      </w:pPr>
      <w:r>
        <w:rPr>
          <w:rFonts w:ascii="Arial" w:cs="Arial" w:eastAsia="Arial" w:hAnsi="Arial"/>
          <w:sz w:val="18"/>
          <w:szCs w:val="18"/>
          <w:color w:val="auto"/>
        </w:rPr>
        <w:t>Total Vascular Interventions &amp; Therapies sales increased $2.8 million. Auryon, which was acquired as part of the Eximo acquisition in the second quarter of fiscal year 2020, contributed $2.1 million in sales. Additionally, the AngioVac and Core businesses continued their strong performance and grew $1.2 million and $0.6 million, respectively. During the quarter, the Company continued to see strong case volumes in AngioVac, which increased 13% from the prior year. These increases were partially offset by lower volume in Venous products due to fewer elective procedures during the COVID-19 pandemic.</w:t>
      </w:r>
    </w:p>
    <w:p>
      <w:pPr>
        <w:spacing w:after="0" w:line="3" w:lineRule="exact"/>
        <w:rPr>
          <w:rFonts w:ascii="Arial" w:cs="Arial" w:eastAsia="Arial" w:hAnsi="Arial"/>
          <w:sz w:val="18"/>
          <w:szCs w:val="18"/>
          <w:color w:val="auto"/>
        </w:rPr>
      </w:pPr>
    </w:p>
    <w:p>
      <w:pPr>
        <w:ind w:left="660" w:right="580" w:hanging="328"/>
        <w:spacing w:after="0" w:line="281" w:lineRule="auto"/>
        <w:tabs>
          <w:tab w:leader="none" w:pos="655" w:val="left"/>
        </w:tabs>
        <w:numPr>
          <w:ilvl w:val="0"/>
          <w:numId w:val="10"/>
        </w:numPr>
        <w:rPr>
          <w:rFonts w:ascii="Arial" w:cs="Arial" w:eastAsia="Arial" w:hAnsi="Arial"/>
          <w:sz w:val="16"/>
          <w:szCs w:val="16"/>
          <w:color w:val="auto"/>
        </w:rPr>
      </w:pPr>
      <w:r>
        <w:rPr>
          <w:rFonts w:ascii="Arial" w:cs="Arial" w:eastAsia="Arial" w:hAnsi="Arial"/>
          <w:sz w:val="16"/>
          <w:szCs w:val="16"/>
          <w:color w:val="auto"/>
        </w:rPr>
        <w:t>U.S. Vascular Interventions &amp; Therapies sales increased $3.1 million due to increased case volume in AngioVac, increased Core Peripheral product sales and $2.1 million in sales of Auryon. These increases were partially offset by decreased sales volume in Venous.</w:t>
      </w:r>
    </w:p>
    <w:p>
      <w:pPr>
        <w:spacing w:after="0" w:line="1" w:lineRule="exact"/>
        <w:rPr>
          <w:rFonts w:ascii="Arial" w:cs="Arial" w:eastAsia="Arial" w:hAnsi="Arial"/>
          <w:sz w:val="16"/>
          <w:szCs w:val="16"/>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International Vascular Interventions &amp; Therapies sales decreased $0.3 million.</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Vascular Access</w:t>
      </w:r>
    </w:p>
    <w:p>
      <w:pPr>
        <w:spacing w:after="0" w:line="252" w:lineRule="exact"/>
        <w:rPr>
          <w:sz w:val="20"/>
          <w:szCs w:val="20"/>
          <w:color w:val="auto"/>
        </w:rPr>
      </w:pPr>
    </w:p>
    <w:p>
      <w:pPr>
        <w:ind w:left="660" w:right="260" w:hanging="328"/>
        <w:spacing w:after="0" w:line="258" w:lineRule="auto"/>
        <w:tabs>
          <w:tab w:leader="none" w:pos="655" w:val="left"/>
        </w:tabs>
        <w:numPr>
          <w:ilvl w:val="0"/>
          <w:numId w:val="11"/>
        </w:numPr>
        <w:rPr>
          <w:rFonts w:ascii="Arial" w:cs="Arial" w:eastAsia="Arial" w:hAnsi="Arial"/>
          <w:sz w:val="18"/>
          <w:szCs w:val="18"/>
          <w:color w:val="auto"/>
        </w:rPr>
      </w:pPr>
      <w:r>
        <w:rPr>
          <w:rFonts w:ascii="Arial" w:cs="Arial" w:eastAsia="Arial" w:hAnsi="Arial"/>
          <w:sz w:val="18"/>
          <w:szCs w:val="18"/>
          <w:color w:val="auto"/>
        </w:rPr>
        <w:t>Total Vascular Access sales increased $1.1 million due to increased sales across all product lines. BioFlo product lines comprise 49% of overall Vascular Access sales compared to 52% a year ago.</w:t>
      </w:r>
    </w:p>
    <w:p>
      <w:pPr>
        <w:spacing w:after="0" w:line="1" w:lineRule="exact"/>
        <w:rPr>
          <w:rFonts w:ascii="Arial" w:cs="Arial" w:eastAsia="Arial" w:hAnsi="Arial"/>
          <w:sz w:val="18"/>
          <w:szCs w:val="18"/>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U.S. Vascular Access sales increased $1.6 million as a result of increased sales across all product lines.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International Vascular Access sales decreased by $0.5 million.</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Oncology</w:t>
      </w:r>
    </w:p>
    <w:p>
      <w:pPr>
        <w:spacing w:after="0" w:line="252" w:lineRule="exact"/>
        <w:rPr>
          <w:sz w:val="20"/>
          <w:szCs w:val="20"/>
          <w:color w:val="auto"/>
        </w:rPr>
      </w:pPr>
    </w:p>
    <w:p>
      <w:pPr>
        <w:ind w:left="660" w:right="640" w:hanging="328"/>
        <w:spacing w:after="0" w:line="287" w:lineRule="auto"/>
        <w:tabs>
          <w:tab w:leader="none" w:pos="655" w:val="left"/>
        </w:tabs>
        <w:numPr>
          <w:ilvl w:val="0"/>
          <w:numId w:val="12"/>
        </w:numPr>
        <w:rPr>
          <w:rFonts w:ascii="Arial" w:cs="Arial" w:eastAsia="Arial" w:hAnsi="Arial"/>
          <w:sz w:val="16"/>
          <w:szCs w:val="16"/>
          <w:color w:val="auto"/>
        </w:rPr>
      </w:pPr>
      <w:r>
        <w:rPr>
          <w:rFonts w:ascii="Arial" w:cs="Arial" w:eastAsia="Arial" w:hAnsi="Arial"/>
          <w:sz w:val="16"/>
          <w:szCs w:val="16"/>
          <w:color w:val="auto"/>
        </w:rPr>
        <w:t>Total Oncology sales decreased $1.1 million year over year primarily due to lower NanoKnife capital sales of $1.6 million, decreased RadioFrequency Ablation sales of $0.4 million and decreased Balloon product sales of $0.3 million. This was partially offset by increased NanoKnife disposable sales of $0.6 million, Microwave disposable sales of $0.3 million and BioSentry sales of $0.4 million.</w:t>
      </w:r>
    </w:p>
    <w:p>
      <w:pPr>
        <w:spacing w:after="0" w:line="2" w:lineRule="exact"/>
        <w:rPr>
          <w:rFonts w:ascii="Arial" w:cs="Arial" w:eastAsia="Arial" w:hAnsi="Arial"/>
          <w:sz w:val="16"/>
          <w:szCs w:val="16"/>
          <w:color w:val="auto"/>
        </w:rPr>
      </w:pPr>
    </w:p>
    <w:p>
      <w:pPr>
        <w:ind w:left="660" w:right="380" w:hanging="328"/>
        <w:spacing w:after="0" w:line="250" w:lineRule="auto"/>
        <w:tabs>
          <w:tab w:leader="none" w:pos="655" w:val="left"/>
        </w:tabs>
        <w:numPr>
          <w:ilvl w:val="0"/>
          <w:numId w:val="12"/>
        </w:numPr>
        <w:rPr>
          <w:rFonts w:ascii="Arial" w:cs="Arial" w:eastAsia="Arial" w:hAnsi="Arial"/>
          <w:sz w:val="18"/>
          <w:szCs w:val="18"/>
          <w:color w:val="auto"/>
        </w:rPr>
      </w:pPr>
      <w:r>
        <w:rPr>
          <w:rFonts w:ascii="Arial" w:cs="Arial" w:eastAsia="Arial" w:hAnsi="Arial"/>
          <w:sz w:val="18"/>
          <w:szCs w:val="18"/>
          <w:color w:val="auto"/>
        </w:rPr>
        <w:t>U.S. Oncology sales increased by $0.5 million primarily due to increased NanoKnife disposable sales of $0.7 million, BioSentry sales of $0.4 million and Microwave disposable sales of $0.1 million. This was partially offset by decreased NanoKnife capital sales of $0.4 million and Balloon product sales of $0.3 million due to lower volumes.</w:t>
      </w:r>
    </w:p>
    <w:p>
      <w:pPr>
        <w:spacing w:after="0" w:line="1" w:lineRule="exact"/>
        <w:rPr>
          <w:rFonts w:ascii="Arial" w:cs="Arial" w:eastAsia="Arial" w:hAnsi="Arial"/>
          <w:sz w:val="18"/>
          <w:szCs w:val="18"/>
          <w:color w:val="auto"/>
        </w:rPr>
      </w:pPr>
    </w:p>
    <w:p>
      <w:pPr>
        <w:ind w:left="660" w:right="320" w:hanging="328"/>
        <w:spacing w:after="0" w:line="260" w:lineRule="auto"/>
        <w:tabs>
          <w:tab w:leader="none" w:pos="655" w:val="left"/>
        </w:tabs>
        <w:numPr>
          <w:ilvl w:val="0"/>
          <w:numId w:val="12"/>
        </w:numPr>
        <w:rPr>
          <w:rFonts w:ascii="Arial" w:cs="Arial" w:eastAsia="Arial" w:hAnsi="Arial"/>
          <w:sz w:val="18"/>
          <w:szCs w:val="18"/>
          <w:color w:val="auto"/>
        </w:rPr>
      </w:pPr>
      <w:r>
        <w:rPr>
          <w:rFonts w:ascii="Arial" w:cs="Arial" w:eastAsia="Arial" w:hAnsi="Arial"/>
          <w:sz w:val="18"/>
          <w:szCs w:val="18"/>
          <w:color w:val="auto"/>
        </w:rPr>
        <w:t>International Oncology sales decreased $1.6 million year over year as a result of decreased RadioFrequency Ablation sales of $0.5 million and NanoKnife capital and disposable sales of $1.2 million.</w:t>
      </w:r>
    </w:p>
    <w:p>
      <w:pPr>
        <w:spacing w:after="0" w:line="212" w:lineRule="exact"/>
        <w:rPr>
          <w:sz w:val="20"/>
          <w:szCs w:val="20"/>
          <w:color w:val="auto"/>
        </w:rPr>
      </w:pPr>
    </w:p>
    <w:p>
      <w:pPr>
        <w:ind w:right="40" w:firstLine="445"/>
        <w:spacing w:after="0" w:line="262" w:lineRule="auto"/>
        <w:rPr>
          <w:sz w:val="20"/>
          <w:szCs w:val="20"/>
          <w:color w:val="auto"/>
        </w:rPr>
      </w:pPr>
      <w:r>
        <w:rPr>
          <w:rFonts w:ascii="Arial" w:cs="Arial" w:eastAsia="Arial" w:hAnsi="Arial"/>
          <w:sz w:val="17"/>
          <w:szCs w:val="17"/>
          <w:color w:val="auto"/>
        </w:rPr>
        <w:t>The Company has discussed the ongoing transformation from a company with a broad portfolio of largely undifferentiated products to a more focused medical technology company that delivers unique and innovative health care solutions. This transformation enables the Company to move away from the mature, lower-growth markets where we have competed in the past by carving out significant space in larger and faster growing markets. As such, the growth in the near to mid-term will be driven by our high technology platforms including AngioVac, Auryon and NanoKnife.</w:t>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Gross Profit, Operating expenses, and Other income (expense)</w:t>
      </w:r>
    </w:p>
    <w:p>
      <w:pPr>
        <w:spacing w:after="0" w:line="261"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638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540" w:type="dxa"/>
            <w:vAlign w:val="bottom"/>
            <w:tcBorders>
              <w:bottom w:val="single" w:sz="8" w:color="auto"/>
            </w:tcBorders>
            <w:gridSpan w:val="2"/>
          </w:tcPr>
          <w:p>
            <w:pPr>
              <w:jc w:val="center"/>
              <w:ind w:right="240"/>
              <w:spacing w:after="0"/>
              <w:rPr>
                <w:sz w:val="20"/>
                <w:szCs w:val="20"/>
                <w:color w:val="auto"/>
              </w:rPr>
            </w:pPr>
            <w:r>
              <w:rPr>
                <w:rFonts w:ascii="Arial" w:cs="Arial" w:eastAsia="Arial" w:hAnsi="Arial"/>
                <w:sz w:val="14"/>
                <w:szCs w:val="14"/>
                <w:color w:val="auto"/>
                <w:w w:val="93"/>
              </w:rPr>
              <w:t>Three Months Ended</w:t>
            </w:r>
          </w:p>
        </w:tc>
        <w:tc>
          <w:tcPr>
            <w:tcW w:w="1540" w:type="dxa"/>
            <w:vAlign w:val="bottom"/>
            <w:tcBorders>
              <w:bottom w:val="single" w:sz="8" w:color="auto"/>
            </w:tcBorders>
          </w:tcPr>
          <w:p>
            <w:pPr>
              <w:spacing w:after="0"/>
              <w:rPr>
                <w:sz w:val="16"/>
                <w:szCs w:val="16"/>
                <w:color w:val="auto"/>
              </w:rPr>
            </w:pPr>
          </w:p>
        </w:tc>
      </w:tr>
      <w:tr>
        <w:trPr>
          <w:trHeight w:val="186"/>
        </w:trPr>
        <w:tc>
          <w:tcPr>
            <w:tcW w:w="6380" w:type="dxa"/>
            <w:vAlign w:val="bottom"/>
          </w:tcPr>
          <w:p>
            <w:pPr>
              <w:ind w:left="20"/>
              <w:spacing w:after="0"/>
              <w:rPr>
                <w:sz w:val="20"/>
                <w:szCs w:val="20"/>
                <w:color w:val="auto"/>
              </w:rPr>
            </w:pPr>
            <w:r>
              <w:rPr>
                <w:rFonts w:ascii="Arial" w:cs="Arial" w:eastAsia="Arial" w:hAnsi="Arial"/>
                <w:sz w:val="14"/>
                <w:szCs w:val="14"/>
                <w:color w:val="auto"/>
              </w:rPr>
              <w:t>(in thousands)</w:t>
            </w:r>
          </w:p>
        </w:tc>
        <w:tc>
          <w:tcPr>
            <w:tcW w:w="240" w:type="dxa"/>
            <w:vAlign w:val="bottom"/>
          </w:tcPr>
          <w:p>
            <w:pPr>
              <w:spacing w:after="0"/>
              <w:rPr>
                <w:sz w:val="16"/>
                <w:szCs w:val="16"/>
                <w:color w:val="auto"/>
              </w:rPr>
            </w:pPr>
          </w:p>
        </w:tc>
        <w:tc>
          <w:tcPr>
            <w:tcW w:w="1400" w:type="dxa"/>
            <w:vAlign w:val="bottom"/>
            <w:gridSpan w:val="2"/>
          </w:tcPr>
          <w:p>
            <w:pPr>
              <w:ind w:left="140"/>
              <w:spacing w:after="0"/>
              <w:rPr>
                <w:sz w:val="20"/>
                <w:szCs w:val="20"/>
                <w:color w:val="auto"/>
              </w:rPr>
            </w:pPr>
            <w:r>
              <w:rPr>
                <w:rFonts w:ascii="Arial" w:cs="Arial" w:eastAsia="Arial" w:hAnsi="Arial"/>
                <w:sz w:val="14"/>
                <w:szCs w:val="14"/>
                <w:color w:val="auto"/>
              </w:rPr>
              <w:t>Nov 30, 2020</w:t>
            </w:r>
          </w:p>
        </w:tc>
        <w:tc>
          <w:tcPr>
            <w:tcW w:w="140" w:type="dxa"/>
            <w:vAlign w:val="bottom"/>
          </w:tcPr>
          <w:p>
            <w:pPr>
              <w:spacing w:after="0"/>
              <w:rPr>
                <w:sz w:val="16"/>
                <w:szCs w:val="16"/>
                <w:color w:val="auto"/>
              </w:rPr>
            </w:pPr>
          </w:p>
        </w:tc>
        <w:tc>
          <w:tcPr>
            <w:tcW w:w="1540" w:type="dxa"/>
            <w:vAlign w:val="bottom"/>
            <w:gridSpan w:val="2"/>
          </w:tcPr>
          <w:p>
            <w:pPr>
              <w:jc w:val="center"/>
              <w:ind w:right="260"/>
              <w:spacing w:after="0"/>
              <w:rPr>
                <w:sz w:val="20"/>
                <w:szCs w:val="20"/>
                <w:color w:val="auto"/>
              </w:rPr>
            </w:pPr>
            <w:r>
              <w:rPr>
                <w:rFonts w:ascii="Arial" w:cs="Arial" w:eastAsia="Arial" w:hAnsi="Arial"/>
                <w:sz w:val="14"/>
                <w:szCs w:val="14"/>
                <w:color w:val="auto"/>
                <w:w w:val="96"/>
              </w:rPr>
              <w:t>Nov 30, 2019</w:t>
            </w:r>
          </w:p>
        </w:tc>
        <w:tc>
          <w:tcPr>
            <w:tcW w:w="1540" w:type="dxa"/>
            <w:vAlign w:val="bottom"/>
          </w:tcPr>
          <w:p>
            <w:pPr>
              <w:jc w:val="right"/>
              <w:ind w:right="394"/>
              <w:spacing w:after="0"/>
              <w:rPr>
                <w:sz w:val="20"/>
                <w:szCs w:val="20"/>
                <w:color w:val="auto"/>
              </w:rPr>
            </w:pPr>
            <w:r>
              <w:rPr>
                <w:rFonts w:ascii="Arial" w:cs="Arial" w:eastAsia="Arial" w:hAnsi="Arial"/>
                <w:sz w:val="14"/>
                <w:szCs w:val="14"/>
                <w:color w:val="auto"/>
              </w:rPr>
              <w:t>% Change</w:t>
            </w:r>
          </w:p>
        </w:tc>
      </w:tr>
      <w:tr>
        <w:trPr>
          <w:trHeight w:val="226"/>
        </w:trPr>
        <w:tc>
          <w:tcPr>
            <w:tcW w:w="63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Gross profit</w:t>
            </w: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300" w:type="dxa"/>
            <w:vAlign w:val="bottom"/>
            <w:tcBorders>
              <w:top w:val="single" w:sz="8" w:color="auto"/>
            </w:tcBorders>
            <w:shd w:val="clear" w:color="auto" w:fill="CCEEFF"/>
          </w:tcPr>
          <w:p>
            <w:pPr>
              <w:jc w:val="right"/>
              <w:ind w:right="132"/>
              <w:spacing w:after="0"/>
              <w:rPr>
                <w:sz w:val="20"/>
                <w:szCs w:val="20"/>
                <w:color w:val="auto"/>
              </w:rPr>
            </w:pPr>
            <w:r>
              <w:rPr>
                <w:rFonts w:ascii="Arial" w:cs="Arial" w:eastAsia="Arial" w:hAnsi="Arial"/>
                <w:sz w:val="18"/>
                <w:szCs w:val="18"/>
                <w:color w:val="auto"/>
              </w:rPr>
              <w:t>40,174</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tcBorders>
              <w:top w:val="single" w:sz="8" w:color="auto"/>
            </w:tcBorders>
            <w:shd w:val="clear" w:color="auto" w:fill="CCEEFF"/>
          </w:tcPr>
          <w:p>
            <w:pPr>
              <w:jc w:val="right"/>
              <w:ind w:right="134"/>
              <w:spacing w:after="0"/>
              <w:rPr>
                <w:sz w:val="20"/>
                <w:szCs w:val="20"/>
                <w:color w:val="auto"/>
              </w:rPr>
            </w:pPr>
            <w:r>
              <w:rPr>
                <w:rFonts w:ascii="Arial" w:cs="Arial" w:eastAsia="Arial" w:hAnsi="Arial"/>
                <w:sz w:val="18"/>
                <w:szCs w:val="18"/>
                <w:color w:val="auto"/>
              </w:rPr>
              <w:t>41,544</w:t>
            </w:r>
          </w:p>
        </w:tc>
        <w:tc>
          <w:tcPr>
            <w:tcW w:w="140" w:type="dxa"/>
            <w:vAlign w:val="bottom"/>
            <w:tcBorders>
              <w:top w:val="single" w:sz="8" w:color="CCEEFF"/>
            </w:tcBorders>
            <w:shd w:val="clear" w:color="auto" w:fill="CCEEFF"/>
          </w:tcPr>
          <w:p>
            <w:pPr>
              <w:spacing w:after="0"/>
              <w:rPr>
                <w:sz w:val="19"/>
                <w:szCs w:val="19"/>
                <w:color w:val="auto"/>
              </w:rPr>
            </w:pPr>
          </w:p>
        </w:tc>
        <w:tc>
          <w:tcPr>
            <w:tcW w:w="1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w:t>
            </w:r>
          </w:p>
        </w:tc>
      </w:tr>
      <w:tr>
        <w:trPr>
          <w:trHeight w:val="229"/>
        </w:trPr>
        <w:tc>
          <w:tcPr>
            <w:tcW w:w="6380" w:type="dxa"/>
            <w:vAlign w:val="bottom"/>
          </w:tcPr>
          <w:p>
            <w:pPr>
              <w:ind w:left="20"/>
              <w:spacing w:after="0"/>
              <w:rPr>
                <w:sz w:val="20"/>
                <w:szCs w:val="20"/>
                <w:color w:val="auto"/>
              </w:rPr>
            </w:pPr>
            <w:r>
              <w:rPr>
                <w:rFonts w:ascii="Arial" w:cs="Arial" w:eastAsia="Arial" w:hAnsi="Arial"/>
                <w:sz w:val="18"/>
                <w:szCs w:val="18"/>
                <w:color w:val="auto"/>
              </w:rPr>
              <w:t>Gross profit % of sales</w:t>
            </w:r>
          </w:p>
        </w:tc>
        <w:tc>
          <w:tcPr>
            <w:tcW w:w="2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55.2 %</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59.3 %</w:t>
            </w:r>
          </w:p>
        </w:tc>
        <w:tc>
          <w:tcPr>
            <w:tcW w:w="140" w:type="dxa"/>
            <w:vAlign w:val="bottom"/>
          </w:tcPr>
          <w:p>
            <w:pPr>
              <w:spacing w:after="0"/>
              <w:rPr>
                <w:sz w:val="19"/>
                <w:szCs w:val="19"/>
                <w:color w:val="auto"/>
              </w:rPr>
            </w:pPr>
          </w:p>
        </w:tc>
        <w:tc>
          <w:tcPr>
            <w:tcW w:w="1540" w:type="dxa"/>
            <w:vAlign w:val="bottom"/>
          </w:tcPr>
          <w:p>
            <w:pPr>
              <w:spacing w:after="0"/>
              <w:rPr>
                <w:sz w:val="19"/>
                <w:szCs w:val="19"/>
                <w:color w:val="auto"/>
              </w:rPr>
            </w:pPr>
          </w:p>
        </w:tc>
      </w:tr>
      <w:tr>
        <w:trPr>
          <w:trHeight w:val="230"/>
        </w:trPr>
        <w:tc>
          <w:tcPr>
            <w:tcW w:w="638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Research and development</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30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9,712</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shd w:val="clear" w:color="auto" w:fill="CCEEFF"/>
          </w:tcPr>
          <w:p>
            <w:pPr>
              <w:jc w:val="right"/>
              <w:ind w:right="134"/>
              <w:spacing w:after="0"/>
              <w:rPr>
                <w:sz w:val="20"/>
                <w:szCs w:val="20"/>
                <w:color w:val="auto"/>
              </w:rPr>
            </w:pPr>
            <w:r>
              <w:rPr>
                <w:rFonts w:ascii="Arial" w:cs="Arial" w:eastAsia="Arial" w:hAnsi="Arial"/>
                <w:sz w:val="18"/>
                <w:szCs w:val="18"/>
                <w:color w:val="auto"/>
              </w:rPr>
              <w:t>7,764</w:t>
            </w:r>
          </w:p>
        </w:tc>
        <w:tc>
          <w:tcPr>
            <w:tcW w:w="14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25.1 %</w:t>
            </w:r>
          </w:p>
        </w:tc>
      </w:tr>
      <w:tr>
        <w:trPr>
          <w:trHeight w:val="230"/>
        </w:trPr>
        <w:tc>
          <w:tcPr>
            <w:tcW w:w="6380" w:type="dxa"/>
            <w:vAlign w:val="bottom"/>
          </w:tcPr>
          <w:p>
            <w:pPr>
              <w:ind w:left="20"/>
              <w:spacing w:after="0"/>
              <w:rPr>
                <w:sz w:val="20"/>
                <w:szCs w:val="20"/>
                <w:color w:val="auto"/>
              </w:rPr>
            </w:pPr>
            <w:r>
              <w:rPr>
                <w:rFonts w:ascii="Arial" w:cs="Arial" w:eastAsia="Arial" w:hAnsi="Arial"/>
                <w:sz w:val="18"/>
                <w:szCs w:val="18"/>
                <w:color w:val="auto"/>
              </w:rPr>
              <w:t>% of sales</w:t>
            </w:r>
          </w:p>
        </w:tc>
        <w:tc>
          <w:tcPr>
            <w:tcW w:w="2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13.3 %</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11.1 %</w:t>
            </w:r>
          </w:p>
        </w:tc>
        <w:tc>
          <w:tcPr>
            <w:tcW w:w="140" w:type="dxa"/>
            <w:vAlign w:val="bottom"/>
          </w:tcPr>
          <w:p>
            <w:pPr>
              <w:spacing w:after="0"/>
              <w:rPr>
                <w:sz w:val="19"/>
                <w:szCs w:val="19"/>
                <w:color w:val="auto"/>
              </w:rPr>
            </w:pPr>
          </w:p>
        </w:tc>
        <w:tc>
          <w:tcPr>
            <w:tcW w:w="1540" w:type="dxa"/>
            <w:vAlign w:val="bottom"/>
          </w:tcPr>
          <w:p>
            <w:pPr>
              <w:spacing w:after="0"/>
              <w:rPr>
                <w:sz w:val="19"/>
                <w:szCs w:val="19"/>
                <w:color w:val="auto"/>
              </w:rPr>
            </w:pPr>
          </w:p>
        </w:tc>
      </w:tr>
      <w:tr>
        <w:trPr>
          <w:trHeight w:val="230"/>
        </w:trPr>
        <w:tc>
          <w:tcPr>
            <w:tcW w:w="6380" w:type="dxa"/>
            <w:vAlign w:val="bottom"/>
            <w:shd w:val="clear" w:color="auto" w:fill="CCEEFF"/>
          </w:tcPr>
          <w:p>
            <w:pPr>
              <w:ind w:left="20"/>
              <w:spacing w:after="0"/>
              <w:rPr>
                <w:sz w:val="20"/>
                <w:szCs w:val="20"/>
                <w:color w:val="auto"/>
              </w:rPr>
            </w:pPr>
            <w:r>
              <w:rPr>
                <w:rFonts w:ascii="Arial" w:cs="Arial" w:eastAsia="Arial" w:hAnsi="Arial"/>
                <w:sz w:val="18"/>
                <w:szCs w:val="18"/>
                <w:color w:val="auto"/>
              </w:rPr>
              <w:t>Selling and marketing</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30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20,174</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shd w:val="clear" w:color="auto" w:fill="CCEEFF"/>
          </w:tcPr>
          <w:p>
            <w:pPr>
              <w:jc w:val="right"/>
              <w:ind w:right="134"/>
              <w:spacing w:after="0"/>
              <w:rPr>
                <w:sz w:val="20"/>
                <w:szCs w:val="20"/>
                <w:color w:val="auto"/>
              </w:rPr>
            </w:pPr>
            <w:r>
              <w:rPr>
                <w:rFonts w:ascii="Arial" w:cs="Arial" w:eastAsia="Arial" w:hAnsi="Arial"/>
                <w:sz w:val="18"/>
                <w:szCs w:val="18"/>
                <w:color w:val="auto"/>
              </w:rPr>
              <w:t>20,113</w:t>
            </w:r>
          </w:p>
        </w:tc>
        <w:tc>
          <w:tcPr>
            <w:tcW w:w="14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0.3 %</w:t>
            </w:r>
          </w:p>
        </w:tc>
      </w:tr>
      <w:tr>
        <w:trPr>
          <w:trHeight w:val="230"/>
        </w:trPr>
        <w:tc>
          <w:tcPr>
            <w:tcW w:w="6380" w:type="dxa"/>
            <w:vAlign w:val="bottom"/>
          </w:tcPr>
          <w:p>
            <w:pPr>
              <w:ind w:left="20"/>
              <w:spacing w:after="0"/>
              <w:rPr>
                <w:sz w:val="20"/>
                <w:szCs w:val="20"/>
                <w:color w:val="auto"/>
              </w:rPr>
            </w:pPr>
            <w:r>
              <w:rPr>
                <w:rFonts w:ascii="Arial" w:cs="Arial" w:eastAsia="Arial" w:hAnsi="Arial"/>
                <w:sz w:val="18"/>
                <w:szCs w:val="18"/>
                <w:color w:val="auto"/>
              </w:rPr>
              <w:t>% of sales</w:t>
            </w:r>
          </w:p>
        </w:tc>
        <w:tc>
          <w:tcPr>
            <w:tcW w:w="2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27.7 %</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28.7 %</w:t>
            </w:r>
          </w:p>
        </w:tc>
        <w:tc>
          <w:tcPr>
            <w:tcW w:w="140" w:type="dxa"/>
            <w:vAlign w:val="bottom"/>
          </w:tcPr>
          <w:p>
            <w:pPr>
              <w:spacing w:after="0"/>
              <w:rPr>
                <w:sz w:val="19"/>
                <w:szCs w:val="19"/>
                <w:color w:val="auto"/>
              </w:rPr>
            </w:pPr>
          </w:p>
        </w:tc>
        <w:tc>
          <w:tcPr>
            <w:tcW w:w="1540" w:type="dxa"/>
            <w:vAlign w:val="bottom"/>
          </w:tcPr>
          <w:p>
            <w:pPr>
              <w:spacing w:after="0"/>
              <w:rPr>
                <w:sz w:val="19"/>
                <w:szCs w:val="19"/>
                <w:color w:val="auto"/>
              </w:rPr>
            </w:pPr>
          </w:p>
        </w:tc>
      </w:tr>
      <w:tr>
        <w:trPr>
          <w:trHeight w:val="229"/>
        </w:trPr>
        <w:tc>
          <w:tcPr>
            <w:tcW w:w="6380" w:type="dxa"/>
            <w:vAlign w:val="bottom"/>
            <w:shd w:val="clear" w:color="auto" w:fill="CCEEFF"/>
          </w:tcPr>
          <w:p>
            <w:pPr>
              <w:ind w:left="20"/>
              <w:spacing w:after="0"/>
              <w:rPr>
                <w:sz w:val="20"/>
                <w:szCs w:val="20"/>
                <w:color w:val="auto"/>
              </w:rPr>
            </w:pPr>
            <w:r>
              <w:rPr>
                <w:rFonts w:ascii="Arial" w:cs="Arial" w:eastAsia="Arial" w:hAnsi="Arial"/>
                <w:sz w:val="18"/>
                <w:szCs w:val="18"/>
                <w:color w:val="auto"/>
              </w:rPr>
              <w:t>General and administrative</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30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9,219</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shd w:val="clear" w:color="auto" w:fill="CCEEFF"/>
          </w:tcPr>
          <w:p>
            <w:pPr>
              <w:jc w:val="right"/>
              <w:ind w:right="134"/>
              <w:spacing w:after="0"/>
              <w:rPr>
                <w:sz w:val="20"/>
                <w:szCs w:val="20"/>
                <w:color w:val="auto"/>
              </w:rPr>
            </w:pPr>
            <w:r>
              <w:rPr>
                <w:rFonts w:ascii="Arial" w:cs="Arial" w:eastAsia="Arial" w:hAnsi="Arial"/>
                <w:sz w:val="18"/>
                <w:szCs w:val="18"/>
                <w:color w:val="auto"/>
              </w:rPr>
              <w:t>10,994</w:t>
            </w:r>
          </w:p>
        </w:tc>
        <w:tc>
          <w:tcPr>
            <w:tcW w:w="14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(16.1)%</w:t>
            </w:r>
          </w:p>
        </w:tc>
      </w:tr>
      <w:tr>
        <w:trPr>
          <w:trHeight w:val="230"/>
        </w:trPr>
        <w:tc>
          <w:tcPr>
            <w:tcW w:w="6380" w:type="dxa"/>
            <w:vAlign w:val="bottom"/>
          </w:tcPr>
          <w:p>
            <w:pPr>
              <w:ind w:left="20"/>
              <w:spacing w:after="0"/>
              <w:rPr>
                <w:sz w:val="20"/>
                <w:szCs w:val="20"/>
                <w:color w:val="auto"/>
              </w:rPr>
            </w:pPr>
            <w:r>
              <w:rPr>
                <w:rFonts w:ascii="Arial" w:cs="Arial" w:eastAsia="Arial" w:hAnsi="Arial"/>
                <w:sz w:val="18"/>
                <w:szCs w:val="18"/>
                <w:color w:val="auto"/>
              </w:rPr>
              <w:t>% of sales</w:t>
            </w:r>
          </w:p>
        </w:tc>
        <w:tc>
          <w:tcPr>
            <w:tcW w:w="24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12.7 %</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15.7 %</w:t>
            </w:r>
          </w:p>
        </w:tc>
        <w:tc>
          <w:tcPr>
            <w:tcW w:w="140" w:type="dxa"/>
            <w:vAlign w:val="bottom"/>
          </w:tcPr>
          <w:p>
            <w:pPr>
              <w:spacing w:after="0"/>
              <w:rPr>
                <w:sz w:val="20"/>
                <w:szCs w:val="20"/>
                <w:color w:val="auto"/>
              </w:rPr>
            </w:pPr>
          </w:p>
        </w:tc>
        <w:tc>
          <w:tcPr>
            <w:tcW w:w="1540" w:type="dxa"/>
            <w:vAlign w:val="bottom"/>
          </w:tcPr>
          <w:p>
            <w:pPr>
              <w:spacing w:after="0"/>
              <w:rPr>
                <w:sz w:val="20"/>
                <w:szCs w:val="20"/>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6" w:name="page27"/>
    <w:bookmarkEnd w:id="26"/>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right="120"/>
        <w:spacing w:after="0" w:line="263" w:lineRule="auto"/>
        <w:rPr>
          <w:sz w:val="20"/>
          <w:szCs w:val="20"/>
          <w:color w:val="auto"/>
        </w:rPr>
      </w:pPr>
      <w:r>
        <w:rPr>
          <w:rFonts w:ascii="Arial" w:cs="Arial" w:eastAsia="Arial" w:hAnsi="Arial"/>
          <w:sz w:val="18"/>
          <w:szCs w:val="18"/>
          <w:u w:val="single" w:color="auto"/>
          <w:color w:val="auto"/>
        </w:rPr>
        <w:t>Gross profit</w:t>
      </w:r>
      <w:r>
        <w:rPr>
          <w:rFonts w:ascii="Arial" w:cs="Arial" w:eastAsia="Arial" w:hAnsi="Arial"/>
          <w:sz w:val="18"/>
          <w:szCs w:val="18"/>
          <w:color w:val="auto"/>
        </w:rPr>
        <w:t xml:space="preserve"> - Gross profit consists of net sales less the cost of goods sold, which includes the costs of materials, products purchased from third parties and sold by us, manufacturing personnel, royalties, freight, business insurance, depreciation of property and equipment and other manufacturing overhead, exclusive of intangible amortization.</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Gross profit decreased by $1.4 million compared to the prior year. The decrease is primarily attributable to the following:</w:t>
      </w:r>
    </w:p>
    <w:p>
      <w:pPr>
        <w:spacing w:after="0" w:line="225" w:lineRule="exact"/>
        <w:rPr>
          <w:sz w:val="20"/>
          <w:szCs w:val="20"/>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Sales volume positively impacted gross profit by $1.5 million year over year.</w:t>
      </w:r>
    </w:p>
    <w:p>
      <w:pPr>
        <w:spacing w:after="0" w:line="23" w:lineRule="exact"/>
        <w:rPr>
          <w:rFonts w:ascii="Arial" w:cs="Arial" w:eastAsia="Arial" w:hAnsi="Arial"/>
          <w:sz w:val="18"/>
          <w:szCs w:val="18"/>
          <w:color w:val="auto"/>
        </w:rPr>
      </w:pPr>
    </w:p>
    <w:p>
      <w:pPr>
        <w:ind w:left="660" w:right="200" w:hanging="328"/>
        <w:spacing w:after="0" w:line="250" w:lineRule="auto"/>
        <w:tabs>
          <w:tab w:leader="none" w:pos="655" w:val="left"/>
        </w:tabs>
        <w:numPr>
          <w:ilvl w:val="0"/>
          <w:numId w:val="13"/>
        </w:numPr>
        <w:rPr>
          <w:rFonts w:ascii="Arial" w:cs="Arial" w:eastAsia="Arial" w:hAnsi="Arial"/>
          <w:sz w:val="18"/>
          <w:szCs w:val="18"/>
          <w:color w:val="auto"/>
        </w:rPr>
      </w:pPr>
      <w:r>
        <w:rPr>
          <w:rFonts w:ascii="Arial" w:cs="Arial" w:eastAsia="Arial" w:hAnsi="Arial"/>
          <w:sz w:val="18"/>
          <w:szCs w:val="18"/>
          <w:color w:val="auto"/>
        </w:rPr>
        <w:t>Net productivity negatively impacted gross profit by $2.6 million primarily as a result of under absorption of $1.2 million and increased start-up costs related to the Auryon launch of $1.2 million. The under absorption in manufacturing operations was due to the fact that the Company has maintained staffing levels during the COVID-19 global pandemic to mitigate risk, along with a focus on working capital management through inventory reduction.</w:t>
      </w:r>
    </w:p>
    <w:p>
      <w:pPr>
        <w:spacing w:after="0" w:line="1" w:lineRule="exact"/>
        <w:rPr>
          <w:rFonts w:ascii="Arial" w:cs="Arial" w:eastAsia="Arial" w:hAnsi="Arial"/>
          <w:sz w:val="18"/>
          <w:szCs w:val="18"/>
          <w:color w:val="auto"/>
        </w:rPr>
      </w:pPr>
    </w:p>
    <w:p>
      <w:pPr>
        <w:ind w:left="660" w:right="400" w:hanging="328"/>
        <w:spacing w:after="0" w:line="260" w:lineRule="auto"/>
        <w:tabs>
          <w:tab w:leader="none" w:pos="655" w:val="left"/>
        </w:tabs>
        <w:numPr>
          <w:ilvl w:val="0"/>
          <w:numId w:val="13"/>
        </w:numPr>
        <w:rPr>
          <w:rFonts w:ascii="Arial" w:cs="Arial" w:eastAsia="Arial" w:hAnsi="Arial"/>
          <w:sz w:val="18"/>
          <w:szCs w:val="18"/>
          <w:color w:val="auto"/>
        </w:rPr>
      </w:pPr>
      <w:r>
        <w:rPr>
          <w:rFonts w:ascii="Arial" w:cs="Arial" w:eastAsia="Arial" w:hAnsi="Arial"/>
          <w:sz w:val="18"/>
          <w:szCs w:val="18"/>
          <w:color w:val="auto"/>
        </w:rPr>
        <w:t>Mix negatively impacted gross margin by $0.3 million as a result of decreased NanoKnife capital sales. This was partially offset by increased AngioVac sales.</w:t>
      </w:r>
    </w:p>
    <w:p>
      <w:pPr>
        <w:spacing w:after="0" w:line="212"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u w:val="single" w:color="auto"/>
          <w:color w:val="auto"/>
        </w:rPr>
        <w:t>Research and development expenses</w:t>
      </w:r>
      <w:r>
        <w:rPr>
          <w:rFonts w:ascii="Arial" w:cs="Arial" w:eastAsia="Arial" w:hAnsi="Arial"/>
          <w:sz w:val="18"/>
          <w:szCs w:val="18"/>
          <w:color w:val="auto"/>
        </w:rPr>
        <w:t xml:space="preserve"> - Research and development (“R&amp;D”) expenses include internal and external costs to develop new products, enhance existing products, validate new and enhanced products, and manage clinical, regulatory and medical affairs.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R&amp;D expense increased $1.9 million compared to the prior year. The increase is primarily attributable to the following:</w:t>
      </w:r>
    </w:p>
    <w:p>
      <w:pPr>
        <w:spacing w:after="0" w:line="252" w:lineRule="exact"/>
        <w:rPr>
          <w:sz w:val="20"/>
          <w:szCs w:val="20"/>
          <w:color w:val="auto"/>
        </w:rPr>
      </w:pPr>
    </w:p>
    <w:p>
      <w:pPr>
        <w:ind w:left="660" w:right="540" w:hanging="328"/>
        <w:spacing w:after="0" w:line="258" w:lineRule="auto"/>
        <w:tabs>
          <w:tab w:leader="none" w:pos="655" w:val="left"/>
        </w:tabs>
        <w:numPr>
          <w:ilvl w:val="0"/>
          <w:numId w:val="14"/>
        </w:numPr>
        <w:rPr>
          <w:rFonts w:ascii="Arial" w:cs="Arial" w:eastAsia="Arial" w:hAnsi="Arial"/>
          <w:sz w:val="18"/>
          <w:szCs w:val="18"/>
          <w:color w:val="auto"/>
        </w:rPr>
      </w:pPr>
      <w:r>
        <w:rPr>
          <w:rFonts w:ascii="Arial" w:cs="Arial" w:eastAsia="Arial" w:hAnsi="Arial"/>
          <w:sz w:val="18"/>
          <w:szCs w:val="18"/>
          <w:color w:val="auto"/>
        </w:rPr>
        <w:t>Research and development expenses related to the AngioVac platform expansion, the NanoKnife DIRECT© study and the Pathfinder study increased $1.8 million along with $0.7 million of expenses related to Auryon.</w:t>
      </w:r>
    </w:p>
    <w:p>
      <w:pPr>
        <w:spacing w:after="0" w:line="1" w:lineRule="exact"/>
        <w:rPr>
          <w:rFonts w:ascii="Arial" w:cs="Arial" w:eastAsia="Arial" w:hAnsi="Arial"/>
          <w:sz w:val="18"/>
          <w:szCs w:val="18"/>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Outside consultant spend and other expenses decreased $0.5 million along with decreased travel expenses of $0.2 million.</w:t>
      </w:r>
    </w:p>
    <w:p>
      <w:pPr>
        <w:spacing w:after="0" w:line="238"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u w:val="single" w:color="auto"/>
          <w:color w:val="auto"/>
        </w:rPr>
        <w:t>Sales and marketing expenses</w:t>
      </w:r>
      <w:r>
        <w:rPr>
          <w:rFonts w:ascii="Arial" w:cs="Arial" w:eastAsia="Arial" w:hAnsi="Arial"/>
          <w:sz w:val="18"/>
          <w:szCs w:val="18"/>
          <w:color w:val="auto"/>
        </w:rPr>
        <w:t xml:space="preserve"> - Sales and marketing (“S&amp;M”) expenses consist primarily of salaries, commissions, travel and related business expenses, attendance at medical society meetings, product promotions and marketing activities.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S&amp;M expense increased $0.1 million compared to the prior year. The increase is primarily attributable to the following:</w:t>
      </w:r>
    </w:p>
    <w:p>
      <w:pPr>
        <w:spacing w:after="0" w:line="252" w:lineRule="exact"/>
        <w:rPr>
          <w:sz w:val="20"/>
          <w:szCs w:val="20"/>
          <w:color w:val="auto"/>
        </w:rPr>
      </w:pPr>
    </w:p>
    <w:p>
      <w:pPr>
        <w:ind w:left="660" w:right="560" w:hanging="328"/>
        <w:spacing w:after="0" w:line="258" w:lineRule="auto"/>
        <w:tabs>
          <w:tab w:leader="none" w:pos="655" w:val="left"/>
        </w:tabs>
        <w:numPr>
          <w:ilvl w:val="0"/>
          <w:numId w:val="15"/>
        </w:numPr>
        <w:rPr>
          <w:rFonts w:ascii="Arial" w:cs="Arial" w:eastAsia="Arial" w:hAnsi="Arial"/>
          <w:sz w:val="18"/>
          <w:szCs w:val="18"/>
          <w:color w:val="auto"/>
        </w:rPr>
      </w:pPr>
      <w:r>
        <w:rPr>
          <w:rFonts w:ascii="Arial" w:cs="Arial" w:eastAsia="Arial" w:hAnsi="Arial"/>
          <w:sz w:val="18"/>
          <w:szCs w:val="18"/>
          <w:color w:val="auto"/>
        </w:rPr>
        <w:t>Travel expenses decreased $1.4 million due to less travel as a result of the COVID-19 pandemic. In addition, tradeshow and other expenses decreased $1.3 million due to the cancellation of events.</w:t>
      </w:r>
    </w:p>
    <w:p>
      <w:pPr>
        <w:spacing w:after="0" w:line="1" w:lineRule="exact"/>
        <w:rPr>
          <w:rFonts w:ascii="Arial" w:cs="Arial" w:eastAsia="Arial" w:hAnsi="Arial"/>
          <w:sz w:val="18"/>
          <w:szCs w:val="18"/>
          <w:color w:val="auto"/>
        </w:rPr>
      </w:pPr>
    </w:p>
    <w:p>
      <w:pPr>
        <w:ind w:left="660" w:right="220" w:hanging="328"/>
        <w:spacing w:after="0" w:line="260" w:lineRule="auto"/>
        <w:tabs>
          <w:tab w:leader="none" w:pos="655" w:val="left"/>
        </w:tabs>
        <w:numPr>
          <w:ilvl w:val="0"/>
          <w:numId w:val="15"/>
        </w:numPr>
        <w:rPr>
          <w:rFonts w:ascii="Arial" w:cs="Arial" w:eastAsia="Arial" w:hAnsi="Arial"/>
          <w:sz w:val="18"/>
          <w:szCs w:val="18"/>
          <w:color w:val="auto"/>
        </w:rPr>
      </w:pPr>
      <w:r>
        <w:rPr>
          <w:rFonts w:ascii="Arial" w:cs="Arial" w:eastAsia="Arial" w:hAnsi="Arial"/>
          <w:sz w:val="18"/>
          <w:szCs w:val="18"/>
          <w:color w:val="auto"/>
        </w:rPr>
        <w:t>Expenses related to the build-out of the Auryon sales and marketing teams to prepare for full product launch of $2.6 million and increased other expenses of $0.2 million.</w:t>
      </w:r>
    </w:p>
    <w:p>
      <w:pPr>
        <w:spacing w:after="0" w:line="212" w:lineRule="exact"/>
        <w:rPr>
          <w:sz w:val="20"/>
          <w:szCs w:val="20"/>
          <w:color w:val="auto"/>
        </w:rPr>
      </w:pPr>
    </w:p>
    <w:p>
      <w:pPr>
        <w:ind w:right="360"/>
        <w:spacing w:after="0" w:line="308" w:lineRule="auto"/>
        <w:rPr>
          <w:sz w:val="20"/>
          <w:szCs w:val="20"/>
          <w:color w:val="auto"/>
        </w:rPr>
      </w:pPr>
      <w:r>
        <w:rPr>
          <w:rFonts w:ascii="Arial" w:cs="Arial" w:eastAsia="Arial" w:hAnsi="Arial"/>
          <w:sz w:val="17"/>
          <w:szCs w:val="17"/>
          <w:u w:val="single" w:color="auto"/>
          <w:color w:val="auto"/>
        </w:rPr>
        <w:t>General and administrative expenses</w:t>
      </w:r>
      <w:r>
        <w:rPr>
          <w:rFonts w:ascii="Arial" w:cs="Arial" w:eastAsia="Arial" w:hAnsi="Arial"/>
          <w:sz w:val="17"/>
          <w:szCs w:val="17"/>
          <w:color w:val="auto"/>
        </w:rPr>
        <w:t xml:space="preserve"> - General and administrative (“G&amp;A”) expenses include executive management, finance, information technology, human resources, business development, legal, and the administrative and professional costs associated with those activities.</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color w:val="auto"/>
        </w:rPr>
        <w:t>G&amp;A expense decreased $1.8 million compared to the prior year. The decrease is primarily attributable to the following:</w:t>
      </w:r>
    </w:p>
    <w:p>
      <w:pPr>
        <w:spacing w:after="0" w:line="252" w:lineRule="exact"/>
        <w:rPr>
          <w:sz w:val="20"/>
          <w:szCs w:val="20"/>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Legal expenses decreased $1.4 million.</w:t>
      </w:r>
    </w:p>
    <w:p>
      <w:pPr>
        <w:spacing w:after="0" w:line="23" w:lineRule="exact"/>
        <w:rPr>
          <w:rFonts w:ascii="Arial" w:cs="Arial" w:eastAsia="Arial" w:hAnsi="Arial"/>
          <w:sz w:val="18"/>
          <w:szCs w:val="18"/>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Travel expenses decreased $0.3 million due to less travel as a result of the COVID-19 pandemic.</w:t>
      </w:r>
    </w:p>
    <w:p>
      <w:pPr>
        <w:spacing w:after="0" w:line="247"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670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gridSpan w:val="2"/>
          </w:tcPr>
          <w:p>
            <w:pPr>
              <w:jc w:val="center"/>
              <w:ind w:right="220"/>
              <w:spacing w:after="0"/>
              <w:rPr>
                <w:sz w:val="20"/>
                <w:szCs w:val="20"/>
                <w:color w:val="auto"/>
              </w:rPr>
            </w:pPr>
            <w:r>
              <w:rPr>
                <w:rFonts w:ascii="Arial" w:cs="Arial" w:eastAsia="Arial" w:hAnsi="Arial"/>
                <w:sz w:val="14"/>
                <w:szCs w:val="14"/>
                <w:color w:val="auto"/>
                <w:w w:val="93"/>
              </w:rPr>
              <w:t>Three Months Ended</w:t>
            </w:r>
          </w:p>
        </w:tc>
        <w:tc>
          <w:tcPr>
            <w:tcW w:w="28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spacing w:after="0"/>
              <w:rPr>
                <w:sz w:val="16"/>
                <w:szCs w:val="16"/>
                <w:color w:val="auto"/>
              </w:rPr>
            </w:pPr>
          </w:p>
        </w:tc>
      </w:tr>
      <w:tr>
        <w:trPr>
          <w:trHeight w:val="186"/>
        </w:trPr>
        <w:tc>
          <w:tcPr>
            <w:tcW w:w="6700" w:type="dxa"/>
            <w:vAlign w:val="bottom"/>
          </w:tcPr>
          <w:p>
            <w:pPr>
              <w:ind w:left="20"/>
              <w:spacing w:after="0"/>
              <w:rPr>
                <w:sz w:val="20"/>
                <w:szCs w:val="20"/>
                <w:color w:val="auto"/>
              </w:rPr>
            </w:pPr>
            <w:r>
              <w:rPr>
                <w:rFonts w:ascii="Arial" w:cs="Arial" w:eastAsia="Arial" w:hAnsi="Arial"/>
                <w:sz w:val="14"/>
                <w:szCs w:val="14"/>
                <w:color w:val="auto"/>
              </w:rPr>
              <w:t>(in thousands)</w:t>
            </w:r>
          </w:p>
        </w:tc>
        <w:tc>
          <w:tcPr>
            <w:tcW w:w="220" w:type="dxa"/>
            <w:vAlign w:val="bottom"/>
          </w:tcPr>
          <w:p>
            <w:pPr>
              <w:spacing w:after="0"/>
              <w:rPr>
                <w:sz w:val="16"/>
                <w:szCs w:val="16"/>
                <w:color w:val="auto"/>
              </w:rPr>
            </w:pPr>
          </w:p>
        </w:tc>
        <w:tc>
          <w:tcPr>
            <w:tcW w:w="1320" w:type="dxa"/>
            <w:vAlign w:val="bottom"/>
            <w:gridSpan w:val="2"/>
          </w:tcPr>
          <w:p>
            <w:pPr>
              <w:ind w:left="100"/>
              <w:spacing w:after="0"/>
              <w:rPr>
                <w:sz w:val="20"/>
                <w:szCs w:val="20"/>
                <w:color w:val="auto"/>
              </w:rPr>
            </w:pPr>
            <w:r>
              <w:rPr>
                <w:rFonts w:ascii="Arial" w:cs="Arial" w:eastAsia="Arial" w:hAnsi="Arial"/>
                <w:sz w:val="14"/>
                <w:szCs w:val="14"/>
                <w:color w:val="auto"/>
              </w:rPr>
              <w:t>Nov 30, 2020</w:t>
            </w:r>
          </w:p>
        </w:tc>
        <w:tc>
          <w:tcPr>
            <w:tcW w:w="120" w:type="dxa"/>
            <w:vAlign w:val="bottom"/>
          </w:tcPr>
          <w:p>
            <w:pPr>
              <w:spacing w:after="0"/>
              <w:rPr>
                <w:sz w:val="16"/>
                <w:szCs w:val="16"/>
                <w:color w:val="auto"/>
              </w:rPr>
            </w:pPr>
          </w:p>
        </w:tc>
        <w:tc>
          <w:tcPr>
            <w:tcW w:w="1440" w:type="dxa"/>
            <w:vAlign w:val="bottom"/>
            <w:gridSpan w:val="2"/>
          </w:tcPr>
          <w:p>
            <w:pPr>
              <w:jc w:val="center"/>
              <w:ind w:right="240"/>
              <w:spacing w:after="0"/>
              <w:rPr>
                <w:sz w:val="20"/>
                <w:szCs w:val="20"/>
                <w:color w:val="auto"/>
              </w:rPr>
            </w:pPr>
            <w:r>
              <w:rPr>
                <w:rFonts w:ascii="Arial" w:cs="Arial" w:eastAsia="Arial" w:hAnsi="Arial"/>
                <w:sz w:val="14"/>
                <w:szCs w:val="14"/>
                <w:color w:val="auto"/>
                <w:w w:val="96"/>
              </w:rPr>
              <w:t>Nov 30, 2019</w:t>
            </w:r>
          </w:p>
        </w:tc>
        <w:tc>
          <w:tcPr>
            <w:tcW w:w="280" w:type="dxa"/>
            <w:vAlign w:val="bottom"/>
          </w:tcPr>
          <w:p>
            <w:pPr>
              <w:spacing w:after="0"/>
              <w:rPr>
                <w:sz w:val="16"/>
                <w:szCs w:val="16"/>
                <w:color w:val="auto"/>
              </w:rPr>
            </w:pPr>
          </w:p>
        </w:tc>
        <w:tc>
          <w:tcPr>
            <w:tcW w:w="1160" w:type="dxa"/>
            <w:vAlign w:val="bottom"/>
          </w:tcPr>
          <w:p>
            <w:pPr>
              <w:jc w:val="right"/>
              <w:ind w:right="354"/>
              <w:spacing w:after="0"/>
              <w:rPr>
                <w:sz w:val="20"/>
                <w:szCs w:val="20"/>
                <w:color w:val="auto"/>
              </w:rPr>
            </w:pPr>
            <w:r>
              <w:rPr>
                <w:rFonts w:ascii="Arial" w:cs="Arial" w:eastAsia="Arial" w:hAnsi="Arial"/>
                <w:sz w:val="14"/>
                <w:szCs w:val="14"/>
                <w:color w:val="auto"/>
              </w:rPr>
              <w:t>$ Change</w:t>
            </w:r>
          </w:p>
        </w:tc>
      </w:tr>
      <w:tr>
        <w:trPr>
          <w:trHeight w:val="226"/>
        </w:trPr>
        <w:tc>
          <w:tcPr>
            <w:tcW w:w="67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Amortization of intangibles</w:t>
            </w:r>
          </w:p>
        </w:tc>
        <w:tc>
          <w:tcPr>
            <w:tcW w:w="22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4,593</w:t>
            </w: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4,530</w:t>
            </w:r>
          </w:p>
        </w:tc>
        <w:tc>
          <w:tcPr>
            <w:tcW w:w="12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w:t>
            </w:r>
          </w:p>
        </w:tc>
      </w:tr>
      <w:tr>
        <w:trPr>
          <w:trHeight w:val="229"/>
        </w:trPr>
        <w:tc>
          <w:tcPr>
            <w:tcW w:w="6700" w:type="dxa"/>
            <w:vAlign w:val="bottom"/>
          </w:tcPr>
          <w:p>
            <w:pPr>
              <w:ind w:left="20"/>
              <w:spacing w:after="0"/>
              <w:rPr>
                <w:sz w:val="20"/>
                <w:szCs w:val="20"/>
                <w:color w:val="auto"/>
              </w:rPr>
            </w:pPr>
            <w:r>
              <w:rPr>
                <w:rFonts w:ascii="Arial" w:cs="Arial" w:eastAsia="Arial" w:hAnsi="Arial"/>
                <w:sz w:val="18"/>
                <w:szCs w:val="18"/>
                <w:color w:val="auto"/>
              </w:rPr>
              <w:t>Change in fair value of contingent consideration</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184</w:t>
            </w:r>
          </w:p>
        </w:tc>
        <w:tc>
          <w:tcPr>
            <w:tcW w:w="10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145</w:t>
            </w:r>
          </w:p>
        </w:tc>
        <w:tc>
          <w:tcPr>
            <w:tcW w:w="120" w:type="dxa"/>
            <w:vAlign w:val="bottom"/>
          </w:tcPr>
          <w:p>
            <w:pPr>
              <w:spacing w:after="0"/>
              <w:rPr>
                <w:sz w:val="19"/>
                <w:szCs w:val="19"/>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39</w:t>
            </w:r>
          </w:p>
        </w:tc>
      </w:tr>
      <w:tr>
        <w:trPr>
          <w:trHeight w:val="230"/>
        </w:trPr>
        <w:tc>
          <w:tcPr>
            <w:tcW w:w="6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Acquisition, restructuring and other items, net</w:t>
            </w: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1,128</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1,421</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(293)</w:t>
            </w:r>
          </w:p>
        </w:tc>
      </w:tr>
      <w:tr>
        <w:trPr>
          <w:trHeight w:val="230"/>
        </w:trPr>
        <w:tc>
          <w:tcPr>
            <w:tcW w:w="6700" w:type="dxa"/>
            <w:vAlign w:val="bottom"/>
          </w:tcPr>
          <w:p>
            <w:pPr>
              <w:ind w:left="20"/>
              <w:spacing w:after="0"/>
              <w:rPr>
                <w:sz w:val="20"/>
                <w:szCs w:val="20"/>
                <w:color w:val="auto"/>
              </w:rPr>
            </w:pPr>
            <w:r>
              <w:rPr>
                <w:rFonts w:ascii="Arial" w:cs="Arial" w:eastAsia="Arial" w:hAnsi="Arial"/>
                <w:sz w:val="18"/>
                <w:szCs w:val="18"/>
                <w:color w:val="auto"/>
              </w:rPr>
              <w:t>Other income (expense), net</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(337)</w:t>
            </w:r>
          </w:p>
        </w:tc>
        <w:tc>
          <w:tcPr>
            <w:tcW w:w="10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121</w:t>
            </w:r>
          </w:p>
        </w:tc>
        <w:tc>
          <w:tcPr>
            <w:tcW w:w="120" w:type="dxa"/>
            <w:vAlign w:val="bottom"/>
          </w:tcPr>
          <w:p>
            <w:pPr>
              <w:spacing w:after="0"/>
              <w:rPr>
                <w:sz w:val="20"/>
                <w:szCs w:val="20"/>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(458)</w:t>
            </w:r>
          </w:p>
        </w:tc>
      </w:tr>
    </w:tbl>
    <w:p>
      <w:pPr>
        <w:spacing w:after="0" w:line="336"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Amortization of intangibles</w:t>
      </w:r>
      <w:r>
        <w:rPr>
          <w:rFonts w:ascii="Arial" w:cs="Arial" w:eastAsia="Arial" w:hAnsi="Arial"/>
          <w:sz w:val="18"/>
          <w:szCs w:val="18"/>
          <w:color w:val="auto"/>
        </w:rPr>
        <w:t xml:space="preserve"> - Represents the amount of amortization expense that was taken on intangibles assets held by the Company.</w:t>
      </w:r>
    </w:p>
    <w:p>
      <w:pPr>
        <w:spacing w:after="0" w:line="252" w:lineRule="exact"/>
        <w:rPr>
          <w:sz w:val="20"/>
          <w:szCs w:val="20"/>
          <w:color w:val="auto"/>
        </w:rPr>
      </w:pPr>
    </w:p>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Amortization expense remained consistent with the prior year.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7" w:name="page28"/>
    <w:bookmarkEnd w:id="27"/>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right="60"/>
        <w:spacing w:after="0" w:line="308" w:lineRule="auto"/>
        <w:rPr>
          <w:sz w:val="20"/>
          <w:szCs w:val="20"/>
          <w:color w:val="auto"/>
        </w:rPr>
      </w:pPr>
      <w:r>
        <w:rPr>
          <w:rFonts w:ascii="Arial" w:cs="Arial" w:eastAsia="Arial" w:hAnsi="Arial"/>
          <w:sz w:val="17"/>
          <w:szCs w:val="17"/>
          <w:u w:val="single" w:color="auto"/>
          <w:color w:val="auto"/>
        </w:rPr>
        <w:t>Change in fair value of contingent consideration</w:t>
      </w:r>
      <w:r>
        <w:rPr>
          <w:rFonts w:ascii="Arial" w:cs="Arial" w:eastAsia="Arial" w:hAnsi="Arial"/>
          <w:sz w:val="17"/>
          <w:szCs w:val="17"/>
          <w:color w:val="auto"/>
        </w:rPr>
        <w:t xml:space="preserve"> - Represents changes in contingent consideration driven by changes to estimated future payments on earn-out liabilities created through acquisitions and amortization of present value discounts on long-term contingent consideration.</w:t>
      </w:r>
    </w:p>
    <w:p>
      <w:pPr>
        <w:spacing w:after="0" w:line="173" w:lineRule="exact"/>
        <w:rPr>
          <w:sz w:val="20"/>
          <w:szCs w:val="20"/>
          <w:color w:val="auto"/>
        </w:rPr>
      </w:pPr>
    </w:p>
    <w:p>
      <w:pPr>
        <w:ind w:left="660" w:hanging="328"/>
        <w:spacing w:after="0"/>
        <w:tabs>
          <w:tab w:leader="none" w:pos="660" w:val="left"/>
        </w:tabs>
        <w:numPr>
          <w:ilvl w:val="0"/>
          <w:numId w:val="18"/>
        </w:numPr>
        <w:rPr>
          <w:rFonts w:ascii="Arial" w:cs="Arial" w:eastAsia="Arial" w:hAnsi="Arial"/>
          <w:sz w:val="16"/>
          <w:szCs w:val="16"/>
          <w:color w:val="auto"/>
        </w:rPr>
      </w:pPr>
      <w:r>
        <w:rPr>
          <w:rFonts w:ascii="Arial" w:cs="Arial" w:eastAsia="Arial" w:hAnsi="Arial"/>
          <w:sz w:val="16"/>
          <w:szCs w:val="16"/>
          <w:color w:val="auto"/>
        </w:rPr>
        <w:t>The change in the fair value of the contingent consideration is the normal amortization of the present value of the Eximo contingent consideration.</w:t>
      </w:r>
    </w:p>
    <w:p>
      <w:pPr>
        <w:spacing w:after="0" w:line="275" w:lineRule="exact"/>
        <w:rPr>
          <w:sz w:val="20"/>
          <w:szCs w:val="20"/>
          <w:color w:val="auto"/>
        </w:rPr>
      </w:pPr>
    </w:p>
    <w:p>
      <w:pPr>
        <w:ind w:right="460"/>
        <w:spacing w:after="0" w:line="277" w:lineRule="auto"/>
        <w:rPr>
          <w:sz w:val="20"/>
          <w:szCs w:val="20"/>
          <w:color w:val="auto"/>
        </w:rPr>
      </w:pPr>
      <w:r>
        <w:rPr>
          <w:rFonts w:ascii="Arial" w:cs="Arial" w:eastAsia="Arial" w:hAnsi="Arial"/>
          <w:sz w:val="18"/>
          <w:szCs w:val="18"/>
          <w:u w:val="single" w:color="auto"/>
          <w:color w:val="auto"/>
        </w:rPr>
        <w:t>Acquisition, restructuring and other items, net</w:t>
      </w:r>
      <w:r>
        <w:rPr>
          <w:rFonts w:ascii="Arial" w:cs="Arial" w:eastAsia="Arial" w:hAnsi="Arial"/>
          <w:sz w:val="18"/>
          <w:szCs w:val="18"/>
          <w:color w:val="auto"/>
        </w:rPr>
        <w:t xml:space="preserve"> - Represents costs associated with mergers and acquisitions, restructuring expenses, legal costs that are related to litigation that is not in the ordinary course of business, legal settlements and other one-time items.</w:t>
      </w:r>
    </w:p>
    <w:p>
      <w:pPr>
        <w:spacing w:after="0" w:line="197" w:lineRule="exact"/>
        <w:rPr>
          <w:sz w:val="20"/>
          <w:szCs w:val="20"/>
          <w:color w:val="auto"/>
        </w:rPr>
      </w:pPr>
    </w:p>
    <w:p>
      <w:pPr>
        <w:spacing w:after="0"/>
        <w:rPr>
          <w:sz w:val="20"/>
          <w:szCs w:val="20"/>
          <w:color w:val="auto"/>
        </w:rPr>
      </w:pPr>
      <w:r>
        <w:rPr>
          <w:rFonts w:ascii="Arial" w:cs="Arial" w:eastAsia="Arial" w:hAnsi="Arial"/>
          <w:sz w:val="16"/>
          <w:szCs w:val="16"/>
          <w:color w:val="auto"/>
        </w:rPr>
        <w:t>Acquisition, restructuring and other items, net decreased by $0.3 million compared to the prior year. The decrease is primarily attributable to the following:</w:t>
      </w:r>
    </w:p>
    <w:p>
      <w:pPr>
        <w:spacing w:after="0" w:line="275" w:lineRule="exact"/>
        <w:rPr>
          <w:sz w:val="20"/>
          <w:szCs w:val="20"/>
          <w:color w:val="auto"/>
        </w:rPr>
      </w:pPr>
    </w:p>
    <w:p>
      <w:pPr>
        <w:ind w:left="660" w:right="340" w:hanging="328"/>
        <w:spacing w:after="0" w:line="258" w:lineRule="auto"/>
        <w:tabs>
          <w:tab w:leader="none" w:pos="655" w:val="left"/>
        </w:tabs>
        <w:numPr>
          <w:ilvl w:val="0"/>
          <w:numId w:val="19"/>
        </w:numPr>
        <w:rPr>
          <w:rFonts w:ascii="Arial" w:cs="Arial" w:eastAsia="Arial" w:hAnsi="Arial"/>
          <w:sz w:val="18"/>
          <w:szCs w:val="18"/>
          <w:color w:val="auto"/>
        </w:rPr>
      </w:pPr>
      <w:r>
        <w:rPr>
          <w:rFonts w:ascii="Arial" w:cs="Arial" w:eastAsia="Arial" w:hAnsi="Arial"/>
          <w:sz w:val="18"/>
          <w:szCs w:val="18"/>
          <w:color w:val="auto"/>
        </w:rPr>
        <w:t>Legal expense, related to litigation that is outside of the normal course of business, of $1.2 million was recorded in the second quarter of fiscal year 2021 compared to $0.7 million in the prior year.</w:t>
      </w:r>
    </w:p>
    <w:p>
      <w:pPr>
        <w:spacing w:after="0" w:line="1" w:lineRule="exact"/>
        <w:rPr>
          <w:rFonts w:ascii="Arial" w:cs="Arial" w:eastAsia="Arial" w:hAnsi="Arial"/>
          <w:sz w:val="18"/>
          <w:szCs w:val="18"/>
          <w:color w:val="auto"/>
        </w:rPr>
      </w:pPr>
    </w:p>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There was no M&amp;A expense incurred in the second quarter of fiscal year 2021 compared to $0.4 million in the prior year.</w:t>
      </w:r>
    </w:p>
    <w:p>
      <w:pPr>
        <w:spacing w:after="0" w:line="9" w:lineRule="exact"/>
        <w:rPr>
          <w:rFonts w:ascii="Arial" w:cs="Arial" w:eastAsia="Arial" w:hAnsi="Arial"/>
          <w:sz w:val="18"/>
          <w:szCs w:val="18"/>
          <w:color w:val="auto"/>
        </w:rPr>
      </w:pPr>
    </w:p>
    <w:p>
      <w:pPr>
        <w:ind w:left="660" w:right="120" w:hanging="328"/>
        <w:spacing w:after="0" w:line="250" w:lineRule="auto"/>
        <w:tabs>
          <w:tab w:leader="none" w:pos="655" w:val="left"/>
        </w:tabs>
        <w:numPr>
          <w:ilvl w:val="0"/>
          <w:numId w:val="19"/>
        </w:numPr>
        <w:rPr>
          <w:rFonts w:ascii="Arial" w:cs="Arial" w:eastAsia="Arial" w:hAnsi="Arial"/>
          <w:sz w:val="18"/>
          <w:szCs w:val="18"/>
          <w:color w:val="auto"/>
        </w:rPr>
      </w:pPr>
      <w:r>
        <w:rPr>
          <w:rFonts w:ascii="Arial" w:cs="Arial" w:eastAsia="Arial" w:hAnsi="Arial"/>
          <w:sz w:val="18"/>
          <w:szCs w:val="18"/>
          <w:color w:val="auto"/>
        </w:rPr>
        <w:t>In the second quarter of fiscal year 2021, the Company incurred $0.1 million of expense to move manufacturing facilities as a result of the sale of the Fluid Management business compared to $0.7 million in the prior year.</w:t>
      </w:r>
    </w:p>
    <w:p>
      <w:pPr>
        <w:ind w:left="660" w:right="180" w:hanging="328"/>
        <w:spacing w:after="0" w:line="250" w:lineRule="auto"/>
        <w:tabs>
          <w:tab w:leader="none" w:pos="655" w:val="left"/>
        </w:tabs>
        <w:numPr>
          <w:ilvl w:val="0"/>
          <w:numId w:val="19"/>
        </w:numPr>
        <w:rPr>
          <w:rFonts w:ascii="Arial" w:cs="Arial" w:eastAsia="Arial" w:hAnsi="Arial"/>
          <w:sz w:val="18"/>
          <w:szCs w:val="18"/>
          <w:color w:val="auto"/>
        </w:rPr>
      </w:pPr>
      <w:r>
        <w:rPr>
          <w:rFonts w:ascii="Arial" w:cs="Arial" w:eastAsia="Arial" w:hAnsi="Arial"/>
          <w:sz w:val="18"/>
          <w:szCs w:val="18"/>
          <w:color w:val="auto"/>
        </w:rPr>
        <w:t>As part of the sale of the Fluid Management business, the Company entered into a transition services agreement with Medline for certain legal, human resource, tax, accounting and information technology services from the Company for a period not to exceed 24 months. As a result of the transition services agreement, the Company invoiced Medline $0.3 million in the second quarter of fiscal year 2021 compared to $0.6 million in the prior year.</w:t>
      </w:r>
    </w:p>
    <w:p>
      <w:pPr>
        <w:spacing w:after="0" w:line="1" w:lineRule="exact"/>
        <w:rPr>
          <w:rFonts w:ascii="Arial" w:cs="Arial" w:eastAsia="Arial" w:hAnsi="Arial"/>
          <w:sz w:val="18"/>
          <w:szCs w:val="18"/>
          <w:color w:val="auto"/>
        </w:rPr>
      </w:pPr>
    </w:p>
    <w:p>
      <w:pPr>
        <w:ind w:left="660" w:right="40" w:hanging="328"/>
        <w:spacing w:after="0" w:line="260" w:lineRule="auto"/>
        <w:tabs>
          <w:tab w:leader="none" w:pos="655" w:val="left"/>
        </w:tabs>
        <w:numPr>
          <w:ilvl w:val="0"/>
          <w:numId w:val="19"/>
        </w:numPr>
        <w:rPr>
          <w:rFonts w:ascii="Arial" w:cs="Arial" w:eastAsia="Arial" w:hAnsi="Arial"/>
          <w:sz w:val="18"/>
          <w:szCs w:val="18"/>
          <w:color w:val="auto"/>
        </w:rPr>
      </w:pPr>
      <w:r>
        <w:rPr>
          <w:rFonts w:ascii="Arial" w:cs="Arial" w:eastAsia="Arial" w:hAnsi="Arial"/>
          <w:sz w:val="18"/>
          <w:szCs w:val="18"/>
          <w:color w:val="auto"/>
        </w:rPr>
        <w:t>Other expenses of $0.2 million in the second quarter of fiscal year 2021 consists of severance associated with organizational changes, compared to $0.3 million in the prior year.</w:t>
      </w:r>
    </w:p>
    <w:p>
      <w:pPr>
        <w:spacing w:after="0" w:line="212"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Other income (expense), net</w:t>
      </w:r>
      <w:r>
        <w:rPr>
          <w:rFonts w:ascii="Arial" w:cs="Arial" w:eastAsia="Arial" w:hAnsi="Arial"/>
          <w:sz w:val="16"/>
          <w:szCs w:val="16"/>
          <w:color w:val="auto"/>
        </w:rPr>
        <w:t xml:space="preserve"> - Other expenses include interest expense, foreign currency impacts, bank fees, and amortization of deferred financing costs.</w:t>
      </w:r>
    </w:p>
    <w:p>
      <w:pPr>
        <w:spacing w:after="0" w:line="275" w:lineRule="exact"/>
        <w:rPr>
          <w:sz w:val="20"/>
          <w:szCs w:val="20"/>
          <w:color w:val="auto"/>
        </w:rPr>
      </w:pPr>
    </w:p>
    <w:p>
      <w:pPr>
        <w:ind w:left="660" w:hanging="328"/>
        <w:spacing w:after="0" w:line="259" w:lineRule="auto"/>
        <w:tabs>
          <w:tab w:leader="none" w:pos="655"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increase in other expense from the prior year of $0.5 million is primarily due to increased interest expense of $0.1 million for the $40.0 million outstanding on the Revolving Facility at the end of the second quarter of fiscal year 2021 compared to no debt outstanding in the prior year along with decreased interest income of $0.1 million. In addition, there was $0.2 million in unrealized foreign exchange losses at the end of the second quarter of fiscal year 2021.</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 Benefit</w:t>
      </w:r>
    </w:p>
    <w:p>
      <w:pPr>
        <w:spacing w:after="0" w:line="45"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802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2960" w:type="dxa"/>
            <w:vAlign w:val="bottom"/>
            <w:tcBorders>
              <w:bottom w:val="single" w:sz="8" w:color="auto"/>
            </w:tcBorders>
            <w:gridSpan w:val="4"/>
          </w:tcPr>
          <w:p>
            <w:pPr>
              <w:ind w:left="740"/>
              <w:spacing w:after="0"/>
              <w:rPr>
                <w:sz w:val="20"/>
                <w:szCs w:val="20"/>
                <w:color w:val="auto"/>
              </w:rPr>
            </w:pPr>
            <w:r>
              <w:rPr>
                <w:rFonts w:ascii="Arial" w:cs="Arial" w:eastAsia="Arial" w:hAnsi="Arial"/>
                <w:sz w:val="14"/>
                <w:szCs w:val="14"/>
                <w:color w:val="auto"/>
              </w:rPr>
              <w:t>Three Months Ended</w:t>
            </w:r>
          </w:p>
        </w:tc>
      </w:tr>
      <w:tr>
        <w:trPr>
          <w:trHeight w:val="186"/>
        </w:trPr>
        <w:tc>
          <w:tcPr>
            <w:tcW w:w="8020" w:type="dxa"/>
            <w:vAlign w:val="bottom"/>
          </w:tcPr>
          <w:p>
            <w:pPr>
              <w:ind w:left="20"/>
              <w:spacing w:after="0"/>
              <w:rPr>
                <w:sz w:val="20"/>
                <w:szCs w:val="20"/>
                <w:color w:val="auto"/>
              </w:rPr>
            </w:pPr>
            <w:r>
              <w:rPr>
                <w:rFonts w:ascii="Arial" w:cs="Arial" w:eastAsia="Arial" w:hAnsi="Arial"/>
                <w:sz w:val="14"/>
                <w:szCs w:val="14"/>
                <w:color w:val="auto"/>
              </w:rPr>
              <w:t>(in thousands)</w:t>
            </w:r>
          </w:p>
        </w:tc>
        <w:tc>
          <w:tcPr>
            <w:tcW w:w="260" w:type="dxa"/>
            <w:vAlign w:val="bottom"/>
          </w:tcPr>
          <w:p>
            <w:pPr>
              <w:spacing w:after="0"/>
              <w:rPr>
                <w:sz w:val="16"/>
                <w:szCs w:val="16"/>
                <w:color w:val="auto"/>
              </w:rPr>
            </w:pPr>
          </w:p>
        </w:tc>
        <w:tc>
          <w:tcPr>
            <w:tcW w:w="1400" w:type="dxa"/>
            <w:vAlign w:val="bottom"/>
            <w:gridSpan w:val="2"/>
          </w:tcPr>
          <w:p>
            <w:pPr>
              <w:ind w:left="120"/>
              <w:spacing w:after="0"/>
              <w:rPr>
                <w:sz w:val="20"/>
                <w:szCs w:val="20"/>
                <w:color w:val="auto"/>
              </w:rPr>
            </w:pPr>
            <w:r>
              <w:rPr>
                <w:rFonts w:ascii="Arial" w:cs="Arial" w:eastAsia="Arial" w:hAnsi="Arial"/>
                <w:sz w:val="14"/>
                <w:szCs w:val="14"/>
                <w:color w:val="auto"/>
              </w:rPr>
              <w:t>Nov 30, 2020</w:t>
            </w:r>
          </w:p>
        </w:tc>
        <w:tc>
          <w:tcPr>
            <w:tcW w:w="260" w:type="dxa"/>
            <w:vAlign w:val="bottom"/>
          </w:tcPr>
          <w:p>
            <w:pPr>
              <w:spacing w:after="0"/>
              <w:rPr>
                <w:sz w:val="16"/>
                <w:szCs w:val="16"/>
                <w:color w:val="auto"/>
              </w:rPr>
            </w:pPr>
          </w:p>
        </w:tc>
        <w:tc>
          <w:tcPr>
            <w:tcW w:w="1300" w:type="dxa"/>
            <w:vAlign w:val="bottom"/>
          </w:tcPr>
          <w:p>
            <w:pPr>
              <w:ind w:left="140"/>
              <w:spacing w:after="0"/>
              <w:rPr>
                <w:sz w:val="20"/>
                <w:szCs w:val="20"/>
                <w:color w:val="auto"/>
              </w:rPr>
            </w:pPr>
            <w:r>
              <w:rPr>
                <w:rFonts w:ascii="Arial" w:cs="Arial" w:eastAsia="Arial" w:hAnsi="Arial"/>
                <w:sz w:val="14"/>
                <w:szCs w:val="14"/>
                <w:color w:val="auto"/>
              </w:rPr>
              <w:t>Nov 30, 2019</w:t>
            </w:r>
          </w:p>
        </w:tc>
      </w:tr>
      <w:tr>
        <w:trPr>
          <w:trHeight w:val="226"/>
        </w:trPr>
        <w:tc>
          <w:tcPr>
            <w:tcW w:w="80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Income tax benefit</w:t>
            </w:r>
          </w:p>
        </w:tc>
        <w:tc>
          <w:tcPr>
            <w:tcW w:w="26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300" w:type="dxa"/>
            <w:vAlign w:val="bottom"/>
            <w:tcBorders>
              <w:top w:val="single" w:sz="8" w:color="auto"/>
            </w:tcBorders>
            <w:shd w:val="clear" w:color="auto" w:fill="CCEEFF"/>
          </w:tcPr>
          <w:p>
            <w:pPr>
              <w:jc w:val="right"/>
              <w:ind w:right="99"/>
              <w:spacing w:after="0"/>
              <w:rPr>
                <w:sz w:val="20"/>
                <w:szCs w:val="20"/>
                <w:color w:val="auto"/>
              </w:rPr>
            </w:pPr>
            <w:r>
              <w:rPr>
                <w:rFonts w:ascii="Arial" w:cs="Arial" w:eastAsia="Arial" w:hAnsi="Arial"/>
                <w:sz w:val="18"/>
                <w:szCs w:val="18"/>
                <w:color w:val="auto"/>
              </w:rPr>
              <w:t>(0.9)</w:t>
            </w:r>
          </w:p>
        </w:tc>
        <w:tc>
          <w:tcPr>
            <w:tcW w:w="10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300" w:type="dxa"/>
            <w:vAlign w:val="bottom"/>
            <w:tcBorders>
              <w:top w:val="single" w:sz="8" w:color="auto"/>
            </w:tcBorders>
            <w:shd w:val="clear" w:color="auto" w:fill="CCEEFF"/>
          </w:tcPr>
          <w:p>
            <w:pPr>
              <w:ind w:left="780"/>
              <w:spacing w:after="0"/>
              <w:rPr>
                <w:sz w:val="20"/>
                <w:szCs w:val="20"/>
                <w:color w:val="auto"/>
              </w:rPr>
            </w:pPr>
            <w:r>
              <w:rPr>
                <w:rFonts w:ascii="Arial" w:cs="Arial" w:eastAsia="Arial" w:hAnsi="Arial"/>
                <w:sz w:val="18"/>
                <w:szCs w:val="18"/>
                <w:color w:val="auto"/>
              </w:rPr>
              <w:t>(0.6)</w:t>
            </w:r>
          </w:p>
        </w:tc>
      </w:tr>
      <w:tr>
        <w:trPr>
          <w:trHeight w:val="230"/>
        </w:trPr>
        <w:tc>
          <w:tcPr>
            <w:tcW w:w="8020" w:type="dxa"/>
            <w:vAlign w:val="bottom"/>
          </w:tcPr>
          <w:p>
            <w:pPr>
              <w:ind w:left="20"/>
              <w:spacing w:after="0"/>
              <w:rPr>
                <w:sz w:val="20"/>
                <w:szCs w:val="20"/>
                <w:color w:val="auto"/>
              </w:rPr>
            </w:pPr>
            <w:r>
              <w:rPr>
                <w:rFonts w:ascii="Arial" w:cs="Arial" w:eastAsia="Arial" w:hAnsi="Arial"/>
                <w:sz w:val="18"/>
                <w:szCs w:val="18"/>
                <w:color w:val="auto"/>
              </w:rPr>
              <w:t>Effective tax rate including discrete items</w:t>
            </w:r>
          </w:p>
        </w:tc>
        <w:tc>
          <w:tcPr>
            <w:tcW w:w="260" w:type="dxa"/>
            <w:vAlign w:val="bottom"/>
          </w:tcPr>
          <w:p>
            <w:pPr>
              <w:spacing w:after="0"/>
              <w:rPr>
                <w:sz w:val="20"/>
                <w:szCs w:val="20"/>
                <w:color w:val="auto"/>
              </w:rPr>
            </w:pPr>
          </w:p>
        </w:tc>
        <w:tc>
          <w:tcPr>
            <w:tcW w:w="1300" w:type="dxa"/>
            <w:vAlign w:val="bottom"/>
          </w:tcPr>
          <w:p>
            <w:pPr>
              <w:ind w:left="760"/>
              <w:spacing w:after="0"/>
              <w:rPr>
                <w:sz w:val="20"/>
                <w:szCs w:val="20"/>
                <w:color w:val="auto"/>
              </w:rPr>
            </w:pPr>
            <w:r>
              <w:rPr>
                <w:rFonts w:ascii="Arial" w:cs="Arial" w:eastAsia="Arial" w:hAnsi="Arial"/>
                <w:sz w:val="18"/>
                <w:szCs w:val="18"/>
                <w:color w:val="auto"/>
                <w:w w:val="92"/>
              </w:rPr>
              <w:t>17.5 %</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300" w:type="dxa"/>
            <w:vAlign w:val="bottom"/>
          </w:tcPr>
          <w:p>
            <w:pPr>
              <w:ind w:left="760"/>
              <w:spacing w:after="0"/>
              <w:rPr>
                <w:sz w:val="20"/>
                <w:szCs w:val="20"/>
                <w:color w:val="auto"/>
              </w:rPr>
            </w:pPr>
            <w:r>
              <w:rPr>
                <w:rFonts w:ascii="Arial" w:cs="Arial" w:eastAsia="Arial" w:hAnsi="Arial"/>
                <w:sz w:val="18"/>
                <w:szCs w:val="18"/>
                <w:color w:val="auto"/>
                <w:w w:val="92"/>
              </w:rPr>
              <w:t>17.1 %</w:t>
            </w:r>
          </w:p>
        </w:tc>
      </w:tr>
    </w:tbl>
    <w:p>
      <w:pPr>
        <w:spacing w:after="0" w:line="336" w:lineRule="exact"/>
        <w:rPr>
          <w:sz w:val="20"/>
          <w:szCs w:val="20"/>
          <w:color w:val="auto"/>
        </w:rPr>
      </w:pPr>
    </w:p>
    <w:p>
      <w:pPr>
        <w:jc w:val="both"/>
        <w:ind w:right="20" w:firstLine="405"/>
        <w:spacing w:after="0" w:line="259" w:lineRule="auto"/>
        <w:rPr>
          <w:sz w:val="20"/>
          <w:szCs w:val="20"/>
          <w:color w:val="auto"/>
        </w:rPr>
      </w:pPr>
      <w:r>
        <w:rPr>
          <w:rFonts w:ascii="Arial" w:cs="Arial" w:eastAsia="Arial" w:hAnsi="Arial"/>
          <w:sz w:val="18"/>
          <w:szCs w:val="18"/>
          <w:color w:val="auto"/>
        </w:rPr>
        <w:t>Our effective tax rate including discrete items for the three month periods ended November 30, 2020 and 2019 was 17.5% and 17.1%, respectively. In fiscal year 2021, the Company’s effective tax rate differs from the U.S. statutory rate primarily due to the impact of the valuation allowance, foreign taxes, and other non-deductible permanent items (such as non-deductible meals and entertainment, Section 162(m) excess compensation and non-deductible share based compensation).</w:t>
      </w:r>
    </w:p>
    <w:p>
      <w:pPr>
        <w:spacing w:after="0" w:line="133" w:lineRule="exact"/>
        <w:rPr>
          <w:sz w:val="20"/>
          <w:szCs w:val="20"/>
          <w:color w:val="auto"/>
        </w:rPr>
      </w:pPr>
    </w:p>
    <w:p>
      <w:pPr>
        <w:ind w:right="220" w:firstLine="405"/>
        <w:spacing w:after="0" w:line="277" w:lineRule="auto"/>
        <w:rPr>
          <w:sz w:val="20"/>
          <w:szCs w:val="20"/>
          <w:color w:val="auto"/>
        </w:rPr>
      </w:pPr>
      <w:r>
        <w:rPr>
          <w:rFonts w:ascii="Arial" w:cs="Arial" w:eastAsia="Arial" w:hAnsi="Arial"/>
          <w:sz w:val="18"/>
          <w:szCs w:val="18"/>
          <w:color w:val="auto"/>
        </w:rPr>
        <w:t>The estimated annual effective tax rate, however, prior to discrete items was 16.1% in the second quarter of fiscal year 2021, as compared to 13.2% for the same period in fiscal year 2020.</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 for the Six Months Ended November 30, 2020 and 2019</w:t>
      </w:r>
    </w:p>
    <w:p>
      <w:pPr>
        <w:spacing w:after="0" w:line="175" w:lineRule="exact"/>
        <w:rPr>
          <w:sz w:val="20"/>
          <w:szCs w:val="20"/>
          <w:color w:val="auto"/>
        </w:rPr>
      </w:pPr>
    </w:p>
    <w:p>
      <w:pPr>
        <w:ind w:right="300" w:firstLine="405"/>
        <w:spacing w:after="0" w:line="342" w:lineRule="auto"/>
        <w:rPr>
          <w:sz w:val="20"/>
          <w:szCs w:val="20"/>
          <w:color w:val="auto"/>
        </w:rPr>
      </w:pPr>
      <w:r>
        <w:rPr>
          <w:rFonts w:ascii="Arial" w:cs="Arial" w:eastAsia="Arial" w:hAnsi="Arial"/>
          <w:sz w:val="16"/>
          <w:szCs w:val="16"/>
          <w:color w:val="auto"/>
        </w:rPr>
        <w:t>For the six months ended November 30, 2020, the Company reported a net loss of $8.5 million, or a loss of $0.22 per diluted share, on net sales of $143.0 million, compared with a net loss of $4.0 million, or a loss of $0.11 per diluted share, on net sales of $136.0 million during the prior year.</w:t>
      </w:r>
    </w:p>
    <w:p>
      <w:pPr>
        <w:spacing w:after="0" w:line="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Sales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Net sales</w:t>
      </w:r>
      <w:r>
        <w:rPr>
          <w:rFonts w:ascii="Arial" w:cs="Arial" w:eastAsia="Arial" w:hAnsi="Arial"/>
          <w:sz w:val="18"/>
          <w:szCs w:val="18"/>
          <w:color w:val="auto"/>
        </w:rPr>
        <w:t xml:space="preserve"> - Net sales are derived from the sale of products and related freight charges, less discounts and returns.</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8" w:name="page29"/>
    <w:bookmarkEnd w:id="28"/>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664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ind w:right="74"/>
              <w:spacing w:after="0"/>
              <w:rPr>
                <w:sz w:val="20"/>
                <w:szCs w:val="20"/>
                <w:color w:val="auto"/>
              </w:rPr>
            </w:pPr>
            <w:r>
              <w:rPr>
                <w:rFonts w:ascii="Arial" w:cs="Arial" w:eastAsia="Arial" w:hAnsi="Arial"/>
                <w:sz w:val="14"/>
                <w:szCs w:val="14"/>
                <w:color w:val="auto"/>
                <w:w w:val="96"/>
              </w:rPr>
              <w:t>Six Months Ended</w:t>
            </w:r>
          </w:p>
        </w:tc>
        <w:tc>
          <w:tcPr>
            <w:tcW w:w="16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tcPr>
          <w:p>
            <w:pPr>
              <w:spacing w:after="0"/>
              <w:rPr>
                <w:sz w:val="16"/>
                <w:szCs w:val="16"/>
                <w:color w:val="auto"/>
              </w:rPr>
            </w:pPr>
          </w:p>
        </w:tc>
      </w:tr>
      <w:tr>
        <w:trPr>
          <w:trHeight w:val="186"/>
        </w:trPr>
        <w:tc>
          <w:tcPr>
            <w:tcW w:w="6640" w:type="dxa"/>
            <w:vAlign w:val="bottom"/>
          </w:tcPr>
          <w:p>
            <w:pPr>
              <w:ind w:left="20"/>
              <w:spacing w:after="0"/>
              <w:rPr>
                <w:sz w:val="20"/>
                <w:szCs w:val="20"/>
                <w:color w:val="auto"/>
              </w:rPr>
            </w:pPr>
            <w:r>
              <w:rPr>
                <w:rFonts w:ascii="Arial" w:cs="Arial" w:eastAsia="Arial" w:hAnsi="Arial"/>
                <w:sz w:val="14"/>
                <w:szCs w:val="14"/>
                <w:color w:val="auto"/>
              </w:rPr>
              <w:t>(in thousands)</w:t>
            </w:r>
          </w:p>
        </w:tc>
        <w:tc>
          <w:tcPr>
            <w:tcW w:w="220" w:type="dxa"/>
            <w:vAlign w:val="bottom"/>
          </w:tcPr>
          <w:p>
            <w:pPr>
              <w:spacing w:after="0"/>
              <w:rPr>
                <w:sz w:val="16"/>
                <w:szCs w:val="16"/>
                <w:color w:val="auto"/>
              </w:rPr>
            </w:pPr>
          </w:p>
        </w:tc>
        <w:tc>
          <w:tcPr>
            <w:tcW w:w="1360" w:type="dxa"/>
            <w:vAlign w:val="bottom"/>
            <w:gridSpan w:val="2"/>
          </w:tcPr>
          <w:p>
            <w:pPr>
              <w:ind w:left="120"/>
              <w:spacing w:after="0"/>
              <w:rPr>
                <w:sz w:val="20"/>
                <w:szCs w:val="20"/>
                <w:color w:val="auto"/>
              </w:rPr>
            </w:pPr>
            <w:r>
              <w:rPr>
                <w:rFonts w:ascii="Arial" w:cs="Arial" w:eastAsia="Arial" w:hAnsi="Arial"/>
                <w:sz w:val="14"/>
                <w:szCs w:val="14"/>
                <w:color w:val="auto"/>
              </w:rPr>
              <w:t>Nov 30, 2020</w:t>
            </w:r>
          </w:p>
        </w:tc>
        <w:tc>
          <w:tcPr>
            <w:tcW w:w="140" w:type="dxa"/>
            <w:vAlign w:val="bottom"/>
          </w:tcPr>
          <w:p>
            <w:pPr>
              <w:spacing w:after="0"/>
              <w:rPr>
                <w:sz w:val="16"/>
                <w:szCs w:val="16"/>
                <w:color w:val="auto"/>
              </w:rPr>
            </w:pPr>
          </w:p>
        </w:tc>
        <w:tc>
          <w:tcPr>
            <w:tcW w:w="1280" w:type="dxa"/>
            <w:vAlign w:val="bottom"/>
          </w:tcPr>
          <w:p>
            <w:pPr>
              <w:jc w:val="right"/>
              <w:ind w:right="234"/>
              <w:spacing w:after="0"/>
              <w:rPr>
                <w:sz w:val="20"/>
                <w:szCs w:val="20"/>
                <w:color w:val="auto"/>
              </w:rPr>
            </w:pPr>
            <w:r>
              <w:rPr>
                <w:rFonts w:ascii="Arial" w:cs="Arial" w:eastAsia="Arial" w:hAnsi="Arial"/>
                <w:sz w:val="14"/>
                <w:szCs w:val="14"/>
                <w:color w:val="auto"/>
              </w:rPr>
              <w:t>Nov 30, 2019</w:t>
            </w:r>
          </w:p>
        </w:tc>
        <w:tc>
          <w:tcPr>
            <w:tcW w:w="160" w:type="dxa"/>
            <w:vAlign w:val="bottom"/>
          </w:tcPr>
          <w:p>
            <w:pPr>
              <w:spacing w:after="0"/>
              <w:rPr>
                <w:sz w:val="16"/>
                <w:szCs w:val="16"/>
                <w:color w:val="auto"/>
              </w:rPr>
            </w:pPr>
          </w:p>
        </w:tc>
        <w:tc>
          <w:tcPr>
            <w:tcW w:w="1440" w:type="dxa"/>
            <w:vAlign w:val="bottom"/>
          </w:tcPr>
          <w:p>
            <w:pPr>
              <w:ind w:left="420"/>
              <w:spacing w:after="0"/>
              <w:rPr>
                <w:sz w:val="20"/>
                <w:szCs w:val="20"/>
                <w:color w:val="auto"/>
              </w:rPr>
            </w:pPr>
            <w:r>
              <w:rPr>
                <w:rFonts w:ascii="Arial" w:cs="Arial" w:eastAsia="Arial" w:hAnsi="Arial"/>
                <w:sz w:val="14"/>
                <w:szCs w:val="14"/>
                <w:color w:val="auto"/>
              </w:rPr>
              <w:t>% Growth</w:t>
            </w:r>
          </w:p>
        </w:tc>
      </w:tr>
      <w:tr>
        <w:trPr>
          <w:trHeight w:val="213"/>
        </w:trPr>
        <w:tc>
          <w:tcPr>
            <w:tcW w:w="66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Sales by Global Business Unit</w:t>
            </w:r>
          </w:p>
        </w:tc>
        <w:tc>
          <w:tcPr>
            <w:tcW w:w="220" w:type="dxa"/>
            <w:vAlign w:val="bottom"/>
            <w:tcBorders>
              <w:top w:val="single" w:sz="8" w:color="auto"/>
            </w:tcBorders>
            <w:shd w:val="clear" w:color="auto" w:fill="CCEEFF"/>
          </w:tcPr>
          <w:p>
            <w:pPr>
              <w:spacing w:after="0"/>
              <w:rPr>
                <w:sz w:val="18"/>
                <w:szCs w:val="18"/>
                <w:color w:val="auto"/>
              </w:rPr>
            </w:pPr>
          </w:p>
        </w:tc>
        <w:tc>
          <w:tcPr>
            <w:tcW w:w="122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28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440" w:type="dxa"/>
            <w:vAlign w:val="bottom"/>
            <w:tcBorders>
              <w:top w:val="single" w:sz="8" w:color="auto"/>
            </w:tcBorders>
            <w:shd w:val="clear" w:color="auto" w:fill="CCEEFF"/>
          </w:tcPr>
          <w:p>
            <w:pPr>
              <w:spacing w:after="0"/>
              <w:rPr>
                <w:sz w:val="18"/>
                <w:szCs w:val="18"/>
                <w:color w:val="auto"/>
              </w:rPr>
            </w:pPr>
          </w:p>
        </w:tc>
      </w:tr>
      <w:tr>
        <w:trPr>
          <w:trHeight w:val="229"/>
        </w:trPr>
        <w:tc>
          <w:tcPr>
            <w:tcW w:w="6640" w:type="dxa"/>
            <w:vAlign w:val="bottom"/>
          </w:tcPr>
          <w:p>
            <w:pPr>
              <w:ind w:left="340"/>
              <w:spacing w:after="0"/>
              <w:rPr>
                <w:sz w:val="20"/>
                <w:szCs w:val="20"/>
                <w:color w:val="auto"/>
              </w:rPr>
            </w:pPr>
            <w:r>
              <w:rPr>
                <w:rFonts w:ascii="Arial" w:cs="Arial" w:eastAsia="Arial" w:hAnsi="Arial"/>
                <w:sz w:val="18"/>
                <w:szCs w:val="18"/>
                <w:color w:val="auto"/>
              </w:rPr>
              <w:t>Vascular Interventions &amp; Therapies</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63,757</w:t>
            </w:r>
          </w:p>
        </w:tc>
        <w:tc>
          <w:tcPr>
            <w:tcW w:w="14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60,063</w:t>
            </w:r>
          </w:p>
        </w:tc>
        <w:tc>
          <w:tcPr>
            <w:tcW w:w="1600" w:type="dxa"/>
            <w:vAlign w:val="bottom"/>
            <w:gridSpan w:val="2"/>
          </w:tcPr>
          <w:p>
            <w:pPr>
              <w:jc w:val="center"/>
              <w:ind w:left="90"/>
              <w:spacing w:after="0"/>
              <w:rPr>
                <w:sz w:val="20"/>
                <w:szCs w:val="20"/>
                <w:color w:val="auto"/>
              </w:rPr>
            </w:pPr>
            <w:r>
              <w:rPr>
                <w:rFonts w:ascii="Arial" w:cs="Arial" w:eastAsia="Arial" w:hAnsi="Arial"/>
                <w:sz w:val="18"/>
                <w:szCs w:val="18"/>
                <w:color w:val="auto"/>
                <w:w w:val="92"/>
              </w:rPr>
              <w:t>6.2%</w:t>
            </w:r>
          </w:p>
        </w:tc>
      </w:tr>
      <w:tr>
        <w:trPr>
          <w:trHeight w:val="230"/>
        </w:trPr>
        <w:tc>
          <w:tcPr>
            <w:tcW w:w="66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Vascular Access</w:t>
            </w: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52,035</w:t>
            </w:r>
          </w:p>
        </w:tc>
        <w:tc>
          <w:tcPr>
            <w:tcW w:w="1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45,943</w:t>
            </w:r>
          </w:p>
        </w:tc>
        <w:tc>
          <w:tcPr>
            <w:tcW w:w="1600" w:type="dxa"/>
            <w:vAlign w:val="bottom"/>
            <w:gridSpan w:val="2"/>
            <w:shd w:val="clear" w:color="auto" w:fill="CCEEFF"/>
          </w:tcPr>
          <w:p>
            <w:pPr>
              <w:jc w:val="center"/>
              <w:ind w:left="90"/>
              <w:spacing w:after="0"/>
              <w:rPr>
                <w:sz w:val="20"/>
                <w:szCs w:val="20"/>
                <w:color w:val="auto"/>
              </w:rPr>
            </w:pPr>
            <w:r>
              <w:rPr>
                <w:rFonts w:ascii="Arial" w:cs="Arial" w:eastAsia="Arial" w:hAnsi="Arial"/>
                <w:sz w:val="18"/>
                <w:szCs w:val="18"/>
                <w:color w:val="auto"/>
                <w:w w:val="90"/>
              </w:rPr>
              <w:t>13.3%</w:t>
            </w:r>
          </w:p>
        </w:tc>
      </w:tr>
      <w:tr>
        <w:trPr>
          <w:trHeight w:val="229"/>
        </w:trPr>
        <w:tc>
          <w:tcPr>
            <w:tcW w:w="6640" w:type="dxa"/>
            <w:vAlign w:val="bottom"/>
            <w:tcBorders>
              <w:bottom w:val="single" w:sz="8" w:color="CCEEFF"/>
            </w:tcBorders>
          </w:tcPr>
          <w:p>
            <w:pPr>
              <w:ind w:left="340"/>
              <w:spacing w:after="0"/>
              <w:rPr>
                <w:sz w:val="20"/>
                <w:szCs w:val="20"/>
                <w:color w:val="auto"/>
              </w:rPr>
            </w:pPr>
            <w:r>
              <w:rPr>
                <w:rFonts w:ascii="Arial" w:cs="Arial" w:eastAsia="Arial" w:hAnsi="Arial"/>
                <w:sz w:val="18"/>
                <w:szCs w:val="18"/>
                <w:color w:val="auto"/>
              </w:rPr>
              <w:t>Oncology</w:t>
            </w:r>
          </w:p>
        </w:tc>
        <w:tc>
          <w:tcPr>
            <w:tcW w:w="22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27,194</w:t>
            </w:r>
          </w:p>
        </w:tc>
        <w:tc>
          <w:tcPr>
            <w:tcW w:w="14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30,039</w:t>
            </w:r>
          </w:p>
        </w:tc>
        <w:tc>
          <w:tcPr>
            <w:tcW w:w="1600" w:type="dxa"/>
            <w:vAlign w:val="bottom"/>
            <w:tcBorders>
              <w:bottom w:val="single" w:sz="8" w:color="CCEEFF"/>
            </w:tcBorders>
            <w:gridSpan w:val="2"/>
          </w:tcPr>
          <w:p>
            <w:pPr>
              <w:jc w:val="center"/>
              <w:ind w:left="90"/>
              <w:spacing w:after="0"/>
              <w:rPr>
                <w:sz w:val="20"/>
                <w:szCs w:val="20"/>
                <w:color w:val="auto"/>
              </w:rPr>
            </w:pPr>
            <w:r>
              <w:rPr>
                <w:rFonts w:ascii="Arial" w:cs="Arial" w:eastAsia="Arial" w:hAnsi="Arial"/>
                <w:sz w:val="18"/>
                <w:szCs w:val="18"/>
                <w:color w:val="auto"/>
                <w:w w:val="94"/>
              </w:rPr>
              <w:t>(9.5)%</w:t>
            </w:r>
          </w:p>
        </w:tc>
      </w:tr>
      <w:tr>
        <w:trPr>
          <w:trHeight w:val="248"/>
        </w:trPr>
        <w:tc>
          <w:tcPr>
            <w:tcW w:w="6640" w:type="dxa"/>
            <w:vAlign w:val="bottom"/>
            <w:tcBorders>
              <w:bottom w:val="single" w:sz="8" w:color="CCEEFF"/>
            </w:tcBorders>
            <w:shd w:val="clear" w:color="auto" w:fill="CCEEFF"/>
          </w:tcPr>
          <w:p>
            <w:pPr>
              <w:ind w:left="560"/>
              <w:spacing w:after="0"/>
              <w:rPr>
                <w:sz w:val="20"/>
                <w:szCs w:val="20"/>
                <w:color w:val="auto"/>
              </w:rPr>
            </w:pPr>
            <w:r>
              <w:rPr>
                <w:rFonts w:ascii="Arial" w:cs="Arial" w:eastAsia="Arial" w:hAnsi="Arial"/>
                <w:sz w:val="18"/>
                <w:szCs w:val="18"/>
                <w:color w:val="auto"/>
              </w:rPr>
              <w:t>Total</w:t>
            </w: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142,986</w:t>
            </w:r>
          </w:p>
        </w:tc>
        <w:tc>
          <w:tcPr>
            <w:tcW w:w="14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136,045</w:t>
            </w:r>
          </w:p>
        </w:tc>
        <w:tc>
          <w:tcPr>
            <w:tcW w:w="1600" w:type="dxa"/>
            <w:vAlign w:val="bottom"/>
            <w:tcBorders>
              <w:bottom w:val="single" w:sz="8" w:color="CCEEFF"/>
            </w:tcBorders>
            <w:gridSpan w:val="2"/>
            <w:shd w:val="clear" w:color="auto" w:fill="CCEEFF"/>
          </w:tcPr>
          <w:p>
            <w:pPr>
              <w:jc w:val="center"/>
              <w:ind w:left="90"/>
              <w:spacing w:after="0"/>
              <w:rPr>
                <w:sz w:val="20"/>
                <w:szCs w:val="20"/>
                <w:color w:val="auto"/>
              </w:rPr>
            </w:pPr>
            <w:r>
              <w:rPr>
                <w:rFonts w:ascii="Arial" w:cs="Arial" w:eastAsia="Arial" w:hAnsi="Arial"/>
                <w:sz w:val="18"/>
                <w:szCs w:val="18"/>
                <w:color w:val="auto"/>
                <w:w w:val="92"/>
              </w:rPr>
              <w:t>5.1%</w:t>
            </w:r>
          </w:p>
        </w:tc>
      </w:tr>
      <w:tr>
        <w:trPr>
          <w:trHeight w:val="20"/>
        </w:trPr>
        <w:tc>
          <w:tcPr>
            <w:tcW w:w="66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440" w:type="dxa"/>
            <w:vAlign w:val="bottom"/>
            <w:tcBorders>
              <w:top w:val="single" w:sz="8" w:color="CCEEFF"/>
            </w:tcBorders>
          </w:tcPr>
          <w:p>
            <w:pPr>
              <w:spacing w:after="0" w:line="20" w:lineRule="exact"/>
              <w:rPr>
                <w:sz w:val="1"/>
                <w:szCs w:val="1"/>
                <w:color w:val="auto"/>
              </w:rPr>
            </w:pPr>
          </w:p>
        </w:tc>
      </w:tr>
      <w:tr>
        <w:trPr>
          <w:trHeight w:val="217"/>
        </w:trPr>
        <w:tc>
          <w:tcPr>
            <w:tcW w:w="66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40" w:type="dxa"/>
            <w:vAlign w:val="bottom"/>
          </w:tcPr>
          <w:p>
            <w:pPr>
              <w:spacing w:after="0"/>
              <w:rPr>
                <w:sz w:val="18"/>
                <w:szCs w:val="18"/>
                <w:color w:val="auto"/>
              </w:rPr>
            </w:pPr>
          </w:p>
        </w:tc>
      </w:tr>
      <w:tr>
        <w:trPr>
          <w:trHeight w:val="229"/>
        </w:trPr>
        <w:tc>
          <w:tcPr>
            <w:tcW w:w="664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Sales by Geography</w:t>
            </w: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r>
      <w:tr>
        <w:trPr>
          <w:trHeight w:val="230"/>
        </w:trPr>
        <w:tc>
          <w:tcPr>
            <w:tcW w:w="6640" w:type="dxa"/>
            <w:vAlign w:val="bottom"/>
          </w:tcPr>
          <w:p>
            <w:pPr>
              <w:ind w:left="340"/>
              <w:spacing w:after="0"/>
              <w:rPr>
                <w:sz w:val="20"/>
                <w:szCs w:val="20"/>
                <w:color w:val="auto"/>
              </w:rPr>
            </w:pPr>
            <w:r>
              <w:rPr>
                <w:rFonts w:ascii="Arial" w:cs="Arial" w:eastAsia="Arial" w:hAnsi="Arial"/>
                <w:sz w:val="18"/>
                <w:szCs w:val="18"/>
                <w:color w:val="auto"/>
              </w:rPr>
              <w:t>United States</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114,792</w:t>
            </w:r>
          </w:p>
        </w:tc>
        <w:tc>
          <w:tcPr>
            <w:tcW w:w="14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108,492</w:t>
            </w:r>
          </w:p>
        </w:tc>
        <w:tc>
          <w:tcPr>
            <w:tcW w:w="1600" w:type="dxa"/>
            <w:vAlign w:val="bottom"/>
            <w:gridSpan w:val="2"/>
          </w:tcPr>
          <w:p>
            <w:pPr>
              <w:jc w:val="center"/>
              <w:ind w:left="90"/>
              <w:spacing w:after="0"/>
              <w:rPr>
                <w:sz w:val="20"/>
                <w:szCs w:val="20"/>
                <w:color w:val="auto"/>
              </w:rPr>
            </w:pPr>
            <w:r>
              <w:rPr>
                <w:rFonts w:ascii="Arial" w:cs="Arial" w:eastAsia="Arial" w:hAnsi="Arial"/>
                <w:sz w:val="18"/>
                <w:szCs w:val="18"/>
                <w:color w:val="auto"/>
                <w:w w:val="92"/>
              </w:rPr>
              <w:t>5.8%</w:t>
            </w:r>
          </w:p>
        </w:tc>
      </w:tr>
      <w:tr>
        <w:trPr>
          <w:trHeight w:val="229"/>
        </w:trPr>
        <w:tc>
          <w:tcPr>
            <w:tcW w:w="66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International</w:t>
            </w:r>
          </w:p>
        </w:tc>
        <w:tc>
          <w:tcPr>
            <w:tcW w:w="22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28,194</w:t>
            </w:r>
          </w:p>
        </w:tc>
        <w:tc>
          <w:tcPr>
            <w:tcW w:w="14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27,553</w:t>
            </w:r>
          </w:p>
        </w:tc>
        <w:tc>
          <w:tcPr>
            <w:tcW w:w="1600" w:type="dxa"/>
            <w:vAlign w:val="bottom"/>
            <w:gridSpan w:val="2"/>
            <w:shd w:val="clear" w:color="auto" w:fill="CCEEFF"/>
          </w:tcPr>
          <w:p>
            <w:pPr>
              <w:jc w:val="center"/>
              <w:ind w:left="90"/>
              <w:spacing w:after="0"/>
              <w:rPr>
                <w:sz w:val="20"/>
                <w:szCs w:val="20"/>
                <w:color w:val="auto"/>
              </w:rPr>
            </w:pPr>
            <w:r>
              <w:rPr>
                <w:rFonts w:ascii="Arial" w:cs="Arial" w:eastAsia="Arial" w:hAnsi="Arial"/>
                <w:sz w:val="18"/>
                <w:szCs w:val="18"/>
                <w:color w:val="auto"/>
                <w:w w:val="92"/>
              </w:rPr>
              <w:t>2.3%</w:t>
            </w:r>
          </w:p>
        </w:tc>
      </w:tr>
      <w:tr>
        <w:trPr>
          <w:trHeight w:val="223"/>
        </w:trPr>
        <w:tc>
          <w:tcPr>
            <w:tcW w:w="6640" w:type="dxa"/>
            <w:vAlign w:val="bottom"/>
          </w:tcPr>
          <w:p>
            <w:pPr>
              <w:ind w:left="520"/>
              <w:spacing w:after="0"/>
              <w:rPr>
                <w:sz w:val="20"/>
                <w:szCs w:val="20"/>
                <w:color w:val="auto"/>
              </w:rPr>
            </w:pPr>
            <w:r>
              <w:rPr>
                <w:rFonts w:ascii="Arial" w:cs="Arial" w:eastAsia="Arial" w:hAnsi="Arial"/>
                <w:sz w:val="18"/>
                <w:szCs w:val="18"/>
                <w:color w:val="auto"/>
              </w:rPr>
              <w:t>Total</w:t>
            </w:r>
          </w:p>
        </w:tc>
        <w:tc>
          <w:tcPr>
            <w:tcW w:w="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142,986</w:t>
            </w:r>
          </w:p>
        </w:tc>
        <w:tc>
          <w:tcPr>
            <w:tcW w:w="14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136,045</w:t>
            </w:r>
          </w:p>
        </w:tc>
        <w:tc>
          <w:tcPr>
            <w:tcW w:w="1600" w:type="dxa"/>
            <w:vAlign w:val="bottom"/>
            <w:gridSpan w:val="2"/>
          </w:tcPr>
          <w:p>
            <w:pPr>
              <w:jc w:val="center"/>
              <w:ind w:left="90"/>
              <w:spacing w:after="0"/>
              <w:rPr>
                <w:sz w:val="20"/>
                <w:szCs w:val="20"/>
                <w:color w:val="auto"/>
              </w:rPr>
            </w:pPr>
            <w:r>
              <w:rPr>
                <w:rFonts w:ascii="Arial" w:cs="Arial" w:eastAsia="Arial" w:hAnsi="Arial"/>
                <w:sz w:val="18"/>
                <w:szCs w:val="18"/>
                <w:color w:val="auto"/>
                <w:w w:val="92"/>
              </w:rPr>
              <w:t>5.1%</w:t>
            </w:r>
          </w:p>
        </w:tc>
      </w:tr>
      <w:tr>
        <w:trPr>
          <w:trHeight w:val="20"/>
        </w:trPr>
        <w:tc>
          <w:tcPr>
            <w:tcW w:w="66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r>
    </w:tbl>
    <w:p>
      <w:pPr>
        <w:spacing w:after="0" w:line="148" w:lineRule="exact"/>
        <w:rPr>
          <w:sz w:val="20"/>
          <w:szCs w:val="20"/>
          <w:color w:val="auto"/>
        </w:rPr>
      </w:pPr>
    </w:p>
    <w:p>
      <w:pPr>
        <w:ind w:right="520" w:firstLine="405"/>
        <w:spacing w:after="0" w:line="465" w:lineRule="auto"/>
        <w:rPr>
          <w:sz w:val="20"/>
          <w:szCs w:val="20"/>
          <w:color w:val="auto"/>
        </w:rPr>
      </w:pPr>
      <w:r>
        <w:rPr>
          <w:rFonts w:ascii="Arial" w:cs="Arial" w:eastAsia="Arial" w:hAnsi="Arial"/>
          <w:sz w:val="18"/>
          <w:szCs w:val="18"/>
          <w:color w:val="auto"/>
        </w:rPr>
        <w:t xml:space="preserve">For the six months ended November 30, 2020, net sales increased $6.9 million to $143.0 million compared to the same period in the prior year. </w:t>
      </w:r>
      <w:r>
        <w:rPr>
          <w:rFonts w:ascii="Arial" w:cs="Arial" w:eastAsia="Arial" w:hAnsi="Arial"/>
          <w:sz w:val="18"/>
          <w:szCs w:val="18"/>
          <w:u w:val="single" w:color="auto"/>
          <w:color w:val="auto"/>
        </w:rPr>
        <w:t>Vascular Interventions &amp; Therapies</w:t>
      </w:r>
    </w:p>
    <w:p>
      <w:pPr>
        <w:spacing w:after="0" w:line="35" w:lineRule="exact"/>
        <w:rPr>
          <w:sz w:val="20"/>
          <w:szCs w:val="20"/>
          <w:color w:val="auto"/>
        </w:rPr>
      </w:pPr>
    </w:p>
    <w:p>
      <w:pPr>
        <w:ind w:left="660" w:right="20" w:hanging="328"/>
        <w:spacing w:after="0" w:line="253" w:lineRule="auto"/>
        <w:tabs>
          <w:tab w:leader="none" w:pos="655" w:val="left"/>
        </w:tabs>
        <w:numPr>
          <w:ilvl w:val="0"/>
          <w:numId w:val="21"/>
        </w:numPr>
        <w:rPr>
          <w:rFonts w:ascii="Arial" w:cs="Arial" w:eastAsia="Arial" w:hAnsi="Arial"/>
          <w:sz w:val="18"/>
          <w:szCs w:val="18"/>
          <w:color w:val="auto"/>
        </w:rPr>
      </w:pPr>
      <w:r>
        <w:rPr>
          <w:rFonts w:ascii="Arial" w:cs="Arial" w:eastAsia="Arial" w:hAnsi="Arial"/>
          <w:sz w:val="18"/>
          <w:szCs w:val="18"/>
          <w:color w:val="auto"/>
        </w:rPr>
        <w:t>Total Vascular Interventions &amp; Therapies sales increased $3.7 million. Auryon, which was acquired as part of the Eximo acquisition in the second quarter of fiscal year 2020, contributed $3.2 million in sales. Additionally, the AngioVac and Core businesses continued their strong performance and grew $3.0 million and $0.6 million, respectively. The Company continued to see strong case volumes in AngioVac, which increased 26% from the prior year. These increases were partially offset by lower volume in Venous products due to fewer elective procedures during the COVID-19 pandemic.</w:t>
      </w:r>
    </w:p>
    <w:p>
      <w:pPr>
        <w:spacing w:after="0" w:line="3" w:lineRule="exact"/>
        <w:rPr>
          <w:rFonts w:ascii="Arial" w:cs="Arial" w:eastAsia="Arial" w:hAnsi="Arial"/>
          <w:sz w:val="18"/>
          <w:szCs w:val="18"/>
          <w:color w:val="auto"/>
        </w:rPr>
      </w:pPr>
    </w:p>
    <w:p>
      <w:pPr>
        <w:ind w:left="660" w:right="580" w:hanging="328"/>
        <w:spacing w:after="0" w:line="281" w:lineRule="auto"/>
        <w:tabs>
          <w:tab w:leader="none" w:pos="655" w:val="left"/>
        </w:tabs>
        <w:numPr>
          <w:ilvl w:val="0"/>
          <w:numId w:val="21"/>
        </w:numPr>
        <w:rPr>
          <w:rFonts w:ascii="Arial" w:cs="Arial" w:eastAsia="Arial" w:hAnsi="Arial"/>
          <w:sz w:val="16"/>
          <w:szCs w:val="16"/>
          <w:color w:val="auto"/>
        </w:rPr>
      </w:pPr>
      <w:r>
        <w:rPr>
          <w:rFonts w:ascii="Arial" w:cs="Arial" w:eastAsia="Arial" w:hAnsi="Arial"/>
          <w:sz w:val="16"/>
          <w:szCs w:val="16"/>
          <w:color w:val="auto"/>
        </w:rPr>
        <w:t>U.S. Vascular Interventions &amp; Therapies sales increased $4.4 million due to increased case volume in AngioVac, increased Core Peripheral product sales and $3.2 million in sales of Auryon. These increases were partially offset by decreased sales volume in Venous.</w:t>
      </w:r>
    </w:p>
    <w:p>
      <w:pPr>
        <w:spacing w:after="0" w:line="1" w:lineRule="exact"/>
        <w:rPr>
          <w:rFonts w:ascii="Arial" w:cs="Arial" w:eastAsia="Arial" w:hAnsi="Arial"/>
          <w:sz w:val="16"/>
          <w:szCs w:val="16"/>
          <w:color w:val="auto"/>
        </w:rPr>
      </w:pPr>
    </w:p>
    <w:p>
      <w:pPr>
        <w:ind w:left="660" w:hanging="328"/>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International Vascular Interventions &amp; Therapies sales decreased $0.7 million.</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Vascular Access</w:t>
      </w:r>
    </w:p>
    <w:p>
      <w:pPr>
        <w:spacing w:after="0" w:line="252" w:lineRule="exact"/>
        <w:rPr>
          <w:sz w:val="20"/>
          <w:szCs w:val="20"/>
          <w:color w:val="auto"/>
        </w:rPr>
      </w:pPr>
    </w:p>
    <w:p>
      <w:pPr>
        <w:jc w:val="both"/>
        <w:ind w:left="660" w:right="280" w:hanging="328"/>
        <w:spacing w:after="0" w:line="254" w:lineRule="auto"/>
        <w:tabs>
          <w:tab w:leader="none" w:pos="655" w:val="left"/>
        </w:tabs>
        <w:numPr>
          <w:ilvl w:val="0"/>
          <w:numId w:val="22"/>
        </w:numPr>
        <w:rPr>
          <w:rFonts w:ascii="Arial" w:cs="Arial" w:eastAsia="Arial" w:hAnsi="Arial"/>
          <w:sz w:val="18"/>
          <w:szCs w:val="18"/>
          <w:color w:val="auto"/>
        </w:rPr>
      </w:pPr>
      <w:r>
        <w:rPr>
          <w:rFonts w:ascii="Arial" w:cs="Arial" w:eastAsia="Arial" w:hAnsi="Arial"/>
          <w:sz w:val="18"/>
          <w:szCs w:val="18"/>
          <w:color w:val="auto"/>
        </w:rPr>
        <w:t>Total Vascular Access sales increased $6.1 million due to increased sales of PICCs and Midlines of $3.6 million and $2.7 million, respectively. These increases are the result of a large order in the United Kingdom related to the COVID-19 pandemic for $5.2 million in the first quarter of fiscal year 2021 along with the distribution agreement with MedComp. These increases were offset by decreased sales in Ports. BioFlo product lines comprise 54% of overall Vascular Access sales compared to 51% a year ago.</w:t>
      </w:r>
    </w:p>
    <w:p>
      <w:pPr>
        <w:spacing w:after="0" w:line="2" w:lineRule="exact"/>
        <w:rPr>
          <w:rFonts w:ascii="Arial" w:cs="Arial" w:eastAsia="Arial" w:hAnsi="Arial"/>
          <w:sz w:val="18"/>
          <w:szCs w:val="18"/>
          <w:color w:val="auto"/>
        </w:rPr>
      </w:pPr>
    </w:p>
    <w:p>
      <w:pPr>
        <w:ind w:left="660" w:right="920" w:hanging="328"/>
        <w:spacing w:after="0" w:line="250" w:lineRule="auto"/>
        <w:tabs>
          <w:tab w:leader="none" w:pos="655" w:val="left"/>
        </w:tabs>
        <w:numPr>
          <w:ilvl w:val="0"/>
          <w:numId w:val="22"/>
        </w:numPr>
        <w:rPr>
          <w:rFonts w:ascii="Arial" w:cs="Arial" w:eastAsia="Arial" w:hAnsi="Arial"/>
          <w:sz w:val="18"/>
          <w:szCs w:val="18"/>
          <w:color w:val="auto"/>
        </w:rPr>
      </w:pPr>
      <w:r>
        <w:rPr>
          <w:rFonts w:ascii="Arial" w:cs="Arial" w:eastAsia="Arial" w:hAnsi="Arial"/>
          <w:sz w:val="18"/>
          <w:szCs w:val="18"/>
          <w:color w:val="auto"/>
        </w:rPr>
        <w:t>U.S. Vascular Access sales increased $1.5 million primarily due to increased Midline and PICC sales of $0.6 million and $0.8 million, respectively.</w:t>
      </w:r>
    </w:p>
    <w:p>
      <w:pPr>
        <w:ind w:left="660" w:hanging="328"/>
        <w:spacing w:after="0" w:line="260" w:lineRule="auto"/>
        <w:tabs>
          <w:tab w:leader="none" w:pos="655" w:val="left"/>
        </w:tabs>
        <w:numPr>
          <w:ilvl w:val="0"/>
          <w:numId w:val="22"/>
        </w:numPr>
        <w:rPr>
          <w:rFonts w:ascii="Arial" w:cs="Arial" w:eastAsia="Arial" w:hAnsi="Arial"/>
          <w:sz w:val="18"/>
          <w:szCs w:val="18"/>
          <w:color w:val="auto"/>
        </w:rPr>
      </w:pPr>
      <w:r>
        <w:rPr>
          <w:rFonts w:ascii="Arial" w:cs="Arial" w:eastAsia="Arial" w:hAnsi="Arial"/>
          <w:sz w:val="18"/>
          <w:szCs w:val="18"/>
          <w:color w:val="auto"/>
        </w:rPr>
        <w:t>International Vascular Access sales increased by $4.6 million primarily as a result of a large order in the United Kingdom related to the COVID-19 pandemic for $5.2 million. This was partially offset by decreased PICC sales in Latin America of $0.8 million.</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Oncology</w:t>
      </w:r>
    </w:p>
    <w:p>
      <w:pPr>
        <w:spacing w:after="0" w:line="252" w:lineRule="exact"/>
        <w:rPr>
          <w:sz w:val="20"/>
          <w:szCs w:val="20"/>
          <w:color w:val="auto"/>
        </w:rPr>
      </w:pPr>
    </w:p>
    <w:p>
      <w:pPr>
        <w:ind w:left="660" w:right="640" w:hanging="328"/>
        <w:spacing w:after="0" w:line="287" w:lineRule="auto"/>
        <w:tabs>
          <w:tab w:leader="none" w:pos="655" w:val="left"/>
        </w:tabs>
        <w:numPr>
          <w:ilvl w:val="0"/>
          <w:numId w:val="23"/>
        </w:numPr>
        <w:rPr>
          <w:rFonts w:ascii="Arial" w:cs="Arial" w:eastAsia="Arial" w:hAnsi="Arial"/>
          <w:sz w:val="16"/>
          <w:szCs w:val="16"/>
          <w:color w:val="auto"/>
        </w:rPr>
      </w:pPr>
      <w:r>
        <w:rPr>
          <w:rFonts w:ascii="Arial" w:cs="Arial" w:eastAsia="Arial" w:hAnsi="Arial"/>
          <w:sz w:val="16"/>
          <w:szCs w:val="16"/>
          <w:color w:val="auto"/>
        </w:rPr>
        <w:t>Total Oncology sales decreased $2.8 million year over year primarily due to lower NanoKnife capital sales of $2.4 million, decreased RadioFrequency Ablation sales of $1.0 million and decreased Balloon product sales of $0.9 million. This was partially offset by increased Microwave disposable sales of $0.7 million, NanoKnife disposable sales of $0.5 million and BioSentry sales of $0.8 million.</w:t>
      </w:r>
    </w:p>
    <w:p>
      <w:pPr>
        <w:spacing w:after="0" w:line="2" w:lineRule="exact"/>
        <w:rPr>
          <w:rFonts w:ascii="Arial" w:cs="Arial" w:eastAsia="Arial" w:hAnsi="Arial"/>
          <w:sz w:val="16"/>
          <w:szCs w:val="16"/>
          <w:color w:val="auto"/>
        </w:rPr>
      </w:pPr>
    </w:p>
    <w:p>
      <w:pPr>
        <w:ind w:left="660" w:right="380" w:hanging="328"/>
        <w:spacing w:after="0" w:line="250" w:lineRule="auto"/>
        <w:tabs>
          <w:tab w:leader="none" w:pos="655" w:val="left"/>
        </w:tabs>
        <w:numPr>
          <w:ilvl w:val="0"/>
          <w:numId w:val="23"/>
        </w:numPr>
        <w:rPr>
          <w:rFonts w:ascii="Arial" w:cs="Arial" w:eastAsia="Arial" w:hAnsi="Arial"/>
          <w:sz w:val="18"/>
          <w:szCs w:val="18"/>
          <w:color w:val="auto"/>
        </w:rPr>
      </w:pPr>
      <w:r>
        <w:rPr>
          <w:rFonts w:ascii="Arial" w:cs="Arial" w:eastAsia="Arial" w:hAnsi="Arial"/>
          <w:sz w:val="18"/>
          <w:szCs w:val="18"/>
          <w:color w:val="auto"/>
        </w:rPr>
        <w:t>U.S. Oncology sales increased by $0.4 million primarily due to increased NanoKnife disposable sales of $0.8 million, BioSentry sales of $0.8 million and Microwave disposable sales of $0.5 million. This was partially offset by decreased NanoKnife capital sales of $0.5 million and Balloon product sales of $0.9 million.</w:t>
      </w:r>
    </w:p>
    <w:p>
      <w:pPr>
        <w:spacing w:after="0" w:line="1" w:lineRule="exact"/>
        <w:rPr>
          <w:rFonts w:ascii="Arial" w:cs="Arial" w:eastAsia="Arial" w:hAnsi="Arial"/>
          <w:sz w:val="18"/>
          <w:szCs w:val="18"/>
          <w:color w:val="auto"/>
        </w:rPr>
      </w:pPr>
    </w:p>
    <w:p>
      <w:pPr>
        <w:ind w:left="660" w:right="320" w:hanging="328"/>
        <w:spacing w:after="0" w:line="260" w:lineRule="auto"/>
        <w:tabs>
          <w:tab w:leader="none" w:pos="655" w:val="left"/>
        </w:tabs>
        <w:numPr>
          <w:ilvl w:val="0"/>
          <w:numId w:val="23"/>
        </w:numPr>
        <w:rPr>
          <w:rFonts w:ascii="Arial" w:cs="Arial" w:eastAsia="Arial" w:hAnsi="Arial"/>
          <w:sz w:val="18"/>
          <w:szCs w:val="18"/>
          <w:color w:val="auto"/>
        </w:rPr>
      </w:pPr>
      <w:r>
        <w:rPr>
          <w:rFonts w:ascii="Arial" w:cs="Arial" w:eastAsia="Arial" w:hAnsi="Arial"/>
          <w:sz w:val="18"/>
          <w:szCs w:val="18"/>
          <w:color w:val="auto"/>
        </w:rPr>
        <w:t>International Oncology sales decreased $3.2 million year over year as a result of decreased RadioFrequency Ablation sales of $1.2 million and NanoKnife capital and disposable sales of $2.1 million.</w:t>
      </w: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9" w:name="page30"/>
    <w:bookmarkEnd w:id="29"/>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Gross Profit, Operating expenses, and Other income (expense)</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640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gridSpan w:val="2"/>
          </w:tcPr>
          <w:p>
            <w:pPr>
              <w:jc w:val="center"/>
              <w:ind w:right="300"/>
              <w:spacing w:after="0"/>
              <w:rPr>
                <w:sz w:val="20"/>
                <w:szCs w:val="20"/>
                <w:color w:val="auto"/>
              </w:rPr>
            </w:pPr>
            <w:r>
              <w:rPr>
                <w:rFonts w:ascii="Arial" w:cs="Arial" w:eastAsia="Arial" w:hAnsi="Arial"/>
                <w:sz w:val="14"/>
                <w:szCs w:val="14"/>
                <w:color w:val="auto"/>
                <w:w w:val="95"/>
              </w:rPr>
              <w:t>Six Months Ended</w:t>
            </w:r>
          </w:p>
        </w:tc>
        <w:tc>
          <w:tcPr>
            <w:tcW w:w="1520" w:type="dxa"/>
            <w:vAlign w:val="bottom"/>
            <w:tcBorders>
              <w:bottom w:val="single" w:sz="8" w:color="auto"/>
            </w:tcBorders>
          </w:tcPr>
          <w:p>
            <w:pPr>
              <w:spacing w:after="0"/>
              <w:rPr>
                <w:sz w:val="16"/>
                <w:szCs w:val="16"/>
                <w:color w:val="auto"/>
              </w:rPr>
            </w:pPr>
          </w:p>
        </w:tc>
      </w:tr>
      <w:tr>
        <w:trPr>
          <w:trHeight w:val="186"/>
        </w:trPr>
        <w:tc>
          <w:tcPr>
            <w:tcW w:w="6400" w:type="dxa"/>
            <w:vAlign w:val="bottom"/>
          </w:tcPr>
          <w:p>
            <w:pPr>
              <w:ind w:left="20"/>
              <w:spacing w:after="0"/>
              <w:rPr>
                <w:sz w:val="20"/>
                <w:szCs w:val="20"/>
                <w:color w:val="auto"/>
              </w:rPr>
            </w:pPr>
            <w:r>
              <w:rPr>
                <w:rFonts w:ascii="Arial" w:cs="Arial" w:eastAsia="Arial" w:hAnsi="Arial"/>
                <w:sz w:val="14"/>
                <w:szCs w:val="14"/>
                <w:color w:val="auto"/>
              </w:rPr>
              <w:t>(in thousands)</w:t>
            </w:r>
          </w:p>
        </w:tc>
        <w:tc>
          <w:tcPr>
            <w:tcW w:w="240" w:type="dxa"/>
            <w:vAlign w:val="bottom"/>
          </w:tcPr>
          <w:p>
            <w:pPr>
              <w:spacing w:after="0"/>
              <w:rPr>
                <w:sz w:val="16"/>
                <w:szCs w:val="16"/>
                <w:color w:val="auto"/>
              </w:rPr>
            </w:pPr>
          </w:p>
        </w:tc>
        <w:tc>
          <w:tcPr>
            <w:tcW w:w="1400" w:type="dxa"/>
            <w:vAlign w:val="bottom"/>
            <w:gridSpan w:val="2"/>
          </w:tcPr>
          <w:p>
            <w:pPr>
              <w:ind w:left="120"/>
              <w:spacing w:after="0"/>
              <w:rPr>
                <w:sz w:val="20"/>
                <w:szCs w:val="20"/>
                <w:color w:val="auto"/>
              </w:rPr>
            </w:pPr>
            <w:r>
              <w:rPr>
                <w:rFonts w:ascii="Arial" w:cs="Arial" w:eastAsia="Arial" w:hAnsi="Arial"/>
                <w:sz w:val="14"/>
                <w:szCs w:val="14"/>
                <w:color w:val="auto"/>
              </w:rPr>
              <w:t>Nov 30, 2020</w:t>
            </w:r>
          </w:p>
        </w:tc>
        <w:tc>
          <w:tcPr>
            <w:tcW w:w="180" w:type="dxa"/>
            <w:vAlign w:val="bottom"/>
          </w:tcPr>
          <w:p>
            <w:pPr>
              <w:spacing w:after="0"/>
              <w:rPr>
                <w:sz w:val="16"/>
                <w:szCs w:val="16"/>
                <w:color w:val="auto"/>
              </w:rPr>
            </w:pPr>
          </w:p>
        </w:tc>
        <w:tc>
          <w:tcPr>
            <w:tcW w:w="1500" w:type="dxa"/>
            <w:vAlign w:val="bottom"/>
            <w:gridSpan w:val="2"/>
          </w:tcPr>
          <w:p>
            <w:pPr>
              <w:jc w:val="center"/>
              <w:ind w:right="320"/>
              <w:spacing w:after="0"/>
              <w:rPr>
                <w:sz w:val="20"/>
                <w:szCs w:val="20"/>
                <w:color w:val="auto"/>
              </w:rPr>
            </w:pPr>
            <w:r>
              <w:rPr>
                <w:rFonts w:ascii="Arial" w:cs="Arial" w:eastAsia="Arial" w:hAnsi="Arial"/>
                <w:sz w:val="14"/>
                <w:szCs w:val="14"/>
                <w:color w:val="auto"/>
                <w:w w:val="93"/>
              </w:rPr>
              <w:t>Nov 30, 2019</w:t>
            </w:r>
          </w:p>
        </w:tc>
        <w:tc>
          <w:tcPr>
            <w:tcW w:w="1520" w:type="dxa"/>
            <w:vAlign w:val="bottom"/>
          </w:tcPr>
          <w:p>
            <w:pPr>
              <w:jc w:val="right"/>
              <w:ind w:right="374"/>
              <w:spacing w:after="0"/>
              <w:rPr>
                <w:sz w:val="20"/>
                <w:szCs w:val="20"/>
                <w:color w:val="auto"/>
              </w:rPr>
            </w:pPr>
            <w:r>
              <w:rPr>
                <w:rFonts w:ascii="Arial" w:cs="Arial" w:eastAsia="Arial" w:hAnsi="Arial"/>
                <w:sz w:val="14"/>
                <w:szCs w:val="14"/>
                <w:color w:val="auto"/>
              </w:rPr>
              <w:t>% Change</w:t>
            </w:r>
          </w:p>
        </w:tc>
      </w:tr>
      <w:tr>
        <w:trPr>
          <w:trHeight w:val="226"/>
        </w:trPr>
        <w:tc>
          <w:tcPr>
            <w:tcW w:w="64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Gross profit</w:t>
            </w: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300" w:type="dxa"/>
            <w:vAlign w:val="bottom"/>
            <w:tcBorders>
              <w:top w:val="single" w:sz="8" w:color="auto"/>
            </w:tcBorders>
            <w:shd w:val="clear" w:color="auto" w:fill="CCEEFF"/>
          </w:tcPr>
          <w:p>
            <w:pPr>
              <w:jc w:val="right"/>
              <w:ind w:right="132"/>
              <w:spacing w:after="0"/>
              <w:rPr>
                <w:sz w:val="20"/>
                <w:szCs w:val="20"/>
                <w:color w:val="auto"/>
              </w:rPr>
            </w:pPr>
            <w:r>
              <w:rPr>
                <w:rFonts w:ascii="Arial" w:cs="Arial" w:eastAsia="Arial" w:hAnsi="Arial"/>
                <w:sz w:val="18"/>
                <w:szCs w:val="18"/>
                <w:color w:val="auto"/>
              </w:rPr>
              <w:t>75,938</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60" w:type="dxa"/>
            <w:vAlign w:val="bottom"/>
            <w:tcBorders>
              <w:top w:val="single" w:sz="8" w:color="auto"/>
            </w:tcBorders>
            <w:shd w:val="clear" w:color="auto" w:fill="CCEEFF"/>
          </w:tcPr>
          <w:p>
            <w:pPr>
              <w:jc w:val="right"/>
              <w:ind w:right="134"/>
              <w:spacing w:after="0"/>
              <w:rPr>
                <w:sz w:val="20"/>
                <w:szCs w:val="20"/>
                <w:color w:val="auto"/>
              </w:rPr>
            </w:pPr>
            <w:r>
              <w:rPr>
                <w:rFonts w:ascii="Arial" w:cs="Arial" w:eastAsia="Arial" w:hAnsi="Arial"/>
                <w:sz w:val="18"/>
                <w:szCs w:val="18"/>
                <w:color w:val="auto"/>
              </w:rPr>
              <w:t>79,761</w:t>
            </w:r>
          </w:p>
        </w:tc>
        <w:tc>
          <w:tcPr>
            <w:tcW w:w="140" w:type="dxa"/>
            <w:vAlign w:val="bottom"/>
            <w:tcBorders>
              <w:top w:val="single" w:sz="8" w:color="CCEEFF"/>
            </w:tcBorders>
            <w:shd w:val="clear" w:color="auto" w:fill="CCEEFF"/>
          </w:tcPr>
          <w:p>
            <w:pPr>
              <w:spacing w:after="0"/>
              <w:rPr>
                <w:sz w:val="19"/>
                <w:szCs w:val="19"/>
                <w:color w:val="auto"/>
              </w:rPr>
            </w:pPr>
          </w:p>
        </w:tc>
        <w:tc>
          <w:tcPr>
            <w:tcW w:w="1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w:t>
            </w:r>
          </w:p>
        </w:tc>
      </w:tr>
      <w:tr>
        <w:trPr>
          <w:trHeight w:val="230"/>
        </w:trPr>
        <w:tc>
          <w:tcPr>
            <w:tcW w:w="6400" w:type="dxa"/>
            <w:vAlign w:val="bottom"/>
          </w:tcPr>
          <w:p>
            <w:pPr>
              <w:ind w:left="20"/>
              <w:spacing w:after="0"/>
              <w:rPr>
                <w:sz w:val="20"/>
                <w:szCs w:val="20"/>
                <w:color w:val="auto"/>
              </w:rPr>
            </w:pPr>
            <w:r>
              <w:rPr>
                <w:rFonts w:ascii="Arial" w:cs="Arial" w:eastAsia="Arial" w:hAnsi="Arial"/>
                <w:sz w:val="18"/>
                <w:szCs w:val="18"/>
                <w:color w:val="auto"/>
              </w:rPr>
              <w:t>Gross profit % of sales</w:t>
            </w:r>
          </w:p>
        </w:tc>
        <w:tc>
          <w:tcPr>
            <w:tcW w:w="2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53.1 %</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58.6 %</w:t>
            </w:r>
          </w:p>
        </w:tc>
        <w:tc>
          <w:tcPr>
            <w:tcW w:w="140" w:type="dxa"/>
            <w:vAlign w:val="bottom"/>
          </w:tcPr>
          <w:p>
            <w:pPr>
              <w:spacing w:after="0"/>
              <w:rPr>
                <w:sz w:val="19"/>
                <w:szCs w:val="19"/>
                <w:color w:val="auto"/>
              </w:rPr>
            </w:pPr>
          </w:p>
        </w:tc>
        <w:tc>
          <w:tcPr>
            <w:tcW w:w="1520" w:type="dxa"/>
            <w:vAlign w:val="bottom"/>
          </w:tcPr>
          <w:p>
            <w:pPr>
              <w:spacing w:after="0"/>
              <w:rPr>
                <w:sz w:val="19"/>
                <w:szCs w:val="19"/>
                <w:color w:val="auto"/>
              </w:rPr>
            </w:pPr>
          </w:p>
        </w:tc>
      </w:tr>
      <w:tr>
        <w:trPr>
          <w:trHeight w:val="229"/>
        </w:trPr>
        <w:tc>
          <w:tcPr>
            <w:tcW w:w="640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Research and development</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30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18,721</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60" w:type="dxa"/>
            <w:vAlign w:val="bottom"/>
            <w:shd w:val="clear" w:color="auto" w:fill="CCEEFF"/>
          </w:tcPr>
          <w:p>
            <w:pPr>
              <w:jc w:val="right"/>
              <w:ind w:right="134"/>
              <w:spacing w:after="0"/>
              <w:rPr>
                <w:sz w:val="20"/>
                <w:szCs w:val="20"/>
                <w:color w:val="auto"/>
              </w:rPr>
            </w:pPr>
            <w:r>
              <w:rPr>
                <w:rFonts w:ascii="Arial" w:cs="Arial" w:eastAsia="Arial" w:hAnsi="Arial"/>
                <w:sz w:val="18"/>
                <w:szCs w:val="18"/>
                <w:color w:val="auto"/>
              </w:rPr>
              <w:t>14,055</w:t>
            </w:r>
          </w:p>
        </w:tc>
        <w:tc>
          <w:tcPr>
            <w:tcW w:w="14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33.2 %</w:t>
            </w:r>
          </w:p>
        </w:tc>
      </w:tr>
      <w:tr>
        <w:trPr>
          <w:trHeight w:val="229"/>
        </w:trPr>
        <w:tc>
          <w:tcPr>
            <w:tcW w:w="6400" w:type="dxa"/>
            <w:vAlign w:val="bottom"/>
          </w:tcPr>
          <w:p>
            <w:pPr>
              <w:ind w:left="20"/>
              <w:spacing w:after="0"/>
              <w:rPr>
                <w:sz w:val="20"/>
                <w:szCs w:val="20"/>
                <w:color w:val="auto"/>
              </w:rPr>
            </w:pPr>
            <w:r>
              <w:rPr>
                <w:rFonts w:ascii="Arial" w:cs="Arial" w:eastAsia="Arial" w:hAnsi="Arial"/>
                <w:sz w:val="18"/>
                <w:szCs w:val="18"/>
                <w:color w:val="auto"/>
              </w:rPr>
              <w:t>% of sales</w:t>
            </w:r>
          </w:p>
        </w:tc>
        <w:tc>
          <w:tcPr>
            <w:tcW w:w="2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13.1 %</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10.3 %</w:t>
            </w:r>
          </w:p>
        </w:tc>
        <w:tc>
          <w:tcPr>
            <w:tcW w:w="140" w:type="dxa"/>
            <w:vAlign w:val="bottom"/>
          </w:tcPr>
          <w:p>
            <w:pPr>
              <w:spacing w:after="0"/>
              <w:rPr>
                <w:sz w:val="19"/>
                <w:szCs w:val="19"/>
                <w:color w:val="auto"/>
              </w:rPr>
            </w:pPr>
          </w:p>
        </w:tc>
        <w:tc>
          <w:tcPr>
            <w:tcW w:w="1520" w:type="dxa"/>
            <w:vAlign w:val="bottom"/>
          </w:tcPr>
          <w:p>
            <w:pPr>
              <w:spacing w:after="0"/>
              <w:rPr>
                <w:sz w:val="19"/>
                <w:szCs w:val="19"/>
                <w:color w:val="auto"/>
              </w:rPr>
            </w:pPr>
          </w:p>
        </w:tc>
      </w:tr>
      <w:tr>
        <w:trPr>
          <w:trHeight w:val="230"/>
        </w:trPr>
        <w:tc>
          <w:tcPr>
            <w:tcW w:w="6400" w:type="dxa"/>
            <w:vAlign w:val="bottom"/>
            <w:shd w:val="clear" w:color="auto" w:fill="CCEEFF"/>
          </w:tcPr>
          <w:p>
            <w:pPr>
              <w:ind w:left="20"/>
              <w:spacing w:after="0"/>
              <w:rPr>
                <w:sz w:val="20"/>
                <w:szCs w:val="20"/>
                <w:color w:val="auto"/>
              </w:rPr>
            </w:pPr>
            <w:r>
              <w:rPr>
                <w:rFonts w:ascii="Arial" w:cs="Arial" w:eastAsia="Arial" w:hAnsi="Arial"/>
                <w:sz w:val="18"/>
                <w:szCs w:val="18"/>
                <w:color w:val="auto"/>
              </w:rPr>
              <w:t>Selling and marketing</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30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37,879</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60" w:type="dxa"/>
            <w:vAlign w:val="bottom"/>
            <w:shd w:val="clear" w:color="auto" w:fill="CCEEFF"/>
          </w:tcPr>
          <w:p>
            <w:pPr>
              <w:jc w:val="right"/>
              <w:ind w:right="134"/>
              <w:spacing w:after="0"/>
              <w:rPr>
                <w:sz w:val="20"/>
                <w:szCs w:val="20"/>
                <w:color w:val="auto"/>
              </w:rPr>
            </w:pPr>
            <w:r>
              <w:rPr>
                <w:rFonts w:ascii="Arial" w:cs="Arial" w:eastAsia="Arial" w:hAnsi="Arial"/>
                <w:sz w:val="18"/>
                <w:szCs w:val="18"/>
                <w:color w:val="auto"/>
              </w:rPr>
              <w:t>39,493</w:t>
            </w:r>
          </w:p>
        </w:tc>
        <w:tc>
          <w:tcPr>
            <w:tcW w:w="14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w:t>
            </w:r>
          </w:p>
        </w:tc>
      </w:tr>
      <w:tr>
        <w:trPr>
          <w:trHeight w:val="229"/>
        </w:trPr>
        <w:tc>
          <w:tcPr>
            <w:tcW w:w="6400" w:type="dxa"/>
            <w:vAlign w:val="bottom"/>
          </w:tcPr>
          <w:p>
            <w:pPr>
              <w:ind w:left="20"/>
              <w:spacing w:after="0"/>
              <w:rPr>
                <w:sz w:val="20"/>
                <w:szCs w:val="20"/>
                <w:color w:val="auto"/>
              </w:rPr>
            </w:pPr>
            <w:r>
              <w:rPr>
                <w:rFonts w:ascii="Arial" w:cs="Arial" w:eastAsia="Arial" w:hAnsi="Arial"/>
                <w:sz w:val="18"/>
                <w:szCs w:val="18"/>
                <w:color w:val="auto"/>
              </w:rPr>
              <w:t>% of sales</w:t>
            </w:r>
          </w:p>
        </w:tc>
        <w:tc>
          <w:tcPr>
            <w:tcW w:w="2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26.5 %</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29.0 %</w:t>
            </w:r>
          </w:p>
        </w:tc>
        <w:tc>
          <w:tcPr>
            <w:tcW w:w="140" w:type="dxa"/>
            <w:vAlign w:val="bottom"/>
          </w:tcPr>
          <w:p>
            <w:pPr>
              <w:spacing w:after="0"/>
              <w:rPr>
                <w:sz w:val="19"/>
                <w:szCs w:val="19"/>
                <w:color w:val="auto"/>
              </w:rPr>
            </w:pPr>
          </w:p>
        </w:tc>
        <w:tc>
          <w:tcPr>
            <w:tcW w:w="1520" w:type="dxa"/>
            <w:vAlign w:val="bottom"/>
          </w:tcPr>
          <w:p>
            <w:pPr>
              <w:spacing w:after="0"/>
              <w:rPr>
                <w:sz w:val="19"/>
                <w:szCs w:val="19"/>
                <w:color w:val="auto"/>
              </w:rPr>
            </w:pPr>
          </w:p>
        </w:tc>
      </w:tr>
      <w:tr>
        <w:trPr>
          <w:trHeight w:val="230"/>
        </w:trPr>
        <w:tc>
          <w:tcPr>
            <w:tcW w:w="6400" w:type="dxa"/>
            <w:vAlign w:val="bottom"/>
            <w:shd w:val="clear" w:color="auto" w:fill="CCEEFF"/>
          </w:tcPr>
          <w:p>
            <w:pPr>
              <w:ind w:left="20"/>
              <w:spacing w:after="0"/>
              <w:rPr>
                <w:sz w:val="20"/>
                <w:szCs w:val="20"/>
                <w:color w:val="auto"/>
              </w:rPr>
            </w:pPr>
            <w:r>
              <w:rPr>
                <w:rFonts w:ascii="Arial" w:cs="Arial" w:eastAsia="Arial" w:hAnsi="Arial"/>
                <w:sz w:val="18"/>
                <w:szCs w:val="18"/>
                <w:color w:val="auto"/>
              </w:rPr>
              <w:t>General and administrative</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30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17,776</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60" w:type="dxa"/>
            <w:vAlign w:val="bottom"/>
            <w:shd w:val="clear" w:color="auto" w:fill="CCEEFF"/>
          </w:tcPr>
          <w:p>
            <w:pPr>
              <w:jc w:val="right"/>
              <w:ind w:right="134"/>
              <w:spacing w:after="0"/>
              <w:rPr>
                <w:sz w:val="20"/>
                <w:szCs w:val="20"/>
                <w:color w:val="auto"/>
              </w:rPr>
            </w:pPr>
            <w:r>
              <w:rPr>
                <w:rFonts w:ascii="Arial" w:cs="Arial" w:eastAsia="Arial" w:hAnsi="Arial"/>
                <w:sz w:val="18"/>
                <w:szCs w:val="18"/>
                <w:color w:val="auto"/>
              </w:rPr>
              <w:t>19,448</w:t>
            </w:r>
          </w:p>
        </w:tc>
        <w:tc>
          <w:tcPr>
            <w:tcW w:w="14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w:t>
            </w:r>
          </w:p>
        </w:tc>
      </w:tr>
      <w:tr>
        <w:trPr>
          <w:trHeight w:val="230"/>
        </w:trPr>
        <w:tc>
          <w:tcPr>
            <w:tcW w:w="6400" w:type="dxa"/>
            <w:vAlign w:val="bottom"/>
          </w:tcPr>
          <w:p>
            <w:pPr>
              <w:ind w:left="20"/>
              <w:spacing w:after="0"/>
              <w:rPr>
                <w:sz w:val="20"/>
                <w:szCs w:val="20"/>
                <w:color w:val="auto"/>
              </w:rPr>
            </w:pPr>
            <w:r>
              <w:rPr>
                <w:rFonts w:ascii="Arial" w:cs="Arial" w:eastAsia="Arial" w:hAnsi="Arial"/>
                <w:sz w:val="18"/>
                <w:szCs w:val="18"/>
                <w:color w:val="auto"/>
              </w:rPr>
              <w:t>% of sales</w:t>
            </w:r>
          </w:p>
        </w:tc>
        <w:tc>
          <w:tcPr>
            <w:tcW w:w="24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12.4 %</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14.3 %</w:t>
            </w:r>
          </w:p>
        </w:tc>
        <w:tc>
          <w:tcPr>
            <w:tcW w:w="140" w:type="dxa"/>
            <w:vAlign w:val="bottom"/>
          </w:tcPr>
          <w:p>
            <w:pPr>
              <w:spacing w:after="0"/>
              <w:rPr>
                <w:sz w:val="20"/>
                <w:szCs w:val="20"/>
                <w:color w:val="auto"/>
              </w:rPr>
            </w:pPr>
          </w:p>
        </w:tc>
        <w:tc>
          <w:tcPr>
            <w:tcW w:w="1520" w:type="dxa"/>
            <w:vAlign w:val="bottom"/>
          </w:tcPr>
          <w:p>
            <w:pPr>
              <w:spacing w:after="0"/>
              <w:rPr>
                <w:sz w:val="20"/>
                <w:szCs w:val="20"/>
                <w:color w:val="auto"/>
              </w:rPr>
            </w:pPr>
          </w:p>
        </w:tc>
      </w:tr>
    </w:tbl>
    <w:p>
      <w:pPr>
        <w:spacing w:after="0" w:line="336" w:lineRule="exact"/>
        <w:rPr>
          <w:sz w:val="20"/>
          <w:szCs w:val="20"/>
          <w:color w:val="auto"/>
        </w:rPr>
      </w:pPr>
    </w:p>
    <w:p>
      <w:pPr>
        <w:ind w:right="120"/>
        <w:spacing w:after="0" w:line="263" w:lineRule="auto"/>
        <w:rPr>
          <w:sz w:val="20"/>
          <w:szCs w:val="20"/>
          <w:color w:val="auto"/>
        </w:rPr>
      </w:pPr>
      <w:r>
        <w:rPr>
          <w:rFonts w:ascii="Arial" w:cs="Arial" w:eastAsia="Arial" w:hAnsi="Arial"/>
          <w:sz w:val="18"/>
          <w:szCs w:val="18"/>
          <w:u w:val="single" w:color="auto"/>
          <w:color w:val="auto"/>
        </w:rPr>
        <w:t>Gross profit</w:t>
      </w:r>
      <w:r>
        <w:rPr>
          <w:rFonts w:ascii="Arial" w:cs="Arial" w:eastAsia="Arial" w:hAnsi="Arial"/>
          <w:sz w:val="18"/>
          <w:szCs w:val="18"/>
          <w:color w:val="auto"/>
        </w:rPr>
        <w:t xml:space="preserve"> - Gross profit consists of net sales less the cost of goods sold, which includes the costs of materials, products purchased from third parties and sold by us, manufacturing personnel, royalties, freight, business insurance, depreciation of property and equipment and other manufacturing overhead, exclusive of intangible amortization.</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Gross profit decreased by $3.8 million compared to the prior year. The decrease is primarily attributable to the following:</w:t>
      </w:r>
    </w:p>
    <w:p>
      <w:pPr>
        <w:spacing w:after="0" w:line="225" w:lineRule="exact"/>
        <w:rPr>
          <w:sz w:val="20"/>
          <w:szCs w:val="20"/>
          <w:color w:val="auto"/>
        </w:rPr>
      </w:pPr>
    </w:p>
    <w:p>
      <w:pPr>
        <w:ind w:left="660" w:hanging="328"/>
        <w:spacing w:after="0"/>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Sales volume positively impacted gross profit by $4.5 million year over year.</w:t>
      </w:r>
    </w:p>
    <w:p>
      <w:pPr>
        <w:spacing w:after="0" w:line="23" w:lineRule="exact"/>
        <w:rPr>
          <w:rFonts w:ascii="Arial" w:cs="Arial" w:eastAsia="Arial" w:hAnsi="Arial"/>
          <w:sz w:val="18"/>
          <w:szCs w:val="18"/>
          <w:color w:val="auto"/>
        </w:rPr>
      </w:pPr>
    </w:p>
    <w:p>
      <w:pPr>
        <w:ind w:left="660" w:right="340" w:hanging="328"/>
        <w:spacing w:after="0" w:line="250" w:lineRule="auto"/>
        <w:tabs>
          <w:tab w:leader="none" w:pos="655" w:val="left"/>
        </w:tabs>
        <w:numPr>
          <w:ilvl w:val="0"/>
          <w:numId w:val="24"/>
        </w:numPr>
        <w:rPr>
          <w:rFonts w:ascii="Arial" w:cs="Arial" w:eastAsia="Arial" w:hAnsi="Arial"/>
          <w:sz w:val="18"/>
          <w:szCs w:val="18"/>
          <w:color w:val="auto"/>
        </w:rPr>
      </w:pPr>
      <w:r>
        <w:rPr>
          <w:rFonts w:ascii="Arial" w:cs="Arial" w:eastAsia="Arial" w:hAnsi="Arial"/>
          <w:sz w:val="18"/>
          <w:szCs w:val="18"/>
          <w:color w:val="auto"/>
        </w:rPr>
        <w:t>Net productivity negatively impacted gross profit by $5.5 million primarily as a result of under absorption of $3.7 million and start-up costs related to the Auryon launch of $1.8 million. The under absorption in manufacturing operations was due to the fact that the Company has maintained staffing levels during the COVID-19 global pandemic to mitigate risk, along with a focus on working capital management through inventory reduction.</w:t>
      </w:r>
    </w:p>
    <w:p>
      <w:pPr>
        <w:spacing w:after="0" w:line="1" w:lineRule="exact"/>
        <w:rPr>
          <w:rFonts w:ascii="Arial" w:cs="Arial" w:eastAsia="Arial" w:hAnsi="Arial"/>
          <w:sz w:val="18"/>
          <w:szCs w:val="18"/>
          <w:color w:val="auto"/>
        </w:rPr>
      </w:pPr>
    </w:p>
    <w:p>
      <w:pPr>
        <w:ind w:left="660" w:right="240" w:hanging="328"/>
        <w:spacing w:after="0" w:line="250" w:lineRule="auto"/>
        <w:tabs>
          <w:tab w:leader="none" w:pos="655" w:val="left"/>
        </w:tabs>
        <w:numPr>
          <w:ilvl w:val="0"/>
          <w:numId w:val="24"/>
        </w:numPr>
        <w:rPr>
          <w:rFonts w:ascii="Arial" w:cs="Arial" w:eastAsia="Arial" w:hAnsi="Arial"/>
          <w:sz w:val="18"/>
          <w:szCs w:val="18"/>
          <w:color w:val="auto"/>
        </w:rPr>
      </w:pPr>
      <w:r>
        <w:rPr>
          <w:rFonts w:ascii="Arial" w:cs="Arial" w:eastAsia="Arial" w:hAnsi="Arial"/>
          <w:sz w:val="18"/>
          <w:szCs w:val="18"/>
          <w:color w:val="auto"/>
        </w:rPr>
        <w:t>Mix negatively impacted gross margin by $1.7 million as a result of the large order in the United Kingdom for lower gross margin products and decreased NanoKnife capital sales. This was partially offset by increased AngioVac sales.</w:t>
      </w:r>
    </w:p>
    <w:p>
      <w:pPr>
        <w:ind w:left="660" w:right="440" w:hanging="328"/>
        <w:spacing w:after="0" w:line="260" w:lineRule="auto"/>
        <w:tabs>
          <w:tab w:leader="none" w:pos="655" w:val="left"/>
        </w:tabs>
        <w:numPr>
          <w:ilvl w:val="0"/>
          <w:numId w:val="24"/>
        </w:numPr>
        <w:rPr>
          <w:rFonts w:ascii="Arial" w:cs="Arial" w:eastAsia="Arial" w:hAnsi="Arial"/>
          <w:sz w:val="18"/>
          <w:szCs w:val="18"/>
          <w:color w:val="auto"/>
        </w:rPr>
      </w:pPr>
      <w:r>
        <w:rPr>
          <w:rFonts w:ascii="Arial" w:cs="Arial" w:eastAsia="Arial" w:hAnsi="Arial"/>
          <w:sz w:val="18"/>
          <w:szCs w:val="18"/>
          <w:color w:val="auto"/>
        </w:rPr>
        <w:t>A reserve for recalled products of $0.5 million and amortization of prior year capitalized variances of $0.4 million negatively impacted gross margin.</w:t>
      </w:r>
    </w:p>
    <w:p>
      <w:pPr>
        <w:spacing w:after="0" w:line="212"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u w:val="single" w:color="auto"/>
          <w:color w:val="auto"/>
        </w:rPr>
        <w:t>Research and development expenses</w:t>
      </w:r>
      <w:r>
        <w:rPr>
          <w:rFonts w:ascii="Arial" w:cs="Arial" w:eastAsia="Arial" w:hAnsi="Arial"/>
          <w:sz w:val="18"/>
          <w:szCs w:val="18"/>
          <w:color w:val="auto"/>
        </w:rPr>
        <w:t xml:space="preserve"> - Research and development (“R&amp;D”) expenses include internal and external costs to develop new products, enhance existing products, validate new and enhanced products, and manage clinical, regulatory and medical affairs.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R&amp;D expense increased $4.7 million compared to the prior year. The increase is primarily attributable to the following:</w:t>
      </w:r>
    </w:p>
    <w:p>
      <w:pPr>
        <w:spacing w:after="0" w:line="247" w:lineRule="exact"/>
        <w:rPr>
          <w:sz w:val="20"/>
          <w:szCs w:val="20"/>
          <w:color w:val="auto"/>
        </w:rPr>
      </w:pPr>
    </w:p>
    <w:p>
      <w:pPr>
        <w:ind w:left="660" w:right="600" w:hanging="328"/>
        <w:spacing w:after="0" w:line="229" w:lineRule="auto"/>
        <w:tabs>
          <w:tab w:leader="none" w:pos="655" w:val="left"/>
        </w:tabs>
        <w:numPr>
          <w:ilvl w:val="0"/>
          <w:numId w:val="25"/>
        </w:numPr>
        <w:rPr>
          <w:rFonts w:ascii="Arial" w:cs="Arial" w:eastAsia="Arial" w:hAnsi="Arial"/>
          <w:sz w:val="18"/>
          <w:szCs w:val="18"/>
          <w:color w:val="auto"/>
        </w:rPr>
      </w:pPr>
      <w:r>
        <w:rPr>
          <w:rFonts w:ascii="Arial" w:cs="Arial" w:eastAsia="Arial" w:hAnsi="Arial"/>
          <w:sz w:val="18"/>
          <w:szCs w:val="18"/>
          <w:color w:val="auto"/>
        </w:rPr>
        <w:t>Research and development expenses related to the AngioVac platform expansion, the NanoKnife DIRECT</w:t>
      </w:r>
      <w:r>
        <w:rPr>
          <w:rFonts w:ascii="Arial" w:cs="Arial" w:eastAsia="Arial" w:hAnsi="Arial"/>
          <w:sz w:val="23"/>
          <w:szCs w:val="23"/>
          <w:color w:val="auto"/>
          <w:vertAlign w:val="superscript"/>
        </w:rPr>
        <w:t>©</w:t>
      </w:r>
      <w:r>
        <w:rPr>
          <w:rFonts w:ascii="Arial" w:cs="Arial" w:eastAsia="Arial" w:hAnsi="Arial"/>
          <w:sz w:val="18"/>
          <w:szCs w:val="18"/>
          <w:color w:val="auto"/>
        </w:rPr>
        <w:t xml:space="preserve"> study and the Pathfinder study increased $3.4 million along with $2.0 million of expenses related to Auryon.</w:t>
      </w:r>
    </w:p>
    <w:p>
      <w:pPr>
        <w:spacing w:after="0" w:line="1" w:lineRule="exact"/>
        <w:rPr>
          <w:rFonts w:ascii="Arial" w:cs="Arial" w:eastAsia="Arial" w:hAnsi="Arial"/>
          <w:sz w:val="18"/>
          <w:szCs w:val="18"/>
          <w:color w:val="auto"/>
        </w:rPr>
      </w:pPr>
    </w:p>
    <w:p>
      <w:pPr>
        <w:ind w:left="660" w:hanging="328"/>
        <w:spacing w:after="0"/>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Outside consultant spend and other expenses decreased $0.5 million along with decreased travel expenses of $0.2 million.</w:t>
      </w:r>
    </w:p>
    <w:p>
      <w:pPr>
        <w:spacing w:after="0" w:line="238"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u w:val="single" w:color="auto"/>
          <w:color w:val="auto"/>
        </w:rPr>
        <w:t>Sales and marketing expenses</w:t>
      </w:r>
      <w:r>
        <w:rPr>
          <w:rFonts w:ascii="Arial" w:cs="Arial" w:eastAsia="Arial" w:hAnsi="Arial"/>
          <w:sz w:val="18"/>
          <w:szCs w:val="18"/>
          <w:color w:val="auto"/>
        </w:rPr>
        <w:t xml:space="preserve"> - Sales and marketing (“S&amp;M”) expenses consist primarily of salaries, commissions, travel and related business expenses, attendance at medical society meetings, product promotions and marketing activities.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S&amp;M expense decreased $1.6 million compared to the prior year. The decrease is primarily attributable to the following:</w:t>
      </w:r>
    </w:p>
    <w:p>
      <w:pPr>
        <w:spacing w:after="0" w:line="252" w:lineRule="exact"/>
        <w:rPr>
          <w:sz w:val="20"/>
          <w:szCs w:val="20"/>
          <w:color w:val="auto"/>
        </w:rPr>
      </w:pPr>
    </w:p>
    <w:p>
      <w:pPr>
        <w:ind w:left="660" w:right="560" w:hanging="328"/>
        <w:spacing w:after="0" w:line="258" w:lineRule="auto"/>
        <w:tabs>
          <w:tab w:leader="none" w:pos="655" w:val="left"/>
        </w:tabs>
        <w:numPr>
          <w:ilvl w:val="0"/>
          <w:numId w:val="26"/>
        </w:numPr>
        <w:rPr>
          <w:rFonts w:ascii="Arial" w:cs="Arial" w:eastAsia="Arial" w:hAnsi="Arial"/>
          <w:sz w:val="18"/>
          <w:szCs w:val="18"/>
          <w:color w:val="auto"/>
        </w:rPr>
      </w:pPr>
      <w:r>
        <w:rPr>
          <w:rFonts w:ascii="Arial" w:cs="Arial" w:eastAsia="Arial" w:hAnsi="Arial"/>
          <w:sz w:val="18"/>
          <w:szCs w:val="18"/>
          <w:color w:val="auto"/>
        </w:rPr>
        <w:t>Travel expenses decreased $2.8 million due to less travel as a result of the COVID-19 pandemic. In addition, tradeshow and other expenses decreased $3.1 million due to the cancellation of events.</w:t>
      </w:r>
    </w:p>
    <w:p>
      <w:pPr>
        <w:spacing w:after="0" w:line="1" w:lineRule="exact"/>
        <w:rPr>
          <w:rFonts w:ascii="Arial" w:cs="Arial" w:eastAsia="Arial" w:hAnsi="Arial"/>
          <w:sz w:val="18"/>
          <w:szCs w:val="18"/>
          <w:color w:val="auto"/>
        </w:rPr>
      </w:pPr>
    </w:p>
    <w:p>
      <w:pPr>
        <w:ind w:left="660" w:hanging="328"/>
        <w:spacing w:after="0"/>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Compensation and benefits decreased approximately $0.4 million which is primarily the result of open roles.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Expenses related to the build-out of the Auryon sales and marketing teams to prepare for full product launch of $4.7 million.</w:t>
      </w:r>
    </w:p>
    <w:p>
      <w:pPr>
        <w:spacing w:after="0" w:line="238" w:lineRule="exact"/>
        <w:rPr>
          <w:sz w:val="20"/>
          <w:szCs w:val="20"/>
          <w:color w:val="auto"/>
        </w:rPr>
      </w:pPr>
    </w:p>
    <w:p>
      <w:pPr>
        <w:ind w:right="360"/>
        <w:spacing w:after="0" w:line="308" w:lineRule="auto"/>
        <w:rPr>
          <w:sz w:val="20"/>
          <w:szCs w:val="20"/>
          <w:color w:val="auto"/>
        </w:rPr>
      </w:pPr>
      <w:r>
        <w:rPr>
          <w:rFonts w:ascii="Arial" w:cs="Arial" w:eastAsia="Arial" w:hAnsi="Arial"/>
          <w:sz w:val="17"/>
          <w:szCs w:val="17"/>
          <w:u w:val="single" w:color="auto"/>
          <w:color w:val="auto"/>
        </w:rPr>
        <w:t>General and administrative expenses</w:t>
      </w:r>
      <w:r>
        <w:rPr>
          <w:rFonts w:ascii="Arial" w:cs="Arial" w:eastAsia="Arial" w:hAnsi="Arial"/>
          <w:sz w:val="17"/>
          <w:szCs w:val="17"/>
          <w:color w:val="auto"/>
        </w:rPr>
        <w:t xml:space="preserve"> - General and administrative (“G&amp;A”) expenses include executive management, finance, information technology, human resources, business development, legal, and the administrative and professional costs associated with those activities.</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color w:val="auto"/>
        </w:rPr>
        <w:t>G&amp;A expense decreased $1.7 million compared to the prior year. The decrease is primarily attributable to the following:</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0" w:name="page31"/>
    <w:bookmarkEnd w:id="30"/>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ind w:left="660" w:hanging="328"/>
        <w:spacing w:after="0"/>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Legal expenses decreased $1.2 million.</w:t>
      </w:r>
    </w:p>
    <w:p>
      <w:pPr>
        <w:spacing w:after="0" w:line="23" w:lineRule="exact"/>
        <w:rPr>
          <w:rFonts w:ascii="Arial" w:cs="Arial" w:eastAsia="Arial" w:hAnsi="Arial"/>
          <w:sz w:val="18"/>
          <w:szCs w:val="18"/>
          <w:color w:val="auto"/>
        </w:rPr>
      </w:pPr>
    </w:p>
    <w:p>
      <w:pPr>
        <w:ind w:left="660" w:hanging="328"/>
        <w:spacing w:after="0"/>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Travel expenses decreased $0.3 million due to less travel as a result of the COVID-19 pandemic.</w:t>
      </w:r>
    </w:p>
    <w:p>
      <w:pPr>
        <w:spacing w:after="0" w:line="247"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670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gridSpan w:val="2"/>
          </w:tcPr>
          <w:p>
            <w:pPr>
              <w:jc w:val="center"/>
              <w:ind w:right="260"/>
              <w:spacing w:after="0"/>
              <w:rPr>
                <w:sz w:val="20"/>
                <w:szCs w:val="20"/>
                <w:color w:val="auto"/>
              </w:rPr>
            </w:pPr>
            <w:r>
              <w:rPr>
                <w:rFonts w:ascii="Arial" w:cs="Arial" w:eastAsia="Arial" w:hAnsi="Arial"/>
                <w:sz w:val="14"/>
                <w:szCs w:val="14"/>
                <w:color w:val="auto"/>
                <w:w w:val="93"/>
              </w:rPr>
              <w:t>Six Months Ended</w:t>
            </w:r>
          </w:p>
        </w:tc>
        <w:tc>
          <w:tcPr>
            <w:tcW w:w="28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spacing w:after="0"/>
              <w:rPr>
                <w:sz w:val="16"/>
                <w:szCs w:val="16"/>
                <w:color w:val="auto"/>
              </w:rPr>
            </w:pPr>
          </w:p>
        </w:tc>
      </w:tr>
      <w:tr>
        <w:trPr>
          <w:trHeight w:val="186"/>
        </w:trPr>
        <w:tc>
          <w:tcPr>
            <w:tcW w:w="6700" w:type="dxa"/>
            <w:vAlign w:val="bottom"/>
          </w:tcPr>
          <w:p>
            <w:pPr>
              <w:ind w:left="20"/>
              <w:spacing w:after="0"/>
              <w:rPr>
                <w:sz w:val="20"/>
                <w:szCs w:val="20"/>
                <w:color w:val="auto"/>
              </w:rPr>
            </w:pPr>
            <w:r>
              <w:rPr>
                <w:rFonts w:ascii="Arial" w:cs="Arial" w:eastAsia="Arial" w:hAnsi="Arial"/>
                <w:sz w:val="14"/>
                <w:szCs w:val="14"/>
                <w:color w:val="auto"/>
              </w:rPr>
              <w:t>(in thousands)</w:t>
            </w:r>
          </w:p>
        </w:tc>
        <w:tc>
          <w:tcPr>
            <w:tcW w:w="220" w:type="dxa"/>
            <w:vAlign w:val="bottom"/>
          </w:tcPr>
          <w:p>
            <w:pPr>
              <w:spacing w:after="0"/>
              <w:rPr>
                <w:sz w:val="16"/>
                <w:szCs w:val="16"/>
                <w:color w:val="auto"/>
              </w:rPr>
            </w:pPr>
          </w:p>
        </w:tc>
        <w:tc>
          <w:tcPr>
            <w:tcW w:w="1320" w:type="dxa"/>
            <w:vAlign w:val="bottom"/>
            <w:gridSpan w:val="2"/>
          </w:tcPr>
          <w:p>
            <w:pPr>
              <w:ind w:left="100"/>
              <w:spacing w:after="0"/>
              <w:rPr>
                <w:sz w:val="20"/>
                <w:szCs w:val="20"/>
                <w:color w:val="auto"/>
              </w:rPr>
            </w:pPr>
            <w:r>
              <w:rPr>
                <w:rFonts w:ascii="Arial" w:cs="Arial" w:eastAsia="Arial" w:hAnsi="Arial"/>
                <w:sz w:val="14"/>
                <w:szCs w:val="14"/>
                <w:color w:val="auto"/>
              </w:rPr>
              <w:t>Nov 30, 2020</w:t>
            </w:r>
          </w:p>
        </w:tc>
        <w:tc>
          <w:tcPr>
            <w:tcW w:w="160" w:type="dxa"/>
            <w:vAlign w:val="bottom"/>
          </w:tcPr>
          <w:p>
            <w:pPr>
              <w:spacing w:after="0"/>
              <w:rPr>
                <w:sz w:val="16"/>
                <w:szCs w:val="16"/>
                <w:color w:val="auto"/>
              </w:rPr>
            </w:pPr>
          </w:p>
        </w:tc>
        <w:tc>
          <w:tcPr>
            <w:tcW w:w="1400" w:type="dxa"/>
            <w:vAlign w:val="bottom"/>
            <w:gridSpan w:val="2"/>
          </w:tcPr>
          <w:p>
            <w:pPr>
              <w:jc w:val="center"/>
              <w:ind w:right="280"/>
              <w:spacing w:after="0"/>
              <w:rPr>
                <w:sz w:val="20"/>
                <w:szCs w:val="20"/>
                <w:color w:val="auto"/>
              </w:rPr>
            </w:pPr>
            <w:r>
              <w:rPr>
                <w:rFonts w:ascii="Arial" w:cs="Arial" w:eastAsia="Arial" w:hAnsi="Arial"/>
                <w:sz w:val="14"/>
                <w:szCs w:val="14"/>
                <w:color w:val="auto"/>
                <w:w w:val="96"/>
              </w:rPr>
              <w:t>Nov 30, 2019</w:t>
            </w:r>
          </w:p>
        </w:tc>
        <w:tc>
          <w:tcPr>
            <w:tcW w:w="280" w:type="dxa"/>
            <w:vAlign w:val="bottom"/>
          </w:tcPr>
          <w:p>
            <w:pPr>
              <w:spacing w:after="0"/>
              <w:rPr>
                <w:sz w:val="16"/>
                <w:szCs w:val="16"/>
                <w:color w:val="auto"/>
              </w:rPr>
            </w:pPr>
          </w:p>
        </w:tc>
        <w:tc>
          <w:tcPr>
            <w:tcW w:w="1160" w:type="dxa"/>
            <w:vAlign w:val="bottom"/>
          </w:tcPr>
          <w:p>
            <w:pPr>
              <w:jc w:val="right"/>
              <w:ind w:right="354"/>
              <w:spacing w:after="0"/>
              <w:rPr>
                <w:sz w:val="20"/>
                <w:szCs w:val="20"/>
                <w:color w:val="auto"/>
              </w:rPr>
            </w:pPr>
            <w:r>
              <w:rPr>
                <w:rFonts w:ascii="Arial" w:cs="Arial" w:eastAsia="Arial" w:hAnsi="Arial"/>
                <w:sz w:val="14"/>
                <w:szCs w:val="14"/>
                <w:color w:val="auto"/>
              </w:rPr>
              <w:t>$ Change</w:t>
            </w:r>
          </w:p>
        </w:tc>
      </w:tr>
      <w:tr>
        <w:trPr>
          <w:trHeight w:val="226"/>
        </w:trPr>
        <w:tc>
          <w:tcPr>
            <w:tcW w:w="67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Amortization of intangibles</w:t>
            </w:r>
          </w:p>
        </w:tc>
        <w:tc>
          <w:tcPr>
            <w:tcW w:w="22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9,546</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8,398</w:t>
            </w:r>
          </w:p>
        </w:tc>
        <w:tc>
          <w:tcPr>
            <w:tcW w:w="12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1,148</w:t>
            </w:r>
          </w:p>
        </w:tc>
      </w:tr>
      <w:tr>
        <w:trPr>
          <w:trHeight w:val="230"/>
        </w:trPr>
        <w:tc>
          <w:tcPr>
            <w:tcW w:w="6700" w:type="dxa"/>
            <w:vAlign w:val="bottom"/>
          </w:tcPr>
          <w:p>
            <w:pPr>
              <w:ind w:left="20"/>
              <w:spacing w:after="0"/>
              <w:rPr>
                <w:sz w:val="20"/>
                <w:szCs w:val="20"/>
                <w:color w:val="auto"/>
              </w:rPr>
            </w:pPr>
            <w:r>
              <w:rPr>
                <w:rFonts w:ascii="Arial" w:cs="Arial" w:eastAsia="Arial" w:hAnsi="Arial"/>
                <w:sz w:val="18"/>
                <w:szCs w:val="18"/>
                <w:color w:val="auto"/>
              </w:rPr>
              <w:t>Change in fair value of contingent consideration</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(473)</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(303)</w:t>
            </w:r>
          </w:p>
        </w:tc>
        <w:tc>
          <w:tcPr>
            <w:tcW w:w="120" w:type="dxa"/>
            <w:vAlign w:val="bottom"/>
          </w:tcPr>
          <w:p>
            <w:pPr>
              <w:spacing w:after="0"/>
              <w:rPr>
                <w:sz w:val="19"/>
                <w:szCs w:val="19"/>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(170)</w:t>
            </w:r>
          </w:p>
        </w:tc>
      </w:tr>
      <w:tr>
        <w:trPr>
          <w:trHeight w:val="229"/>
        </w:trPr>
        <w:tc>
          <w:tcPr>
            <w:tcW w:w="6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Acquisition, restructuring and other items, net</w:t>
            </w: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2,447</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2,921</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(474)</w:t>
            </w:r>
          </w:p>
        </w:tc>
      </w:tr>
      <w:tr>
        <w:trPr>
          <w:trHeight w:val="230"/>
        </w:trPr>
        <w:tc>
          <w:tcPr>
            <w:tcW w:w="6700" w:type="dxa"/>
            <w:vAlign w:val="bottom"/>
          </w:tcPr>
          <w:p>
            <w:pPr>
              <w:ind w:left="20"/>
              <w:spacing w:after="0"/>
              <w:rPr>
                <w:sz w:val="20"/>
                <w:szCs w:val="20"/>
                <w:color w:val="auto"/>
              </w:rPr>
            </w:pPr>
            <w:r>
              <w:rPr>
                <w:rFonts w:ascii="Arial" w:cs="Arial" w:eastAsia="Arial" w:hAnsi="Arial"/>
                <w:sz w:val="18"/>
                <w:szCs w:val="18"/>
                <w:color w:val="auto"/>
              </w:rPr>
              <w:t>Other expense, net</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(28)</w:t>
            </w:r>
          </w:p>
        </w:tc>
        <w:tc>
          <w:tcPr>
            <w:tcW w:w="10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(442)</w:t>
            </w:r>
          </w:p>
        </w:tc>
        <w:tc>
          <w:tcPr>
            <w:tcW w:w="120" w:type="dxa"/>
            <w:vAlign w:val="bottom"/>
          </w:tcPr>
          <w:p>
            <w:pPr>
              <w:spacing w:after="0"/>
              <w:rPr>
                <w:sz w:val="20"/>
                <w:szCs w:val="20"/>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414</w:t>
            </w:r>
          </w:p>
        </w:tc>
      </w:tr>
    </w:tbl>
    <w:p>
      <w:pPr>
        <w:spacing w:after="0" w:line="336"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Amortization of intangibles</w:t>
      </w:r>
      <w:r>
        <w:rPr>
          <w:rFonts w:ascii="Arial" w:cs="Arial" w:eastAsia="Arial" w:hAnsi="Arial"/>
          <w:sz w:val="18"/>
          <w:szCs w:val="18"/>
          <w:color w:val="auto"/>
        </w:rPr>
        <w:t xml:space="preserve"> - Represents the amount of amortization expense that was taken on intangibles assets held by the Company.</w:t>
      </w:r>
    </w:p>
    <w:p>
      <w:pPr>
        <w:spacing w:after="0" w:line="252" w:lineRule="exact"/>
        <w:rPr>
          <w:sz w:val="20"/>
          <w:szCs w:val="20"/>
          <w:color w:val="auto"/>
        </w:rPr>
      </w:pPr>
    </w:p>
    <w:p>
      <w:pPr>
        <w:jc w:val="both"/>
        <w:ind w:left="660" w:right="200" w:hanging="328"/>
        <w:spacing w:after="0" w:line="263" w:lineRule="auto"/>
        <w:tabs>
          <w:tab w:leader="none" w:pos="655" w:val="left"/>
        </w:tabs>
        <w:numPr>
          <w:ilvl w:val="0"/>
          <w:numId w:val="28"/>
        </w:numPr>
        <w:rPr>
          <w:rFonts w:ascii="Arial" w:cs="Arial" w:eastAsia="Arial" w:hAnsi="Arial"/>
          <w:sz w:val="18"/>
          <w:szCs w:val="18"/>
          <w:color w:val="auto"/>
        </w:rPr>
      </w:pPr>
      <w:r>
        <w:rPr>
          <w:rFonts w:ascii="Arial" w:cs="Arial" w:eastAsia="Arial" w:hAnsi="Arial"/>
          <w:sz w:val="18"/>
          <w:szCs w:val="18"/>
          <w:color w:val="auto"/>
        </w:rPr>
        <w:t>Amortization expense increased $1.1 million compared to the prior year as a result of the Eximo Medical and C3 Wave tip location acquisitions, which increased intangible assets by $60.3 million and $9.4 million, respectively. These additions resulted in additional amortization expense of $2.4 million.</w:t>
      </w:r>
    </w:p>
    <w:p>
      <w:pPr>
        <w:spacing w:after="0" w:line="211" w:lineRule="exact"/>
        <w:rPr>
          <w:sz w:val="20"/>
          <w:szCs w:val="20"/>
          <w:color w:val="auto"/>
        </w:rPr>
      </w:pPr>
    </w:p>
    <w:p>
      <w:pPr>
        <w:ind w:right="60"/>
        <w:spacing w:after="0" w:line="308" w:lineRule="auto"/>
        <w:rPr>
          <w:sz w:val="20"/>
          <w:szCs w:val="20"/>
          <w:color w:val="auto"/>
        </w:rPr>
      </w:pPr>
      <w:r>
        <w:rPr>
          <w:rFonts w:ascii="Arial" w:cs="Arial" w:eastAsia="Arial" w:hAnsi="Arial"/>
          <w:sz w:val="17"/>
          <w:szCs w:val="17"/>
          <w:u w:val="single" w:color="auto"/>
          <w:color w:val="auto"/>
        </w:rPr>
        <w:t>Change in fair value of contingent consideration</w:t>
      </w:r>
      <w:r>
        <w:rPr>
          <w:rFonts w:ascii="Arial" w:cs="Arial" w:eastAsia="Arial" w:hAnsi="Arial"/>
          <w:sz w:val="17"/>
          <w:szCs w:val="17"/>
          <w:color w:val="auto"/>
        </w:rPr>
        <w:t xml:space="preserve"> - Represents changes in contingent consideration driven by changes to estimated future payments on earn-out liabilities created through acquisitions and amortization of present value discounts on long-term contingent consideration.</w:t>
      </w:r>
    </w:p>
    <w:p>
      <w:pPr>
        <w:spacing w:after="0" w:line="173" w:lineRule="exact"/>
        <w:rPr>
          <w:sz w:val="20"/>
          <w:szCs w:val="20"/>
          <w:color w:val="auto"/>
        </w:rPr>
      </w:pPr>
    </w:p>
    <w:p>
      <w:pPr>
        <w:ind w:left="660" w:right="180" w:hanging="328"/>
        <w:spacing w:after="0" w:line="263" w:lineRule="auto"/>
        <w:tabs>
          <w:tab w:leader="none" w:pos="655"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change from the prior year is due to a decision to no longer pursue the final RadiaDyne technical milestone, which resulted in a reduction in the liability of $0.8 million. This reduction in the fair value was offset by normal amortization of the present value of the Eximo contingent consideration recorded in the second quarter of fiscal year 2020.</w:t>
      </w:r>
    </w:p>
    <w:p>
      <w:pPr>
        <w:spacing w:after="0" w:line="211" w:lineRule="exact"/>
        <w:rPr>
          <w:sz w:val="20"/>
          <w:szCs w:val="20"/>
          <w:color w:val="auto"/>
        </w:rPr>
      </w:pPr>
    </w:p>
    <w:p>
      <w:pPr>
        <w:ind w:right="460"/>
        <w:spacing w:after="0" w:line="277" w:lineRule="auto"/>
        <w:rPr>
          <w:sz w:val="20"/>
          <w:szCs w:val="20"/>
          <w:color w:val="auto"/>
        </w:rPr>
      </w:pPr>
      <w:r>
        <w:rPr>
          <w:rFonts w:ascii="Arial" w:cs="Arial" w:eastAsia="Arial" w:hAnsi="Arial"/>
          <w:sz w:val="18"/>
          <w:szCs w:val="18"/>
          <w:u w:val="single" w:color="auto"/>
          <w:color w:val="auto"/>
        </w:rPr>
        <w:t>Acquisition, restructuring and other items, net</w:t>
      </w:r>
      <w:r>
        <w:rPr>
          <w:rFonts w:ascii="Arial" w:cs="Arial" w:eastAsia="Arial" w:hAnsi="Arial"/>
          <w:sz w:val="18"/>
          <w:szCs w:val="18"/>
          <w:color w:val="auto"/>
        </w:rPr>
        <w:t xml:space="preserve"> - Represents costs associated with mergers and acquisitions, restructuring expenses, legal costs that are related to litigation that is not in the ordinary course of business, legal settlements and other one-time items.</w:t>
      </w:r>
    </w:p>
    <w:p>
      <w:pPr>
        <w:spacing w:after="0" w:line="197" w:lineRule="exact"/>
        <w:rPr>
          <w:sz w:val="20"/>
          <w:szCs w:val="20"/>
          <w:color w:val="auto"/>
        </w:rPr>
      </w:pPr>
    </w:p>
    <w:p>
      <w:pPr>
        <w:spacing w:after="0"/>
        <w:rPr>
          <w:sz w:val="20"/>
          <w:szCs w:val="20"/>
          <w:color w:val="auto"/>
        </w:rPr>
      </w:pPr>
      <w:r>
        <w:rPr>
          <w:rFonts w:ascii="Arial" w:cs="Arial" w:eastAsia="Arial" w:hAnsi="Arial"/>
          <w:sz w:val="16"/>
          <w:szCs w:val="16"/>
          <w:color w:val="auto"/>
        </w:rPr>
        <w:t>Acquisition, restructuring and other items, net decreased by $0.5 million compared to the prior year. The decrease is primarily attributable to the following:</w:t>
      </w:r>
    </w:p>
    <w:p>
      <w:pPr>
        <w:spacing w:after="0" w:line="275" w:lineRule="exact"/>
        <w:rPr>
          <w:sz w:val="20"/>
          <w:szCs w:val="20"/>
          <w:color w:val="auto"/>
        </w:rPr>
      </w:pPr>
    </w:p>
    <w:p>
      <w:pPr>
        <w:ind w:left="660" w:right="200" w:hanging="328"/>
        <w:spacing w:after="0" w:line="258" w:lineRule="auto"/>
        <w:tabs>
          <w:tab w:leader="none" w:pos="655" w:val="left"/>
        </w:tabs>
        <w:numPr>
          <w:ilvl w:val="0"/>
          <w:numId w:val="30"/>
        </w:numPr>
        <w:rPr>
          <w:rFonts w:ascii="Arial" w:cs="Arial" w:eastAsia="Arial" w:hAnsi="Arial"/>
          <w:sz w:val="18"/>
          <w:szCs w:val="18"/>
          <w:color w:val="auto"/>
        </w:rPr>
      </w:pPr>
      <w:r>
        <w:rPr>
          <w:rFonts w:ascii="Arial" w:cs="Arial" w:eastAsia="Arial" w:hAnsi="Arial"/>
          <w:sz w:val="18"/>
          <w:szCs w:val="18"/>
          <w:color w:val="auto"/>
        </w:rPr>
        <w:t>Legal expense, related to litigation that is outside of the normal course of business, of $2.0 million was recorded in fiscal year 2021 compared to $1.4 million in the prior year.</w:t>
      </w:r>
    </w:p>
    <w:p>
      <w:pPr>
        <w:spacing w:after="0" w:line="1" w:lineRule="exact"/>
        <w:rPr>
          <w:rFonts w:ascii="Arial" w:cs="Arial" w:eastAsia="Arial" w:hAnsi="Arial"/>
          <w:sz w:val="18"/>
          <w:szCs w:val="18"/>
          <w:color w:val="auto"/>
        </w:rPr>
      </w:pPr>
    </w:p>
    <w:p>
      <w:pPr>
        <w:ind w:left="660" w:hanging="328"/>
        <w:spacing w:after="0"/>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There was no M&amp;A expense incurred in the second quarter of fiscal year 2021 compared to $0.6 million in the prior year.</w:t>
      </w:r>
    </w:p>
    <w:p>
      <w:pPr>
        <w:spacing w:after="0" w:line="9" w:lineRule="exact"/>
        <w:rPr>
          <w:rFonts w:ascii="Arial" w:cs="Arial" w:eastAsia="Arial" w:hAnsi="Arial"/>
          <w:sz w:val="18"/>
          <w:szCs w:val="18"/>
          <w:color w:val="auto"/>
        </w:rPr>
      </w:pPr>
    </w:p>
    <w:p>
      <w:pPr>
        <w:ind w:left="660" w:right="980" w:hanging="328"/>
        <w:spacing w:after="0" w:line="250" w:lineRule="auto"/>
        <w:tabs>
          <w:tab w:leader="none" w:pos="655" w:val="left"/>
        </w:tabs>
        <w:numPr>
          <w:ilvl w:val="0"/>
          <w:numId w:val="30"/>
        </w:numPr>
        <w:rPr>
          <w:rFonts w:ascii="Arial" w:cs="Arial" w:eastAsia="Arial" w:hAnsi="Arial"/>
          <w:sz w:val="18"/>
          <w:szCs w:val="18"/>
          <w:color w:val="auto"/>
        </w:rPr>
      </w:pPr>
      <w:r>
        <w:rPr>
          <w:rFonts w:ascii="Arial" w:cs="Arial" w:eastAsia="Arial" w:hAnsi="Arial"/>
          <w:sz w:val="18"/>
          <w:szCs w:val="18"/>
          <w:color w:val="auto"/>
        </w:rPr>
        <w:t>In fiscal year 2021, the Company incurred $0.4 million of expense to move manufacturing facilities as a result of the sale of the Fluid Management business compared to $1.5 million in the prior year.</w:t>
      </w:r>
    </w:p>
    <w:p>
      <w:pPr>
        <w:ind w:left="660" w:right="180" w:hanging="328"/>
        <w:spacing w:after="0" w:line="281" w:lineRule="auto"/>
        <w:tabs>
          <w:tab w:leader="none" w:pos="655" w:val="left"/>
        </w:tabs>
        <w:numPr>
          <w:ilvl w:val="0"/>
          <w:numId w:val="30"/>
        </w:numPr>
        <w:rPr>
          <w:rFonts w:ascii="Arial" w:cs="Arial" w:eastAsia="Arial" w:hAnsi="Arial"/>
          <w:sz w:val="16"/>
          <w:szCs w:val="16"/>
          <w:color w:val="auto"/>
        </w:rPr>
      </w:pPr>
      <w:r>
        <w:rPr>
          <w:rFonts w:ascii="Arial" w:cs="Arial" w:eastAsia="Arial" w:hAnsi="Arial"/>
          <w:sz w:val="16"/>
          <w:szCs w:val="16"/>
          <w:color w:val="auto"/>
        </w:rPr>
        <w:t>As part of the sale of the Fluid Management business, the Company entered into a transition services agreement with Medline for certain legal, human resource, tax, accounting and information technology services from the Company for a period not to exceed 24 months. As a result of the transition services agreement, the Company invoiced Medline $0.7 million in fiscal year 2021 compared to $1.3 million in the prior year.</w:t>
      </w:r>
    </w:p>
    <w:p>
      <w:pPr>
        <w:spacing w:after="0" w:line="1" w:lineRule="exact"/>
        <w:rPr>
          <w:rFonts w:ascii="Arial" w:cs="Arial" w:eastAsia="Arial" w:hAnsi="Arial"/>
          <w:sz w:val="16"/>
          <w:szCs w:val="16"/>
          <w:color w:val="auto"/>
        </w:rPr>
      </w:pPr>
    </w:p>
    <w:p>
      <w:pPr>
        <w:ind w:left="660" w:hanging="328"/>
        <w:spacing w:after="0"/>
        <w:tabs>
          <w:tab w:leader="none" w:pos="660" w:val="left"/>
        </w:tabs>
        <w:numPr>
          <w:ilvl w:val="0"/>
          <w:numId w:val="30"/>
        </w:numPr>
        <w:rPr>
          <w:rFonts w:ascii="Arial" w:cs="Arial" w:eastAsia="Arial" w:hAnsi="Arial"/>
          <w:sz w:val="17"/>
          <w:szCs w:val="17"/>
          <w:color w:val="auto"/>
        </w:rPr>
      </w:pPr>
      <w:r>
        <w:rPr>
          <w:rFonts w:ascii="Arial" w:cs="Arial" w:eastAsia="Arial" w:hAnsi="Arial"/>
          <w:sz w:val="17"/>
          <w:szCs w:val="17"/>
          <w:color w:val="auto"/>
        </w:rPr>
        <w:t>Other expenses of $0.8 million in consists of severance associated with organizational changes, compared to $0.8 million in the prior year.</w:t>
      </w:r>
    </w:p>
    <w:p>
      <w:pPr>
        <w:spacing w:after="0" w:line="249"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Other expense, net</w:t>
      </w:r>
      <w:r>
        <w:rPr>
          <w:rFonts w:ascii="Arial" w:cs="Arial" w:eastAsia="Arial" w:hAnsi="Arial"/>
          <w:sz w:val="17"/>
          <w:szCs w:val="17"/>
          <w:color w:val="auto"/>
        </w:rPr>
        <w:t xml:space="preserve"> - Other expenses include interest expense, foreign currency impacts, bank fees, and amortization of deferred financing costs.</w:t>
      </w:r>
    </w:p>
    <w:p>
      <w:pPr>
        <w:spacing w:after="0" w:line="264" w:lineRule="exact"/>
        <w:rPr>
          <w:sz w:val="20"/>
          <w:szCs w:val="20"/>
          <w:color w:val="auto"/>
        </w:rPr>
      </w:pPr>
    </w:p>
    <w:p>
      <w:pPr>
        <w:ind w:left="660" w:right="40" w:hanging="328"/>
        <w:spacing w:after="0" w:line="259" w:lineRule="auto"/>
        <w:tabs>
          <w:tab w:leader="none" w:pos="655"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decrease in other expense from the prior year of $0.4 million is primarily due to foreign currency unrealized gains of $0.5 million and the prior year write-off of deferred financing fees associated with the old Credit Facility of $0.6 million. This was partially offset by increased interest expense of $0.2 million for the $40.0 million outstanding on the Revolving Facility at the end of the second quarter of fiscal year 2021 compared to no debt outstanding in the prior year. In addition, interest income decreased by $0.3 million.</w:t>
      </w: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1" w:name="page32"/>
    <w:bookmarkEnd w:id="31"/>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 Benefit</w:t>
      </w:r>
    </w:p>
    <w:p>
      <w:pPr>
        <w:spacing w:after="0" w:line="45"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802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2960" w:type="dxa"/>
            <w:vAlign w:val="bottom"/>
            <w:tcBorders>
              <w:bottom w:val="single" w:sz="8" w:color="auto"/>
            </w:tcBorders>
            <w:gridSpan w:val="4"/>
          </w:tcPr>
          <w:p>
            <w:pPr>
              <w:ind w:left="820"/>
              <w:spacing w:after="0"/>
              <w:rPr>
                <w:sz w:val="20"/>
                <w:szCs w:val="20"/>
                <w:color w:val="auto"/>
              </w:rPr>
            </w:pPr>
            <w:r>
              <w:rPr>
                <w:rFonts w:ascii="Arial" w:cs="Arial" w:eastAsia="Arial" w:hAnsi="Arial"/>
                <w:sz w:val="14"/>
                <w:szCs w:val="14"/>
                <w:color w:val="auto"/>
              </w:rPr>
              <w:t>Six Months Ended</w:t>
            </w:r>
          </w:p>
        </w:tc>
      </w:tr>
      <w:tr>
        <w:trPr>
          <w:trHeight w:val="186"/>
        </w:trPr>
        <w:tc>
          <w:tcPr>
            <w:tcW w:w="8020" w:type="dxa"/>
            <w:vAlign w:val="bottom"/>
          </w:tcPr>
          <w:p>
            <w:pPr>
              <w:ind w:left="20"/>
              <w:spacing w:after="0"/>
              <w:rPr>
                <w:sz w:val="20"/>
                <w:szCs w:val="20"/>
                <w:color w:val="auto"/>
              </w:rPr>
            </w:pPr>
            <w:r>
              <w:rPr>
                <w:rFonts w:ascii="Arial" w:cs="Arial" w:eastAsia="Arial" w:hAnsi="Arial"/>
                <w:sz w:val="14"/>
                <w:szCs w:val="14"/>
                <w:color w:val="auto"/>
              </w:rPr>
              <w:t>(in thousands)</w:t>
            </w:r>
          </w:p>
        </w:tc>
        <w:tc>
          <w:tcPr>
            <w:tcW w:w="260" w:type="dxa"/>
            <w:vAlign w:val="bottom"/>
          </w:tcPr>
          <w:p>
            <w:pPr>
              <w:spacing w:after="0"/>
              <w:rPr>
                <w:sz w:val="16"/>
                <w:szCs w:val="16"/>
                <w:color w:val="auto"/>
              </w:rPr>
            </w:pPr>
          </w:p>
        </w:tc>
        <w:tc>
          <w:tcPr>
            <w:tcW w:w="1400" w:type="dxa"/>
            <w:vAlign w:val="bottom"/>
            <w:gridSpan w:val="2"/>
          </w:tcPr>
          <w:p>
            <w:pPr>
              <w:ind w:left="120"/>
              <w:spacing w:after="0"/>
              <w:rPr>
                <w:sz w:val="20"/>
                <w:szCs w:val="20"/>
                <w:color w:val="auto"/>
              </w:rPr>
            </w:pPr>
            <w:r>
              <w:rPr>
                <w:rFonts w:ascii="Arial" w:cs="Arial" w:eastAsia="Arial" w:hAnsi="Arial"/>
                <w:sz w:val="14"/>
                <w:szCs w:val="14"/>
                <w:color w:val="auto"/>
              </w:rPr>
              <w:t>Nov 30, 2020</w:t>
            </w:r>
          </w:p>
        </w:tc>
        <w:tc>
          <w:tcPr>
            <w:tcW w:w="260" w:type="dxa"/>
            <w:vAlign w:val="bottom"/>
          </w:tcPr>
          <w:p>
            <w:pPr>
              <w:spacing w:after="0"/>
              <w:rPr>
                <w:sz w:val="16"/>
                <w:szCs w:val="16"/>
                <w:color w:val="auto"/>
              </w:rPr>
            </w:pPr>
          </w:p>
        </w:tc>
        <w:tc>
          <w:tcPr>
            <w:tcW w:w="1300" w:type="dxa"/>
            <w:vAlign w:val="bottom"/>
          </w:tcPr>
          <w:p>
            <w:pPr>
              <w:ind w:left="140"/>
              <w:spacing w:after="0"/>
              <w:rPr>
                <w:sz w:val="20"/>
                <w:szCs w:val="20"/>
                <w:color w:val="auto"/>
              </w:rPr>
            </w:pPr>
            <w:r>
              <w:rPr>
                <w:rFonts w:ascii="Arial" w:cs="Arial" w:eastAsia="Arial" w:hAnsi="Arial"/>
                <w:sz w:val="14"/>
                <w:szCs w:val="14"/>
                <w:color w:val="auto"/>
              </w:rPr>
              <w:t>Nov 30, 2019</w:t>
            </w:r>
          </w:p>
        </w:tc>
      </w:tr>
      <w:tr>
        <w:trPr>
          <w:trHeight w:val="226"/>
        </w:trPr>
        <w:tc>
          <w:tcPr>
            <w:tcW w:w="80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Income tax benefit</w:t>
            </w:r>
          </w:p>
        </w:tc>
        <w:tc>
          <w:tcPr>
            <w:tcW w:w="26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300" w:type="dxa"/>
            <w:vAlign w:val="bottom"/>
            <w:tcBorders>
              <w:top w:val="single" w:sz="8" w:color="auto"/>
            </w:tcBorders>
            <w:shd w:val="clear" w:color="auto" w:fill="CCEEFF"/>
          </w:tcPr>
          <w:p>
            <w:pPr>
              <w:ind w:left="780"/>
              <w:spacing w:after="0"/>
              <w:rPr>
                <w:sz w:val="20"/>
                <w:szCs w:val="20"/>
                <w:color w:val="auto"/>
              </w:rPr>
            </w:pPr>
            <w:r>
              <w:rPr>
                <w:rFonts w:ascii="Arial" w:cs="Arial" w:eastAsia="Arial" w:hAnsi="Arial"/>
                <w:sz w:val="18"/>
                <w:szCs w:val="18"/>
                <w:color w:val="auto"/>
              </w:rPr>
              <w:t>(1.5)</w:t>
            </w:r>
          </w:p>
        </w:tc>
        <w:tc>
          <w:tcPr>
            <w:tcW w:w="10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300" w:type="dxa"/>
            <w:vAlign w:val="bottom"/>
            <w:tcBorders>
              <w:top w:val="single" w:sz="8" w:color="auto"/>
            </w:tcBorders>
            <w:shd w:val="clear" w:color="auto" w:fill="CCEEFF"/>
          </w:tcPr>
          <w:p>
            <w:pPr>
              <w:ind w:left="780"/>
              <w:spacing w:after="0"/>
              <w:rPr>
                <w:sz w:val="20"/>
                <w:szCs w:val="20"/>
                <w:color w:val="auto"/>
              </w:rPr>
            </w:pPr>
            <w:r>
              <w:rPr>
                <w:rFonts w:ascii="Arial" w:cs="Arial" w:eastAsia="Arial" w:hAnsi="Arial"/>
                <w:sz w:val="18"/>
                <w:szCs w:val="18"/>
                <w:color w:val="auto"/>
              </w:rPr>
              <w:t>(0.7)</w:t>
            </w:r>
          </w:p>
        </w:tc>
      </w:tr>
      <w:tr>
        <w:trPr>
          <w:trHeight w:val="230"/>
        </w:trPr>
        <w:tc>
          <w:tcPr>
            <w:tcW w:w="8020" w:type="dxa"/>
            <w:vAlign w:val="bottom"/>
          </w:tcPr>
          <w:p>
            <w:pPr>
              <w:ind w:left="20"/>
              <w:spacing w:after="0"/>
              <w:rPr>
                <w:sz w:val="20"/>
                <w:szCs w:val="20"/>
                <w:color w:val="auto"/>
              </w:rPr>
            </w:pPr>
            <w:r>
              <w:rPr>
                <w:rFonts w:ascii="Arial" w:cs="Arial" w:eastAsia="Arial" w:hAnsi="Arial"/>
                <w:sz w:val="18"/>
                <w:szCs w:val="18"/>
                <w:color w:val="auto"/>
              </w:rPr>
              <w:t>Effective tax rate including discrete items</w:t>
            </w:r>
          </w:p>
        </w:tc>
        <w:tc>
          <w:tcPr>
            <w:tcW w:w="260" w:type="dxa"/>
            <w:vAlign w:val="bottom"/>
          </w:tcPr>
          <w:p>
            <w:pPr>
              <w:spacing w:after="0"/>
              <w:rPr>
                <w:sz w:val="20"/>
                <w:szCs w:val="20"/>
                <w:color w:val="auto"/>
              </w:rPr>
            </w:pPr>
          </w:p>
        </w:tc>
        <w:tc>
          <w:tcPr>
            <w:tcW w:w="1300" w:type="dxa"/>
            <w:vAlign w:val="bottom"/>
          </w:tcPr>
          <w:p>
            <w:pPr>
              <w:ind w:left="760"/>
              <w:spacing w:after="0"/>
              <w:rPr>
                <w:sz w:val="20"/>
                <w:szCs w:val="20"/>
                <w:color w:val="auto"/>
              </w:rPr>
            </w:pPr>
            <w:r>
              <w:rPr>
                <w:rFonts w:ascii="Arial" w:cs="Arial" w:eastAsia="Arial" w:hAnsi="Arial"/>
                <w:sz w:val="18"/>
                <w:szCs w:val="18"/>
                <w:color w:val="auto"/>
                <w:w w:val="92"/>
              </w:rPr>
              <w:t>14.5 %</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300" w:type="dxa"/>
            <w:vAlign w:val="bottom"/>
          </w:tcPr>
          <w:p>
            <w:pPr>
              <w:ind w:left="760"/>
              <w:spacing w:after="0"/>
              <w:rPr>
                <w:sz w:val="20"/>
                <w:szCs w:val="20"/>
                <w:color w:val="auto"/>
              </w:rPr>
            </w:pPr>
            <w:r>
              <w:rPr>
                <w:rFonts w:ascii="Arial" w:cs="Arial" w:eastAsia="Arial" w:hAnsi="Arial"/>
                <w:sz w:val="18"/>
                <w:szCs w:val="18"/>
                <w:color w:val="auto"/>
                <w:w w:val="92"/>
              </w:rPr>
              <w:t>14.5 %</w:t>
            </w:r>
          </w:p>
        </w:tc>
      </w:tr>
    </w:tbl>
    <w:p>
      <w:pPr>
        <w:spacing w:after="0" w:line="336" w:lineRule="exact"/>
        <w:rPr>
          <w:sz w:val="20"/>
          <w:szCs w:val="20"/>
          <w:color w:val="auto"/>
        </w:rPr>
      </w:pPr>
    </w:p>
    <w:p>
      <w:pPr>
        <w:jc w:val="both"/>
        <w:ind w:right="20" w:firstLine="405"/>
        <w:spacing w:after="0" w:line="259" w:lineRule="auto"/>
        <w:rPr>
          <w:sz w:val="20"/>
          <w:szCs w:val="20"/>
          <w:color w:val="auto"/>
        </w:rPr>
      </w:pPr>
      <w:r>
        <w:rPr>
          <w:rFonts w:ascii="Arial" w:cs="Arial" w:eastAsia="Arial" w:hAnsi="Arial"/>
          <w:sz w:val="18"/>
          <w:szCs w:val="18"/>
          <w:color w:val="auto"/>
        </w:rPr>
        <w:t>Our effective tax rate including discrete items for the six month periods ended November 30, 2020 and 2019 was 14.5% and 14.5%, respectively. In fiscal year 2021, the Company’s effective tax rate differs from the U.S. statutory rate primarily due to the impact of the valuation allowance, foreign taxes, and other non-deductible permanent items (such as non-deductible meals and entertainment, Section 162(m) excess compensation and non-deductible share based compensation).</w:t>
      </w:r>
    </w:p>
    <w:p>
      <w:pPr>
        <w:spacing w:after="0" w:line="133" w:lineRule="exact"/>
        <w:rPr>
          <w:sz w:val="20"/>
          <w:szCs w:val="20"/>
          <w:color w:val="auto"/>
        </w:rPr>
      </w:pPr>
    </w:p>
    <w:p>
      <w:pPr>
        <w:ind w:right="220" w:firstLine="405"/>
        <w:spacing w:after="0" w:line="277" w:lineRule="auto"/>
        <w:rPr>
          <w:sz w:val="20"/>
          <w:szCs w:val="20"/>
          <w:color w:val="auto"/>
        </w:rPr>
      </w:pPr>
      <w:r>
        <w:rPr>
          <w:rFonts w:ascii="Arial" w:cs="Arial" w:eastAsia="Arial" w:hAnsi="Arial"/>
          <w:sz w:val="18"/>
          <w:szCs w:val="18"/>
          <w:color w:val="auto"/>
        </w:rPr>
        <w:t>The estimated annual effective tax rate, however, prior to discrete items was 16.1% in the second quarter of fiscal year 2021, as compared to 13.2% for the same period in fiscal year 2020.</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Liquidity and Capital Resources</w:t>
      </w:r>
    </w:p>
    <w:p>
      <w:pPr>
        <w:spacing w:after="0" w:line="171" w:lineRule="exact"/>
        <w:rPr>
          <w:sz w:val="20"/>
          <w:szCs w:val="20"/>
          <w:color w:val="auto"/>
        </w:rPr>
      </w:pPr>
    </w:p>
    <w:p>
      <w:pPr>
        <w:ind w:right="140" w:firstLine="405"/>
        <w:spacing w:after="0" w:line="279" w:lineRule="auto"/>
        <w:rPr>
          <w:sz w:val="20"/>
          <w:szCs w:val="20"/>
          <w:color w:val="auto"/>
        </w:rPr>
      </w:pPr>
      <w:r>
        <w:rPr>
          <w:rFonts w:ascii="Arial" w:cs="Arial" w:eastAsia="Arial" w:hAnsi="Arial"/>
          <w:sz w:val="17"/>
          <w:szCs w:val="17"/>
          <w:color w:val="auto"/>
        </w:rPr>
        <w:t>We are continuously and critically reviewing our liquidity and anticipated capital requirements in light of the significant uncertainty created by the COVID-19 global pandemic. We believe that our current cash on hand and availability under our revolving credit facility provide sufficient liquidity to meet our anticipated needs for capital for at least the next 12 months. We are closely monitoring receivables and payables. In addition, we believe that our recently increased inventory levels provide additional risk mitigation in the event we incur a manufacturing disruption.</w:t>
      </w:r>
    </w:p>
    <w:p>
      <w:pPr>
        <w:spacing w:after="0" w:line="117" w:lineRule="exact"/>
        <w:rPr>
          <w:sz w:val="20"/>
          <w:szCs w:val="20"/>
          <w:color w:val="auto"/>
        </w:rPr>
      </w:pPr>
    </w:p>
    <w:p>
      <w:pPr>
        <w:jc w:val="both"/>
        <w:ind w:right="40" w:firstLine="405"/>
        <w:spacing w:after="0" w:line="263" w:lineRule="auto"/>
        <w:rPr>
          <w:sz w:val="20"/>
          <w:szCs w:val="20"/>
          <w:color w:val="auto"/>
        </w:rPr>
      </w:pPr>
      <w:r>
        <w:rPr>
          <w:rFonts w:ascii="Arial" w:cs="Arial" w:eastAsia="Arial" w:hAnsi="Arial"/>
          <w:sz w:val="18"/>
          <w:szCs w:val="18"/>
          <w:color w:val="auto"/>
        </w:rPr>
        <w:t>Our cash and cash equivalents totaled $58.0 million as of November 30, 2020, compared with $54.4 million as of May 31, 2020. As of November 30, 2020 and May 31, 2020, total debt outstanding related to the Revolving Facility was $40.0 million. The fair value of contingent consideration liability as of November 30, 2020 and May 31, 2020, was $15.2 million and $15.6 million, respectively.</w:t>
      </w:r>
    </w:p>
    <w:p>
      <w:pPr>
        <w:spacing w:after="0" w:line="13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table below summarizes our cash flows: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826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2760" w:type="dxa"/>
            <w:vAlign w:val="bottom"/>
            <w:tcBorders>
              <w:bottom w:val="single" w:sz="8" w:color="auto"/>
            </w:tcBorders>
            <w:gridSpan w:val="4"/>
          </w:tcPr>
          <w:p>
            <w:pPr>
              <w:jc w:val="right"/>
              <w:ind w:right="853"/>
              <w:spacing w:after="0"/>
              <w:rPr>
                <w:sz w:val="20"/>
                <w:szCs w:val="20"/>
                <w:color w:val="auto"/>
              </w:rPr>
            </w:pPr>
            <w:r>
              <w:rPr>
                <w:rFonts w:ascii="Arial" w:cs="Arial" w:eastAsia="Arial" w:hAnsi="Arial"/>
                <w:sz w:val="14"/>
                <w:szCs w:val="14"/>
                <w:color w:val="auto"/>
              </w:rPr>
              <w:t>Six Months Ended</w:t>
            </w:r>
          </w:p>
        </w:tc>
      </w:tr>
      <w:tr>
        <w:trPr>
          <w:trHeight w:val="186"/>
        </w:trPr>
        <w:tc>
          <w:tcPr>
            <w:tcW w:w="8260" w:type="dxa"/>
            <w:vAlign w:val="bottom"/>
          </w:tcPr>
          <w:p>
            <w:pPr>
              <w:ind w:left="20"/>
              <w:spacing w:after="0"/>
              <w:rPr>
                <w:sz w:val="20"/>
                <w:szCs w:val="20"/>
                <w:color w:val="auto"/>
              </w:rPr>
            </w:pPr>
            <w:r>
              <w:rPr>
                <w:rFonts w:ascii="Arial" w:cs="Arial" w:eastAsia="Arial" w:hAnsi="Arial"/>
                <w:sz w:val="14"/>
                <w:szCs w:val="14"/>
                <w:color w:val="auto"/>
              </w:rPr>
              <w:t>(in thousands)</w:t>
            </w:r>
          </w:p>
        </w:tc>
        <w:tc>
          <w:tcPr>
            <w:tcW w:w="220" w:type="dxa"/>
            <w:vAlign w:val="bottom"/>
          </w:tcPr>
          <w:p>
            <w:pPr>
              <w:spacing w:after="0"/>
              <w:rPr>
                <w:sz w:val="16"/>
                <w:szCs w:val="16"/>
                <w:color w:val="auto"/>
              </w:rPr>
            </w:pPr>
          </w:p>
        </w:tc>
        <w:tc>
          <w:tcPr>
            <w:tcW w:w="1320" w:type="dxa"/>
            <w:vAlign w:val="bottom"/>
            <w:gridSpan w:val="2"/>
          </w:tcPr>
          <w:p>
            <w:pPr>
              <w:ind w:left="120"/>
              <w:spacing w:after="0"/>
              <w:rPr>
                <w:sz w:val="20"/>
                <w:szCs w:val="20"/>
                <w:color w:val="auto"/>
              </w:rPr>
            </w:pPr>
            <w:r>
              <w:rPr>
                <w:rFonts w:ascii="Arial" w:cs="Arial" w:eastAsia="Arial" w:hAnsi="Arial"/>
                <w:sz w:val="14"/>
                <w:szCs w:val="14"/>
                <w:color w:val="auto"/>
              </w:rPr>
              <w:t>Nov 30, 2020</w:t>
            </w:r>
          </w:p>
        </w:tc>
        <w:tc>
          <w:tcPr>
            <w:tcW w:w="220" w:type="dxa"/>
            <w:vAlign w:val="bottom"/>
          </w:tcPr>
          <w:p>
            <w:pPr>
              <w:spacing w:after="0"/>
              <w:rPr>
                <w:sz w:val="16"/>
                <w:szCs w:val="16"/>
                <w:color w:val="auto"/>
              </w:rPr>
            </w:pPr>
          </w:p>
        </w:tc>
        <w:tc>
          <w:tcPr>
            <w:tcW w:w="1220" w:type="dxa"/>
            <w:vAlign w:val="bottom"/>
          </w:tcPr>
          <w:p>
            <w:pPr>
              <w:jc w:val="right"/>
              <w:ind w:right="233"/>
              <w:spacing w:after="0"/>
              <w:rPr>
                <w:sz w:val="20"/>
                <w:szCs w:val="20"/>
                <w:color w:val="auto"/>
              </w:rPr>
            </w:pPr>
            <w:r>
              <w:rPr>
                <w:rFonts w:ascii="Arial" w:cs="Arial" w:eastAsia="Arial" w:hAnsi="Arial"/>
                <w:sz w:val="14"/>
                <w:szCs w:val="14"/>
                <w:color w:val="auto"/>
              </w:rPr>
              <w:t>Nov 30, 2019</w:t>
            </w:r>
          </w:p>
        </w:tc>
      </w:tr>
      <w:tr>
        <w:trPr>
          <w:trHeight w:val="213"/>
        </w:trPr>
        <w:tc>
          <w:tcPr>
            <w:tcW w:w="82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Cash provided by (used in):</w:t>
            </w:r>
          </w:p>
        </w:tc>
        <w:tc>
          <w:tcPr>
            <w:tcW w:w="220" w:type="dxa"/>
            <w:vAlign w:val="bottom"/>
            <w:tcBorders>
              <w:top w:val="single" w:sz="8" w:color="auto"/>
            </w:tcBorders>
            <w:shd w:val="clear" w:color="auto" w:fill="CCEEFF"/>
          </w:tcPr>
          <w:p>
            <w:pPr>
              <w:spacing w:after="0"/>
              <w:rPr>
                <w:sz w:val="18"/>
                <w:szCs w:val="18"/>
                <w:color w:val="auto"/>
              </w:rPr>
            </w:pPr>
          </w:p>
        </w:tc>
        <w:tc>
          <w:tcPr>
            <w:tcW w:w="12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1220" w:type="dxa"/>
            <w:vAlign w:val="bottom"/>
            <w:tcBorders>
              <w:top w:val="single" w:sz="8" w:color="auto"/>
            </w:tcBorders>
            <w:shd w:val="clear" w:color="auto" w:fill="CCEEFF"/>
          </w:tcPr>
          <w:p>
            <w:pPr>
              <w:spacing w:after="0"/>
              <w:rPr>
                <w:sz w:val="18"/>
                <w:szCs w:val="18"/>
                <w:color w:val="auto"/>
              </w:rPr>
            </w:pPr>
          </w:p>
        </w:tc>
      </w:tr>
      <w:tr>
        <w:trPr>
          <w:trHeight w:val="230"/>
        </w:trPr>
        <w:tc>
          <w:tcPr>
            <w:tcW w:w="8260" w:type="dxa"/>
            <w:vAlign w:val="bottom"/>
          </w:tcPr>
          <w:p>
            <w:pPr>
              <w:ind w:left="20"/>
              <w:spacing w:after="0"/>
              <w:rPr>
                <w:sz w:val="20"/>
                <w:szCs w:val="20"/>
                <w:color w:val="auto"/>
              </w:rPr>
            </w:pPr>
            <w:r>
              <w:rPr>
                <w:rFonts w:ascii="Arial" w:cs="Arial" w:eastAsia="Arial" w:hAnsi="Arial"/>
                <w:sz w:val="18"/>
                <w:szCs w:val="18"/>
                <w:color w:val="auto"/>
              </w:rPr>
              <w:t>Operating activities</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6,023</w:t>
            </w:r>
          </w:p>
        </w:tc>
        <w:tc>
          <w:tcPr>
            <w:tcW w:w="100" w:type="dxa"/>
            <w:vAlign w:val="bottom"/>
          </w:tcPr>
          <w:p>
            <w:pPr>
              <w:spacing w:after="0"/>
              <w:rPr>
                <w:sz w:val="19"/>
                <w:szCs w:val="19"/>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(597)</w:t>
            </w:r>
          </w:p>
        </w:tc>
      </w:tr>
      <w:tr>
        <w:trPr>
          <w:trHeight w:val="229"/>
        </w:trPr>
        <w:tc>
          <w:tcPr>
            <w:tcW w:w="826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Investing activities</w:t>
            </w: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(3,185)</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(50,124)</w:t>
            </w:r>
          </w:p>
        </w:tc>
      </w:tr>
      <w:tr>
        <w:trPr>
          <w:trHeight w:val="230"/>
        </w:trPr>
        <w:tc>
          <w:tcPr>
            <w:tcW w:w="8260" w:type="dxa"/>
            <w:vAlign w:val="bottom"/>
          </w:tcPr>
          <w:p>
            <w:pPr>
              <w:ind w:left="20"/>
              <w:spacing w:after="0"/>
              <w:rPr>
                <w:sz w:val="20"/>
                <w:szCs w:val="20"/>
                <w:color w:val="auto"/>
              </w:rPr>
            </w:pPr>
            <w:r>
              <w:rPr>
                <w:rFonts w:ascii="Arial" w:cs="Arial" w:eastAsia="Arial" w:hAnsi="Arial"/>
                <w:sz w:val="18"/>
                <w:szCs w:val="18"/>
                <w:color w:val="auto"/>
              </w:rPr>
              <w:t>Financing activities</w:t>
            </w:r>
          </w:p>
        </w:tc>
        <w:tc>
          <w:tcPr>
            <w:tcW w:w="2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481</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(135,749)</w:t>
            </w:r>
          </w:p>
        </w:tc>
      </w:tr>
      <w:tr>
        <w:trPr>
          <w:trHeight w:val="230"/>
        </w:trPr>
        <w:tc>
          <w:tcPr>
            <w:tcW w:w="8260" w:type="dxa"/>
            <w:vAlign w:val="bottom"/>
            <w:shd w:val="clear" w:color="auto" w:fill="CCEEFF"/>
          </w:tcPr>
          <w:p>
            <w:pPr>
              <w:ind w:left="20"/>
              <w:spacing w:after="0"/>
              <w:rPr>
                <w:sz w:val="20"/>
                <w:szCs w:val="20"/>
                <w:color w:val="auto"/>
              </w:rPr>
            </w:pPr>
            <w:r>
              <w:rPr>
                <w:rFonts w:ascii="Arial" w:cs="Arial" w:eastAsia="Arial" w:hAnsi="Arial"/>
                <w:sz w:val="18"/>
                <w:szCs w:val="18"/>
                <w:color w:val="auto"/>
              </w:rPr>
              <w:t>Effect of exchange rate changes on cash and cash equivalents</w:t>
            </w:r>
          </w:p>
        </w:tc>
        <w:tc>
          <w:tcPr>
            <w:tcW w:w="22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271</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76</w:t>
            </w:r>
          </w:p>
        </w:tc>
      </w:tr>
      <w:tr>
        <w:trPr>
          <w:trHeight w:val="223"/>
        </w:trPr>
        <w:tc>
          <w:tcPr>
            <w:tcW w:w="8260" w:type="dxa"/>
            <w:vAlign w:val="bottom"/>
          </w:tcPr>
          <w:p>
            <w:pPr>
              <w:ind w:left="20"/>
              <w:spacing w:after="0"/>
              <w:rPr>
                <w:sz w:val="20"/>
                <w:szCs w:val="20"/>
                <w:color w:val="auto"/>
              </w:rPr>
            </w:pPr>
            <w:r>
              <w:rPr>
                <w:rFonts w:ascii="Arial" w:cs="Arial" w:eastAsia="Arial" w:hAnsi="Arial"/>
                <w:sz w:val="18"/>
                <w:szCs w:val="18"/>
                <w:color w:val="auto"/>
              </w:rPr>
              <w:t>Net change in cash and cash equivalents</w:t>
            </w:r>
          </w:p>
        </w:tc>
        <w:tc>
          <w:tcPr>
            <w:tcW w:w="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3,590</w:t>
            </w:r>
          </w:p>
        </w:tc>
        <w:tc>
          <w:tcPr>
            <w:tcW w:w="100" w:type="dxa"/>
            <w:vAlign w:val="bottom"/>
          </w:tcPr>
          <w:p>
            <w:pPr>
              <w:spacing w:after="0"/>
              <w:rPr>
                <w:sz w:val="19"/>
                <w:szCs w:val="19"/>
                <w:color w:val="auto"/>
              </w:rPr>
            </w:pPr>
          </w:p>
        </w:tc>
        <w:tc>
          <w:tcPr>
            <w:tcW w:w="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(186,394)</w:t>
            </w:r>
          </w:p>
        </w:tc>
      </w:tr>
      <w:tr>
        <w:trPr>
          <w:trHeight w:val="20"/>
        </w:trPr>
        <w:tc>
          <w:tcPr>
            <w:tcW w:w="82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spacing w:after="0"/>
        <w:rPr>
          <w:sz w:val="20"/>
          <w:szCs w:val="20"/>
          <w:color w:val="auto"/>
        </w:rPr>
      </w:pPr>
      <w:r>
        <w:rPr>
          <w:rFonts w:ascii="Arial" w:cs="Arial" w:eastAsia="Arial" w:hAnsi="Arial"/>
          <w:sz w:val="18"/>
          <w:szCs w:val="18"/>
          <w:color w:val="auto"/>
        </w:rPr>
        <w:t>Cash flows consisted of the following:</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Cash provided by (used in) operating activities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Six months ended November 30, 2020:</w:t>
      </w:r>
    </w:p>
    <w:p>
      <w:pPr>
        <w:spacing w:after="0" w:line="171" w:lineRule="exact"/>
        <w:rPr>
          <w:sz w:val="20"/>
          <w:szCs w:val="20"/>
          <w:color w:val="auto"/>
        </w:rPr>
      </w:pPr>
    </w:p>
    <w:p>
      <w:pPr>
        <w:ind w:left="1100" w:right="300" w:hanging="323"/>
        <w:spacing w:after="0" w:line="258" w:lineRule="auto"/>
        <w:tabs>
          <w:tab w:leader="none" w:pos="1095" w:val="left"/>
        </w:tabs>
        <w:numPr>
          <w:ilvl w:val="0"/>
          <w:numId w:val="32"/>
        </w:numPr>
        <w:rPr>
          <w:rFonts w:ascii="Arial" w:cs="Arial" w:eastAsia="Arial" w:hAnsi="Arial"/>
          <w:sz w:val="18"/>
          <w:szCs w:val="18"/>
          <w:color w:val="auto"/>
        </w:rPr>
      </w:pPr>
      <w:r>
        <w:rPr>
          <w:rFonts w:ascii="Arial" w:cs="Arial" w:eastAsia="Arial" w:hAnsi="Arial"/>
          <w:sz w:val="18"/>
          <w:szCs w:val="18"/>
          <w:color w:val="auto"/>
        </w:rPr>
        <w:t>Net loss of $8.5 million plus the non-cash items, primarily driven by depreciation and amortization and share based compensation, along with the changes in working capital below, contributed to cash provided by operations of $6.0 million.</w:t>
      </w:r>
    </w:p>
    <w:p>
      <w:pPr>
        <w:spacing w:after="0" w:line="1" w:lineRule="exact"/>
        <w:rPr>
          <w:rFonts w:ascii="Arial" w:cs="Arial" w:eastAsia="Arial" w:hAnsi="Arial"/>
          <w:sz w:val="18"/>
          <w:szCs w:val="18"/>
          <w:color w:val="auto"/>
        </w:rPr>
      </w:pPr>
    </w:p>
    <w:p>
      <w:pPr>
        <w:ind w:left="1100" w:right="240" w:hanging="323"/>
        <w:spacing w:after="0" w:line="260" w:lineRule="auto"/>
        <w:tabs>
          <w:tab w:leader="none" w:pos="1095" w:val="left"/>
        </w:tabs>
        <w:numPr>
          <w:ilvl w:val="0"/>
          <w:numId w:val="32"/>
        </w:numPr>
        <w:rPr>
          <w:rFonts w:ascii="Arial" w:cs="Arial" w:eastAsia="Arial" w:hAnsi="Arial"/>
          <w:sz w:val="18"/>
          <w:szCs w:val="18"/>
          <w:color w:val="auto"/>
        </w:rPr>
      </w:pPr>
      <w:r>
        <w:rPr>
          <w:rFonts w:ascii="Arial" w:cs="Arial" w:eastAsia="Arial" w:hAnsi="Arial"/>
          <w:sz w:val="18"/>
          <w:szCs w:val="18"/>
          <w:color w:val="auto"/>
        </w:rPr>
        <w:t>Working capital was favorably impacted by decreased inventory on hand of $10.5 million. This was partially offset by increased accounts receivable of $2.3 million and decreased accounts payable and accrued liabilities of $3.8 million.</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color w:val="auto"/>
        </w:rPr>
        <w:t>Six months ended November 30, 2019:</w:t>
      </w:r>
    </w:p>
    <w:p>
      <w:pPr>
        <w:spacing w:after="0" w:line="171" w:lineRule="exact"/>
        <w:rPr>
          <w:sz w:val="20"/>
          <w:szCs w:val="20"/>
          <w:color w:val="auto"/>
        </w:rPr>
      </w:pPr>
    </w:p>
    <w:p>
      <w:pPr>
        <w:ind w:left="1100" w:hanging="323"/>
        <w:spacing w:after="0" w:line="258" w:lineRule="auto"/>
        <w:tabs>
          <w:tab w:leader="none" w:pos="1095" w:val="left"/>
        </w:tabs>
        <w:numPr>
          <w:ilvl w:val="0"/>
          <w:numId w:val="33"/>
        </w:numPr>
        <w:rPr>
          <w:rFonts w:ascii="Arial" w:cs="Arial" w:eastAsia="Arial" w:hAnsi="Arial"/>
          <w:sz w:val="18"/>
          <w:szCs w:val="18"/>
          <w:color w:val="auto"/>
        </w:rPr>
      </w:pPr>
      <w:r>
        <w:rPr>
          <w:rFonts w:ascii="Arial" w:cs="Arial" w:eastAsia="Arial" w:hAnsi="Arial"/>
          <w:sz w:val="18"/>
          <w:szCs w:val="18"/>
          <w:color w:val="auto"/>
        </w:rPr>
        <w:t>Net loss of $4.0 million plus the non-cash items, primarily driven by depreciation and amortization, contributed to cash used in operations of $0.6 million.</w:t>
      </w:r>
    </w:p>
    <w:p>
      <w:pPr>
        <w:spacing w:after="0" w:line="1" w:lineRule="exact"/>
        <w:rPr>
          <w:rFonts w:ascii="Arial" w:cs="Arial" w:eastAsia="Arial" w:hAnsi="Arial"/>
          <w:sz w:val="18"/>
          <w:szCs w:val="18"/>
          <w:color w:val="auto"/>
        </w:rPr>
      </w:pPr>
    </w:p>
    <w:p>
      <w:pPr>
        <w:ind w:left="1100" w:right="300" w:hanging="323"/>
        <w:spacing w:after="0" w:line="255" w:lineRule="auto"/>
        <w:tabs>
          <w:tab w:leader="none" w:pos="1095" w:val="left"/>
        </w:tabs>
        <w:numPr>
          <w:ilvl w:val="0"/>
          <w:numId w:val="33"/>
        </w:numPr>
        <w:rPr>
          <w:rFonts w:ascii="Arial" w:cs="Arial" w:eastAsia="Arial" w:hAnsi="Arial"/>
          <w:sz w:val="18"/>
          <w:szCs w:val="18"/>
          <w:color w:val="auto"/>
        </w:rPr>
      </w:pPr>
      <w:r>
        <w:rPr>
          <w:rFonts w:ascii="Arial" w:cs="Arial" w:eastAsia="Arial" w:hAnsi="Arial"/>
          <w:sz w:val="18"/>
          <w:szCs w:val="18"/>
          <w:color w:val="auto"/>
        </w:rPr>
        <w:t>Working capital was negatively impacted by increased inventory on hand of $10.0 million and decreased accounts payable and accrued liabilities of $8.8 million. Accounts receivable had a favorable impact on working capital as a result of the sale of the Fluid Management business.</w:t>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2" w:name="page33"/>
    <w:bookmarkEnd w:id="32"/>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Cash used in investing activities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Six months ended November 30, 2020 and 2019:</w:t>
      </w:r>
    </w:p>
    <w:p>
      <w:pPr>
        <w:spacing w:after="0" w:line="171" w:lineRule="exact"/>
        <w:rPr>
          <w:sz w:val="20"/>
          <w:szCs w:val="20"/>
          <w:color w:val="auto"/>
        </w:rPr>
      </w:pPr>
    </w:p>
    <w:p>
      <w:pPr>
        <w:ind w:left="1100" w:hanging="323"/>
        <w:spacing w:after="0"/>
        <w:tabs>
          <w:tab w:leader="none" w:pos="11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$3.2 million in fixed asset additions versus $4.0 million in the prior year.</w:t>
      </w:r>
    </w:p>
    <w:p>
      <w:pPr>
        <w:spacing w:after="0" w:line="23" w:lineRule="exact"/>
        <w:rPr>
          <w:rFonts w:ascii="Arial" w:cs="Arial" w:eastAsia="Arial" w:hAnsi="Arial"/>
          <w:sz w:val="18"/>
          <w:szCs w:val="18"/>
          <w:color w:val="auto"/>
        </w:rPr>
      </w:pPr>
    </w:p>
    <w:p>
      <w:pPr>
        <w:ind w:left="1100" w:hanging="323"/>
        <w:spacing w:after="0"/>
        <w:tabs>
          <w:tab w:leader="none" w:pos="11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$45.8 million cash payment to acquire Eximo Medical Ltd. in the second quarter of fiscal year 2020.</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Cash provided by (used in) financing activities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Six months ended November 30, 2020 and 2019:</w:t>
      </w:r>
    </w:p>
    <w:p>
      <w:pPr>
        <w:spacing w:after="0" w:line="171" w:lineRule="exact"/>
        <w:rPr>
          <w:sz w:val="20"/>
          <w:szCs w:val="20"/>
          <w:color w:val="auto"/>
        </w:rPr>
      </w:pPr>
    </w:p>
    <w:p>
      <w:pPr>
        <w:ind w:left="1100" w:right="40" w:hanging="323"/>
        <w:spacing w:after="0" w:line="258" w:lineRule="auto"/>
        <w:tabs>
          <w:tab w:leader="none" w:pos="1095" w:val="left"/>
        </w:tabs>
        <w:numPr>
          <w:ilvl w:val="0"/>
          <w:numId w:val="35"/>
        </w:numPr>
        <w:rPr>
          <w:rFonts w:ascii="Arial" w:cs="Arial" w:eastAsia="Arial" w:hAnsi="Arial"/>
          <w:sz w:val="18"/>
          <w:szCs w:val="18"/>
          <w:color w:val="auto"/>
        </w:rPr>
      </w:pPr>
      <w:r>
        <w:rPr>
          <w:rFonts w:ascii="Arial" w:cs="Arial" w:eastAsia="Arial" w:hAnsi="Arial"/>
          <w:sz w:val="18"/>
          <w:szCs w:val="18"/>
          <w:color w:val="auto"/>
        </w:rPr>
        <w:t>$132.5 million repayment of long-term debt in conjunction with the new Credit Agreement that was entered into at the beginning of the first quarter of fiscal year 2020. Refer to Note 7 of the financial statements.</w:t>
      </w:r>
    </w:p>
    <w:p>
      <w:pPr>
        <w:spacing w:after="0" w:line="1" w:lineRule="exact"/>
        <w:rPr>
          <w:rFonts w:ascii="Arial" w:cs="Arial" w:eastAsia="Arial" w:hAnsi="Arial"/>
          <w:sz w:val="18"/>
          <w:szCs w:val="18"/>
          <w:color w:val="auto"/>
        </w:rPr>
      </w:pPr>
    </w:p>
    <w:p>
      <w:pPr>
        <w:ind w:left="1100" w:hanging="323"/>
        <w:spacing w:after="0"/>
        <w:tabs>
          <w:tab w:leader="none" w:pos="11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$0.5 million of proceeds from stock option and ESPP activity versus $1.3 million in outlays in the prior year.</w:t>
      </w:r>
    </w:p>
    <w:p>
      <w:pPr>
        <w:spacing w:after="0" w:line="9" w:lineRule="exact"/>
        <w:rPr>
          <w:rFonts w:ascii="Arial" w:cs="Arial" w:eastAsia="Arial" w:hAnsi="Arial"/>
          <w:sz w:val="18"/>
          <w:szCs w:val="18"/>
          <w:color w:val="auto"/>
        </w:rPr>
      </w:pPr>
    </w:p>
    <w:p>
      <w:pPr>
        <w:ind w:left="1100" w:hanging="323"/>
        <w:spacing w:after="0"/>
        <w:tabs>
          <w:tab w:leader="none" w:pos="11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$1.2 million payment on earn-out liabilities in the prior year.</w:t>
      </w:r>
    </w:p>
    <w:p>
      <w:pPr>
        <w:spacing w:after="0" w:line="157" w:lineRule="exact"/>
        <w:rPr>
          <w:sz w:val="20"/>
          <w:szCs w:val="20"/>
          <w:color w:val="auto"/>
        </w:rPr>
      </w:pPr>
    </w:p>
    <w:p>
      <w:pPr>
        <w:ind w:right="60" w:firstLine="405"/>
        <w:spacing w:after="0" w:line="271" w:lineRule="auto"/>
        <w:rPr>
          <w:sz w:val="20"/>
          <w:szCs w:val="20"/>
          <w:color w:val="auto"/>
        </w:rPr>
      </w:pPr>
      <w:r>
        <w:rPr>
          <w:rFonts w:ascii="Arial" w:cs="Arial" w:eastAsia="Arial" w:hAnsi="Arial"/>
          <w:sz w:val="17"/>
          <w:szCs w:val="17"/>
          <w:color w:val="auto"/>
        </w:rPr>
        <w:t>On June 3, 2019 and in connection with the completion of the Fluid Management divestiture, the Company repaid all amounts outstanding under its existing Credit Agreement and entered into a new Credit Agreement. The Credit Agreement provides for a $125.0 million secured Revolving Facility, which includes an uncommitted expansion feature that allows the Company to increase the total revolving commitments and/or add new tranches of term loans in an aggregate amount not to exceed $75.0 million. The Credit Agreement includes customary representations, warranties and covenants, and acceleration, indemnity and events of default provisions, including, among other things, two financial covenants. One financial covenant requires us to maintain a fixed charge coverage ratio of not less than 1.25 to 1.00. The other financial covenant requires us to maintain a total leverage ratio of not greater than 3.00 to 1.00. The total leverage ratio is based upon our trailing twelve months total adjusted EBITDA (as defined in the Credit Agreement). The amount that we can borrow under our Credit Agreement is directly based on our leverage ratio.</w:t>
      </w:r>
    </w:p>
    <w:p>
      <w:pPr>
        <w:spacing w:after="0" w:line="124" w:lineRule="exact"/>
        <w:rPr>
          <w:sz w:val="20"/>
          <w:szCs w:val="20"/>
          <w:color w:val="auto"/>
        </w:rPr>
      </w:pPr>
    </w:p>
    <w:p>
      <w:pPr>
        <w:ind w:firstLine="405"/>
        <w:spacing w:after="0" w:line="255" w:lineRule="auto"/>
        <w:rPr>
          <w:sz w:val="20"/>
          <w:szCs w:val="20"/>
          <w:color w:val="auto"/>
        </w:rPr>
      </w:pPr>
      <w:r>
        <w:rPr>
          <w:rFonts w:ascii="Arial" w:cs="Arial" w:eastAsia="Arial" w:hAnsi="Arial"/>
          <w:sz w:val="18"/>
          <w:szCs w:val="18"/>
          <w:color w:val="auto"/>
        </w:rPr>
        <w:t>On December 17, 2019, the Company made a $15.0 million draw on the Revolving Facility as part of the acquisition of the C3 Wave tip location asset from Medical Components Inc. that is described Note 2 to the financial statements. In the fourth quarter of fiscal year 2020, the Company made an additional $25.0 million draw on the Revolving Facility. In December 2020, a payment of $10.0 million was made on the Revolving Facility. We believe that our current cash balance, together with cash generated from operations and access to our Revolving Facility, will provide sufficient liquidity to meet our anticipated needs for capital for at least the next 12 months. If we seek to make significant acquisitions of other businesses or technologies in the future for cash, we may require external financing.</w:t>
      </w: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3" w:name="page34"/>
    <w:bookmarkEnd w:id="33"/>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Foreign Currency Exchange Rate Risk</w:t>
      </w:r>
    </w:p>
    <w:p>
      <w:pPr>
        <w:spacing w:after="0" w:line="171" w:lineRule="exact"/>
        <w:rPr>
          <w:sz w:val="20"/>
          <w:szCs w:val="20"/>
          <w:color w:val="auto"/>
        </w:rPr>
      </w:pPr>
    </w:p>
    <w:p>
      <w:pPr>
        <w:ind w:firstLine="405"/>
        <w:spacing w:after="0" w:line="277" w:lineRule="auto"/>
        <w:rPr>
          <w:sz w:val="20"/>
          <w:szCs w:val="20"/>
          <w:color w:val="auto"/>
        </w:rPr>
      </w:pPr>
      <w:r>
        <w:rPr>
          <w:rFonts w:ascii="Arial" w:cs="Arial" w:eastAsia="Arial" w:hAnsi="Arial"/>
          <w:sz w:val="18"/>
          <w:szCs w:val="18"/>
          <w:color w:val="auto"/>
        </w:rPr>
        <w:t>We are exposed to market risk from changes in currency exchange rates, as well as interest rate fluctuations on our credit facility and investments that could impact our results of operations and financial position.</w:t>
      </w:r>
    </w:p>
    <w:p>
      <w:pPr>
        <w:spacing w:after="0" w:line="116" w:lineRule="exact"/>
        <w:rPr>
          <w:sz w:val="20"/>
          <w:szCs w:val="20"/>
          <w:color w:val="auto"/>
        </w:rPr>
      </w:pPr>
    </w:p>
    <w:p>
      <w:pPr>
        <w:ind w:right="20" w:firstLine="405"/>
        <w:spacing w:after="0" w:line="255" w:lineRule="auto"/>
        <w:rPr>
          <w:sz w:val="20"/>
          <w:szCs w:val="20"/>
          <w:color w:val="auto"/>
        </w:rPr>
      </w:pPr>
      <w:r>
        <w:rPr>
          <w:rFonts w:ascii="Arial" w:cs="Arial" w:eastAsia="Arial" w:hAnsi="Arial"/>
          <w:sz w:val="18"/>
          <w:szCs w:val="18"/>
          <w:color w:val="auto"/>
        </w:rPr>
        <w:t>We transact sales in currencies other than the U.S. Dollar, particularly the Euro, British pound and Canadian dollar. Approximately 6% of our sales in fiscal year 2021 were denominated in foreign currencies. We do not have expenses denominated in foreign currencies at the level of our sales and as a result, our profitability is exposed to currency fluctuations. When the U.S. Dollar strengthens, our sales and gross profit will be negatively impacted. In addition, we have assets and liabilities denominated in non-functional currencies which are remeasured at each reporting period, with the offset to changes presented as a component of Other (Expenses) Income. Significant non-functional balances include accounts receivable due from a sub-section of our international customers.</w:t>
      </w:r>
    </w:p>
    <w:p>
      <w:pPr>
        <w:spacing w:after="0" w:line="13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Rate Risk</w:t>
      </w:r>
    </w:p>
    <w:p>
      <w:pPr>
        <w:spacing w:after="0" w:line="171" w:lineRule="exact"/>
        <w:rPr>
          <w:sz w:val="20"/>
          <w:szCs w:val="20"/>
          <w:color w:val="auto"/>
        </w:rPr>
      </w:pPr>
    </w:p>
    <w:p>
      <w:pPr>
        <w:ind w:right="20" w:firstLine="405"/>
        <w:spacing w:after="0" w:line="259" w:lineRule="auto"/>
        <w:rPr>
          <w:sz w:val="20"/>
          <w:szCs w:val="20"/>
          <w:color w:val="auto"/>
        </w:rPr>
      </w:pPr>
      <w:r>
        <w:rPr>
          <w:rFonts w:ascii="Arial" w:cs="Arial" w:eastAsia="Arial" w:hAnsi="Arial"/>
          <w:sz w:val="18"/>
          <w:szCs w:val="18"/>
          <w:color w:val="auto"/>
        </w:rPr>
        <w:t>On June 3, 2019, we entered into the Credit Agreement which provides for a $125 million Revolving Facility. Interest on the facility will be based, at the Company’s option, on a base rate of LIBOR plus an applicable margin tied to the Company’s total leverage ratio and having ranges between 0.25% and 0.75% for base rate loans and between 1.25% and 1.75% for LIBOR loans. In the event of default, the interest rate may be increased by 2.0%. As of November 30, 2020 there was $40.0 million outstanding on the Revolving Facility.</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Concentration of Credit Risk</w:t>
      </w:r>
    </w:p>
    <w:p>
      <w:pPr>
        <w:spacing w:after="0" w:line="171" w:lineRule="exact"/>
        <w:rPr>
          <w:sz w:val="20"/>
          <w:szCs w:val="20"/>
          <w:color w:val="auto"/>
        </w:rPr>
      </w:pPr>
    </w:p>
    <w:p>
      <w:pPr>
        <w:ind w:right="740" w:firstLine="405"/>
        <w:spacing w:after="0" w:line="277" w:lineRule="auto"/>
        <w:rPr>
          <w:sz w:val="20"/>
          <w:szCs w:val="20"/>
          <w:color w:val="auto"/>
        </w:rPr>
      </w:pPr>
      <w:r>
        <w:rPr>
          <w:rFonts w:ascii="Arial" w:cs="Arial" w:eastAsia="Arial" w:hAnsi="Arial"/>
          <w:sz w:val="18"/>
          <w:szCs w:val="18"/>
          <w:color w:val="auto"/>
        </w:rPr>
        <w:t>Financial instruments, which potentially subject the Company to significant concentrations of credit risk, consist primarily of cash and cash equivalents, our credit facility and trade accounts receivable.</w:t>
      </w:r>
    </w:p>
    <w:p>
      <w:pPr>
        <w:spacing w:after="0" w:line="116" w:lineRule="exact"/>
        <w:rPr>
          <w:sz w:val="20"/>
          <w:szCs w:val="20"/>
          <w:color w:val="auto"/>
        </w:rPr>
      </w:pPr>
    </w:p>
    <w:p>
      <w:pPr>
        <w:ind w:right="200" w:firstLine="405"/>
        <w:spacing w:after="0" w:line="286" w:lineRule="auto"/>
        <w:rPr>
          <w:sz w:val="20"/>
          <w:szCs w:val="20"/>
          <w:color w:val="auto"/>
        </w:rPr>
      </w:pPr>
      <w:r>
        <w:rPr>
          <w:rFonts w:ascii="Arial" w:cs="Arial" w:eastAsia="Arial" w:hAnsi="Arial"/>
          <w:sz w:val="17"/>
          <w:szCs w:val="17"/>
          <w:color w:val="auto"/>
        </w:rPr>
        <w:t>The Company maintains cash and cash equivalents at various institutions and performs periodic evaluations of the relative credit standings of these financial institutions to ensure their credit worthiness. In addition, the Credit Agreement is structured across five above investment grade banks. The Company has the ability to draw equally amongst the five banks which limits the concentration of credit risk of one institution.</w:t>
      </w:r>
    </w:p>
    <w:p>
      <w:pPr>
        <w:spacing w:after="0" w:line="111" w:lineRule="exact"/>
        <w:rPr>
          <w:sz w:val="20"/>
          <w:szCs w:val="20"/>
          <w:color w:val="auto"/>
        </w:rPr>
      </w:pPr>
    </w:p>
    <w:p>
      <w:pPr>
        <w:ind w:right="80" w:firstLine="405"/>
        <w:spacing w:after="0" w:line="279" w:lineRule="auto"/>
        <w:rPr>
          <w:sz w:val="20"/>
          <w:szCs w:val="20"/>
          <w:color w:val="auto"/>
        </w:rPr>
      </w:pPr>
      <w:r>
        <w:rPr>
          <w:rFonts w:ascii="Arial" w:cs="Arial" w:eastAsia="Arial" w:hAnsi="Arial"/>
          <w:sz w:val="17"/>
          <w:szCs w:val="17"/>
          <w:color w:val="auto"/>
        </w:rPr>
        <w:t>Concentration of credit risk with respect to trade accounts receivable is limited due to the large number of customers that purchase products from the Company. No single customer represents more than 10% of total sales. The Company monitors the creditworthiness of its customers to which it grants credit terms in the normal course of business. Although the Company does not currently foresee a significant credit risk associated with the outstanding accounts receivable, repayment is dependent upon the financial stability of our customers.</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34" w:name="page35"/>
    <w:bookmarkEnd w:id="34"/>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Evaluation of disclosure controls and procedures</w:t>
      </w:r>
    </w:p>
    <w:p>
      <w:pPr>
        <w:spacing w:after="0" w:line="175" w:lineRule="exact"/>
        <w:rPr>
          <w:sz w:val="20"/>
          <w:szCs w:val="20"/>
          <w:color w:val="auto"/>
        </w:rPr>
      </w:pPr>
    </w:p>
    <w:p>
      <w:pPr>
        <w:ind w:firstLine="405"/>
        <w:spacing w:after="0" w:line="291" w:lineRule="auto"/>
        <w:rPr>
          <w:sz w:val="20"/>
          <w:szCs w:val="20"/>
          <w:color w:val="auto"/>
        </w:rPr>
      </w:pPr>
      <w:r>
        <w:rPr>
          <w:rFonts w:ascii="Arial" w:cs="Arial" w:eastAsia="Arial" w:hAnsi="Arial"/>
          <w:sz w:val="16"/>
          <w:szCs w:val="16"/>
          <w:color w:val="auto"/>
        </w:rPr>
        <w:t>As of the end of the period covered by this report, our management, under the supervision and with the participation of our Chief Executive Officer and Chief Financial Officer, evaluated the effectiveness of the design and operation of our disclosure controls and procedures pursuant to Rule 13a-15(b) of the Securities Exchange Act of 1934, as amended. Based on that evaluation, the Chief Executive Officer and the Chief Financial Officer concluded that our disclosure controls and procedures as of the end of the period covered by this report were effective to provide reasonable assurance that the information required to be disclosed by us in reports filed under the Securities Exchange Act of 1934, as amended, is recorded, processed, summarized and reported within the time periods specified in the SEC rules and forms and is accumulated and communicated to management, including our Chief Executive Officer and Chief Financial Officer, as appropriate to allow timely decisions regarding required disclosure.</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175" w:lineRule="exact"/>
        <w:rPr>
          <w:sz w:val="20"/>
          <w:szCs w:val="20"/>
          <w:color w:val="auto"/>
        </w:rPr>
      </w:pPr>
    </w:p>
    <w:p>
      <w:pPr>
        <w:ind w:right="140" w:firstLine="486"/>
        <w:spacing w:after="0" w:line="277" w:lineRule="auto"/>
        <w:rPr>
          <w:sz w:val="20"/>
          <w:szCs w:val="20"/>
          <w:color w:val="auto"/>
        </w:rPr>
      </w:pPr>
      <w:r>
        <w:rPr>
          <w:rFonts w:ascii="Arial" w:cs="Arial" w:eastAsia="Arial" w:hAnsi="Arial"/>
          <w:sz w:val="18"/>
          <w:szCs w:val="18"/>
          <w:color w:val="auto"/>
        </w:rPr>
        <w:t>There was no change in our internal control over financial reporting for the fiscal quarter ended November 30, 2020 that has materially affected, or is reasonably likely to materially affect, our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35" w:name="page36"/>
    <w:bookmarkEnd w:id="35"/>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AngioDynamics, Inc. and Subsidiaries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II: OTHER INFORMATION</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175" w:lineRule="exact"/>
        <w:rPr>
          <w:sz w:val="20"/>
          <w:szCs w:val="20"/>
          <w:color w:val="auto"/>
        </w:rPr>
      </w:pPr>
    </w:p>
    <w:p>
      <w:pPr>
        <w:ind w:right="100" w:firstLine="405"/>
        <w:spacing w:after="0" w:line="279" w:lineRule="auto"/>
        <w:rPr>
          <w:sz w:val="20"/>
          <w:szCs w:val="20"/>
          <w:color w:val="auto"/>
        </w:rPr>
      </w:pPr>
      <w:r>
        <w:rPr>
          <w:rFonts w:ascii="Arial" w:cs="Arial" w:eastAsia="Arial" w:hAnsi="Arial"/>
          <w:sz w:val="17"/>
          <w:szCs w:val="17"/>
          <w:color w:val="auto"/>
        </w:rPr>
        <w:t>The Company is involved in various legal proceedings, including commercial, intellectual property, product liability, and regulatory matters of a nature considered normal for its business. The Company accrues for amounts related to these matters if it is probable that a liability has been incurred, and an amount can be reasonably estimated. The Company discloses such matters when there is at least a reasonable possibility that a material loss may have been incurred. However, the Company cannot predict the outcome of any litigation or the potential for future litigation.</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C.R. Bard, Inc. v. AngioDynamics, Inc.</w:t>
      </w:r>
    </w:p>
    <w:p>
      <w:pPr>
        <w:spacing w:after="0" w:line="171" w:lineRule="exact"/>
        <w:rPr>
          <w:sz w:val="20"/>
          <w:szCs w:val="20"/>
          <w:color w:val="auto"/>
        </w:rPr>
      </w:pPr>
    </w:p>
    <w:p>
      <w:pPr>
        <w:ind w:firstLine="405"/>
        <w:spacing w:after="0" w:line="288" w:lineRule="auto"/>
        <w:rPr>
          <w:sz w:val="20"/>
          <w:szCs w:val="20"/>
          <w:color w:val="auto"/>
        </w:rPr>
      </w:pPr>
      <w:r>
        <w:rPr>
          <w:rFonts w:ascii="Arial" w:cs="Arial" w:eastAsia="Arial" w:hAnsi="Arial"/>
          <w:sz w:val="16"/>
          <w:szCs w:val="16"/>
          <w:color w:val="auto"/>
        </w:rPr>
        <w:t>On January 11, 2012, C.R. Bard, Inc. (“Bard”) filed a suit in the United States District Court of Utah claiming certain of the Company's implantable port products infringe on three U.S. patents held by Bard (the "Utah Action"). Bard’s complaint sought unspecified damages and other relief. The Company filed petitions for reexamination in the US Patent and Trademark Office ("USPTO") seeking to invalidate all three patents asserted by Bard in the litigation. The Company's petitions were granted and 40 of Bard's 41 patent claims were rejected and, following further proceedings, the Patent Office issued a Final Rejection of all 40 claims subject to reexamination. Thereafter, Bard filed appeals to the USPTO Board of Appeals and Interferences for all three reexaminations which were decided as follows: For US Patent No. 7,785,302, the rejections of six of the ten claims under reexamination were affirmed, but were reversed on four of the ten claims. For U.S. Patent No. 7,959,615 the rejections of eight of the ten claims under reexamination were affirmed but the rejections of the other two of the ten claims were reversed. In the third, for U.S. Patent No. 7,947,022 the rejections of all twenty claims under reexamination were affirmed. Thereafter, Bard sought Rehearing in all three appeals and the Company sought Rehearing in the ‘302 and ‘615 appeals. The USPTO denied all three Rehearing Requests, but modified its characterization of one prior art reference for the ‘302 and ‘022 decisions.</w:t>
      </w:r>
    </w:p>
    <w:p>
      <w:pPr>
        <w:spacing w:after="0" w:line="114" w:lineRule="exact"/>
        <w:rPr>
          <w:sz w:val="20"/>
          <w:szCs w:val="20"/>
          <w:color w:val="auto"/>
        </w:rPr>
      </w:pPr>
    </w:p>
    <w:p>
      <w:pPr>
        <w:ind w:firstLine="405"/>
        <w:spacing w:after="0" w:line="285" w:lineRule="auto"/>
        <w:rPr>
          <w:sz w:val="20"/>
          <w:szCs w:val="20"/>
          <w:color w:val="auto"/>
        </w:rPr>
      </w:pPr>
      <w:r>
        <w:rPr>
          <w:rFonts w:ascii="Arial" w:cs="Arial" w:eastAsia="Arial" w:hAnsi="Arial"/>
          <w:sz w:val="16"/>
          <w:szCs w:val="16"/>
          <w:color w:val="auto"/>
        </w:rPr>
        <w:t>Bard filed appeals to the Federal Circuit Court of Appeals in all three reexams and the Company Cross-Appealed for the ‘302 and the ‘615 reexams. MedComp also filed an Amicus Brief in support of the Company on November 22, 2017. Meanwhile, on July 12, 2017 Bard assigned the asserted patents to Bard Peripheral Vascular, Inc. (“BPV”) which was added as co-Appellant before the Federal Circuit and as a co-Plaintiff in the Utah action. An oral hearing was held on September 5, 2018 and the Court rendered its decision on September 28, 2018, affirming that claims 1-5 and 10 of the ‘615 patent were invalid, but that claims 6-7 of the 615 patent and claims 1-4 of the 302 patent were valid over the prior art references considered in the Reexamination proceedings. The Federal Circuit also reversed the PTAB’s claim construction ruling and remanded for consideration of obviousness for the remaining claims under the new claim construction ruling and for further findings with respect to whether one of the asserted references qualified as a printed publication. On January 28, 2019, on remand, the USPTO reversed the rejections of the ‘302 claims 1-10, ‘022 claims 1-20 and ‘615 claims 8-9. The USPTO has since issued Inter Partes Reexamination Certificates for the ‘302 Patent for the ‘022 patent and for the ‘615 patent. The Company thereafter filed a Motion to Unstay the Utah Case and that motion was granted. On November 4, 2019 the Court held a joint Status Conference among the Company’s Utah Action and two other cases filed by Bard on the same patents against MedComp and Smiths. The Court set a schedule for defendant's Motions to Dismiss or Transfer. The Company filed its motion on November 25, 2019; and Bard filed a responsive brief and a motion for venue discovery on December 9, 2019. The Company filed a responsive brief on December 16, 2019 and Bard filed a reply on December 23, 2019. On February 27, 2020, the Court referred all non-dispositive motions to the presiding Magistrate and on March 3, 2020 the Court granted Bard’s Motion for Venue Discovery and denied the Company’s transfer motion without prejudice to re-filing after completion of the venue discovery, but no later than June 30, 2020. Following venue discovery, AngioDynamics re-filed its Motion to Dismiss or Transfer on June 30, 2020. Bard filed an opposition brief on July 28, 2020, and the Company filed a subsequent reply. The Court granted AngioDynamics’s Motion to Transfer on November 16, 2020. The case is currently pending in the District of Delaware and a scheduling conference has been set for January 21, 2021.The Company believes these claims are without merit and intends to defend them vigorously. The Company has not recorded an expense related to the outcome of this litigation because it is not yet possible to determine if a potential loss is probable nor reasonably estimable.</w:t>
      </w:r>
    </w:p>
    <w:p>
      <w:pPr>
        <w:spacing w:after="0" w:line="200" w:lineRule="exact"/>
        <w:rPr>
          <w:sz w:val="20"/>
          <w:szCs w:val="20"/>
          <w:color w:val="auto"/>
        </w:rPr>
      </w:pPr>
    </w:p>
    <w:p>
      <w:pPr>
        <w:spacing w:after="0" w:line="212" w:lineRule="exact"/>
        <w:rPr>
          <w:sz w:val="20"/>
          <w:szCs w:val="20"/>
          <w:color w:val="auto"/>
        </w:rPr>
      </w:pPr>
    </w:p>
    <w:p>
      <w:pPr>
        <w:ind w:right="40" w:firstLine="405"/>
        <w:spacing w:after="0" w:line="255" w:lineRule="auto"/>
        <w:rPr>
          <w:sz w:val="20"/>
          <w:szCs w:val="20"/>
          <w:color w:val="auto"/>
        </w:rPr>
      </w:pPr>
      <w:r>
        <w:rPr>
          <w:rFonts w:ascii="Arial" w:cs="Arial" w:eastAsia="Arial" w:hAnsi="Arial"/>
          <w:sz w:val="18"/>
          <w:szCs w:val="18"/>
          <w:color w:val="auto"/>
        </w:rPr>
        <w:t>On March 10, 2015, Bard and BPV filed suit in the United States District Court for the District of Delaware (the “Delaware Action") claiming certain of the Company's implantable port products infringe on three other U.S. patents held by Bard, which are different from those asserted in the Utah action. Bard's complaint seeks unspecified damages and other relief. On June 1, 2015, the Company filed two motions in response to Bard’s Complaint - one sought transfer to the District of Utah where the Utah Action is currently pending, and the other sought dismissal of the entire complaint on grounds that none of the claims in the asserted patents is directed to patent eligible subject matter under Section 101 of the Patent Statute and in light of recent authority from the U. S. Supreme Court.</w:t>
      </w: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36" w:name="page37"/>
    <w:bookmarkEnd w:id="36"/>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right="180" w:firstLine="405"/>
        <w:spacing w:after="0" w:line="263" w:lineRule="auto"/>
        <w:rPr>
          <w:sz w:val="20"/>
          <w:szCs w:val="20"/>
          <w:color w:val="auto"/>
        </w:rPr>
      </w:pPr>
      <w:r>
        <w:rPr>
          <w:rFonts w:ascii="Arial" w:cs="Arial" w:eastAsia="Arial" w:hAnsi="Arial"/>
          <w:sz w:val="18"/>
          <w:szCs w:val="18"/>
          <w:color w:val="auto"/>
        </w:rPr>
        <w:t>On January 12, 2016, the Court issued a decision denying both motions. A Markman hearing was held on March 10, 2017 and the Court issued its Claim Construction Order on May 19, 2017. On May 19, 2017, Bard served its Final Infringement Contentions and on June 2, 2017, the Company served its Final Invalidity Contentions.</w:t>
      </w:r>
    </w:p>
    <w:p>
      <w:pPr>
        <w:spacing w:after="0" w:line="130" w:lineRule="exact"/>
        <w:rPr>
          <w:sz w:val="20"/>
          <w:szCs w:val="20"/>
          <w:color w:val="auto"/>
        </w:rPr>
      </w:pPr>
    </w:p>
    <w:p>
      <w:pPr>
        <w:ind w:right="20" w:firstLine="405"/>
        <w:spacing w:after="0" w:line="285" w:lineRule="auto"/>
        <w:rPr>
          <w:sz w:val="20"/>
          <w:szCs w:val="20"/>
          <w:color w:val="auto"/>
        </w:rPr>
      </w:pPr>
      <w:r>
        <w:rPr>
          <w:rFonts w:ascii="Arial" w:cs="Arial" w:eastAsia="Arial" w:hAnsi="Arial"/>
          <w:sz w:val="16"/>
          <w:szCs w:val="16"/>
          <w:color w:val="auto"/>
        </w:rPr>
        <w:t xml:space="preserve">On October 20, 2017, the scheduling order for the case was amended to, among other things, set a trial date commencing July 23, 2018. The parties completed Expert Discovery in January 2018 and completed briefing on their respective case dispositive motions on April 27, 2018. On June 26, 2018, the Court denied all case dispositive motions, ruling that issues of material fact remained in dispute. On July 9, 2018, the Court continued the trial until March 2019. On January 9, 2019 the Court held a further claim construction hearing to resolve two outstanding claim construction issues prior to trial. A Report and Recommendation (by Magistrate-Judge Fallon) was issued on February 11, 2019 and entered by the Court on February 28, 2019. Jury selection was held on Friday March 1, 2019 and trial began on March 4, 2019. On day four of the jury trial, at the close of C.R. Bard’s case, the Court granted the Company's oral motion for judgment as a matter of law under rule 50(a) as well as its motions for summary judgement on the grounds that the asserted patents are invalid, ineligible, not infringed and not willfully infringed. On April 5, 2019, Bard filed a precautionary Notice of Appeal to the Federal Circuit. On April 26, 2019, the District Court issued a Memorandum and Order confirming the grant of judgment in the Company’s favor of patent ineligibility, non-infringement, patent invalidity and no willful infringement. Meanwhile, on May 10, 2019, the Company filed a Motion for Attorney fees and non-taxable expenses under 35 USC Sec. 285. On May 21, 2019, the Court issued a Memorandum and Order which, inter alia, stayed proceedings on the Company’s fee Motion and the Company’s equitable claims pending appeal; and entered Final Judgment on May 21, 2019 as well. Bard filed a second Notice of Appeal on May 23, 2019. Both appeals have since been consolidated and Bard’s opening brief was filed on September 27, 2019; the Company's answering brief was filed on January 15, 2020; and Bard’s reply brief was filed on March 4, 2020. A hearing was held on June 1, 2020, and the court issued its decision on November 10, 2020. The Federal Circuit reversed the judgment in part with respect to Section 101, and vacated and remanded the trial court’s invalidity and non-infringement judgments. The Company filed a combined Petition for rehearing and rehearing </w:t>
      </w:r>
      <w:r>
        <w:rPr>
          <w:rFonts w:ascii="Arial" w:cs="Arial" w:eastAsia="Arial" w:hAnsi="Arial"/>
          <w:sz w:val="16"/>
          <w:szCs w:val="16"/>
          <w:i w:val="1"/>
          <w:iCs w:val="1"/>
          <w:color w:val="auto"/>
        </w:rPr>
        <w:t>en banc</w:t>
      </w:r>
      <w:r>
        <w:rPr>
          <w:rFonts w:ascii="Arial" w:cs="Arial" w:eastAsia="Arial" w:hAnsi="Arial"/>
          <w:sz w:val="16"/>
          <w:szCs w:val="16"/>
          <w:color w:val="auto"/>
        </w:rPr>
        <w:t xml:space="preserve"> on December 10, 2020 which remains pending. The Company maintains its belief that Bard’s claims are without merit. The Company has not recorded an expense related to the outcome of this litigation because it is not yet possible to determine if a potential loss is probable nor reasonably estimable.</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AngioDynamics, Inc. v. C.R. Bard, Inc.</w:t>
      </w:r>
    </w:p>
    <w:p>
      <w:pPr>
        <w:spacing w:after="0" w:line="171" w:lineRule="exact"/>
        <w:rPr>
          <w:sz w:val="20"/>
          <w:szCs w:val="20"/>
          <w:color w:val="auto"/>
        </w:rPr>
      </w:pPr>
    </w:p>
    <w:p>
      <w:pPr>
        <w:ind w:right="100" w:firstLine="405"/>
        <w:spacing w:after="0" w:line="273" w:lineRule="auto"/>
        <w:rPr>
          <w:sz w:val="20"/>
          <w:szCs w:val="20"/>
          <w:color w:val="auto"/>
        </w:rPr>
      </w:pPr>
      <w:r>
        <w:rPr>
          <w:rFonts w:ascii="Arial" w:cs="Arial" w:eastAsia="Arial" w:hAnsi="Arial"/>
          <w:sz w:val="17"/>
          <w:szCs w:val="17"/>
          <w:color w:val="auto"/>
        </w:rPr>
        <w:t>On May 30, 2017, the Company commenced an action in the United States District Court for the Northern District of New York entitled AngioDynamics, Inc. v. C.R. Bard, Inc. and Bard Access Systems, Inc. (“Bard”). In this action, the Company alleges that Bard has illegally tied the sales of its tip location systems to the sales of its PICCs. The Company alleges that this practice violates the federal antitrust laws and has had, and continues to have, an anti-competitive effect in the market for PICCs. The Company seeks both monetary damages and injunctive relief. Bard moved to dismiss on September 8, 2017. On August 6, 2018 the court denied Bard’s motion in its entirety. Discovery is largely complete, summary judgment, including all reply briefs, were fully briefed in October 2020, and the case will subsequently proceed to trial thereafter.</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Merz North America Settlement</w:t>
      </w:r>
    </w:p>
    <w:p>
      <w:pPr>
        <w:spacing w:after="0" w:line="171" w:lineRule="exact"/>
        <w:rPr>
          <w:sz w:val="20"/>
          <w:szCs w:val="20"/>
          <w:color w:val="auto"/>
        </w:rPr>
      </w:pPr>
    </w:p>
    <w:p>
      <w:pPr>
        <w:ind w:firstLine="405"/>
        <w:spacing w:after="0" w:line="301" w:lineRule="auto"/>
        <w:rPr>
          <w:sz w:val="20"/>
          <w:szCs w:val="20"/>
          <w:color w:val="auto"/>
        </w:rPr>
      </w:pPr>
      <w:r>
        <w:rPr>
          <w:rFonts w:ascii="Arial" w:cs="Arial" w:eastAsia="Arial" w:hAnsi="Arial"/>
          <w:sz w:val="16"/>
          <w:szCs w:val="16"/>
          <w:color w:val="auto"/>
        </w:rPr>
        <w:t>On May 16, 2019, Merz North America, Inc. (“Merz”) commenced an action in the United States District Court for the Southern District of New York entitled Merz North America, Inc. v. AngioDynamics, Inc. In this action, Merz alleged breach of contract against AngioDynamics based on a March 1, 2016 Distribution Agreement. On June 28, 2019, AngioDynamics reached a settlement with Merz. AngioDynamics made a lump-sum payment of $2.5 million to Merz in return for dismissal of the case with prejudice during the first quarter of fiscal year 2020. The case was subsequently dismissed.</w:t>
      </w:r>
    </w:p>
    <w:p>
      <w:pPr>
        <w:spacing w:after="0" w:line="200" w:lineRule="exact"/>
        <w:rPr>
          <w:sz w:val="20"/>
          <w:szCs w:val="20"/>
          <w:color w:val="auto"/>
        </w:rPr>
      </w:pPr>
    </w:p>
    <w:p>
      <w:pPr>
        <w:spacing w:after="0" w:line="29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7" w:name="page38"/>
    <w:bookmarkEnd w:id="37"/>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175" w:lineRule="exact"/>
        <w:rPr>
          <w:sz w:val="20"/>
          <w:szCs w:val="20"/>
          <w:color w:val="auto"/>
        </w:rPr>
      </w:pPr>
    </w:p>
    <w:p>
      <w:pPr>
        <w:ind w:firstLine="405"/>
        <w:spacing w:after="0" w:line="257" w:lineRule="auto"/>
        <w:rPr>
          <w:sz w:val="20"/>
          <w:szCs w:val="20"/>
          <w:color w:val="auto"/>
        </w:rPr>
      </w:pPr>
      <w:r>
        <w:rPr>
          <w:rFonts w:ascii="Arial" w:cs="Arial" w:eastAsia="Arial" w:hAnsi="Arial"/>
          <w:sz w:val="18"/>
          <w:szCs w:val="18"/>
          <w:color w:val="auto"/>
        </w:rPr>
        <w:t>In addition to information set forth in this report, you should carefully consider the factors discussed in “Part I, Item 1A. Risk Factors” of our annual report on Form 10-K for our fiscal year ended May 31, 2020 which set forth information relating to important risks and uncertainties that could materially adversely affect our business, financial condition or operating results. You should review and consider such Risk Factors in making any investment decision with respect to our securities. An investment in our securities continues to involve a high degree of risk. There have been no material changes to the risk factors previously disclosed in our annual report on Form 10-K.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00"/>
          </w:cols>
          <w:pgMar w:left="320" w:top="121" w:right="479" w:bottom="1440" w:gutter="0" w:footer="0" w:header="0"/>
        </w:sectPr>
      </w:pPr>
    </w:p>
    <w:bookmarkStart w:id="38" w:name="page39"/>
    <w:bookmarkEnd w:id="38"/>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175" w:lineRule="exact"/>
        <w:rPr>
          <w:sz w:val="20"/>
          <w:szCs w:val="20"/>
          <w:color w:val="auto"/>
        </w:rPr>
      </w:pPr>
    </w:p>
    <w:p>
      <w:pPr>
        <w:ind w:left="420"/>
        <w:spacing w:after="0"/>
        <w:rPr>
          <w:sz w:val="20"/>
          <w:szCs w:val="20"/>
          <w:color w:val="auto"/>
        </w:rPr>
      </w:pPr>
      <w:r>
        <w:rPr>
          <w:rFonts w:ascii="Arial" w:cs="Arial" w:eastAsia="Arial" w:hAnsi="Arial"/>
          <w:sz w:val="17"/>
          <w:szCs w:val="17"/>
          <w:color w:val="auto"/>
        </w:rPr>
        <w:t>The following table provides information with respect to the shares of the Company’s common stock repurchased during the six months ended</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November 30, 2020:</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6420" w:type="dxa"/>
            <w:vAlign w:val="bottom"/>
          </w:tcPr>
          <w:p>
            <w:pPr>
              <w:spacing w:after="0"/>
              <w:rPr>
                <w:sz w:val="16"/>
                <w:szCs w:val="16"/>
                <w:color w:val="auto"/>
              </w:rPr>
            </w:pPr>
          </w:p>
        </w:tc>
        <w:tc>
          <w:tcPr>
            <w:tcW w:w="10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2160" w:type="dxa"/>
            <w:vAlign w:val="bottom"/>
            <w:tcBorders>
              <w:bottom w:val="single" w:sz="8" w:color="auto"/>
            </w:tcBorders>
            <w:gridSpan w:val="5"/>
          </w:tcPr>
          <w:p>
            <w:pPr>
              <w:ind w:left="20"/>
              <w:spacing w:after="0"/>
              <w:rPr>
                <w:sz w:val="20"/>
                <w:szCs w:val="20"/>
                <w:color w:val="auto"/>
              </w:rPr>
            </w:pPr>
            <w:r>
              <w:rPr>
                <w:rFonts w:ascii="Arial" w:cs="Arial" w:eastAsia="Arial" w:hAnsi="Arial"/>
                <w:sz w:val="14"/>
                <w:szCs w:val="14"/>
                <w:color w:val="auto"/>
                <w:w w:val="91"/>
              </w:rPr>
              <w:t>Issuer Purchases of Equity Securities</w:t>
            </w:r>
          </w:p>
        </w:tc>
        <w:tc>
          <w:tcPr>
            <w:tcW w:w="14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35"/>
        </w:trPr>
        <w:tc>
          <w:tcPr>
            <w:tcW w:w="642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80" w:type="dxa"/>
            <w:vAlign w:val="bottom"/>
            <w:gridSpan w:val="3"/>
            <w:vMerge w:val="restart"/>
          </w:tcPr>
          <w:p>
            <w:pPr>
              <w:jc w:val="center"/>
              <w:ind w:right="120"/>
              <w:spacing w:after="0"/>
              <w:rPr>
                <w:sz w:val="20"/>
                <w:szCs w:val="20"/>
                <w:color w:val="auto"/>
              </w:rPr>
            </w:pPr>
            <w:r>
              <w:rPr>
                <w:rFonts w:ascii="Arial" w:cs="Arial" w:eastAsia="Arial" w:hAnsi="Arial"/>
                <w:sz w:val="14"/>
                <w:szCs w:val="14"/>
                <w:color w:val="auto"/>
                <w:w w:val="96"/>
              </w:rPr>
              <w:t>Total</w:t>
            </w:r>
          </w:p>
        </w:tc>
        <w:tc>
          <w:tcPr>
            <w:tcW w:w="140" w:type="dxa"/>
            <w:vAlign w:val="bottom"/>
          </w:tcPr>
          <w:p>
            <w:pPr>
              <w:spacing w:after="0"/>
              <w:rPr>
                <w:sz w:val="11"/>
                <w:szCs w:val="11"/>
                <w:color w:val="auto"/>
              </w:rPr>
            </w:pPr>
          </w:p>
        </w:tc>
        <w:tc>
          <w:tcPr>
            <w:tcW w:w="1160" w:type="dxa"/>
            <w:vAlign w:val="bottom"/>
          </w:tcPr>
          <w:p>
            <w:pPr>
              <w:jc w:val="center"/>
              <w:ind w:right="82"/>
              <w:spacing w:after="0" w:line="135" w:lineRule="exact"/>
              <w:rPr>
                <w:sz w:val="20"/>
                <w:szCs w:val="20"/>
                <w:color w:val="auto"/>
              </w:rPr>
            </w:pPr>
            <w:r>
              <w:rPr>
                <w:rFonts w:ascii="Arial" w:cs="Arial" w:eastAsia="Arial" w:hAnsi="Arial"/>
                <w:sz w:val="14"/>
                <w:szCs w:val="14"/>
                <w:color w:val="auto"/>
                <w:w w:val="98"/>
              </w:rPr>
              <w:t>Maximum</w:t>
            </w:r>
          </w:p>
        </w:tc>
        <w:tc>
          <w:tcPr>
            <w:tcW w:w="0" w:type="dxa"/>
            <w:vAlign w:val="bottom"/>
          </w:tcPr>
          <w:p>
            <w:pPr>
              <w:spacing w:after="0"/>
              <w:rPr>
                <w:sz w:val="1"/>
                <w:szCs w:val="1"/>
                <w:color w:val="auto"/>
              </w:rPr>
            </w:pPr>
          </w:p>
        </w:tc>
      </w:tr>
      <w:tr>
        <w:trPr>
          <w:trHeight w:val="135"/>
        </w:trPr>
        <w:tc>
          <w:tcPr>
            <w:tcW w:w="642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80" w:type="dxa"/>
            <w:vAlign w:val="bottom"/>
            <w:gridSpan w:val="3"/>
            <w:vMerge w:val="continue"/>
          </w:tcPr>
          <w:p>
            <w:pPr>
              <w:spacing w:after="0"/>
              <w:rPr>
                <w:sz w:val="11"/>
                <w:szCs w:val="11"/>
                <w:color w:val="auto"/>
              </w:rPr>
            </w:pPr>
          </w:p>
        </w:tc>
        <w:tc>
          <w:tcPr>
            <w:tcW w:w="140" w:type="dxa"/>
            <w:vAlign w:val="bottom"/>
          </w:tcPr>
          <w:p>
            <w:pPr>
              <w:spacing w:after="0"/>
              <w:rPr>
                <w:sz w:val="11"/>
                <w:szCs w:val="11"/>
                <w:color w:val="auto"/>
              </w:rPr>
            </w:pPr>
          </w:p>
        </w:tc>
        <w:tc>
          <w:tcPr>
            <w:tcW w:w="1160" w:type="dxa"/>
            <w:vAlign w:val="bottom"/>
          </w:tcPr>
          <w:p>
            <w:pPr>
              <w:jc w:val="center"/>
              <w:ind w:right="82"/>
              <w:spacing w:after="0" w:line="135" w:lineRule="exact"/>
              <w:rPr>
                <w:sz w:val="20"/>
                <w:szCs w:val="20"/>
                <w:color w:val="auto"/>
              </w:rPr>
            </w:pPr>
            <w:r>
              <w:rPr>
                <w:rFonts w:ascii="Arial" w:cs="Arial" w:eastAsia="Arial" w:hAnsi="Arial"/>
                <w:sz w:val="14"/>
                <w:szCs w:val="14"/>
                <w:color w:val="auto"/>
                <w:w w:val="96"/>
              </w:rPr>
              <w:t>Approximate</w:t>
            </w:r>
          </w:p>
        </w:tc>
        <w:tc>
          <w:tcPr>
            <w:tcW w:w="0" w:type="dxa"/>
            <w:vAlign w:val="bottom"/>
          </w:tcPr>
          <w:p>
            <w:pPr>
              <w:spacing w:after="0"/>
              <w:rPr>
                <w:sz w:val="1"/>
                <w:szCs w:val="1"/>
                <w:color w:val="auto"/>
              </w:rPr>
            </w:pPr>
          </w:p>
        </w:tc>
      </w:tr>
      <w:tr>
        <w:trPr>
          <w:trHeight w:val="135"/>
        </w:trPr>
        <w:tc>
          <w:tcPr>
            <w:tcW w:w="642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80" w:type="dxa"/>
            <w:vAlign w:val="bottom"/>
            <w:gridSpan w:val="3"/>
          </w:tcPr>
          <w:p>
            <w:pPr>
              <w:jc w:val="center"/>
              <w:ind w:right="120"/>
              <w:spacing w:after="0" w:line="135" w:lineRule="exact"/>
              <w:rPr>
                <w:sz w:val="20"/>
                <w:szCs w:val="20"/>
                <w:color w:val="auto"/>
              </w:rPr>
            </w:pPr>
            <w:r>
              <w:rPr>
                <w:rFonts w:ascii="Arial" w:cs="Arial" w:eastAsia="Arial" w:hAnsi="Arial"/>
                <w:sz w:val="14"/>
                <w:szCs w:val="14"/>
                <w:color w:val="auto"/>
                <w:w w:val="94"/>
              </w:rPr>
              <w:t>Number of</w:t>
            </w:r>
          </w:p>
        </w:tc>
        <w:tc>
          <w:tcPr>
            <w:tcW w:w="140" w:type="dxa"/>
            <w:vAlign w:val="bottom"/>
          </w:tcPr>
          <w:p>
            <w:pPr>
              <w:spacing w:after="0"/>
              <w:rPr>
                <w:sz w:val="11"/>
                <w:szCs w:val="11"/>
                <w:color w:val="auto"/>
              </w:rPr>
            </w:pPr>
          </w:p>
        </w:tc>
        <w:tc>
          <w:tcPr>
            <w:tcW w:w="1160" w:type="dxa"/>
            <w:vAlign w:val="bottom"/>
          </w:tcPr>
          <w:p>
            <w:pPr>
              <w:jc w:val="center"/>
              <w:ind w:right="62"/>
              <w:spacing w:after="0" w:line="135" w:lineRule="exact"/>
              <w:rPr>
                <w:sz w:val="20"/>
                <w:szCs w:val="20"/>
                <w:color w:val="auto"/>
              </w:rPr>
            </w:pPr>
            <w:r>
              <w:rPr>
                <w:rFonts w:ascii="Arial" w:cs="Arial" w:eastAsia="Arial" w:hAnsi="Arial"/>
                <w:sz w:val="14"/>
                <w:szCs w:val="14"/>
                <w:color w:val="auto"/>
                <w:w w:val="96"/>
              </w:rPr>
              <w:t>Dollar Value</w:t>
            </w:r>
          </w:p>
        </w:tc>
        <w:tc>
          <w:tcPr>
            <w:tcW w:w="0" w:type="dxa"/>
            <w:vAlign w:val="bottom"/>
          </w:tcPr>
          <w:p>
            <w:pPr>
              <w:spacing w:after="0"/>
              <w:rPr>
                <w:sz w:val="1"/>
                <w:szCs w:val="1"/>
                <w:color w:val="auto"/>
              </w:rPr>
            </w:pPr>
          </w:p>
        </w:tc>
      </w:tr>
      <w:tr>
        <w:trPr>
          <w:trHeight w:val="135"/>
        </w:trPr>
        <w:tc>
          <w:tcPr>
            <w:tcW w:w="642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80" w:type="dxa"/>
            <w:vAlign w:val="bottom"/>
            <w:gridSpan w:val="3"/>
          </w:tcPr>
          <w:p>
            <w:pPr>
              <w:jc w:val="center"/>
              <w:ind w:right="120"/>
              <w:spacing w:after="0" w:line="135" w:lineRule="exact"/>
              <w:rPr>
                <w:sz w:val="20"/>
                <w:szCs w:val="20"/>
                <w:color w:val="auto"/>
              </w:rPr>
            </w:pPr>
            <w:r>
              <w:rPr>
                <w:rFonts w:ascii="Arial" w:cs="Arial" w:eastAsia="Arial" w:hAnsi="Arial"/>
                <w:sz w:val="14"/>
                <w:szCs w:val="14"/>
                <w:color w:val="auto"/>
                <w:w w:val="85"/>
              </w:rPr>
              <w:t>Shares</w:t>
            </w:r>
          </w:p>
        </w:tc>
        <w:tc>
          <w:tcPr>
            <w:tcW w:w="140" w:type="dxa"/>
            <w:vAlign w:val="bottom"/>
          </w:tcPr>
          <w:p>
            <w:pPr>
              <w:spacing w:after="0"/>
              <w:rPr>
                <w:sz w:val="11"/>
                <w:szCs w:val="11"/>
                <w:color w:val="auto"/>
              </w:rPr>
            </w:pPr>
          </w:p>
        </w:tc>
        <w:tc>
          <w:tcPr>
            <w:tcW w:w="1160" w:type="dxa"/>
            <w:vAlign w:val="bottom"/>
          </w:tcPr>
          <w:p>
            <w:pPr>
              <w:jc w:val="center"/>
              <w:ind w:right="62"/>
              <w:spacing w:after="0" w:line="135" w:lineRule="exact"/>
              <w:rPr>
                <w:sz w:val="20"/>
                <w:szCs w:val="20"/>
                <w:color w:val="auto"/>
              </w:rPr>
            </w:pPr>
            <w:r>
              <w:rPr>
                <w:rFonts w:ascii="Arial" w:cs="Arial" w:eastAsia="Arial" w:hAnsi="Arial"/>
                <w:sz w:val="14"/>
                <w:szCs w:val="14"/>
                <w:color w:val="auto"/>
                <w:w w:val="90"/>
              </w:rPr>
              <w:t>of Shares</w:t>
            </w:r>
          </w:p>
        </w:tc>
        <w:tc>
          <w:tcPr>
            <w:tcW w:w="0" w:type="dxa"/>
            <w:vAlign w:val="bottom"/>
          </w:tcPr>
          <w:p>
            <w:pPr>
              <w:spacing w:after="0"/>
              <w:rPr>
                <w:sz w:val="1"/>
                <w:szCs w:val="1"/>
                <w:color w:val="auto"/>
              </w:rPr>
            </w:pPr>
          </w:p>
        </w:tc>
      </w:tr>
      <w:tr>
        <w:trPr>
          <w:trHeight w:val="135"/>
        </w:trPr>
        <w:tc>
          <w:tcPr>
            <w:tcW w:w="6420" w:type="dxa"/>
            <w:vAlign w:val="bottom"/>
          </w:tcPr>
          <w:p>
            <w:pPr>
              <w:spacing w:after="0"/>
              <w:rPr>
                <w:sz w:val="11"/>
                <w:szCs w:val="11"/>
                <w:color w:val="auto"/>
              </w:rPr>
            </w:pPr>
          </w:p>
        </w:tc>
        <w:tc>
          <w:tcPr>
            <w:tcW w:w="1160" w:type="dxa"/>
            <w:vAlign w:val="bottom"/>
            <w:gridSpan w:val="2"/>
            <w:vMerge w:val="restart"/>
          </w:tcPr>
          <w:p>
            <w:pPr>
              <w:jc w:val="center"/>
              <w:ind w:right="100"/>
              <w:spacing w:after="0"/>
              <w:rPr>
                <w:sz w:val="20"/>
                <w:szCs w:val="20"/>
                <w:color w:val="auto"/>
              </w:rPr>
            </w:pPr>
            <w:r>
              <w:rPr>
                <w:rFonts w:ascii="Arial" w:cs="Arial" w:eastAsia="Arial" w:hAnsi="Arial"/>
                <w:sz w:val="14"/>
                <w:szCs w:val="14"/>
                <w:color w:val="auto"/>
                <w:w w:val="96"/>
              </w:rPr>
              <w:t>Total</w:t>
            </w:r>
          </w:p>
        </w:tc>
        <w:tc>
          <w:tcPr>
            <w:tcW w:w="1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80" w:type="dxa"/>
            <w:vAlign w:val="bottom"/>
            <w:gridSpan w:val="3"/>
          </w:tcPr>
          <w:p>
            <w:pPr>
              <w:jc w:val="center"/>
              <w:ind w:right="120"/>
              <w:spacing w:after="0" w:line="135" w:lineRule="exact"/>
              <w:rPr>
                <w:sz w:val="20"/>
                <w:szCs w:val="20"/>
                <w:color w:val="auto"/>
              </w:rPr>
            </w:pPr>
            <w:r>
              <w:rPr>
                <w:rFonts w:ascii="Arial" w:cs="Arial" w:eastAsia="Arial" w:hAnsi="Arial"/>
                <w:sz w:val="14"/>
                <w:szCs w:val="14"/>
                <w:color w:val="auto"/>
                <w:w w:val="86"/>
              </w:rPr>
              <w:t>Purchased</w:t>
            </w:r>
          </w:p>
        </w:tc>
        <w:tc>
          <w:tcPr>
            <w:tcW w:w="140" w:type="dxa"/>
            <w:vAlign w:val="bottom"/>
          </w:tcPr>
          <w:p>
            <w:pPr>
              <w:spacing w:after="0"/>
              <w:rPr>
                <w:sz w:val="11"/>
                <w:szCs w:val="11"/>
                <w:color w:val="auto"/>
              </w:rPr>
            </w:pPr>
          </w:p>
        </w:tc>
        <w:tc>
          <w:tcPr>
            <w:tcW w:w="1160" w:type="dxa"/>
            <w:vAlign w:val="bottom"/>
          </w:tcPr>
          <w:p>
            <w:pPr>
              <w:jc w:val="center"/>
              <w:ind w:right="62"/>
              <w:spacing w:after="0" w:line="135" w:lineRule="exact"/>
              <w:rPr>
                <w:sz w:val="20"/>
                <w:szCs w:val="20"/>
                <w:color w:val="auto"/>
              </w:rPr>
            </w:pPr>
            <w:r>
              <w:rPr>
                <w:rFonts w:ascii="Arial" w:cs="Arial" w:eastAsia="Arial" w:hAnsi="Arial"/>
                <w:sz w:val="14"/>
                <w:szCs w:val="14"/>
                <w:color w:val="auto"/>
                <w:w w:val="94"/>
              </w:rPr>
              <w:t>that May Yet</w:t>
            </w:r>
          </w:p>
        </w:tc>
        <w:tc>
          <w:tcPr>
            <w:tcW w:w="0" w:type="dxa"/>
            <w:vAlign w:val="bottom"/>
          </w:tcPr>
          <w:p>
            <w:pPr>
              <w:spacing w:after="0"/>
              <w:rPr>
                <w:sz w:val="1"/>
                <w:szCs w:val="1"/>
                <w:color w:val="auto"/>
              </w:rPr>
            </w:pPr>
          </w:p>
        </w:tc>
      </w:tr>
      <w:tr>
        <w:trPr>
          <w:trHeight w:val="135"/>
        </w:trPr>
        <w:tc>
          <w:tcPr>
            <w:tcW w:w="6420" w:type="dxa"/>
            <w:vAlign w:val="bottom"/>
          </w:tcPr>
          <w:p>
            <w:pPr>
              <w:spacing w:after="0"/>
              <w:rPr>
                <w:sz w:val="11"/>
                <w:szCs w:val="11"/>
                <w:color w:val="auto"/>
              </w:rPr>
            </w:pPr>
          </w:p>
        </w:tc>
        <w:tc>
          <w:tcPr>
            <w:tcW w:w="1160" w:type="dxa"/>
            <w:vAlign w:val="bottom"/>
            <w:gridSpan w:val="2"/>
            <w:vMerge w:val="continue"/>
          </w:tcPr>
          <w:p>
            <w:pPr>
              <w:spacing w:after="0"/>
              <w:rPr>
                <w:sz w:val="11"/>
                <w:szCs w:val="11"/>
                <w:color w:val="auto"/>
              </w:rPr>
            </w:pPr>
          </w:p>
        </w:tc>
        <w:tc>
          <w:tcPr>
            <w:tcW w:w="140" w:type="dxa"/>
            <w:vAlign w:val="bottom"/>
          </w:tcPr>
          <w:p>
            <w:pPr>
              <w:spacing w:after="0"/>
              <w:rPr>
                <w:sz w:val="11"/>
                <w:szCs w:val="11"/>
                <w:color w:val="auto"/>
              </w:rPr>
            </w:pPr>
          </w:p>
        </w:tc>
        <w:tc>
          <w:tcPr>
            <w:tcW w:w="980" w:type="dxa"/>
            <w:vAlign w:val="bottom"/>
            <w:gridSpan w:val="2"/>
            <w:vMerge w:val="restart"/>
          </w:tcPr>
          <w:p>
            <w:pPr>
              <w:jc w:val="center"/>
              <w:ind w:right="260"/>
              <w:spacing w:after="0"/>
              <w:rPr>
                <w:sz w:val="20"/>
                <w:szCs w:val="20"/>
                <w:color w:val="auto"/>
              </w:rPr>
            </w:pPr>
            <w:r>
              <w:rPr>
                <w:rFonts w:ascii="Arial" w:cs="Arial" w:eastAsia="Arial" w:hAnsi="Arial"/>
                <w:sz w:val="14"/>
                <w:szCs w:val="14"/>
                <w:color w:val="auto"/>
                <w:w w:val="91"/>
              </w:rPr>
              <w:t>Average</w:t>
            </w:r>
          </w:p>
        </w:tc>
        <w:tc>
          <w:tcPr>
            <w:tcW w:w="1180" w:type="dxa"/>
            <w:vAlign w:val="bottom"/>
            <w:gridSpan w:val="3"/>
          </w:tcPr>
          <w:p>
            <w:pPr>
              <w:jc w:val="center"/>
              <w:ind w:right="120"/>
              <w:spacing w:after="0" w:line="135" w:lineRule="exact"/>
              <w:rPr>
                <w:sz w:val="20"/>
                <w:szCs w:val="20"/>
                <w:color w:val="auto"/>
              </w:rPr>
            </w:pPr>
            <w:r>
              <w:rPr>
                <w:rFonts w:ascii="Arial" w:cs="Arial" w:eastAsia="Arial" w:hAnsi="Arial"/>
                <w:sz w:val="14"/>
                <w:szCs w:val="14"/>
                <w:color w:val="auto"/>
                <w:w w:val="90"/>
              </w:rPr>
              <w:t>as Part of</w:t>
            </w:r>
          </w:p>
        </w:tc>
        <w:tc>
          <w:tcPr>
            <w:tcW w:w="140" w:type="dxa"/>
            <w:vAlign w:val="bottom"/>
          </w:tcPr>
          <w:p>
            <w:pPr>
              <w:spacing w:after="0"/>
              <w:rPr>
                <w:sz w:val="11"/>
                <w:szCs w:val="11"/>
                <w:color w:val="auto"/>
              </w:rPr>
            </w:pPr>
          </w:p>
        </w:tc>
        <w:tc>
          <w:tcPr>
            <w:tcW w:w="1160" w:type="dxa"/>
            <w:vAlign w:val="bottom"/>
          </w:tcPr>
          <w:p>
            <w:pPr>
              <w:jc w:val="center"/>
              <w:ind w:right="82"/>
              <w:spacing w:after="0" w:line="135" w:lineRule="exact"/>
              <w:rPr>
                <w:sz w:val="20"/>
                <w:szCs w:val="20"/>
                <w:color w:val="auto"/>
              </w:rPr>
            </w:pPr>
            <w:r>
              <w:rPr>
                <w:rFonts w:ascii="Arial" w:cs="Arial" w:eastAsia="Arial" w:hAnsi="Arial"/>
                <w:sz w:val="14"/>
                <w:szCs w:val="14"/>
                <w:color w:val="auto"/>
                <w:w w:val="93"/>
              </w:rPr>
              <w:t>Be</w:t>
            </w:r>
          </w:p>
        </w:tc>
        <w:tc>
          <w:tcPr>
            <w:tcW w:w="0" w:type="dxa"/>
            <w:vAlign w:val="bottom"/>
          </w:tcPr>
          <w:p>
            <w:pPr>
              <w:spacing w:after="0"/>
              <w:rPr>
                <w:sz w:val="1"/>
                <w:szCs w:val="1"/>
                <w:color w:val="auto"/>
              </w:rPr>
            </w:pPr>
          </w:p>
        </w:tc>
      </w:tr>
      <w:tr>
        <w:trPr>
          <w:trHeight w:val="135"/>
        </w:trPr>
        <w:tc>
          <w:tcPr>
            <w:tcW w:w="6420" w:type="dxa"/>
            <w:vAlign w:val="bottom"/>
          </w:tcPr>
          <w:p>
            <w:pPr>
              <w:spacing w:after="0"/>
              <w:rPr>
                <w:sz w:val="11"/>
                <w:szCs w:val="11"/>
                <w:color w:val="auto"/>
              </w:rPr>
            </w:pPr>
          </w:p>
        </w:tc>
        <w:tc>
          <w:tcPr>
            <w:tcW w:w="1160" w:type="dxa"/>
            <w:vAlign w:val="bottom"/>
            <w:gridSpan w:val="2"/>
          </w:tcPr>
          <w:p>
            <w:pPr>
              <w:jc w:val="center"/>
              <w:ind w:right="100"/>
              <w:spacing w:after="0" w:line="135" w:lineRule="exact"/>
              <w:rPr>
                <w:sz w:val="20"/>
                <w:szCs w:val="20"/>
                <w:color w:val="auto"/>
              </w:rPr>
            </w:pPr>
            <w:r>
              <w:rPr>
                <w:rFonts w:ascii="Arial" w:cs="Arial" w:eastAsia="Arial" w:hAnsi="Arial"/>
                <w:sz w:val="14"/>
                <w:szCs w:val="14"/>
                <w:color w:val="auto"/>
                <w:w w:val="94"/>
              </w:rPr>
              <w:t>Number of</w:t>
            </w:r>
          </w:p>
        </w:tc>
        <w:tc>
          <w:tcPr>
            <w:tcW w:w="140" w:type="dxa"/>
            <w:vAlign w:val="bottom"/>
          </w:tcPr>
          <w:p>
            <w:pPr>
              <w:spacing w:after="0"/>
              <w:rPr>
                <w:sz w:val="11"/>
                <w:szCs w:val="11"/>
                <w:color w:val="auto"/>
              </w:rPr>
            </w:pPr>
          </w:p>
        </w:tc>
        <w:tc>
          <w:tcPr>
            <w:tcW w:w="980" w:type="dxa"/>
            <w:vAlign w:val="bottom"/>
            <w:gridSpan w:val="2"/>
            <w:vMerge w:val="continue"/>
          </w:tcPr>
          <w:p>
            <w:pPr>
              <w:spacing w:after="0"/>
              <w:rPr>
                <w:sz w:val="11"/>
                <w:szCs w:val="11"/>
                <w:color w:val="auto"/>
              </w:rPr>
            </w:pPr>
          </w:p>
        </w:tc>
        <w:tc>
          <w:tcPr>
            <w:tcW w:w="1180" w:type="dxa"/>
            <w:vAlign w:val="bottom"/>
            <w:gridSpan w:val="3"/>
          </w:tcPr>
          <w:p>
            <w:pPr>
              <w:jc w:val="center"/>
              <w:ind w:right="140"/>
              <w:spacing w:after="0" w:line="135" w:lineRule="exact"/>
              <w:rPr>
                <w:sz w:val="20"/>
                <w:szCs w:val="20"/>
                <w:color w:val="auto"/>
              </w:rPr>
            </w:pPr>
            <w:r>
              <w:rPr>
                <w:rFonts w:ascii="Arial" w:cs="Arial" w:eastAsia="Arial" w:hAnsi="Arial"/>
                <w:sz w:val="14"/>
                <w:szCs w:val="14"/>
                <w:color w:val="auto"/>
                <w:w w:val="99"/>
              </w:rPr>
              <w:t>Publicly</w:t>
            </w:r>
          </w:p>
        </w:tc>
        <w:tc>
          <w:tcPr>
            <w:tcW w:w="140" w:type="dxa"/>
            <w:vAlign w:val="bottom"/>
          </w:tcPr>
          <w:p>
            <w:pPr>
              <w:spacing w:after="0"/>
              <w:rPr>
                <w:sz w:val="11"/>
                <w:szCs w:val="11"/>
                <w:color w:val="auto"/>
              </w:rPr>
            </w:pPr>
          </w:p>
        </w:tc>
        <w:tc>
          <w:tcPr>
            <w:tcW w:w="1160" w:type="dxa"/>
            <w:vAlign w:val="bottom"/>
          </w:tcPr>
          <w:p>
            <w:pPr>
              <w:jc w:val="center"/>
              <w:ind w:right="82"/>
              <w:spacing w:after="0" w:line="135" w:lineRule="exact"/>
              <w:rPr>
                <w:sz w:val="20"/>
                <w:szCs w:val="20"/>
                <w:color w:val="auto"/>
              </w:rPr>
            </w:pPr>
            <w:r>
              <w:rPr>
                <w:rFonts w:ascii="Arial" w:cs="Arial" w:eastAsia="Arial" w:hAnsi="Arial"/>
                <w:sz w:val="14"/>
                <w:szCs w:val="14"/>
                <w:color w:val="auto"/>
                <w:w w:val="89"/>
              </w:rPr>
              <w:t>Purchased</w:t>
            </w:r>
          </w:p>
        </w:tc>
        <w:tc>
          <w:tcPr>
            <w:tcW w:w="0" w:type="dxa"/>
            <w:vAlign w:val="bottom"/>
          </w:tcPr>
          <w:p>
            <w:pPr>
              <w:spacing w:after="0"/>
              <w:rPr>
                <w:sz w:val="1"/>
                <w:szCs w:val="1"/>
                <w:color w:val="auto"/>
              </w:rPr>
            </w:pPr>
          </w:p>
        </w:tc>
      </w:tr>
      <w:tr>
        <w:trPr>
          <w:trHeight w:val="135"/>
        </w:trPr>
        <w:tc>
          <w:tcPr>
            <w:tcW w:w="6420" w:type="dxa"/>
            <w:vAlign w:val="bottom"/>
          </w:tcPr>
          <w:p>
            <w:pPr>
              <w:spacing w:after="0"/>
              <w:rPr>
                <w:sz w:val="11"/>
                <w:szCs w:val="11"/>
                <w:color w:val="auto"/>
              </w:rPr>
            </w:pPr>
          </w:p>
        </w:tc>
        <w:tc>
          <w:tcPr>
            <w:tcW w:w="1160" w:type="dxa"/>
            <w:vAlign w:val="bottom"/>
            <w:gridSpan w:val="2"/>
          </w:tcPr>
          <w:p>
            <w:pPr>
              <w:jc w:val="center"/>
              <w:ind w:right="100"/>
              <w:spacing w:after="0" w:line="135" w:lineRule="exact"/>
              <w:rPr>
                <w:sz w:val="20"/>
                <w:szCs w:val="20"/>
                <w:color w:val="auto"/>
              </w:rPr>
            </w:pPr>
            <w:r>
              <w:rPr>
                <w:rFonts w:ascii="Arial" w:cs="Arial" w:eastAsia="Arial" w:hAnsi="Arial"/>
                <w:sz w:val="14"/>
                <w:szCs w:val="14"/>
                <w:color w:val="auto"/>
                <w:w w:val="85"/>
              </w:rPr>
              <w:t>Shares</w:t>
            </w:r>
          </w:p>
        </w:tc>
        <w:tc>
          <w:tcPr>
            <w:tcW w:w="140" w:type="dxa"/>
            <w:vAlign w:val="bottom"/>
          </w:tcPr>
          <w:p>
            <w:pPr>
              <w:spacing w:after="0"/>
              <w:rPr>
                <w:sz w:val="11"/>
                <w:szCs w:val="11"/>
                <w:color w:val="auto"/>
              </w:rPr>
            </w:pPr>
          </w:p>
        </w:tc>
        <w:tc>
          <w:tcPr>
            <w:tcW w:w="980" w:type="dxa"/>
            <w:vAlign w:val="bottom"/>
            <w:gridSpan w:val="2"/>
          </w:tcPr>
          <w:p>
            <w:pPr>
              <w:jc w:val="center"/>
              <w:ind w:right="240"/>
              <w:spacing w:after="0" w:line="135" w:lineRule="exact"/>
              <w:rPr>
                <w:sz w:val="20"/>
                <w:szCs w:val="20"/>
                <w:color w:val="auto"/>
              </w:rPr>
            </w:pPr>
            <w:r>
              <w:rPr>
                <w:rFonts w:ascii="Arial" w:cs="Arial" w:eastAsia="Arial" w:hAnsi="Arial"/>
                <w:sz w:val="14"/>
                <w:szCs w:val="14"/>
                <w:color w:val="auto"/>
                <w:w w:val="90"/>
              </w:rPr>
              <w:t>Price Paid</w:t>
            </w:r>
          </w:p>
        </w:tc>
        <w:tc>
          <w:tcPr>
            <w:tcW w:w="1180" w:type="dxa"/>
            <w:vAlign w:val="bottom"/>
            <w:gridSpan w:val="3"/>
          </w:tcPr>
          <w:p>
            <w:pPr>
              <w:jc w:val="center"/>
              <w:ind w:right="120"/>
              <w:spacing w:after="0" w:line="135" w:lineRule="exact"/>
              <w:rPr>
                <w:sz w:val="20"/>
                <w:szCs w:val="20"/>
                <w:color w:val="auto"/>
              </w:rPr>
            </w:pPr>
            <w:r>
              <w:rPr>
                <w:rFonts w:ascii="Arial" w:cs="Arial" w:eastAsia="Arial" w:hAnsi="Arial"/>
                <w:sz w:val="14"/>
                <w:szCs w:val="14"/>
                <w:color w:val="auto"/>
                <w:w w:val="93"/>
              </w:rPr>
              <w:t>Announced</w:t>
            </w:r>
          </w:p>
        </w:tc>
        <w:tc>
          <w:tcPr>
            <w:tcW w:w="140" w:type="dxa"/>
            <w:vAlign w:val="bottom"/>
          </w:tcPr>
          <w:p>
            <w:pPr>
              <w:spacing w:after="0"/>
              <w:rPr>
                <w:sz w:val="11"/>
                <w:szCs w:val="11"/>
                <w:color w:val="auto"/>
              </w:rPr>
            </w:pPr>
          </w:p>
        </w:tc>
        <w:tc>
          <w:tcPr>
            <w:tcW w:w="1160" w:type="dxa"/>
            <w:vAlign w:val="bottom"/>
          </w:tcPr>
          <w:p>
            <w:pPr>
              <w:jc w:val="center"/>
              <w:ind w:right="62"/>
              <w:spacing w:after="0" w:line="135" w:lineRule="exact"/>
              <w:rPr>
                <w:sz w:val="20"/>
                <w:szCs w:val="20"/>
                <w:color w:val="auto"/>
              </w:rPr>
            </w:pPr>
            <w:r>
              <w:rPr>
                <w:rFonts w:ascii="Arial" w:cs="Arial" w:eastAsia="Arial" w:hAnsi="Arial"/>
                <w:sz w:val="14"/>
                <w:szCs w:val="14"/>
                <w:color w:val="auto"/>
                <w:w w:val="90"/>
              </w:rPr>
              <w:t>Under Plans</w:t>
            </w:r>
          </w:p>
        </w:tc>
        <w:tc>
          <w:tcPr>
            <w:tcW w:w="0" w:type="dxa"/>
            <w:vAlign w:val="bottom"/>
          </w:tcPr>
          <w:p>
            <w:pPr>
              <w:spacing w:after="0"/>
              <w:rPr>
                <w:sz w:val="1"/>
                <w:szCs w:val="1"/>
                <w:color w:val="auto"/>
              </w:rPr>
            </w:pPr>
          </w:p>
        </w:tc>
      </w:tr>
      <w:tr>
        <w:trPr>
          <w:trHeight w:val="186"/>
        </w:trPr>
        <w:tc>
          <w:tcPr>
            <w:tcW w:w="6420" w:type="dxa"/>
            <w:vAlign w:val="bottom"/>
          </w:tcPr>
          <w:p>
            <w:pPr>
              <w:spacing w:after="0"/>
              <w:rPr>
                <w:sz w:val="16"/>
                <w:szCs w:val="16"/>
                <w:color w:val="auto"/>
              </w:rPr>
            </w:pPr>
          </w:p>
        </w:tc>
        <w:tc>
          <w:tcPr>
            <w:tcW w:w="1160" w:type="dxa"/>
            <w:vAlign w:val="bottom"/>
            <w:gridSpan w:val="2"/>
          </w:tcPr>
          <w:p>
            <w:pPr>
              <w:jc w:val="center"/>
              <w:ind w:right="100"/>
              <w:spacing w:after="0"/>
              <w:rPr>
                <w:sz w:val="20"/>
                <w:szCs w:val="20"/>
                <w:color w:val="auto"/>
              </w:rPr>
            </w:pPr>
            <w:r>
              <w:rPr>
                <w:rFonts w:ascii="Arial" w:cs="Arial" w:eastAsia="Arial" w:hAnsi="Arial"/>
                <w:sz w:val="14"/>
                <w:szCs w:val="14"/>
                <w:color w:val="auto"/>
                <w:w w:val="86"/>
              </w:rPr>
              <w:t>Purchased</w:t>
            </w:r>
          </w:p>
        </w:tc>
        <w:tc>
          <w:tcPr>
            <w:tcW w:w="140" w:type="dxa"/>
            <w:vAlign w:val="bottom"/>
          </w:tcPr>
          <w:p>
            <w:pPr>
              <w:spacing w:after="0"/>
              <w:rPr>
                <w:sz w:val="16"/>
                <w:szCs w:val="16"/>
                <w:color w:val="auto"/>
              </w:rPr>
            </w:pPr>
          </w:p>
        </w:tc>
        <w:tc>
          <w:tcPr>
            <w:tcW w:w="980" w:type="dxa"/>
            <w:vAlign w:val="bottom"/>
            <w:gridSpan w:val="2"/>
          </w:tcPr>
          <w:p>
            <w:pPr>
              <w:jc w:val="center"/>
              <w:ind w:right="240"/>
              <w:spacing w:after="0"/>
              <w:rPr>
                <w:sz w:val="20"/>
                <w:szCs w:val="20"/>
                <w:color w:val="auto"/>
              </w:rPr>
            </w:pPr>
            <w:r>
              <w:rPr>
                <w:rFonts w:ascii="Arial" w:cs="Arial" w:eastAsia="Arial" w:hAnsi="Arial"/>
                <w:sz w:val="14"/>
                <w:szCs w:val="14"/>
                <w:color w:val="auto"/>
                <w:w w:val="87"/>
              </w:rPr>
              <w:t>per Share</w:t>
            </w:r>
          </w:p>
        </w:tc>
        <w:tc>
          <w:tcPr>
            <w:tcW w:w="1180" w:type="dxa"/>
            <w:vAlign w:val="bottom"/>
            <w:gridSpan w:val="3"/>
          </w:tcPr>
          <w:p>
            <w:pPr>
              <w:jc w:val="center"/>
              <w:ind w:right="120"/>
              <w:spacing w:after="0"/>
              <w:rPr>
                <w:sz w:val="20"/>
                <w:szCs w:val="20"/>
                <w:color w:val="auto"/>
              </w:rPr>
            </w:pPr>
            <w:r>
              <w:rPr>
                <w:rFonts w:ascii="Arial" w:cs="Arial" w:eastAsia="Arial" w:hAnsi="Arial"/>
                <w:sz w:val="14"/>
                <w:szCs w:val="14"/>
                <w:color w:val="auto"/>
                <w:w w:val="90"/>
              </w:rPr>
              <w:t>Programs (1)</w:t>
            </w:r>
          </w:p>
        </w:tc>
        <w:tc>
          <w:tcPr>
            <w:tcW w:w="140" w:type="dxa"/>
            <w:vAlign w:val="bottom"/>
          </w:tcPr>
          <w:p>
            <w:pPr>
              <w:spacing w:after="0"/>
              <w:rPr>
                <w:sz w:val="16"/>
                <w:szCs w:val="16"/>
                <w:color w:val="auto"/>
              </w:rPr>
            </w:pPr>
          </w:p>
        </w:tc>
        <w:tc>
          <w:tcPr>
            <w:tcW w:w="1160" w:type="dxa"/>
            <w:vAlign w:val="bottom"/>
          </w:tcPr>
          <w:p>
            <w:pPr>
              <w:jc w:val="center"/>
              <w:ind w:right="82"/>
              <w:spacing w:after="0"/>
              <w:rPr>
                <w:sz w:val="20"/>
                <w:szCs w:val="20"/>
                <w:color w:val="auto"/>
              </w:rPr>
            </w:pPr>
            <w:r>
              <w:rPr>
                <w:rFonts w:ascii="Arial" w:cs="Arial" w:eastAsia="Arial" w:hAnsi="Arial"/>
                <w:sz w:val="14"/>
                <w:szCs w:val="14"/>
                <w:color w:val="auto"/>
                <w:w w:val="93"/>
              </w:rPr>
              <w:t>or Programs (1)</w:t>
            </w:r>
          </w:p>
        </w:tc>
        <w:tc>
          <w:tcPr>
            <w:tcW w:w="0" w:type="dxa"/>
            <w:vAlign w:val="bottom"/>
          </w:tcPr>
          <w:p>
            <w:pPr>
              <w:spacing w:after="0"/>
              <w:rPr>
                <w:sz w:val="1"/>
                <w:szCs w:val="1"/>
                <w:color w:val="auto"/>
              </w:rPr>
            </w:pPr>
          </w:p>
        </w:tc>
      </w:tr>
      <w:tr>
        <w:trPr>
          <w:trHeight w:val="226"/>
        </w:trPr>
        <w:tc>
          <w:tcPr>
            <w:tcW w:w="64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September 1, 2020 - September 30, 2020</w:t>
            </w: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1060" w:type="dxa"/>
            <w:vAlign w:val="bottom"/>
            <w:tcBorders>
              <w:top w:val="single" w:sz="8" w:color="auto"/>
            </w:tcBorders>
            <w:shd w:val="clear" w:color="auto" w:fill="CCEEFF"/>
          </w:tcPr>
          <w:p>
            <w:pPr>
              <w:ind w:left="800"/>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auto"/>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tcBorders>
            <w:shd w:val="clear" w:color="auto" w:fill="CCEEFF"/>
          </w:tcPr>
          <w:p>
            <w:pPr>
              <w:ind w:left="9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6420" w:type="dxa"/>
            <w:vAlign w:val="bottom"/>
          </w:tcPr>
          <w:p>
            <w:pPr>
              <w:ind w:left="20"/>
              <w:spacing w:after="0"/>
              <w:rPr>
                <w:sz w:val="20"/>
                <w:szCs w:val="20"/>
                <w:color w:val="auto"/>
              </w:rPr>
            </w:pPr>
            <w:r>
              <w:rPr>
                <w:rFonts w:ascii="Arial" w:cs="Arial" w:eastAsia="Arial" w:hAnsi="Arial"/>
                <w:sz w:val="18"/>
                <w:szCs w:val="18"/>
                <w:color w:val="auto"/>
              </w:rPr>
              <w:t>October 1, 2020 - October 31, 2020</w:t>
            </w:r>
          </w:p>
        </w:tc>
        <w:tc>
          <w:tcPr>
            <w:tcW w:w="1060" w:type="dxa"/>
            <w:vAlign w:val="bottom"/>
          </w:tcPr>
          <w:p>
            <w:pPr>
              <w:jc w:val="right"/>
              <w:spacing w:after="0"/>
              <w:rPr>
                <w:sz w:val="20"/>
                <w:szCs w:val="20"/>
                <w:color w:val="auto"/>
              </w:rPr>
            </w:pPr>
            <w:r>
              <w:rPr>
                <w:rFonts w:ascii="Arial" w:cs="Arial" w:eastAsia="Arial" w:hAnsi="Arial"/>
                <w:sz w:val="18"/>
                <w:szCs w:val="18"/>
                <w:color w:val="auto"/>
              </w:rPr>
              <w:t>849</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11.24</w:t>
            </w:r>
          </w:p>
        </w:tc>
        <w:tc>
          <w:tcPr>
            <w:tcW w:w="100" w:type="dxa"/>
            <w:vAlign w:val="bottom"/>
          </w:tcPr>
          <w:p>
            <w:pPr>
              <w:spacing w:after="0"/>
              <w:rPr>
                <w:sz w:val="19"/>
                <w:szCs w:val="19"/>
                <w:color w:val="auto"/>
              </w:rPr>
            </w:pPr>
          </w:p>
        </w:tc>
        <w:tc>
          <w:tcPr>
            <w:tcW w:w="1180" w:type="dxa"/>
            <w:vAlign w:val="bottom"/>
            <w:gridSpan w:val="3"/>
          </w:tcPr>
          <w:p>
            <w:pPr>
              <w:ind w:left="800"/>
              <w:spacing w:after="0"/>
              <w:rPr>
                <w:sz w:val="20"/>
                <w:szCs w:val="20"/>
                <w:color w:val="auto"/>
              </w:rPr>
            </w:pPr>
            <w:r>
              <w:rPr>
                <w:rFonts w:ascii="Arial" w:cs="Arial" w:eastAsia="Arial" w:hAnsi="Arial"/>
                <w:sz w:val="18"/>
                <w:szCs w:val="18"/>
                <w:color w:val="auto"/>
              </w:rPr>
              <w:t>—</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Pr>
          <w:p>
            <w:pPr>
              <w:ind w:left="9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6420" w:type="dxa"/>
            <w:vAlign w:val="bottom"/>
            <w:shd w:val="clear" w:color="auto" w:fill="CCEEFF"/>
          </w:tcPr>
          <w:p>
            <w:pPr>
              <w:ind w:left="20"/>
              <w:spacing w:after="0"/>
              <w:rPr>
                <w:sz w:val="20"/>
                <w:szCs w:val="20"/>
                <w:color w:val="auto"/>
              </w:rPr>
            </w:pPr>
            <w:r>
              <w:rPr>
                <w:rFonts w:ascii="Arial" w:cs="Arial" w:eastAsia="Arial" w:hAnsi="Arial"/>
                <w:sz w:val="18"/>
                <w:szCs w:val="18"/>
                <w:color w:val="auto"/>
              </w:rPr>
              <w:t>November 1, 2020 - November 30, 2020</w:t>
            </w:r>
          </w:p>
        </w:tc>
        <w:tc>
          <w:tcPr>
            <w:tcW w:w="11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180" w:type="dxa"/>
            <w:vAlign w:val="bottom"/>
            <w:gridSpan w:val="3"/>
            <w:shd w:val="clear" w:color="auto" w:fill="CCEEFF"/>
          </w:tcPr>
          <w:p>
            <w:pPr>
              <w:ind w:left="8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shd w:val="clear" w:color="auto" w:fill="CCEEFF"/>
          </w:tcPr>
          <w:p>
            <w:pPr>
              <w:ind w:left="9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6420" w:type="dxa"/>
            <w:vAlign w:val="bottom"/>
          </w:tcPr>
          <w:p>
            <w:pPr>
              <w:ind w:left="360"/>
              <w:spacing w:after="0"/>
              <w:rPr>
                <w:sz w:val="20"/>
                <w:szCs w:val="20"/>
                <w:color w:val="auto"/>
              </w:rPr>
            </w:pPr>
            <w:r>
              <w:rPr>
                <w:rFonts w:ascii="Arial" w:cs="Arial" w:eastAsia="Arial" w:hAnsi="Arial"/>
                <w:sz w:val="18"/>
                <w:szCs w:val="18"/>
                <w:color w:val="auto"/>
              </w:rPr>
              <w:t>Total</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849</w:t>
            </w:r>
          </w:p>
        </w:tc>
        <w:tc>
          <w:tcPr>
            <w:tcW w:w="10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11.24</w:t>
            </w:r>
          </w:p>
        </w:tc>
        <w:tc>
          <w:tcPr>
            <w:tcW w:w="100" w:type="dxa"/>
            <w:vAlign w:val="bottom"/>
          </w:tcPr>
          <w:p>
            <w:pPr>
              <w:spacing w:after="0"/>
              <w:rPr>
                <w:sz w:val="19"/>
                <w:szCs w:val="19"/>
                <w:color w:val="auto"/>
              </w:rPr>
            </w:pPr>
          </w:p>
        </w:tc>
        <w:tc>
          <w:tcPr>
            <w:tcW w:w="1060" w:type="dxa"/>
            <w:vAlign w:val="bottom"/>
            <w:tcBorders>
              <w:top w:val="single" w:sz="8" w:color="auto"/>
              <w:bottom w:val="single" w:sz="8" w:color="auto"/>
            </w:tcBorders>
          </w:tcPr>
          <w:p>
            <w:pPr>
              <w:ind w:left="8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20" w:type="dxa"/>
            <w:vAlign w:val="bottom"/>
            <w:tcBorders>
              <w:top w:val="single" w:sz="8" w:color="auto"/>
              <w:bottom w:val="single" w:sz="8" w:color="auto"/>
            </w:tcBorders>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1160" w:type="dxa"/>
            <w:vAlign w:val="bottom"/>
            <w:tcBorders>
              <w:top w:val="single" w:sz="8" w:color="auto"/>
              <w:bottom w:val="single" w:sz="8" w:color="auto"/>
            </w:tcBorders>
          </w:tcPr>
          <w:p>
            <w:pPr>
              <w:ind w:left="9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
        </w:trPr>
        <w:tc>
          <w:tcPr>
            <w:tcW w:w="642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98" w:lineRule="exact"/>
        <w:rPr>
          <w:sz w:val="20"/>
          <w:szCs w:val="20"/>
          <w:color w:val="auto"/>
        </w:rPr>
      </w:pPr>
    </w:p>
    <w:p>
      <w:pPr>
        <w:ind w:left="260"/>
        <w:spacing w:after="0"/>
        <w:tabs>
          <w:tab w:leader="none" w:pos="560" w:val="left"/>
        </w:tabs>
        <w:rPr>
          <w:sz w:val="20"/>
          <w:szCs w:val="20"/>
          <w:color w:val="auto"/>
        </w:rPr>
      </w:pPr>
      <w:r>
        <w:rPr>
          <w:rFonts w:ascii="Arial" w:cs="Arial" w:eastAsia="Arial" w:hAnsi="Arial"/>
          <w:sz w:val="16"/>
          <w:szCs w:val="16"/>
          <w:color w:val="auto"/>
        </w:rPr>
        <w:t>(1)</w:t>
      </w:r>
      <w:r>
        <w:rPr>
          <w:sz w:val="20"/>
          <w:szCs w:val="20"/>
          <w:color w:val="auto"/>
        </w:rPr>
        <w:tab/>
      </w:r>
      <w:r>
        <w:rPr>
          <w:rFonts w:ascii="Arial" w:cs="Arial" w:eastAsia="Arial" w:hAnsi="Arial"/>
          <w:sz w:val="14"/>
          <w:szCs w:val="14"/>
          <w:color w:val="auto"/>
        </w:rPr>
        <w:t>These amounts are not applicable as the Company currently does not have a share repurchase program in effect.</w:t>
      </w:r>
    </w:p>
    <w:p>
      <w:pPr>
        <w:spacing w:after="0" w:line="200" w:lineRule="exact"/>
        <w:rPr>
          <w:sz w:val="20"/>
          <w:szCs w:val="20"/>
          <w:color w:val="auto"/>
        </w:rPr>
      </w:pP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Defaults on Senior Securities.</w:t>
      </w:r>
    </w:p>
    <w:p>
      <w:pPr>
        <w:spacing w:after="0" w:line="17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None.</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Mine Safety Disclosures.</w:t>
      </w:r>
    </w:p>
    <w:p>
      <w:pPr>
        <w:spacing w:after="0" w:line="17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None.</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Other Information.</w:t>
      </w:r>
    </w:p>
    <w:p>
      <w:pPr>
        <w:spacing w:after="0" w:line="17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36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80"/>
          </w:cols>
          <w:pgMar w:left="320" w:top="122" w:right="399" w:bottom="1440" w:gutter="0" w:footer="0" w:header="0"/>
        </w:sectPr>
      </w:pPr>
    </w:p>
    <w:bookmarkStart w:id="39" w:name="page40"/>
    <w:bookmarkEnd w:id="39"/>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060" w:type="dxa"/>
            <w:vAlign w:val="bottom"/>
          </w:tcPr>
          <w:p>
            <w:pPr>
              <w:spacing w:after="0"/>
              <w:rPr>
                <w:sz w:val="20"/>
                <w:szCs w:val="20"/>
                <w:color w:val="auto"/>
              </w:rPr>
            </w:pPr>
            <w:r>
              <w:rPr>
                <w:rFonts w:ascii="Arial" w:cs="Arial" w:eastAsia="Arial" w:hAnsi="Arial"/>
                <w:sz w:val="18"/>
                <w:szCs w:val="18"/>
                <w:b w:val="1"/>
                <w:bCs w:val="1"/>
                <w:color w:val="auto"/>
              </w:rPr>
              <w:t>Item 6</w:t>
            </w:r>
          </w:p>
        </w:tc>
        <w:tc>
          <w:tcPr>
            <w:tcW w:w="360" w:type="dxa"/>
            <w:vAlign w:val="bottom"/>
          </w:tcPr>
          <w:p>
            <w:pPr>
              <w:spacing w:after="0"/>
              <w:rPr>
                <w:sz w:val="20"/>
                <w:szCs w:val="20"/>
                <w:color w:val="auto"/>
              </w:rPr>
            </w:pPr>
          </w:p>
        </w:tc>
        <w:tc>
          <w:tcPr>
            <w:tcW w:w="2660" w:type="dxa"/>
            <w:vAlign w:val="bottom"/>
          </w:tcPr>
          <w:p>
            <w:pPr>
              <w:spacing w:after="0"/>
              <w:rPr>
                <w:sz w:val="20"/>
                <w:szCs w:val="20"/>
                <w:color w:val="auto"/>
              </w:rPr>
            </w:pPr>
          </w:p>
        </w:tc>
        <w:tc>
          <w:tcPr>
            <w:tcW w:w="3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2020" w:type="dxa"/>
            <w:vAlign w:val="bottom"/>
          </w:tcPr>
          <w:p>
            <w:pPr>
              <w:spacing w:after="0"/>
              <w:rPr>
                <w:sz w:val="20"/>
                <w:szCs w:val="20"/>
                <w:color w:val="auto"/>
              </w:rPr>
            </w:pPr>
          </w:p>
        </w:tc>
      </w:tr>
      <w:tr>
        <w:trPr>
          <w:trHeight w:val="418"/>
        </w:trPr>
        <w:tc>
          <w:tcPr>
            <w:tcW w:w="10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100" w:type="dxa"/>
            <w:vAlign w:val="bottom"/>
            <w:gridSpan w:val="6"/>
          </w:tcPr>
          <w:p>
            <w:pPr>
              <w:jc w:val="center"/>
              <w:ind w:right="380"/>
              <w:spacing w:after="0"/>
              <w:rPr>
                <w:sz w:val="20"/>
                <w:szCs w:val="20"/>
                <w:color w:val="auto"/>
              </w:rPr>
            </w:pPr>
            <w:r>
              <w:rPr>
                <w:rFonts w:ascii="Arial" w:cs="Arial" w:eastAsia="Arial" w:hAnsi="Arial"/>
                <w:sz w:val="18"/>
                <w:szCs w:val="18"/>
                <w:b w:val="1"/>
                <w:bCs w:val="1"/>
                <w:color w:val="auto"/>
              </w:rPr>
              <w:t>EXHIBIT INDEX</w:t>
            </w:r>
          </w:p>
        </w:tc>
        <w:tc>
          <w:tcPr>
            <w:tcW w:w="3720" w:type="dxa"/>
            <w:vAlign w:val="bottom"/>
            <w:tcBorders>
              <w:bottom w:val="single" w:sz="8" w:color="auto"/>
            </w:tcBorders>
            <w:gridSpan w:val="2"/>
          </w:tcPr>
          <w:p>
            <w:pPr>
              <w:ind w:left="900"/>
              <w:spacing w:after="0"/>
              <w:rPr>
                <w:sz w:val="20"/>
                <w:szCs w:val="20"/>
                <w:color w:val="auto"/>
              </w:rPr>
            </w:pPr>
            <w:r>
              <w:rPr>
                <w:rFonts w:ascii="Arial" w:cs="Arial" w:eastAsia="Arial" w:hAnsi="Arial"/>
                <w:sz w:val="18"/>
                <w:szCs w:val="18"/>
                <w:color w:val="auto"/>
              </w:rPr>
              <w:t>Incorporated by Reference</w:t>
            </w:r>
          </w:p>
        </w:tc>
      </w:tr>
      <w:tr>
        <w:trPr>
          <w:trHeight w:val="223"/>
        </w:trPr>
        <w:tc>
          <w:tcPr>
            <w:tcW w:w="1060" w:type="dxa"/>
            <w:vAlign w:val="bottom"/>
            <w:tcBorders>
              <w:bottom w:val="single" w:sz="8" w:color="auto"/>
            </w:tcBorders>
          </w:tcPr>
          <w:p>
            <w:pPr>
              <w:ind w:left="380"/>
              <w:spacing w:after="0"/>
              <w:rPr>
                <w:sz w:val="20"/>
                <w:szCs w:val="20"/>
                <w:color w:val="auto"/>
              </w:rPr>
            </w:pPr>
            <w:r>
              <w:rPr>
                <w:rFonts w:ascii="Arial" w:cs="Arial" w:eastAsia="Arial" w:hAnsi="Arial"/>
                <w:sz w:val="18"/>
                <w:szCs w:val="18"/>
                <w:b w:val="1"/>
                <w:bCs w:val="1"/>
                <w:color w:val="auto"/>
              </w:rPr>
              <w:t>No.</w:t>
            </w:r>
          </w:p>
        </w:tc>
        <w:tc>
          <w:tcPr>
            <w:tcW w:w="360" w:type="dxa"/>
            <w:vAlign w:val="bottom"/>
            <w:tcBorders>
              <w:bottom w:val="single" w:sz="8" w:color="auto"/>
            </w:tcBorders>
          </w:tcPr>
          <w:p>
            <w:pPr>
              <w:spacing w:after="0"/>
              <w:rPr>
                <w:sz w:val="19"/>
                <w:szCs w:val="19"/>
                <w:color w:val="auto"/>
              </w:rPr>
            </w:pPr>
          </w:p>
        </w:tc>
        <w:tc>
          <w:tcPr>
            <w:tcW w:w="6100" w:type="dxa"/>
            <w:vAlign w:val="bottom"/>
            <w:tcBorders>
              <w:bottom w:val="single" w:sz="8" w:color="auto"/>
            </w:tcBorders>
            <w:gridSpan w:val="6"/>
          </w:tcPr>
          <w:p>
            <w:pPr>
              <w:jc w:val="center"/>
              <w:ind w:right="400"/>
              <w:spacing w:after="0"/>
              <w:rPr>
                <w:sz w:val="20"/>
                <w:szCs w:val="20"/>
                <w:color w:val="auto"/>
              </w:rPr>
            </w:pPr>
            <w:r>
              <w:rPr>
                <w:rFonts w:ascii="Arial" w:cs="Arial" w:eastAsia="Arial" w:hAnsi="Arial"/>
                <w:sz w:val="18"/>
                <w:szCs w:val="18"/>
                <w:b w:val="1"/>
                <w:bCs w:val="1"/>
                <w:color w:val="auto"/>
                <w:w w:val="90"/>
              </w:rPr>
              <w:t>Description</w:t>
            </w:r>
          </w:p>
        </w:tc>
        <w:tc>
          <w:tcPr>
            <w:tcW w:w="1700" w:type="dxa"/>
            <w:vAlign w:val="bottom"/>
            <w:tcBorders>
              <w:bottom w:val="single" w:sz="8" w:color="auto"/>
            </w:tcBorders>
          </w:tcPr>
          <w:p>
            <w:pPr>
              <w:jc w:val="center"/>
              <w:ind w:left="70"/>
              <w:spacing w:after="0"/>
              <w:rPr>
                <w:sz w:val="20"/>
                <w:szCs w:val="20"/>
                <w:color w:val="auto"/>
              </w:rPr>
            </w:pPr>
            <w:r>
              <w:rPr>
                <w:rFonts w:ascii="Arial" w:cs="Arial" w:eastAsia="Arial" w:hAnsi="Arial"/>
                <w:sz w:val="18"/>
                <w:szCs w:val="18"/>
                <w:color w:val="auto"/>
                <w:w w:val="90"/>
              </w:rPr>
              <w:t>Form</w:t>
            </w:r>
          </w:p>
        </w:tc>
        <w:tc>
          <w:tcPr>
            <w:tcW w:w="2020" w:type="dxa"/>
            <w:vAlign w:val="bottom"/>
            <w:tcBorders>
              <w:bottom w:val="single" w:sz="8" w:color="auto"/>
            </w:tcBorders>
          </w:tcPr>
          <w:p>
            <w:pPr>
              <w:jc w:val="center"/>
              <w:ind w:left="70"/>
              <w:spacing w:after="0"/>
              <w:rPr>
                <w:sz w:val="20"/>
                <w:szCs w:val="20"/>
                <w:color w:val="auto"/>
              </w:rPr>
            </w:pPr>
            <w:r>
              <w:rPr>
                <w:rFonts w:ascii="Arial" w:cs="Arial" w:eastAsia="Arial" w:hAnsi="Arial"/>
                <w:sz w:val="18"/>
                <w:szCs w:val="18"/>
                <w:color w:val="auto"/>
                <w:w w:val="95"/>
              </w:rPr>
              <w:t>Filing Date</w:t>
            </w:r>
          </w:p>
        </w:tc>
      </w:tr>
      <w:tr>
        <w:trPr>
          <w:trHeight w:val="479"/>
        </w:trPr>
        <w:tc>
          <w:tcPr>
            <w:tcW w:w="1060" w:type="dxa"/>
            <w:vAlign w:val="bottom"/>
          </w:tcPr>
          <w:p>
            <w:pPr>
              <w:ind w:left="20"/>
              <w:spacing w:after="0"/>
              <w:rPr>
                <w:sz w:val="20"/>
                <w:szCs w:val="20"/>
                <w:color w:val="auto"/>
              </w:rPr>
            </w:pPr>
            <w:r>
              <w:rPr>
                <w:rFonts w:ascii="Arial" w:cs="Arial" w:eastAsia="Arial" w:hAnsi="Arial"/>
                <w:sz w:val="18"/>
                <w:szCs w:val="18"/>
                <w:color w:val="auto"/>
              </w:rPr>
              <w:t>10.1.9</w:t>
            </w:r>
          </w:p>
        </w:tc>
        <w:tc>
          <w:tcPr>
            <w:tcW w:w="6460" w:type="dxa"/>
            <w:vAlign w:val="bottom"/>
            <w:gridSpan w:val="7"/>
          </w:tcPr>
          <w:p>
            <w:pPr>
              <w:spacing w:after="0"/>
              <w:rPr>
                <w:rFonts w:ascii="Arial" w:cs="Arial" w:eastAsia="Arial" w:hAnsi="Arial"/>
                <w:sz w:val="18"/>
                <w:szCs w:val="18"/>
                <w:u w:val="single" w:color="auto"/>
                <w:color w:val="0000FF"/>
              </w:rPr>
            </w:pPr>
            <w:hyperlink r:id="rId56">
              <w:r>
                <w:rPr>
                  <w:rFonts w:ascii="Arial" w:cs="Arial" w:eastAsia="Arial" w:hAnsi="Arial"/>
                  <w:sz w:val="18"/>
                  <w:szCs w:val="18"/>
                  <w:u w:val="single" w:color="auto"/>
                  <w:color w:val="0000FF"/>
                </w:rPr>
                <w:t>AngioDynamics, Inc. 2020 Stock and Incentive Award Plan</w:t>
              </w:r>
            </w:hyperlink>
          </w:p>
        </w:tc>
        <w:tc>
          <w:tcPr>
            <w:tcW w:w="1700" w:type="dxa"/>
            <w:vAlign w:val="bottom"/>
          </w:tcPr>
          <w:p>
            <w:pPr>
              <w:jc w:val="center"/>
              <w:ind w:left="70"/>
              <w:spacing w:after="0"/>
              <w:rPr>
                <w:sz w:val="20"/>
                <w:szCs w:val="20"/>
                <w:color w:val="auto"/>
              </w:rPr>
            </w:pPr>
            <w:r>
              <w:rPr>
                <w:rFonts w:ascii="Arial" w:cs="Arial" w:eastAsia="Arial" w:hAnsi="Arial"/>
                <w:sz w:val="18"/>
                <w:szCs w:val="18"/>
                <w:color w:val="auto"/>
                <w:w w:val="95"/>
              </w:rPr>
              <w:t>DEF 14A</w:t>
            </w:r>
          </w:p>
        </w:tc>
        <w:tc>
          <w:tcPr>
            <w:tcW w:w="2020" w:type="dxa"/>
            <w:vAlign w:val="bottom"/>
          </w:tcPr>
          <w:p>
            <w:pPr>
              <w:jc w:val="center"/>
              <w:ind w:left="70"/>
              <w:spacing w:after="0"/>
              <w:rPr>
                <w:sz w:val="20"/>
                <w:szCs w:val="20"/>
                <w:color w:val="auto"/>
              </w:rPr>
            </w:pPr>
            <w:r>
              <w:rPr>
                <w:rFonts w:ascii="Arial" w:cs="Arial" w:eastAsia="Arial" w:hAnsi="Arial"/>
                <w:sz w:val="18"/>
                <w:szCs w:val="18"/>
                <w:color w:val="auto"/>
                <w:w w:val="87"/>
              </w:rPr>
              <w:t>September 3, 2020</w:t>
            </w:r>
          </w:p>
        </w:tc>
      </w:tr>
      <w:tr>
        <w:trPr>
          <w:trHeight w:val="499"/>
        </w:trPr>
        <w:tc>
          <w:tcPr>
            <w:tcW w:w="1060" w:type="dxa"/>
            <w:vAlign w:val="bottom"/>
          </w:tcPr>
          <w:p>
            <w:pPr>
              <w:ind w:left="20"/>
              <w:spacing w:after="0"/>
              <w:rPr>
                <w:sz w:val="20"/>
                <w:szCs w:val="20"/>
                <w:color w:val="auto"/>
              </w:rPr>
            </w:pPr>
            <w:r>
              <w:rPr>
                <w:rFonts w:ascii="Arial" w:cs="Arial" w:eastAsia="Arial" w:hAnsi="Arial"/>
                <w:sz w:val="18"/>
                <w:szCs w:val="18"/>
                <w:color w:val="auto"/>
              </w:rPr>
              <w:t>10.2</w:t>
            </w:r>
          </w:p>
        </w:tc>
        <w:tc>
          <w:tcPr>
            <w:tcW w:w="6460" w:type="dxa"/>
            <w:vAlign w:val="bottom"/>
            <w:gridSpan w:val="7"/>
          </w:tcPr>
          <w:p>
            <w:pPr>
              <w:spacing w:after="0"/>
              <w:rPr>
                <w:rFonts w:ascii="Arial" w:cs="Arial" w:eastAsia="Arial" w:hAnsi="Arial"/>
                <w:sz w:val="18"/>
                <w:szCs w:val="18"/>
                <w:u w:val="single" w:color="auto"/>
                <w:color w:val="0000FF"/>
              </w:rPr>
            </w:pPr>
            <w:hyperlink r:id="rId56">
              <w:r>
                <w:rPr>
                  <w:rFonts w:ascii="Arial" w:cs="Arial" w:eastAsia="Arial" w:hAnsi="Arial"/>
                  <w:sz w:val="18"/>
                  <w:szCs w:val="18"/>
                  <w:u w:val="single" w:color="auto"/>
                  <w:color w:val="0000FF"/>
                </w:rPr>
                <w:t>AngioDynamics, Inc. Employee Stock Purchase Plan (as amended)</w:t>
              </w:r>
            </w:hyperlink>
          </w:p>
        </w:tc>
        <w:tc>
          <w:tcPr>
            <w:tcW w:w="1700" w:type="dxa"/>
            <w:vAlign w:val="bottom"/>
          </w:tcPr>
          <w:p>
            <w:pPr>
              <w:jc w:val="center"/>
              <w:ind w:left="70"/>
              <w:spacing w:after="0"/>
              <w:rPr>
                <w:sz w:val="20"/>
                <w:szCs w:val="20"/>
                <w:color w:val="auto"/>
              </w:rPr>
            </w:pPr>
            <w:r>
              <w:rPr>
                <w:rFonts w:ascii="Arial" w:cs="Arial" w:eastAsia="Arial" w:hAnsi="Arial"/>
                <w:sz w:val="18"/>
                <w:szCs w:val="18"/>
                <w:color w:val="auto"/>
                <w:w w:val="95"/>
              </w:rPr>
              <w:t>DEF 14A</w:t>
            </w:r>
          </w:p>
        </w:tc>
        <w:tc>
          <w:tcPr>
            <w:tcW w:w="2020" w:type="dxa"/>
            <w:vAlign w:val="bottom"/>
          </w:tcPr>
          <w:p>
            <w:pPr>
              <w:jc w:val="center"/>
              <w:ind w:left="70"/>
              <w:spacing w:after="0"/>
              <w:rPr>
                <w:sz w:val="20"/>
                <w:szCs w:val="20"/>
                <w:color w:val="auto"/>
              </w:rPr>
            </w:pPr>
            <w:r>
              <w:rPr>
                <w:rFonts w:ascii="Arial" w:cs="Arial" w:eastAsia="Arial" w:hAnsi="Arial"/>
                <w:sz w:val="18"/>
                <w:szCs w:val="18"/>
                <w:color w:val="auto"/>
                <w:w w:val="87"/>
              </w:rPr>
              <w:t>September 3, 2020</w:t>
            </w:r>
          </w:p>
        </w:tc>
      </w:tr>
      <w:tr>
        <w:trPr>
          <w:trHeight w:val="459"/>
        </w:trPr>
        <w:tc>
          <w:tcPr>
            <w:tcW w:w="1060" w:type="dxa"/>
            <w:vAlign w:val="bottom"/>
          </w:tcPr>
          <w:p>
            <w:pPr>
              <w:ind w:left="20"/>
              <w:spacing w:after="0"/>
              <w:rPr>
                <w:sz w:val="20"/>
                <w:szCs w:val="20"/>
                <w:color w:val="auto"/>
              </w:rPr>
            </w:pPr>
            <w:r>
              <w:rPr>
                <w:rFonts w:ascii="Arial" w:cs="Arial" w:eastAsia="Arial" w:hAnsi="Arial"/>
                <w:sz w:val="18"/>
                <w:szCs w:val="18"/>
                <w:color w:val="auto"/>
              </w:rPr>
              <w:t>10.4.6</w:t>
            </w:r>
          </w:p>
        </w:tc>
        <w:tc>
          <w:tcPr>
            <w:tcW w:w="6460" w:type="dxa"/>
            <w:vAlign w:val="bottom"/>
            <w:gridSpan w:val="7"/>
          </w:tcPr>
          <w:p>
            <w:pPr>
              <w:spacing w:after="0"/>
              <w:rPr>
                <w:rFonts w:ascii="Arial" w:cs="Arial" w:eastAsia="Arial" w:hAnsi="Arial"/>
                <w:sz w:val="18"/>
                <w:szCs w:val="18"/>
                <w:color w:val="0000FF"/>
                <w:w w:val="95"/>
              </w:rPr>
            </w:pPr>
            <w:hyperlink w:anchor="page42">
              <w:r>
                <w:rPr>
                  <w:rFonts w:ascii="Arial" w:cs="Arial" w:eastAsia="Arial" w:hAnsi="Arial"/>
                  <w:sz w:val="18"/>
                  <w:szCs w:val="18"/>
                  <w:color w:val="0000FF"/>
                  <w:w w:val="95"/>
                </w:rPr>
                <w:t>Form of 2020 Performance Share Award Agreement pursuant to the AngioDynamics,</w:t>
              </w:r>
            </w:hyperlink>
          </w:p>
        </w:tc>
        <w:tc>
          <w:tcPr>
            <w:tcW w:w="1700" w:type="dxa"/>
            <w:vAlign w:val="bottom"/>
          </w:tcPr>
          <w:p>
            <w:pPr>
              <w:spacing w:after="0"/>
              <w:rPr>
                <w:sz w:val="24"/>
                <w:szCs w:val="24"/>
                <w:color w:val="auto"/>
              </w:rPr>
            </w:pPr>
          </w:p>
        </w:tc>
        <w:tc>
          <w:tcPr>
            <w:tcW w:w="2020" w:type="dxa"/>
            <w:vAlign w:val="bottom"/>
          </w:tcPr>
          <w:p>
            <w:pPr>
              <w:spacing w:after="0"/>
              <w:rPr>
                <w:sz w:val="24"/>
                <w:szCs w:val="24"/>
                <w:color w:val="auto"/>
              </w:rPr>
            </w:pPr>
          </w:p>
        </w:tc>
      </w:tr>
      <w:tr>
        <w:trPr>
          <w:trHeight w:val="156"/>
        </w:trPr>
        <w:tc>
          <w:tcPr>
            <w:tcW w:w="1060" w:type="dxa"/>
            <w:vAlign w:val="bottom"/>
          </w:tcPr>
          <w:p>
            <w:pPr>
              <w:spacing w:after="0"/>
              <w:rPr>
                <w:sz w:val="13"/>
                <w:szCs w:val="13"/>
                <w:color w:val="auto"/>
              </w:rPr>
            </w:pPr>
          </w:p>
        </w:tc>
        <w:tc>
          <w:tcPr>
            <w:tcW w:w="6140" w:type="dxa"/>
            <w:vAlign w:val="bottom"/>
            <w:tcBorders>
              <w:top w:val="single" w:sz="8" w:color="0000FF"/>
            </w:tcBorders>
            <w:gridSpan w:val="3"/>
          </w:tcPr>
          <w:p>
            <w:pPr>
              <w:spacing w:after="0" w:line="156" w:lineRule="exact"/>
              <w:rPr>
                <w:rFonts w:ascii="Arial" w:cs="Arial" w:eastAsia="Arial" w:hAnsi="Arial"/>
                <w:sz w:val="18"/>
                <w:szCs w:val="18"/>
                <w:color w:val="0000FF"/>
              </w:rPr>
            </w:pPr>
            <w:hyperlink w:anchor="page42">
              <w:r>
                <w:rPr>
                  <w:rFonts w:ascii="Arial" w:cs="Arial" w:eastAsia="Arial" w:hAnsi="Arial"/>
                  <w:sz w:val="18"/>
                  <w:szCs w:val="18"/>
                  <w:color w:val="0000FF"/>
                </w:rPr>
                <w:t>Inc. 2004 Stock and Incentive Award Plan</w:t>
              </w:r>
            </w:hyperlink>
          </w:p>
        </w:tc>
        <w:tc>
          <w:tcPr>
            <w:tcW w:w="2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700" w:type="dxa"/>
            <w:vAlign w:val="bottom"/>
          </w:tcPr>
          <w:p>
            <w:pPr>
              <w:spacing w:after="0"/>
              <w:rPr>
                <w:sz w:val="13"/>
                <w:szCs w:val="13"/>
                <w:color w:val="auto"/>
              </w:rPr>
            </w:pPr>
          </w:p>
        </w:tc>
        <w:tc>
          <w:tcPr>
            <w:tcW w:w="2020" w:type="dxa"/>
            <w:vAlign w:val="bottom"/>
          </w:tcPr>
          <w:p>
            <w:pPr>
              <w:spacing w:after="0"/>
              <w:rPr>
                <w:sz w:val="13"/>
                <w:szCs w:val="13"/>
                <w:color w:val="auto"/>
              </w:rPr>
            </w:pPr>
          </w:p>
        </w:tc>
      </w:tr>
      <w:tr>
        <w:trPr>
          <w:trHeight w:val="20"/>
        </w:trPr>
        <w:tc>
          <w:tcPr>
            <w:tcW w:w="1060" w:type="dxa"/>
            <w:vAlign w:val="bottom"/>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2660" w:type="dxa"/>
            <w:vAlign w:val="bottom"/>
            <w:shd w:val="clear" w:color="auto" w:fill="0000FF"/>
          </w:tcPr>
          <w:p>
            <w:pPr>
              <w:spacing w:after="0" w:line="20" w:lineRule="exact"/>
              <w:rPr>
                <w:sz w:val="1"/>
                <w:szCs w:val="1"/>
                <w:color w:val="auto"/>
              </w:rPr>
            </w:pPr>
          </w:p>
        </w:tc>
        <w:tc>
          <w:tcPr>
            <w:tcW w:w="33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r>
      <w:tr>
        <w:trPr>
          <w:trHeight w:val="479"/>
        </w:trPr>
        <w:tc>
          <w:tcPr>
            <w:tcW w:w="1060" w:type="dxa"/>
            <w:vAlign w:val="bottom"/>
          </w:tcPr>
          <w:p>
            <w:pPr>
              <w:ind w:left="20"/>
              <w:spacing w:after="0"/>
              <w:rPr>
                <w:sz w:val="20"/>
                <w:szCs w:val="20"/>
                <w:color w:val="auto"/>
              </w:rPr>
            </w:pPr>
            <w:r>
              <w:rPr>
                <w:rFonts w:ascii="Arial" w:cs="Arial" w:eastAsia="Arial" w:hAnsi="Arial"/>
                <w:sz w:val="18"/>
                <w:szCs w:val="18"/>
                <w:color w:val="auto"/>
              </w:rPr>
              <w:t>31.1</w:t>
            </w:r>
          </w:p>
        </w:tc>
        <w:tc>
          <w:tcPr>
            <w:tcW w:w="6460" w:type="dxa"/>
            <w:vAlign w:val="bottom"/>
            <w:gridSpan w:val="7"/>
          </w:tcPr>
          <w:p>
            <w:pPr>
              <w:spacing w:after="0"/>
              <w:rPr>
                <w:rFonts w:ascii="Arial" w:cs="Arial" w:eastAsia="Arial" w:hAnsi="Arial"/>
                <w:sz w:val="18"/>
                <w:szCs w:val="18"/>
                <w:color w:val="0000FF"/>
                <w:w w:val="92"/>
              </w:rPr>
            </w:pPr>
            <w:hyperlink w:anchor="page61">
              <w:r>
                <w:rPr>
                  <w:rFonts w:ascii="Arial" w:cs="Arial" w:eastAsia="Arial" w:hAnsi="Arial"/>
                  <w:sz w:val="18"/>
                  <w:szCs w:val="18"/>
                  <w:color w:val="0000FF"/>
                  <w:w w:val="92"/>
                </w:rPr>
                <w:t>Certification pursuant to Rule 13a-14(a) or 15d-14 under the Securities Exchange Act of</w:t>
              </w:r>
            </w:hyperlink>
          </w:p>
        </w:tc>
        <w:tc>
          <w:tcPr>
            <w:tcW w:w="1700" w:type="dxa"/>
            <w:vAlign w:val="bottom"/>
          </w:tcPr>
          <w:p>
            <w:pPr>
              <w:spacing w:after="0"/>
              <w:rPr>
                <w:sz w:val="24"/>
                <w:szCs w:val="24"/>
                <w:color w:val="auto"/>
              </w:rPr>
            </w:pPr>
          </w:p>
        </w:tc>
        <w:tc>
          <w:tcPr>
            <w:tcW w:w="2020" w:type="dxa"/>
            <w:vAlign w:val="bottom"/>
          </w:tcPr>
          <w:p>
            <w:pPr>
              <w:spacing w:after="0"/>
              <w:rPr>
                <w:sz w:val="24"/>
                <w:szCs w:val="24"/>
                <w:color w:val="auto"/>
              </w:rPr>
            </w:pPr>
          </w:p>
        </w:tc>
      </w:tr>
      <w:tr>
        <w:trPr>
          <w:trHeight w:val="156"/>
        </w:trPr>
        <w:tc>
          <w:tcPr>
            <w:tcW w:w="1060" w:type="dxa"/>
            <w:vAlign w:val="bottom"/>
          </w:tcPr>
          <w:p>
            <w:pPr>
              <w:spacing w:after="0"/>
              <w:rPr>
                <w:sz w:val="13"/>
                <w:szCs w:val="13"/>
                <w:color w:val="auto"/>
              </w:rPr>
            </w:pPr>
          </w:p>
        </w:tc>
        <w:tc>
          <w:tcPr>
            <w:tcW w:w="360" w:type="dxa"/>
            <w:vAlign w:val="bottom"/>
            <w:tcBorders>
              <w:top w:val="single" w:sz="8" w:color="0000FF"/>
              <w:bottom w:val="single" w:sz="8" w:color="0000FF"/>
            </w:tcBorders>
          </w:tcPr>
          <w:p>
            <w:pPr>
              <w:spacing w:after="0" w:line="156" w:lineRule="exact"/>
              <w:rPr>
                <w:rFonts w:ascii="Arial" w:cs="Arial" w:eastAsia="Arial" w:hAnsi="Arial"/>
                <w:sz w:val="18"/>
                <w:szCs w:val="18"/>
                <w:color w:val="0000FF"/>
                <w:w w:val="84"/>
              </w:rPr>
            </w:pPr>
            <w:hyperlink w:anchor="page61">
              <w:r>
                <w:rPr>
                  <w:rFonts w:ascii="Arial" w:cs="Arial" w:eastAsia="Arial" w:hAnsi="Arial"/>
                  <w:sz w:val="18"/>
                  <w:szCs w:val="18"/>
                  <w:color w:val="0000FF"/>
                  <w:w w:val="84"/>
                </w:rPr>
                <w:t>1934</w:t>
              </w:r>
            </w:hyperlink>
          </w:p>
        </w:tc>
        <w:tc>
          <w:tcPr>
            <w:tcW w:w="2660" w:type="dxa"/>
            <w:vAlign w:val="bottom"/>
            <w:tcBorders>
              <w:top w:val="single" w:sz="8" w:color="0000FF"/>
            </w:tcBorders>
          </w:tcPr>
          <w:p>
            <w:pPr>
              <w:spacing w:after="0"/>
              <w:rPr>
                <w:sz w:val="13"/>
                <w:szCs w:val="13"/>
                <w:color w:val="auto"/>
              </w:rPr>
            </w:pPr>
          </w:p>
        </w:tc>
        <w:tc>
          <w:tcPr>
            <w:tcW w:w="3120" w:type="dxa"/>
            <w:vAlign w:val="bottom"/>
            <w:tcBorders>
              <w:top w:val="single" w:sz="8" w:color="0000FF"/>
            </w:tcBorders>
          </w:tcPr>
          <w:p>
            <w:pPr>
              <w:spacing w:after="0"/>
              <w:rPr>
                <w:sz w:val="13"/>
                <w:szCs w:val="13"/>
                <w:color w:val="auto"/>
              </w:rPr>
            </w:pPr>
          </w:p>
        </w:tc>
        <w:tc>
          <w:tcPr>
            <w:tcW w:w="220" w:type="dxa"/>
            <w:vAlign w:val="bottom"/>
            <w:tcBorders>
              <w:top w:val="single" w:sz="8" w:color="0000FF"/>
            </w:tcBorders>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700" w:type="dxa"/>
            <w:vAlign w:val="bottom"/>
          </w:tcPr>
          <w:p>
            <w:pPr>
              <w:spacing w:after="0"/>
              <w:rPr>
                <w:sz w:val="13"/>
                <w:szCs w:val="13"/>
                <w:color w:val="auto"/>
              </w:rPr>
            </w:pPr>
          </w:p>
        </w:tc>
        <w:tc>
          <w:tcPr>
            <w:tcW w:w="2020" w:type="dxa"/>
            <w:vAlign w:val="bottom"/>
          </w:tcPr>
          <w:p>
            <w:pPr>
              <w:spacing w:after="0"/>
              <w:rPr>
                <w:sz w:val="13"/>
                <w:szCs w:val="13"/>
                <w:color w:val="auto"/>
              </w:rPr>
            </w:pPr>
          </w:p>
        </w:tc>
      </w:tr>
      <w:tr>
        <w:trPr>
          <w:trHeight w:val="479"/>
        </w:trPr>
        <w:tc>
          <w:tcPr>
            <w:tcW w:w="1060" w:type="dxa"/>
            <w:vAlign w:val="bottom"/>
          </w:tcPr>
          <w:p>
            <w:pPr>
              <w:ind w:left="20"/>
              <w:spacing w:after="0"/>
              <w:rPr>
                <w:sz w:val="20"/>
                <w:szCs w:val="20"/>
                <w:color w:val="auto"/>
              </w:rPr>
            </w:pPr>
            <w:r>
              <w:rPr>
                <w:rFonts w:ascii="Arial" w:cs="Arial" w:eastAsia="Arial" w:hAnsi="Arial"/>
                <w:sz w:val="18"/>
                <w:szCs w:val="18"/>
                <w:color w:val="auto"/>
              </w:rPr>
              <w:t>31.2</w:t>
            </w:r>
          </w:p>
        </w:tc>
        <w:tc>
          <w:tcPr>
            <w:tcW w:w="6460" w:type="dxa"/>
            <w:vAlign w:val="bottom"/>
            <w:gridSpan w:val="7"/>
          </w:tcPr>
          <w:p>
            <w:pPr>
              <w:spacing w:after="0"/>
              <w:rPr>
                <w:rFonts w:ascii="Arial" w:cs="Arial" w:eastAsia="Arial" w:hAnsi="Arial"/>
                <w:sz w:val="18"/>
                <w:szCs w:val="18"/>
                <w:color w:val="0000FF"/>
                <w:w w:val="92"/>
              </w:rPr>
            </w:pPr>
            <w:hyperlink w:anchor="page62">
              <w:r>
                <w:rPr>
                  <w:rFonts w:ascii="Arial" w:cs="Arial" w:eastAsia="Arial" w:hAnsi="Arial"/>
                  <w:sz w:val="18"/>
                  <w:szCs w:val="18"/>
                  <w:color w:val="0000FF"/>
                  <w:w w:val="92"/>
                </w:rPr>
                <w:t>Certification pursuant to Rule 13a-14(a) or 15d-14 under the Securities Exchange Act of</w:t>
              </w:r>
            </w:hyperlink>
          </w:p>
        </w:tc>
        <w:tc>
          <w:tcPr>
            <w:tcW w:w="1700" w:type="dxa"/>
            <w:vAlign w:val="bottom"/>
          </w:tcPr>
          <w:p>
            <w:pPr>
              <w:spacing w:after="0"/>
              <w:rPr>
                <w:sz w:val="24"/>
                <w:szCs w:val="24"/>
                <w:color w:val="auto"/>
              </w:rPr>
            </w:pPr>
          </w:p>
        </w:tc>
        <w:tc>
          <w:tcPr>
            <w:tcW w:w="2020" w:type="dxa"/>
            <w:vAlign w:val="bottom"/>
          </w:tcPr>
          <w:p>
            <w:pPr>
              <w:spacing w:after="0"/>
              <w:rPr>
                <w:sz w:val="24"/>
                <w:szCs w:val="24"/>
                <w:color w:val="auto"/>
              </w:rPr>
            </w:pPr>
          </w:p>
        </w:tc>
      </w:tr>
      <w:tr>
        <w:trPr>
          <w:trHeight w:val="156"/>
        </w:trPr>
        <w:tc>
          <w:tcPr>
            <w:tcW w:w="1060" w:type="dxa"/>
            <w:vAlign w:val="bottom"/>
          </w:tcPr>
          <w:p>
            <w:pPr>
              <w:spacing w:after="0"/>
              <w:rPr>
                <w:sz w:val="13"/>
                <w:szCs w:val="13"/>
                <w:color w:val="auto"/>
              </w:rPr>
            </w:pPr>
          </w:p>
        </w:tc>
        <w:tc>
          <w:tcPr>
            <w:tcW w:w="360" w:type="dxa"/>
            <w:vAlign w:val="bottom"/>
            <w:tcBorders>
              <w:top w:val="single" w:sz="8" w:color="0000FF"/>
              <w:bottom w:val="single" w:sz="8" w:color="0000FF"/>
            </w:tcBorders>
          </w:tcPr>
          <w:p>
            <w:pPr>
              <w:spacing w:after="0" w:line="156" w:lineRule="exact"/>
              <w:rPr>
                <w:rFonts w:ascii="Arial" w:cs="Arial" w:eastAsia="Arial" w:hAnsi="Arial"/>
                <w:sz w:val="18"/>
                <w:szCs w:val="18"/>
                <w:color w:val="0000FF"/>
                <w:w w:val="84"/>
              </w:rPr>
            </w:pPr>
            <w:hyperlink w:anchor="page62">
              <w:r>
                <w:rPr>
                  <w:rFonts w:ascii="Arial" w:cs="Arial" w:eastAsia="Arial" w:hAnsi="Arial"/>
                  <w:sz w:val="18"/>
                  <w:szCs w:val="18"/>
                  <w:color w:val="0000FF"/>
                  <w:w w:val="84"/>
                </w:rPr>
                <w:t>1934</w:t>
              </w:r>
            </w:hyperlink>
          </w:p>
        </w:tc>
        <w:tc>
          <w:tcPr>
            <w:tcW w:w="2660" w:type="dxa"/>
            <w:vAlign w:val="bottom"/>
            <w:tcBorders>
              <w:top w:val="single" w:sz="8" w:color="0000FF"/>
            </w:tcBorders>
          </w:tcPr>
          <w:p>
            <w:pPr>
              <w:spacing w:after="0"/>
              <w:rPr>
                <w:sz w:val="13"/>
                <w:szCs w:val="13"/>
                <w:color w:val="auto"/>
              </w:rPr>
            </w:pPr>
          </w:p>
        </w:tc>
        <w:tc>
          <w:tcPr>
            <w:tcW w:w="3120" w:type="dxa"/>
            <w:vAlign w:val="bottom"/>
            <w:tcBorders>
              <w:top w:val="single" w:sz="8" w:color="0000FF"/>
            </w:tcBorders>
          </w:tcPr>
          <w:p>
            <w:pPr>
              <w:spacing w:after="0"/>
              <w:rPr>
                <w:sz w:val="13"/>
                <w:szCs w:val="13"/>
                <w:color w:val="auto"/>
              </w:rPr>
            </w:pPr>
          </w:p>
        </w:tc>
        <w:tc>
          <w:tcPr>
            <w:tcW w:w="220" w:type="dxa"/>
            <w:vAlign w:val="bottom"/>
            <w:tcBorders>
              <w:top w:val="single" w:sz="8" w:color="0000FF"/>
            </w:tcBorders>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700" w:type="dxa"/>
            <w:vAlign w:val="bottom"/>
          </w:tcPr>
          <w:p>
            <w:pPr>
              <w:spacing w:after="0"/>
              <w:rPr>
                <w:sz w:val="13"/>
                <w:szCs w:val="13"/>
                <w:color w:val="auto"/>
              </w:rPr>
            </w:pPr>
          </w:p>
        </w:tc>
        <w:tc>
          <w:tcPr>
            <w:tcW w:w="2020" w:type="dxa"/>
            <w:vAlign w:val="bottom"/>
          </w:tcPr>
          <w:p>
            <w:pPr>
              <w:spacing w:after="0"/>
              <w:rPr>
                <w:sz w:val="13"/>
                <w:szCs w:val="13"/>
                <w:color w:val="auto"/>
              </w:rPr>
            </w:pPr>
          </w:p>
        </w:tc>
      </w:tr>
      <w:tr>
        <w:trPr>
          <w:trHeight w:val="479"/>
        </w:trPr>
        <w:tc>
          <w:tcPr>
            <w:tcW w:w="1060" w:type="dxa"/>
            <w:vAlign w:val="bottom"/>
          </w:tcPr>
          <w:p>
            <w:pPr>
              <w:ind w:left="20"/>
              <w:spacing w:after="0"/>
              <w:rPr>
                <w:sz w:val="20"/>
                <w:szCs w:val="20"/>
                <w:color w:val="auto"/>
              </w:rPr>
            </w:pPr>
            <w:r>
              <w:rPr>
                <w:rFonts w:ascii="Arial" w:cs="Arial" w:eastAsia="Arial" w:hAnsi="Arial"/>
                <w:sz w:val="18"/>
                <w:szCs w:val="18"/>
                <w:color w:val="auto"/>
              </w:rPr>
              <w:t>32.1</w:t>
            </w:r>
          </w:p>
        </w:tc>
        <w:tc>
          <w:tcPr>
            <w:tcW w:w="6460" w:type="dxa"/>
            <w:vAlign w:val="bottom"/>
            <w:gridSpan w:val="7"/>
          </w:tcPr>
          <w:p>
            <w:pPr>
              <w:spacing w:after="0"/>
              <w:rPr>
                <w:rFonts w:ascii="Arial" w:cs="Arial" w:eastAsia="Arial" w:hAnsi="Arial"/>
                <w:sz w:val="18"/>
                <w:szCs w:val="18"/>
                <w:color w:val="0000FF"/>
                <w:w w:val="92"/>
              </w:rPr>
            </w:pPr>
            <w:hyperlink w:anchor="page63">
              <w:r>
                <w:rPr>
                  <w:rFonts w:ascii="Arial" w:cs="Arial" w:eastAsia="Arial" w:hAnsi="Arial"/>
                  <w:sz w:val="18"/>
                  <w:szCs w:val="18"/>
                  <w:color w:val="0000FF"/>
                  <w:w w:val="92"/>
                </w:rPr>
                <w:t>Certification of Chief Executive Officer pursuant to Title 18, United States Code, Section</w:t>
              </w:r>
            </w:hyperlink>
          </w:p>
        </w:tc>
        <w:tc>
          <w:tcPr>
            <w:tcW w:w="1700" w:type="dxa"/>
            <w:vAlign w:val="bottom"/>
          </w:tcPr>
          <w:p>
            <w:pPr>
              <w:spacing w:after="0"/>
              <w:rPr>
                <w:sz w:val="24"/>
                <w:szCs w:val="24"/>
                <w:color w:val="auto"/>
              </w:rPr>
            </w:pPr>
          </w:p>
        </w:tc>
        <w:tc>
          <w:tcPr>
            <w:tcW w:w="2020" w:type="dxa"/>
            <w:vAlign w:val="bottom"/>
          </w:tcPr>
          <w:p>
            <w:pPr>
              <w:spacing w:after="0"/>
              <w:rPr>
                <w:sz w:val="24"/>
                <w:szCs w:val="24"/>
                <w:color w:val="auto"/>
              </w:rPr>
            </w:pPr>
          </w:p>
        </w:tc>
      </w:tr>
      <w:tr>
        <w:trPr>
          <w:trHeight w:val="224"/>
        </w:trPr>
        <w:tc>
          <w:tcPr>
            <w:tcW w:w="1060" w:type="dxa"/>
            <w:vAlign w:val="bottom"/>
          </w:tcPr>
          <w:p>
            <w:pPr>
              <w:spacing w:after="0"/>
              <w:rPr>
                <w:sz w:val="19"/>
                <w:szCs w:val="19"/>
                <w:color w:val="auto"/>
              </w:rPr>
            </w:pPr>
          </w:p>
        </w:tc>
        <w:tc>
          <w:tcPr>
            <w:tcW w:w="6420" w:type="dxa"/>
            <w:vAlign w:val="bottom"/>
            <w:tcBorders>
              <w:top w:val="single" w:sz="8" w:color="0000FF"/>
            </w:tcBorders>
            <w:gridSpan w:val="6"/>
          </w:tcPr>
          <w:p>
            <w:pPr>
              <w:spacing w:after="0"/>
              <w:rPr>
                <w:rFonts w:ascii="Arial" w:cs="Arial" w:eastAsia="Arial" w:hAnsi="Arial"/>
                <w:sz w:val="18"/>
                <w:szCs w:val="18"/>
                <w:u w:val="single" w:color="auto"/>
                <w:color w:val="0000FF"/>
              </w:rPr>
            </w:pPr>
            <w:hyperlink w:anchor="page63">
              <w:r>
                <w:rPr>
                  <w:rFonts w:ascii="Arial" w:cs="Arial" w:eastAsia="Arial" w:hAnsi="Arial"/>
                  <w:sz w:val="18"/>
                  <w:szCs w:val="18"/>
                  <w:u w:val="single" w:color="auto"/>
                  <w:color w:val="0000FF"/>
                </w:rPr>
                <w:t>1350, as adopted pursuant to Section 906 of the Sarbanes-Oxley Act of 2002</w:t>
              </w:r>
            </w:hyperlink>
          </w:p>
        </w:tc>
        <w:tc>
          <w:tcPr>
            <w:tcW w:w="40" w:type="dxa"/>
            <w:vAlign w:val="bottom"/>
          </w:tcPr>
          <w:p>
            <w:pPr>
              <w:spacing w:after="0"/>
              <w:rPr>
                <w:sz w:val="19"/>
                <w:szCs w:val="19"/>
                <w:color w:val="auto"/>
              </w:rPr>
            </w:pPr>
          </w:p>
        </w:tc>
        <w:tc>
          <w:tcPr>
            <w:tcW w:w="1700" w:type="dxa"/>
            <w:vAlign w:val="bottom"/>
          </w:tcPr>
          <w:p>
            <w:pPr>
              <w:spacing w:after="0"/>
              <w:rPr>
                <w:sz w:val="19"/>
                <w:szCs w:val="19"/>
                <w:color w:val="auto"/>
              </w:rPr>
            </w:pPr>
          </w:p>
        </w:tc>
        <w:tc>
          <w:tcPr>
            <w:tcW w:w="2020" w:type="dxa"/>
            <w:vAlign w:val="bottom"/>
          </w:tcPr>
          <w:p>
            <w:pPr>
              <w:spacing w:after="0"/>
              <w:rPr>
                <w:sz w:val="19"/>
                <w:szCs w:val="19"/>
                <w:color w:val="auto"/>
              </w:rPr>
            </w:pPr>
          </w:p>
        </w:tc>
      </w:tr>
      <w:tr>
        <w:trPr>
          <w:trHeight w:val="431"/>
        </w:trPr>
        <w:tc>
          <w:tcPr>
            <w:tcW w:w="1060" w:type="dxa"/>
            <w:vAlign w:val="bottom"/>
          </w:tcPr>
          <w:p>
            <w:pPr>
              <w:ind w:left="20"/>
              <w:spacing w:after="0"/>
              <w:rPr>
                <w:sz w:val="20"/>
                <w:szCs w:val="20"/>
                <w:color w:val="auto"/>
              </w:rPr>
            </w:pPr>
            <w:r>
              <w:rPr>
                <w:rFonts w:ascii="Arial" w:cs="Arial" w:eastAsia="Arial" w:hAnsi="Arial"/>
                <w:sz w:val="18"/>
                <w:szCs w:val="18"/>
                <w:color w:val="auto"/>
              </w:rPr>
              <w:t>32.2</w:t>
            </w:r>
          </w:p>
        </w:tc>
        <w:tc>
          <w:tcPr>
            <w:tcW w:w="6460" w:type="dxa"/>
            <w:vAlign w:val="bottom"/>
            <w:gridSpan w:val="7"/>
          </w:tcPr>
          <w:p>
            <w:pPr>
              <w:spacing w:after="0"/>
              <w:rPr>
                <w:rFonts w:ascii="Arial" w:cs="Arial" w:eastAsia="Arial" w:hAnsi="Arial"/>
                <w:sz w:val="18"/>
                <w:szCs w:val="18"/>
                <w:color w:val="0000FF"/>
                <w:w w:val="93"/>
              </w:rPr>
            </w:pPr>
            <w:hyperlink w:anchor="page64">
              <w:r>
                <w:rPr>
                  <w:rFonts w:ascii="Arial" w:cs="Arial" w:eastAsia="Arial" w:hAnsi="Arial"/>
                  <w:sz w:val="18"/>
                  <w:szCs w:val="18"/>
                  <w:color w:val="0000FF"/>
                  <w:w w:val="93"/>
                </w:rPr>
                <w:t>Certification of Chief Financial Officer pursuant to Title 18, United States Code, Section</w:t>
              </w:r>
            </w:hyperlink>
          </w:p>
        </w:tc>
        <w:tc>
          <w:tcPr>
            <w:tcW w:w="1700" w:type="dxa"/>
            <w:vAlign w:val="bottom"/>
          </w:tcPr>
          <w:p>
            <w:pPr>
              <w:spacing w:after="0"/>
              <w:rPr>
                <w:sz w:val="24"/>
                <w:szCs w:val="24"/>
                <w:color w:val="auto"/>
              </w:rPr>
            </w:pPr>
          </w:p>
        </w:tc>
        <w:tc>
          <w:tcPr>
            <w:tcW w:w="2020" w:type="dxa"/>
            <w:vAlign w:val="bottom"/>
          </w:tcPr>
          <w:p>
            <w:pPr>
              <w:spacing w:after="0"/>
              <w:rPr>
                <w:sz w:val="24"/>
                <w:szCs w:val="24"/>
                <w:color w:val="auto"/>
              </w:rPr>
            </w:pPr>
          </w:p>
        </w:tc>
      </w:tr>
      <w:tr>
        <w:trPr>
          <w:trHeight w:val="224"/>
        </w:trPr>
        <w:tc>
          <w:tcPr>
            <w:tcW w:w="1060" w:type="dxa"/>
            <w:vAlign w:val="bottom"/>
          </w:tcPr>
          <w:p>
            <w:pPr>
              <w:spacing w:after="0"/>
              <w:rPr>
                <w:sz w:val="19"/>
                <w:szCs w:val="19"/>
                <w:color w:val="auto"/>
              </w:rPr>
            </w:pPr>
          </w:p>
        </w:tc>
        <w:tc>
          <w:tcPr>
            <w:tcW w:w="6380" w:type="dxa"/>
            <w:vAlign w:val="bottom"/>
            <w:tcBorders>
              <w:top w:val="single" w:sz="8" w:color="0000FF"/>
            </w:tcBorders>
            <w:gridSpan w:val="5"/>
          </w:tcPr>
          <w:p>
            <w:pPr>
              <w:spacing w:after="0"/>
              <w:rPr>
                <w:rFonts w:ascii="Arial" w:cs="Arial" w:eastAsia="Arial" w:hAnsi="Arial"/>
                <w:sz w:val="18"/>
                <w:szCs w:val="18"/>
                <w:u w:val="single" w:color="auto"/>
                <w:color w:val="0000FF"/>
              </w:rPr>
            </w:pPr>
            <w:hyperlink w:anchor="page64">
              <w:r>
                <w:rPr>
                  <w:rFonts w:ascii="Arial" w:cs="Arial" w:eastAsia="Arial" w:hAnsi="Arial"/>
                  <w:sz w:val="18"/>
                  <w:szCs w:val="18"/>
                  <w:u w:val="single" w:color="auto"/>
                  <w:color w:val="0000FF"/>
                </w:rPr>
                <w:t>1350, as adopted pursuant to Section 906 of the Sarbanes-Oxley Act of 2002</w:t>
              </w:r>
            </w:hyperlink>
          </w:p>
        </w:tc>
        <w:tc>
          <w:tcPr>
            <w:tcW w:w="80" w:type="dxa"/>
            <w:vAlign w:val="bottom"/>
            <w:gridSpan w:val="2"/>
          </w:tcPr>
          <w:p>
            <w:pPr>
              <w:spacing w:after="0"/>
              <w:rPr>
                <w:sz w:val="19"/>
                <w:szCs w:val="19"/>
                <w:color w:val="auto"/>
              </w:rPr>
            </w:pPr>
          </w:p>
        </w:tc>
        <w:tc>
          <w:tcPr>
            <w:tcW w:w="1700" w:type="dxa"/>
            <w:vAlign w:val="bottom"/>
          </w:tcPr>
          <w:p>
            <w:pPr>
              <w:spacing w:after="0"/>
              <w:rPr>
                <w:sz w:val="19"/>
                <w:szCs w:val="19"/>
                <w:color w:val="auto"/>
              </w:rPr>
            </w:pPr>
          </w:p>
        </w:tc>
        <w:tc>
          <w:tcPr>
            <w:tcW w:w="2020" w:type="dxa"/>
            <w:vAlign w:val="bottom"/>
          </w:tcPr>
          <w:p>
            <w:pPr>
              <w:spacing w:after="0"/>
              <w:rPr>
                <w:sz w:val="19"/>
                <w:szCs w:val="19"/>
                <w:color w:val="auto"/>
              </w:rPr>
            </w:pPr>
          </w:p>
        </w:tc>
      </w:tr>
      <w:tr>
        <w:trPr>
          <w:trHeight w:val="418"/>
        </w:trPr>
        <w:tc>
          <w:tcPr>
            <w:tcW w:w="1060" w:type="dxa"/>
            <w:vAlign w:val="bottom"/>
          </w:tcPr>
          <w:p>
            <w:pPr>
              <w:ind w:left="20"/>
              <w:spacing w:after="0"/>
              <w:rPr>
                <w:sz w:val="20"/>
                <w:szCs w:val="20"/>
                <w:color w:val="auto"/>
              </w:rPr>
            </w:pPr>
            <w:r>
              <w:rPr>
                <w:rFonts w:ascii="Arial" w:cs="Arial" w:eastAsia="Arial" w:hAnsi="Arial"/>
                <w:sz w:val="18"/>
                <w:szCs w:val="18"/>
                <w:color w:val="auto"/>
              </w:rPr>
              <w:t>101.INS</w:t>
            </w:r>
          </w:p>
        </w:tc>
        <w:tc>
          <w:tcPr>
            <w:tcW w:w="6460" w:type="dxa"/>
            <w:vAlign w:val="bottom"/>
            <w:gridSpan w:val="7"/>
          </w:tcPr>
          <w:p>
            <w:pPr>
              <w:spacing w:after="0"/>
              <w:rPr>
                <w:sz w:val="20"/>
                <w:szCs w:val="20"/>
                <w:color w:val="auto"/>
              </w:rPr>
            </w:pPr>
            <w:r>
              <w:rPr>
                <w:rFonts w:ascii="Arial" w:cs="Arial" w:eastAsia="Arial" w:hAnsi="Arial"/>
                <w:sz w:val="18"/>
                <w:szCs w:val="18"/>
                <w:color w:val="auto"/>
                <w:w w:val="90"/>
              </w:rPr>
              <w:t>The instance document does not appear in the interactive data file because its XBRL tags</w:t>
            </w:r>
          </w:p>
        </w:tc>
        <w:tc>
          <w:tcPr>
            <w:tcW w:w="1700" w:type="dxa"/>
            <w:vAlign w:val="bottom"/>
          </w:tcPr>
          <w:p>
            <w:pPr>
              <w:spacing w:after="0"/>
              <w:rPr>
                <w:sz w:val="24"/>
                <w:szCs w:val="24"/>
                <w:color w:val="auto"/>
              </w:rPr>
            </w:pPr>
          </w:p>
        </w:tc>
        <w:tc>
          <w:tcPr>
            <w:tcW w:w="2020" w:type="dxa"/>
            <w:vAlign w:val="bottom"/>
          </w:tcPr>
          <w:p>
            <w:pPr>
              <w:spacing w:after="0"/>
              <w:rPr>
                <w:sz w:val="24"/>
                <w:szCs w:val="24"/>
                <w:color w:val="auto"/>
              </w:rPr>
            </w:pPr>
          </w:p>
        </w:tc>
      </w:tr>
      <w:tr>
        <w:trPr>
          <w:trHeight w:val="230"/>
        </w:trPr>
        <w:tc>
          <w:tcPr>
            <w:tcW w:w="1060" w:type="dxa"/>
            <w:vAlign w:val="bottom"/>
          </w:tcPr>
          <w:p>
            <w:pPr>
              <w:spacing w:after="0"/>
              <w:rPr>
                <w:sz w:val="20"/>
                <w:szCs w:val="20"/>
                <w:color w:val="auto"/>
              </w:rPr>
            </w:pPr>
          </w:p>
        </w:tc>
        <w:tc>
          <w:tcPr>
            <w:tcW w:w="6460" w:type="dxa"/>
            <w:vAlign w:val="bottom"/>
            <w:gridSpan w:val="7"/>
          </w:tcPr>
          <w:p>
            <w:pPr>
              <w:spacing w:after="0"/>
              <w:rPr>
                <w:sz w:val="20"/>
                <w:szCs w:val="20"/>
                <w:color w:val="auto"/>
              </w:rPr>
            </w:pPr>
            <w:r>
              <w:rPr>
                <w:rFonts w:ascii="Arial" w:cs="Arial" w:eastAsia="Arial" w:hAnsi="Arial"/>
                <w:sz w:val="18"/>
                <w:szCs w:val="18"/>
                <w:color w:val="auto"/>
              </w:rPr>
              <w:t>are embedded within the inline XBRL document</w:t>
            </w:r>
          </w:p>
        </w:tc>
        <w:tc>
          <w:tcPr>
            <w:tcW w:w="1700" w:type="dxa"/>
            <w:vAlign w:val="bottom"/>
          </w:tcPr>
          <w:p>
            <w:pPr>
              <w:spacing w:after="0"/>
              <w:rPr>
                <w:sz w:val="20"/>
                <w:szCs w:val="20"/>
                <w:color w:val="auto"/>
              </w:rPr>
            </w:pPr>
          </w:p>
        </w:tc>
        <w:tc>
          <w:tcPr>
            <w:tcW w:w="2020" w:type="dxa"/>
            <w:vAlign w:val="bottom"/>
          </w:tcPr>
          <w:p>
            <w:pPr>
              <w:spacing w:after="0"/>
              <w:rPr>
                <w:sz w:val="20"/>
                <w:szCs w:val="20"/>
                <w:color w:val="auto"/>
              </w:rPr>
            </w:pPr>
          </w:p>
        </w:tc>
      </w:tr>
      <w:tr>
        <w:trPr>
          <w:trHeight w:val="499"/>
        </w:trPr>
        <w:tc>
          <w:tcPr>
            <w:tcW w:w="1060" w:type="dxa"/>
            <w:vAlign w:val="bottom"/>
          </w:tcPr>
          <w:p>
            <w:pPr>
              <w:ind w:left="20"/>
              <w:spacing w:after="0"/>
              <w:rPr>
                <w:sz w:val="20"/>
                <w:szCs w:val="20"/>
                <w:color w:val="auto"/>
              </w:rPr>
            </w:pPr>
            <w:r>
              <w:rPr>
                <w:rFonts w:ascii="Arial" w:cs="Arial" w:eastAsia="Arial" w:hAnsi="Arial"/>
                <w:sz w:val="18"/>
                <w:szCs w:val="18"/>
                <w:color w:val="auto"/>
              </w:rPr>
              <w:t>101.SCH</w:t>
            </w:r>
          </w:p>
        </w:tc>
        <w:tc>
          <w:tcPr>
            <w:tcW w:w="6460" w:type="dxa"/>
            <w:vAlign w:val="bottom"/>
            <w:gridSpan w:val="7"/>
          </w:tcPr>
          <w:p>
            <w:pPr>
              <w:spacing w:after="0"/>
              <w:rPr>
                <w:sz w:val="20"/>
                <w:szCs w:val="20"/>
                <w:color w:val="auto"/>
              </w:rPr>
            </w:pPr>
            <w:r>
              <w:rPr>
                <w:rFonts w:ascii="Arial" w:cs="Arial" w:eastAsia="Arial" w:hAnsi="Arial"/>
                <w:sz w:val="18"/>
                <w:szCs w:val="18"/>
                <w:color w:val="auto"/>
              </w:rPr>
              <w:t>XBRL Schema Document</w:t>
            </w:r>
          </w:p>
        </w:tc>
        <w:tc>
          <w:tcPr>
            <w:tcW w:w="1700" w:type="dxa"/>
            <w:vAlign w:val="bottom"/>
          </w:tcPr>
          <w:p>
            <w:pPr>
              <w:spacing w:after="0"/>
              <w:rPr>
                <w:sz w:val="24"/>
                <w:szCs w:val="24"/>
                <w:color w:val="auto"/>
              </w:rPr>
            </w:pPr>
          </w:p>
        </w:tc>
        <w:tc>
          <w:tcPr>
            <w:tcW w:w="2020" w:type="dxa"/>
            <w:vAlign w:val="bottom"/>
          </w:tcPr>
          <w:p>
            <w:pPr>
              <w:spacing w:after="0"/>
              <w:rPr>
                <w:sz w:val="24"/>
                <w:szCs w:val="24"/>
                <w:color w:val="auto"/>
              </w:rPr>
            </w:pPr>
          </w:p>
        </w:tc>
      </w:tr>
      <w:tr>
        <w:trPr>
          <w:trHeight w:val="500"/>
        </w:trPr>
        <w:tc>
          <w:tcPr>
            <w:tcW w:w="1060" w:type="dxa"/>
            <w:vAlign w:val="bottom"/>
          </w:tcPr>
          <w:p>
            <w:pPr>
              <w:ind w:left="20"/>
              <w:spacing w:after="0"/>
              <w:rPr>
                <w:sz w:val="20"/>
                <w:szCs w:val="20"/>
                <w:color w:val="auto"/>
              </w:rPr>
            </w:pPr>
            <w:r>
              <w:rPr>
                <w:rFonts w:ascii="Arial" w:cs="Arial" w:eastAsia="Arial" w:hAnsi="Arial"/>
                <w:sz w:val="18"/>
                <w:szCs w:val="18"/>
                <w:color w:val="auto"/>
              </w:rPr>
              <w:t>101.CAL</w:t>
            </w:r>
          </w:p>
        </w:tc>
        <w:tc>
          <w:tcPr>
            <w:tcW w:w="6460" w:type="dxa"/>
            <w:vAlign w:val="bottom"/>
            <w:gridSpan w:val="7"/>
          </w:tcPr>
          <w:p>
            <w:pPr>
              <w:spacing w:after="0"/>
              <w:rPr>
                <w:sz w:val="20"/>
                <w:szCs w:val="20"/>
                <w:color w:val="auto"/>
              </w:rPr>
            </w:pPr>
            <w:r>
              <w:rPr>
                <w:rFonts w:ascii="Arial" w:cs="Arial" w:eastAsia="Arial" w:hAnsi="Arial"/>
                <w:sz w:val="18"/>
                <w:szCs w:val="18"/>
                <w:color w:val="auto"/>
              </w:rPr>
              <w:t>XBRL Calculation Linkbase Documents</w:t>
            </w:r>
          </w:p>
        </w:tc>
        <w:tc>
          <w:tcPr>
            <w:tcW w:w="1700" w:type="dxa"/>
            <w:vAlign w:val="bottom"/>
          </w:tcPr>
          <w:p>
            <w:pPr>
              <w:spacing w:after="0"/>
              <w:rPr>
                <w:sz w:val="24"/>
                <w:szCs w:val="24"/>
                <w:color w:val="auto"/>
              </w:rPr>
            </w:pPr>
          </w:p>
        </w:tc>
        <w:tc>
          <w:tcPr>
            <w:tcW w:w="2020" w:type="dxa"/>
            <w:vAlign w:val="bottom"/>
          </w:tcPr>
          <w:p>
            <w:pPr>
              <w:spacing w:after="0"/>
              <w:rPr>
                <w:sz w:val="24"/>
                <w:szCs w:val="24"/>
                <w:color w:val="auto"/>
              </w:rPr>
            </w:pPr>
          </w:p>
        </w:tc>
      </w:tr>
      <w:tr>
        <w:trPr>
          <w:trHeight w:val="499"/>
        </w:trPr>
        <w:tc>
          <w:tcPr>
            <w:tcW w:w="1060" w:type="dxa"/>
            <w:vAlign w:val="bottom"/>
          </w:tcPr>
          <w:p>
            <w:pPr>
              <w:ind w:left="20"/>
              <w:spacing w:after="0"/>
              <w:rPr>
                <w:sz w:val="20"/>
                <w:szCs w:val="20"/>
                <w:color w:val="auto"/>
              </w:rPr>
            </w:pPr>
            <w:r>
              <w:rPr>
                <w:rFonts w:ascii="Arial" w:cs="Arial" w:eastAsia="Arial" w:hAnsi="Arial"/>
                <w:sz w:val="18"/>
                <w:szCs w:val="18"/>
                <w:color w:val="auto"/>
              </w:rPr>
              <w:t>101.DEF</w:t>
            </w:r>
          </w:p>
        </w:tc>
        <w:tc>
          <w:tcPr>
            <w:tcW w:w="6460" w:type="dxa"/>
            <w:vAlign w:val="bottom"/>
            <w:gridSpan w:val="7"/>
          </w:tcPr>
          <w:p>
            <w:pPr>
              <w:spacing w:after="0"/>
              <w:rPr>
                <w:sz w:val="20"/>
                <w:szCs w:val="20"/>
                <w:color w:val="auto"/>
              </w:rPr>
            </w:pPr>
            <w:r>
              <w:rPr>
                <w:rFonts w:ascii="Arial" w:cs="Arial" w:eastAsia="Arial" w:hAnsi="Arial"/>
                <w:sz w:val="18"/>
                <w:szCs w:val="18"/>
                <w:color w:val="auto"/>
              </w:rPr>
              <w:t>XBRL Taxonomy Extension Definition Linkbase Document</w:t>
            </w:r>
          </w:p>
        </w:tc>
        <w:tc>
          <w:tcPr>
            <w:tcW w:w="1700" w:type="dxa"/>
            <w:vAlign w:val="bottom"/>
          </w:tcPr>
          <w:p>
            <w:pPr>
              <w:spacing w:after="0"/>
              <w:rPr>
                <w:sz w:val="24"/>
                <w:szCs w:val="24"/>
                <w:color w:val="auto"/>
              </w:rPr>
            </w:pPr>
          </w:p>
        </w:tc>
        <w:tc>
          <w:tcPr>
            <w:tcW w:w="2020" w:type="dxa"/>
            <w:vAlign w:val="bottom"/>
          </w:tcPr>
          <w:p>
            <w:pPr>
              <w:spacing w:after="0"/>
              <w:rPr>
                <w:sz w:val="24"/>
                <w:szCs w:val="24"/>
                <w:color w:val="auto"/>
              </w:rPr>
            </w:pPr>
          </w:p>
        </w:tc>
      </w:tr>
      <w:tr>
        <w:trPr>
          <w:trHeight w:val="500"/>
        </w:trPr>
        <w:tc>
          <w:tcPr>
            <w:tcW w:w="1060" w:type="dxa"/>
            <w:vAlign w:val="bottom"/>
          </w:tcPr>
          <w:p>
            <w:pPr>
              <w:ind w:left="20"/>
              <w:spacing w:after="0"/>
              <w:rPr>
                <w:sz w:val="20"/>
                <w:szCs w:val="20"/>
                <w:color w:val="auto"/>
              </w:rPr>
            </w:pPr>
            <w:r>
              <w:rPr>
                <w:rFonts w:ascii="Arial" w:cs="Arial" w:eastAsia="Arial" w:hAnsi="Arial"/>
                <w:sz w:val="18"/>
                <w:szCs w:val="18"/>
                <w:color w:val="auto"/>
              </w:rPr>
              <w:t>101.LAB</w:t>
            </w:r>
          </w:p>
        </w:tc>
        <w:tc>
          <w:tcPr>
            <w:tcW w:w="6460" w:type="dxa"/>
            <w:vAlign w:val="bottom"/>
            <w:gridSpan w:val="7"/>
          </w:tcPr>
          <w:p>
            <w:pPr>
              <w:spacing w:after="0"/>
              <w:rPr>
                <w:sz w:val="20"/>
                <w:szCs w:val="20"/>
                <w:color w:val="auto"/>
              </w:rPr>
            </w:pPr>
            <w:r>
              <w:rPr>
                <w:rFonts w:ascii="Arial" w:cs="Arial" w:eastAsia="Arial" w:hAnsi="Arial"/>
                <w:sz w:val="18"/>
                <w:szCs w:val="18"/>
                <w:color w:val="auto"/>
              </w:rPr>
              <w:t>XBRL Labels Linkbase Documents</w:t>
            </w:r>
          </w:p>
        </w:tc>
        <w:tc>
          <w:tcPr>
            <w:tcW w:w="1700" w:type="dxa"/>
            <w:vAlign w:val="bottom"/>
          </w:tcPr>
          <w:p>
            <w:pPr>
              <w:spacing w:after="0"/>
              <w:rPr>
                <w:sz w:val="24"/>
                <w:szCs w:val="24"/>
                <w:color w:val="auto"/>
              </w:rPr>
            </w:pPr>
          </w:p>
        </w:tc>
        <w:tc>
          <w:tcPr>
            <w:tcW w:w="2020" w:type="dxa"/>
            <w:vAlign w:val="bottom"/>
          </w:tcPr>
          <w:p>
            <w:pPr>
              <w:spacing w:after="0"/>
              <w:rPr>
                <w:sz w:val="24"/>
                <w:szCs w:val="24"/>
                <w:color w:val="auto"/>
              </w:rPr>
            </w:pPr>
          </w:p>
        </w:tc>
      </w:tr>
      <w:tr>
        <w:trPr>
          <w:trHeight w:val="500"/>
        </w:trPr>
        <w:tc>
          <w:tcPr>
            <w:tcW w:w="1060" w:type="dxa"/>
            <w:vAlign w:val="bottom"/>
          </w:tcPr>
          <w:p>
            <w:pPr>
              <w:ind w:left="20"/>
              <w:spacing w:after="0"/>
              <w:rPr>
                <w:sz w:val="20"/>
                <w:szCs w:val="20"/>
                <w:color w:val="auto"/>
              </w:rPr>
            </w:pPr>
            <w:r>
              <w:rPr>
                <w:rFonts w:ascii="Arial" w:cs="Arial" w:eastAsia="Arial" w:hAnsi="Arial"/>
                <w:sz w:val="18"/>
                <w:szCs w:val="18"/>
                <w:color w:val="auto"/>
              </w:rPr>
              <w:t>101.PRE</w:t>
            </w:r>
          </w:p>
        </w:tc>
        <w:tc>
          <w:tcPr>
            <w:tcW w:w="6460" w:type="dxa"/>
            <w:vAlign w:val="bottom"/>
            <w:gridSpan w:val="7"/>
          </w:tcPr>
          <w:p>
            <w:pPr>
              <w:spacing w:after="0"/>
              <w:rPr>
                <w:sz w:val="20"/>
                <w:szCs w:val="20"/>
                <w:color w:val="auto"/>
              </w:rPr>
            </w:pPr>
            <w:r>
              <w:rPr>
                <w:rFonts w:ascii="Arial" w:cs="Arial" w:eastAsia="Arial" w:hAnsi="Arial"/>
                <w:sz w:val="18"/>
                <w:szCs w:val="18"/>
                <w:color w:val="auto"/>
              </w:rPr>
              <w:t>XBRL Presentation Linkbase Documents</w:t>
            </w:r>
          </w:p>
        </w:tc>
        <w:tc>
          <w:tcPr>
            <w:tcW w:w="1700" w:type="dxa"/>
            <w:vAlign w:val="bottom"/>
          </w:tcPr>
          <w:p>
            <w:pPr>
              <w:spacing w:after="0"/>
              <w:rPr>
                <w:sz w:val="24"/>
                <w:szCs w:val="24"/>
                <w:color w:val="auto"/>
              </w:rPr>
            </w:pPr>
          </w:p>
        </w:tc>
        <w:tc>
          <w:tcPr>
            <w:tcW w:w="2020" w:type="dxa"/>
            <w:vAlign w:val="bottom"/>
          </w:tcPr>
          <w:p>
            <w:pPr>
              <w:spacing w:after="0"/>
              <w:rPr>
                <w:sz w:val="24"/>
                <w:szCs w:val="24"/>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40" w:name="page41"/>
    <w:bookmarkEnd w:id="40"/>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right="300" w:firstLine="445"/>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251" w:lineRule="exact"/>
        <w:rPr>
          <w:sz w:val="20"/>
          <w:szCs w:val="20"/>
          <w:color w:val="auto"/>
        </w:rPr>
      </w:pPr>
    </w:p>
    <w:tbl>
      <w:tblPr>
        <w:tblLayout w:type="fixed"/>
        <w:tblInd w:w="20" w:type="dxa"/>
        <w:tblCellMar>
          <w:top w:w="0" w:type="dxa"/>
          <w:left w:w="0" w:type="dxa"/>
          <w:bottom w:w="0" w:type="dxa"/>
          <w:right w:w="0" w:type="dxa"/>
        </w:tblCellMar>
      </w:tblPr>
      <w:tr>
        <w:trPr>
          <w:trHeight w:val="229"/>
        </w:trPr>
        <w:tc>
          <w:tcPr>
            <w:tcW w:w="560" w:type="dxa"/>
            <w:vAlign w:val="bottom"/>
          </w:tcPr>
          <w:p>
            <w:pPr>
              <w:spacing w:after="0"/>
              <w:rPr>
                <w:sz w:val="19"/>
                <w:szCs w:val="19"/>
                <w:color w:val="auto"/>
              </w:rPr>
            </w:pPr>
          </w:p>
        </w:tc>
        <w:tc>
          <w:tcPr>
            <w:tcW w:w="2460" w:type="dxa"/>
            <w:vAlign w:val="bottom"/>
          </w:tcPr>
          <w:p>
            <w:pPr>
              <w:spacing w:after="0"/>
              <w:rPr>
                <w:sz w:val="19"/>
                <w:szCs w:val="19"/>
                <w:color w:val="auto"/>
              </w:rPr>
            </w:pPr>
          </w:p>
        </w:tc>
        <w:tc>
          <w:tcPr>
            <w:tcW w:w="7980" w:type="dxa"/>
            <w:vAlign w:val="bottom"/>
          </w:tcPr>
          <w:p>
            <w:pPr>
              <w:ind w:left="20"/>
              <w:spacing w:after="0"/>
              <w:rPr>
                <w:sz w:val="20"/>
                <w:szCs w:val="20"/>
                <w:color w:val="auto"/>
              </w:rPr>
            </w:pPr>
            <w:r>
              <w:rPr>
                <w:rFonts w:ascii="Arial" w:cs="Arial" w:eastAsia="Arial" w:hAnsi="Arial"/>
                <w:sz w:val="18"/>
                <w:szCs w:val="18"/>
                <w:color w:val="auto"/>
              </w:rPr>
              <w:t>ANGIODYNAMICS, INC.</w:t>
            </w:r>
          </w:p>
        </w:tc>
      </w:tr>
      <w:tr>
        <w:trPr>
          <w:trHeight w:val="230"/>
        </w:trPr>
        <w:tc>
          <w:tcPr>
            <w:tcW w:w="560" w:type="dxa"/>
            <w:vAlign w:val="bottom"/>
          </w:tcPr>
          <w:p>
            <w:pPr>
              <w:spacing w:after="0"/>
              <w:rPr>
                <w:sz w:val="20"/>
                <w:szCs w:val="20"/>
                <w:color w:val="auto"/>
              </w:rPr>
            </w:pPr>
          </w:p>
        </w:tc>
        <w:tc>
          <w:tcPr>
            <w:tcW w:w="2460" w:type="dxa"/>
            <w:vAlign w:val="bottom"/>
          </w:tcPr>
          <w:p>
            <w:pPr>
              <w:spacing w:after="0"/>
              <w:rPr>
                <w:sz w:val="20"/>
                <w:szCs w:val="20"/>
                <w:color w:val="auto"/>
              </w:rPr>
            </w:pPr>
          </w:p>
        </w:tc>
        <w:tc>
          <w:tcPr>
            <w:tcW w:w="7980" w:type="dxa"/>
            <w:vAlign w:val="bottom"/>
          </w:tcPr>
          <w:p>
            <w:pPr>
              <w:ind w:left="20"/>
              <w:spacing w:after="0"/>
              <w:rPr>
                <w:sz w:val="20"/>
                <w:szCs w:val="20"/>
                <w:color w:val="auto"/>
              </w:rPr>
            </w:pPr>
            <w:r>
              <w:rPr>
                <w:rFonts w:ascii="Arial" w:cs="Arial" w:eastAsia="Arial" w:hAnsi="Arial"/>
                <w:sz w:val="18"/>
                <w:szCs w:val="18"/>
                <w:color w:val="auto"/>
              </w:rPr>
              <w:t>(Registrant)</w:t>
            </w:r>
          </w:p>
        </w:tc>
      </w:tr>
      <w:tr>
        <w:trPr>
          <w:trHeight w:val="499"/>
        </w:trPr>
        <w:tc>
          <w:tcPr>
            <w:tcW w:w="560" w:type="dxa"/>
            <w:vAlign w:val="bottom"/>
          </w:tcPr>
          <w:p>
            <w:pPr>
              <w:spacing w:after="0"/>
              <w:rPr>
                <w:sz w:val="20"/>
                <w:szCs w:val="20"/>
                <w:color w:val="auto"/>
              </w:rPr>
            </w:pPr>
            <w:r>
              <w:rPr>
                <w:rFonts w:ascii="Arial" w:cs="Arial" w:eastAsia="Arial" w:hAnsi="Arial"/>
                <w:sz w:val="18"/>
                <w:szCs w:val="18"/>
                <w:color w:val="auto"/>
              </w:rPr>
              <w:t>Date:</w:t>
            </w:r>
          </w:p>
        </w:tc>
        <w:tc>
          <w:tcPr>
            <w:tcW w:w="2460" w:type="dxa"/>
            <w:vAlign w:val="bottom"/>
          </w:tcPr>
          <w:p>
            <w:pPr>
              <w:ind w:left="160"/>
              <w:spacing w:after="0"/>
              <w:rPr>
                <w:sz w:val="20"/>
                <w:szCs w:val="20"/>
                <w:color w:val="auto"/>
              </w:rPr>
            </w:pPr>
            <w:r>
              <w:rPr>
                <w:rFonts w:ascii="Arial" w:cs="Arial" w:eastAsia="Arial" w:hAnsi="Arial"/>
                <w:sz w:val="18"/>
                <w:szCs w:val="18"/>
                <w:color w:val="auto"/>
              </w:rPr>
              <w:t>January 8, 2021</w:t>
            </w:r>
          </w:p>
        </w:tc>
        <w:tc>
          <w:tcPr>
            <w:tcW w:w="7980" w:type="dxa"/>
            <w:vAlign w:val="bottom"/>
            <w:tcBorders>
              <w:bottom w:val="single" w:sz="8" w:color="auto"/>
            </w:tcBorders>
          </w:tcPr>
          <w:p>
            <w:pPr>
              <w:ind w:left="2800"/>
              <w:spacing w:after="0"/>
              <w:rPr>
                <w:sz w:val="20"/>
                <w:szCs w:val="20"/>
                <w:color w:val="auto"/>
              </w:rPr>
            </w:pPr>
            <w:r>
              <w:rPr>
                <w:rFonts w:ascii="Arial" w:cs="Arial" w:eastAsia="Arial" w:hAnsi="Arial"/>
                <w:sz w:val="18"/>
                <w:szCs w:val="18"/>
                <w:color w:val="auto"/>
              </w:rPr>
              <w:t>/ S /  JAMES C. CLEMMER</w:t>
            </w:r>
          </w:p>
        </w:tc>
      </w:tr>
      <w:tr>
        <w:trPr>
          <w:trHeight w:val="169"/>
        </w:trPr>
        <w:tc>
          <w:tcPr>
            <w:tcW w:w="560" w:type="dxa"/>
            <w:vAlign w:val="bottom"/>
          </w:tcPr>
          <w:p>
            <w:pPr>
              <w:spacing w:after="0"/>
              <w:rPr>
                <w:sz w:val="14"/>
                <w:szCs w:val="14"/>
                <w:color w:val="auto"/>
              </w:rPr>
            </w:pPr>
          </w:p>
        </w:tc>
        <w:tc>
          <w:tcPr>
            <w:tcW w:w="2460" w:type="dxa"/>
            <w:vAlign w:val="bottom"/>
          </w:tcPr>
          <w:p>
            <w:pPr>
              <w:spacing w:after="0"/>
              <w:rPr>
                <w:sz w:val="14"/>
                <w:szCs w:val="14"/>
                <w:color w:val="auto"/>
              </w:rPr>
            </w:pPr>
          </w:p>
        </w:tc>
        <w:tc>
          <w:tcPr>
            <w:tcW w:w="7980" w:type="dxa"/>
            <w:vAlign w:val="bottom"/>
          </w:tcPr>
          <w:p>
            <w:pPr>
              <w:jc w:val="center"/>
              <w:spacing w:after="0" w:line="169" w:lineRule="exact"/>
              <w:rPr>
                <w:sz w:val="20"/>
                <w:szCs w:val="20"/>
                <w:color w:val="auto"/>
              </w:rPr>
            </w:pPr>
            <w:r>
              <w:rPr>
                <w:rFonts w:ascii="Arial" w:cs="Arial" w:eastAsia="Arial" w:hAnsi="Arial"/>
                <w:sz w:val="18"/>
                <w:szCs w:val="18"/>
                <w:b w:val="1"/>
                <w:bCs w:val="1"/>
                <w:color w:val="auto"/>
                <w:w w:val="89"/>
              </w:rPr>
              <w:t>James C. Clemmer, President,</w:t>
            </w:r>
          </w:p>
        </w:tc>
      </w:tr>
      <w:tr>
        <w:trPr>
          <w:trHeight w:val="176"/>
        </w:trPr>
        <w:tc>
          <w:tcPr>
            <w:tcW w:w="560" w:type="dxa"/>
            <w:vAlign w:val="bottom"/>
          </w:tcPr>
          <w:p>
            <w:pPr>
              <w:spacing w:after="0"/>
              <w:rPr>
                <w:sz w:val="15"/>
                <w:szCs w:val="15"/>
                <w:color w:val="auto"/>
              </w:rPr>
            </w:pPr>
          </w:p>
        </w:tc>
        <w:tc>
          <w:tcPr>
            <w:tcW w:w="2460" w:type="dxa"/>
            <w:vAlign w:val="bottom"/>
          </w:tcPr>
          <w:p>
            <w:pPr>
              <w:spacing w:after="0"/>
              <w:rPr>
                <w:sz w:val="15"/>
                <w:szCs w:val="15"/>
                <w:color w:val="auto"/>
              </w:rPr>
            </w:pPr>
          </w:p>
        </w:tc>
        <w:tc>
          <w:tcPr>
            <w:tcW w:w="7980" w:type="dxa"/>
            <w:vAlign w:val="bottom"/>
          </w:tcPr>
          <w:p>
            <w:pPr>
              <w:jc w:val="center"/>
              <w:spacing w:after="0" w:line="176" w:lineRule="exact"/>
              <w:rPr>
                <w:sz w:val="20"/>
                <w:szCs w:val="20"/>
                <w:color w:val="auto"/>
              </w:rPr>
            </w:pPr>
            <w:r>
              <w:rPr>
                <w:rFonts w:ascii="Arial" w:cs="Arial" w:eastAsia="Arial" w:hAnsi="Arial"/>
                <w:sz w:val="18"/>
                <w:szCs w:val="18"/>
                <w:b w:val="1"/>
                <w:bCs w:val="1"/>
                <w:color w:val="auto"/>
                <w:w w:val="91"/>
              </w:rPr>
              <w:t>Chief Executive Officer</w:t>
            </w:r>
          </w:p>
        </w:tc>
      </w:tr>
      <w:tr>
        <w:trPr>
          <w:trHeight w:val="234"/>
        </w:trPr>
        <w:tc>
          <w:tcPr>
            <w:tcW w:w="560" w:type="dxa"/>
            <w:vAlign w:val="bottom"/>
          </w:tcPr>
          <w:p>
            <w:pPr>
              <w:spacing w:after="0"/>
              <w:rPr>
                <w:sz w:val="20"/>
                <w:szCs w:val="20"/>
                <w:color w:val="auto"/>
              </w:rPr>
            </w:pPr>
          </w:p>
        </w:tc>
        <w:tc>
          <w:tcPr>
            <w:tcW w:w="2460" w:type="dxa"/>
            <w:vAlign w:val="bottom"/>
          </w:tcPr>
          <w:p>
            <w:pPr>
              <w:spacing w:after="0"/>
              <w:rPr>
                <w:sz w:val="20"/>
                <w:szCs w:val="20"/>
                <w:color w:val="auto"/>
              </w:rPr>
            </w:pPr>
          </w:p>
        </w:tc>
        <w:tc>
          <w:tcPr>
            <w:tcW w:w="7980" w:type="dxa"/>
            <w:vAlign w:val="bottom"/>
          </w:tcPr>
          <w:p>
            <w:pPr>
              <w:jc w:val="center"/>
              <w:spacing w:after="0"/>
              <w:rPr>
                <w:sz w:val="20"/>
                <w:szCs w:val="20"/>
                <w:color w:val="auto"/>
              </w:rPr>
            </w:pPr>
            <w:r>
              <w:rPr>
                <w:rFonts w:ascii="Arial" w:cs="Arial" w:eastAsia="Arial" w:hAnsi="Arial"/>
                <w:sz w:val="18"/>
                <w:szCs w:val="18"/>
                <w:b w:val="1"/>
                <w:bCs w:val="1"/>
                <w:color w:val="auto"/>
                <w:w w:val="92"/>
              </w:rPr>
              <w:t>(Principal Executive Officer)</w:t>
            </w:r>
          </w:p>
        </w:tc>
      </w:tr>
      <w:tr>
        <w:trPr>
          <w:trHeight w:val="495"/>
        </w:trPr>
        <w:tc>
          <w:tcPr>
            <w:tcW w:w="560" w:type="dxa"/>
            <w:vAlign w:val="bottom"/>
          </w:tcPr>
          <w:p>
            <w:pPr>
              <w:spacing w:after="0"/>
              <w:rPr>
                <w:sz w:val="20"/>
                <w:szCs w:val="20"/>
                <w:color w:val="auto"/>
              </w:rPr>
            </w:pPr>
            <w:r>
              <w:rPr>
                <w:rFonts w:ascii="Arial" w:cs="Arial" w:eastAsia="Arial" w:hAnsi="Arial"/>
                <w:sz w:val="18"/>
                <w:szCs w:val="18"/>
                <w:color w:val="auto"/>
              </w:rPr>
              <w:t>Date:</w:t>
            </w:r>
          </w:p>
        </w:tc>
        <w:tc>
          <w:tcPr>
            <w:tcW w:w="2460" w:type="dxa"/>
            <w:vAlign w:val="bottom"/>
          </w:tcPr>
          <w:p>
            <w:pPr>
              <w:ind w:left="160"/>
              <w:spacing w:after="0"/>
              <w:rPr>
                <w:sz w:val="20"/>
                <w:szCs w:val="20"/>
                <w:color w:val="auto"/>
              </w:rPr>
            </w:pPr>
            <w:r>
              <w:rPr>
                <w:rFonts w:ascii="Arial" w:cs="Arial" w:eastAsia="Arial" w:hAnsi="Arial"/>
                <w:sz w:val="18"/>
                <w:szCs w:val="18"/>
                <w:color w:val="auto"/>
              </w:rPr>
              <w:t>January 8, 2021</w:t>
            </w:r>
          </w:p>
        </w:tc>
        <w:tc>
          <w:tcPr>
            <w:tcW w:w="79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7"/>
              </w:rPr>
              <w:t>/ S /  STEPHEN A. TROWBRIDGE</w:t>
            </w:r>
          </w:p>
        </w:tc>
      </w:tr>
      <w:tr>
        <w:trPr>
          <w:trHeight w:val="169"/>
        </w:trPr>
        <w:tc>
          <w:tcPr>
            <w:tcW w:w="560" w:type="dxa"/>
            <w:vAlign w:val="bottom"/>
          </w:tcPr>
          <w:p>
            <w:pPr>
              <w:spacing w:after="0"/>
              <w:rPr>
                <w:sz w:val="14"/>
                <w:szCs w:val="14"/>
                <w:color w:val="auto"/>
              </w:rPr>
            </w:pPr>
          </w:p>
        </w:tc>
        <w:tc>
          <w:tcPr>
            <w:tcW w:w="2460" w:type="dxa"/>
            <w:vAlign w:val="bottom"/>
          </w:tcPr>
          <w:p>
            <w:pPr>
              <w:spacing w:after="0"/>
              <w:rPr>
                <w:sz w:val="14"/>
                <w:szCs w:val="14"/>
                <w:color w:val="auto"/>
              </w:rPr>
            </w:pPr>
          </w:p>
        </w:tc>
        <w:tc>
          <w:tcPr>
            <w:tcW w:w="7980" w:type="dxa"/>
            <w:vAlign w:val="bottom"/>
          </w:tcPr>
          <w:p>
            <w:pPr>
              <w:jc w:val="center"/>
              <w:spacing w:after="0" w:line="169" w:lineRule="exact"/>
              <w:rPr>
                <w:sz w:val="20"/>
                <w:szCs w:val="20"/>
                <w:color w:val="auto"/>
              </w:rPr>
            </w:pPr>
            <w:r>
              <w:rPr>
                <w:rFonts w:ascii="Arial" w:cs="Arial" w:eastAsia="Arial" w:hAnsi="Arial"/>
                <w:sz w:val="18"/>
                <w:szCs w:val="18"/>
                <w:b w:val="1"/>
                <w:bCs w:val="1"/>
                <w:color w:val="auto"/>
                <w:w w:val="89"/>
              </w:rPr>
              <w:t>Stephen A. Trowbridge, Executive Vice President,</w:t>
            </w:r>
          </w:p>
        </w:tc>
      </w:tr>
      <w:tr>
        <w:trPr>
          <w:trHeight w:val="175"/>
        </w:trPr>
        <w:tc>
          <w:tcPr>
            <w:tcW w:w="560" w:type="dxa"/>
            <w:vAlign w:val="bottom"/>
          </w:tcPr>
          <w:p>
            <w:pPr>
              <w:spacing w:after="0"/>
              <w:rPr>
                <w:sz w:val="15"/>
                <w:szCs w:val="15"/>
                <w:color w:val="auto"/>
              </w:rPr>
            </w:pPr>
          </w:p>
        </w:tc>
        <w:tc>
          <w:tcPr>
            <w:tcW w:w="2460" w:type="dxa"/>
            <w:vAlign w:val="bottom"/>
          </w:tcPr>
          <w:p>
            <w:pPr>
              <w:spacing w:after="0"/>
              <w:rPr>
                <w:sz w:val="15"/>
                <w:szCs w:val="15"/>
                <w:color w:val="auto"/>
              </w:rPr>
            </w:pPr>
          </w:p>
        </w:tc>
        <w:tc>
          <w:tcPr>
            <w:tcW w:w="7980" w:type="dxa"/>
            <w:vAlign w:val="bottom"/>
          </w:tcPr>
          <w:p>
            <w:pPr>
              <w:jc w:val="center"/>
              <w:spacing w:after="0" w:line="176" w:lineRule="exact"/>
              <w:rPr>
                <w:sz w:val="20"/>
                <w:szCs w:val="20"/>
                <w:color w:val="auto"/>
              </w:rPr>
            </w:pPr>
            <w:r>
              <w:rPr>
                <w:rFonts w:ascii="Arial" w:cs="Arial" w:eastAsia="Arial" w:hAnsi="Arial"/>
                <w:sz w:val="18"/>
                <w:szCs w:val="18"/>
                <w:b w:val="1"/>
                <w:bCs w:val="1"/>
                <w:color w:val="auto"/>
                <w:w w:val="93"/>
              </w:rPr>
              <w:t>Chief Financial Officer</w:t>
            </w:r>
          </w:p>
        </w:tc>
      </w:tr>
      <w:tr>
        <w:trPr>
          <w:trHeight w:val="234"/>
        </w:trPr>
        <w:tc>
          <w:tcPr>
            <w:tcW w:w="560" w:type="dxa"/>
            <w:vAlign w:val="bottom"/>
          </w:tcPr>
          <w:p>
            <w:pPr>
              <w:spacing w:after="0"/>
              <w:rPr>
                <w:sz w:val="20"/>
                <w:szCs w:val="20"/>
                <w:color w:val="auto"/>
              </w:rPr>
            </w:pPr>
          </w:p>
        </w:tc>
        <w:tc>
          <w:tcPr>
            <w:tcW w:w="2460" w:type="dxa"/>
            <w:vAlign w:val="bottom"/>
          </w:tcPr>
          <w:p>
            <w:pPr>
              <w:spacing w:after="0"/>
              <w:rPr>
                <w:sz w:val="20"/>
                <w:szCs w:val="20"/>
                <w:color w:val="auto"/>
              </w:rPr>
            </w:pPr>
          </w:p>
        </w:tc>
        <w:tc>
          <w:tcPr>
            <w:tcW w:w="7980" w:type="dxa"/>
            <w:vAlign w:val="bottom"/>
          </w:tcPr>
          <w:p>
            <w:pPr>
              <w:jc w:val="center"/>
              <w:spacing w:after="0"/>
              <w:rPr>
                <w:sz w:val="20"/>
                <w:szCs w:val="20"/>
                <w:color w:val="auto"/>
              </w:rPr>
            </w:pPr>
            <w:r>
              <w:rPr>
                <w:rFonts w:ascii="Arial" w:cs="Arial" w:eastAsia="Arial" w:hAnsi="Arial"/>
                <w:sz w:val="18"/>
                <w:szCs w:val="18"/>
                <w:b w:val="1"/>
                <w:bCs w:val="1"/>
                <w:color w:val="auto"/>
                <w:w w:val="91"/>
              </w:rPr>
              <w:t>(Principal Financial and Accounting Officer)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020"/>
          </w:cols>
          <w:pgMar w:left="320" w:top="122" w:right="559" w:bottom="1440" w:gutter="0" w:footer="0" w:header="0"/>
        </w:sectPr>
      </w:pPr>
    </w:p>
    <w:bookmarkStart w:id="41" w:name="page42"/>
    <w:bookmarkEnd w:id="41"/>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2128520</wp:posOffset>
            </wp:positionH>
            <wp:positionV relativeFrom="page">
              <wp:posOffset>911860</wp:posOffset>
            </wp:positionV>
            <wp:extent cx="3291840" cy="50546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8">
                      <a:clrChange>
                        <a:clrFrom>
                          <a:srgbClr val="FFFFFF"/>
                        </a:clrFrom>
                        <a:clrTo>
                          <a:srgbClr val="FFFFFF">
                            <a:alpha val="0"/>
                          </a:srgbClr>
                        </a:clrTo>
                      </a:clrChange>
                      <a:extLst>
                        <a:ext uri="{28A0092B-C50C-407E-A947-70E740481C1C}"/>
                      </a:extLst>
                    </a:blip>
                    <a:srcRect/>
                    <a:stretch>
                      <a:fillRect/>
                    </a:stretch>
                  </pic:blipFill>
                  <pic:spPr bwMode="auto">
                    <a:xfrm>
                      <a:off x="0" y="0"/>
                      <a:ext cx="3291840" cy="5054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jc w:val="center"/>
        <w:spacing w:after="0"/>
        <w:rPr>
          <w:sz w:val="20"/>
          <w:szCs w:val="20"/>
          <w:color w:val="auto"/>
        </w:rPr>
      </w:pPr>
      <w:r>
        <w:rPr>
          <w:rFonts w:ascii="Arial" w:cs="Arial" w:eastAsia="Arial" w:hAnsi="Arial"/>
          <w:sz w:val="22"/>
          <w:szCs w:val="22"/>
          <w:u w:val="single" w:color="auto"/>
          <w:color w:val="auto"/>
        </w:rPr>
        <w:t>PERFORMANCE SHARE AWARD AGREEMENT</w:t>
      </w:r>
    </w:p>
    <w:p>
      <w:pPr>
        <w:spacing w:after="0" w:line="260" w:lineRule="exact"/>
        <w:rPr>
          <w:sz w:val="20"/>
          <w:szCs w:val="20"/>
          <w:color w:val="auto"/>
        </w:rPr>
      </w:pPr>
    </w:p>
    <w:p>
      <w:pPr>
        <w:jc w:val="both"/>
        <w:ind w:firstLine="648"/>
        <w:spacing w:after="0" w:line="341" w:lineRule="auto"/>
        <w:rPr>
          <w:sz w:val="20"/>
          <w:szCs w:val="20"/>
          <w:color w:val="auto"/>
        </w:rPr>
      </w:pPr>
      <w:r>
        <w:rPr>
          <w:rFonts w:ascii="Arial" w:cs="Arial" w:eastAsia="Arial" w:hAnsi="Arial"/>
          <w:sz w:val="19"/>
          <w:szCs w:val="19"/>
          <w:color w:val="auto"/>
        </w:rPr>
        <w:t>This Performance Share Award Agreement (this “Agreement”), dated as of the [ ] day of [ ], 2020 (the “Grant Date”), is between AngioDynamics, Inc., a Delaware corporation (“AngioDynamics” or the “Company”), and the “Participant,” an employee of the Company or any of its Affiliates or Subsidiaries and whose name appears on the signature page hereto. All capitalized terms not otherwise defined herein shall have the meaning ascribed thereto in Appendix A to this Agreement or the AngioDynamics 2004 Stock and Incentive Award Plan, as amended (the “Plan”), as applicable.</w:t>
      </w:r>
    </w:p>
    <w:p>
      <w:pPr>
        <w:spacing w:after="0" w:line="21" w:lineRule="exact"/>
        <w:rPr>
          <w:sz w:val="20"/>
          <w:szCs w:val="20"/>
          <w:color w:val="auto"/>
        </w:rPr>
      </w:pPr>
    </w:p>
    <w:p>
      <w:pPr>
        <w:spacing w:after="0"/>
        <w:rPr>
          <w:sz w:val="20"/>
          <w:szCs w:val="20"/>
          <w:color w:val="auto"/>
        </w:rPr>
      </w:pPr>
      <w:r>
        <w:rPr>
          <w:rFonts w:ascii="Arial" w:cs="Arial" w:eastAsia="Arial" w:hAnsi="Arial"/>
          <w:sz w:val="22"/>
          <w:szCs w:val="22"/>
          <w:b w:val="1"/>
          <w:bCs w:val="1"/>
          <w:u w:val="single" w:color="auto"/>
          <w:color w:val="auto"/>
        </w:rPr>
        <w:t>Overview of Your Award</w:t>
      </w:r>
    </w:p>
    <w:p>
      <w:pPr>
        <w:spacing w:after="0" w:line="11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 xml:space="preserve">Target Amount of Performance Shares: </w:t>
      </w:r>
      <w:r>
        <w:rPr>
          <w:rFonts w:ascii="Arial" w:cs="Arial" w:eastAsia="Arial" w:hAnsi="Arial"/>
          <w:sz w:val="22"/>
          <w:szCs w:val="22"/>
          <w:color w:val="auto"/>
        </w:rPr>
        <w:t>[ ] shares.</w:t>
      </w:r>
    </w:p>
    <w:p>
      <w:pPr>
        <w:spacing w:after="0" w:line="112" w:lineRule="exact"/>
        <w:rPr>
          <w:sz w:val="20"/>
          <w:szCs w:val="20"/>
          <w:color w:val="auto"/>
        </w:rPr>
      </w:pPr>
    </w:p>
    <w:p>
      <w:pPr>
        <w:ind w:left="60"/>
        <w:spacing w:after="0"/>
        <w:rPr>
          <w:sz w:val="20"/>
          <w:szCs w:val="20"/>
          <w:color w:val="auto"/>
        </w:rPr>
      </w:pPr>
      <w:r>
        <w:rPr>
          <w:rFonts w:ascii="Arial" w:cs="Arial" w:eastAsia="Arial" w:hAnsi="Arial"/>
          <w:sz w:val="22"/>
          <w:szCs w:val="22"/>
          <w:b w:val="1"/>
          <w:bCs w:val="1"/>
          <w:color w:val="auto"/>
        </w:rPr>
        <w:t xml:space="preserve">Performance Period: </w:t>
      </w:r>
      <w:r>
        <w:rPr>
          <w:rFonts w:ascii="Arial" w:cs="Arial" w:eastAsia="Arial" w:hAnsi="Arial"/>
          <w:sz w:val="22"/>
          <w:szCs w:val="22"/>
          <w:color w:val="auto"/>
        </w:rPr>
        <w:t>June 1, 2020 to May 31, 2023.</w:t>
      </w:r>
    </w:p>
    <w:p>
      <w:pPr>
        <w:spacing w:after="0" w:line="112" w:lineRule="exact"/>
        <w:rPr>
          <w:sz w:val="20"/>
          <w:szCs w:val="20"/>
          <w:color w:val="auto"/>
        </w:rPr>
      </w:pPr>
    </w:p>
    <w:p>
      <w:pPr>
        <w:ind w:left="660"/>
        <w:spacing w:after="0"/>
        <w:rPr>
          <w:sz w:val="20"/>
          <w:szCs w:val="20"/>
          <w:color w:val="auto"/>
        </w:rPr>
      </w:pPr>
      <w:r>
        <w:rPr>
          <w:rFonts w:ascii="Arial" w:cs="Arial" w:eastAsia="Arial" w:hAnsi="Arial"/>
          <w:sz w:val="22"/>
          <w:szCs w:val="22"/>
          <w:b w:val="1"/>
          <w:bCs w:val="1"/>
          <w:color w:val="auto"/>
        </w:rPr>
        <w:t xml:space="preserve">Performance Year 1: </w:t>
      </w:r>
      <w:r>
        <w:rPr>
          <w:rFonts w:ascii="Arial" w:cs="Arial" w:eastAsia="Arial" w:hAnsi="Arial"/>
          <w:sz w:val="22"/>
          <w:szCs w:val="22"/>
          <w:color w:val="auto"/>
        </w:rPr>
        <w:t>June 1, 2020 through May 31, 2021.</w:t>
      </w:r>
    </w:p>
    <w:p>
      <w:pPr>
        <w:spacing w:after="0" w:line="112" w:lineRule="exact"/>
        <w:rPr>
          <w:sz w:val="20"/>
          <w:szCs w:val="20"/>
          <w:color w:val="auto"/>
        </w:rPr>
      </w:pPr>
    </w:p>
    <w:p>
      <w:pPr>
        <w:ind w:left="660"/>
        <w:spacing w:after="0"/>
        <w:rPr>
          <w:sz w:val="20"/>
          <w:szCs w:val="20"/>
          <w:color w:val="auto"/>
        </w:rPr>
      </w:pPr>
      <w:r>
        <w:rPr>
          <w:rFonts w:ascii="Arial" w:cs="Arial" w:eastAsia="Arial" w:hAnsi="Arial"/>
          <w:sz w:val="22"/>
          <w:szCs w:val="22"/>
          <w:b w:val="1"/>
          <w:bCs w:val="1"/>
          <w:color w:val="auto"/>
        </w:rPr>
        <w:t xml:space="preserve">Performance Year 2: </w:t>
      </w:r>
      <w:r>
        <w:rPr>
          <w:rFonts w:ascii="Arial" w:cs="Arial" w:eastAsia="Arial" w:hAnsi="Arial"/>
          <w:sz w:val="22"/>
          <w:szCs w:val="22"/>
          <w:color w:val="auto"/>
        </w:rPr>
        <w:t>June 1, 2021 through May 31, 2022.</w:t>
      </w:r>
    </w:p>
    <w:p>
      <w:pPr>
        <w:spacing w:after="0" w:line="112" w:lineRule="exact"/>
        <w:rPr>
          <w:sz w:val="20"/>
          <w:szCs w:val="20"/>
          <w:color w:val="auto"/>
        </w:rPr>
      </w:pPr>
    </w:p>
    <w:p>
      <w:pPr>
        <w:ind w:left="660"/>
        <w:spacing w:after="0"/>
        <w:rPr>
          <w:sz w:val="20"/>
          <w:szCs w:val="20"/>
          <w:color w:val="auto"/>
        </w:rPr>
      </w:pPr>
      <w:r>
        <w:rPr>
          <w:rFonts w:ascii="Arial" w:cs="Arial" w:eastAsia="Arial" w:hAnsi="Arial"/>
          <w:sz w:val="22"/>
          <w:szCs w:val="22"/>
          <w:b w:val="1"/>
          <w:bCs w:val="1"/>
          <w:color w:val="auto"/>
        </w:rPr>
        <w:t xml:space="preserve">Performance Year 3: </w:t>
      </w:r>
      <w:r>
        <w:rPr>
          <w:rFonts w:ascii="Arial" w:cs="Arial" w:eastAsia="Arial" w:hAnsi="Arial"/>
          <w:sz w:val="22"/>
          <w:szCs w:val="22"/>
          <w:color w:val="auto"/>
        </w:rPr>
        <w:t>June 1, 2022 through May 31, 2023.</w:t>
      </w:r>
    </w:p>
    <w:p>
      <w:pPr>
        <w:spacing w:after="0" w:line="11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 xml:space="preserve">Peer Group: </w:t>
      </w:r>
      <w:r>
        <w:rPr>
          <w:rFonts w:ascii="Arial" w:cs="Arial" w:eastAsia="Arial" w:hAnsi="Arial"/>
          <w:sz w:val="22"/>
          <w:szCs w:val="22"/>
          <w:color w:val="auto"/>
        </w:rPr>
        <w:t>Set forth on Appendix A.</w:t>
      </w:r>
    </w:p>
    <w:p>
      <w:pPr>
        <w:spacing w:after="0" w:line="131" w:lineRule="exact"/>
        <w:rPr>
          <w:sz w:val="20"/>
          <w:szCs w:val="20"/>
          <w:color w:val="auto"/>
        </w:rPr>
      </w:pPr>
    </w:p>
    <w:p>
      <w:pPr>
        <w:jc w:val="both"/>
        <w:ind w:firstLine="656"/>
        <w:spacing w:after="0" w:line="303" w:lineRule="auto"/>
        <w:tabs>
          <w:tab w:leader="none" w:pos="891" w:val="left"/>
        </w:tabs>
        <w:numPr>
          <w:ilvl w:val="0"/>
          <w:numId w:val="36"/>
        </w:numPr>
        <w:rPr>
          <w:rFonts w:ascii="Arial" w:cs="Arial" w:eastAsia="Arial" w:hAnsi="Arial"/>
          <w:sz w:val="21"/>
          <w:szCs w:val="21"/>
          <w:color w:val="auto"/>
        </w:rPr>
      </w:pPr>
      <w:r>
        <w:rPr>
          <w:rFonts w:ascii="Arial" w:cs="Arial" w:eastAsia="Arial" w:hAnsi="Arial"/>
          <w:sz w:val="21"/>
          <w:szCs w:val="21"/>
          <w:u w:val="single" w:color="auto"/>
          <w:color w:val="auto"/>
        </w:rPr>
        <w:t>Grant and Acceptance of Performance Shares</w:t>
      </w:r>
      <w:r>
        <w:rPr>
          <w:rFonts w:ascii="Arial" w:cs="Arial" w:eastAsia="Arial" w:hAnsi="Arial"/>
          <w:sz w:val="21"/>
          <w:szCs w:val="21"/>
          <w:color w:val="auto"/>
        </w:rPr>
        <w:t>. Effective as of the Grant Date, the Company hereby grants to the Participant a Performance Share Award (the “Performance Shares”), subject to the terms and conditions set forth in this Agreement and the Plan, with respect to [TARGET AMOUNT] shares (the “Target Amount”) of the Company’s common stock, par value $0.01 per share (the “Common Stock”). This grant of Performance Shares shall not confer any right to the Participant (or any other participant) to be granted any Performance Shares in the future.</w:t>
      </w:r>
    </w:p>
    <w:p>
      <w:pPr>
        <w:spacing w:after="0" w:line="203" w:lineRule="exact"/>
        <w:rPr>
          <w:rFonts w:ascii="Arial" w:cs="Arial" w:eastAsia="Arial" w:hAnsi="Arial"/>
          <w:sz w:val="21"/>
          <w:szCs w:val="21"/>
          <w:color w:val="auto"/>
        </w:rPr>
      </w:pPr>
    </w:p>
    <w:p>
      <w:pPr>
        <w:jc w:val="both"/>
        <w:ind w:firstLine="656"/>
        <w:spacing w:after="0" w:line="300" w:lineRule="auto"/>
        <w:tabs>
          <w:tab w:leader="none" w:pos="877" w:val="left"/>
        </w:tabs>
        <w:numPr>
          <w:ilvl w:val="0"/>
          <w:numId w:val="36"/>
        </w:numPr>
        <w:rPr>
          <w:rFonts w:ascii="Arial" w:cs="Arial" w:eastAsia="Arial" w:hAnsi="Arial"/>
          <w:sz w:val="21"/>
          <w:szCs w:val="21"/>
          <w:color w:val="auto"/>
        </w:rPr>
      </w:pPr>
      <w:r>
        <w:rPr>
          <w:rFonts w:ascii="Arial" w:cs="Arial" w:eastAsia="Arial" w:hAnsi="Arial"/>
          <w:sz w:val="21"/>
          <w:szCs w:val="21"/>
          <w:u w:val="single" w:color="auto"/>
          <w:color w:val="auto"/>
        </w:rPr>
        <w:t>Eligibility Conditions upon Performance Shares</w:t>
      </w:r>
      <w:r>
        <w:rPr>
          <w:rFonts w:ascii="Arial" w:cs="Arial" w:eastAsia="Arial" w:hAnsi="Arial"/>
          <w:sz w:val="21"/>
          <w:szCs w:val="21"/>
          <w:color w:val="auto"/>
        </w:rPr>
        <w:t>. The Participant hereby acknowledges that the vesting of any of the Performance Shares (and delivery of shares of Common Stock with respect to any such vested Performance Shares) is subject to certain eligibility, performance and other conditions set forth herein. Except as otherwise provided in Section 7 of this Agreement, all shares of Common Stock in respect of Performance Shares that vest pursuant to the terms of this Agreement and the Plan shall be issued to the Participant as soon as practicable (and in all events within sixty (60) days) after the end of the Performance Period, and no shares of Common Stock in settlement of vested Performance Shares shall be issued to the Participant prior to the end of the Performance Period.</w:t>
      </w: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w:t>
      </w:r>
    </w:p>
    <w:p>
      <w:pPr>
        <w:sectPr>
          <w:pgSz w:w="11900" w:h="16838" w:orient="portrait"/>
          <w:cols w:equalWidth="0" w:num="1">
            <w:col w:w="11240"/>
          </w:cols>
          <w:pgMar w:left="320" w:top="1440" w:right="339" w:bottom="1440" w:gutter="0" w:footer="0" w:header="0"/>
        </w:sectPr>
      </w:pPr>
    </w:p>
    <w:bookmarkStart w:id="42" w:name="page43"/>
    <w:bookmarkEnd w:id="42"/>
    <w:p>
      <w:pPr>
        <w:spacing w:after="0" w:line="245" w:lineRule="exact"/>
        <w:rPr>
          <w:sz w:val="20"/>
          <w:szCs w:val="20"/>
          <w:color w:val="auto"/>
        </w:rPr>
      </w:pPr>
    </w:p>
    <w:p>
      <w:pPr>
        <w:jc w:val="both"/>
        <w:ind w:firstLine="656"/>
        <w:spacing w:after="0" w:line="303" w:lineRule="auto"/>
        <w:tabs>
          <w:tab w:leader="none" w:pos="918" w:val="left"/>
        </w:tabs>
        <w:numPr>
          <w:ilvl w:val="0"/>
          <w:numId w:val="37"/>
        </w:numPr>
        <w:rPr>
          <w:rFonts w:ascii="Arial" w:cs="Arial" w:eastAsia="Arial" w:hAnsi="Arial"/>
          <w:sz w:val="21"/>
          <w:szCs w:val="21"/>
          <w:color w:val="auto"/>
        </w:rPr>
      </w:pPr>
      <w:r>
        <w:rPr>
          <w:rFonts w:ascii="Arial" w:cs="Arial" w:eastAsia="Arial" w:hAnsi="Arial"/>
          <w:sz w:val="21"/>
          <w:szCs w:val="21"/>
          <w:u w:val="single" w:color="auto"/>
          <w:color w:val="auto"/>
        </w:rPr>
        <w:t>Satisfaction of Performance-Based Conditions</w:t>
      </w:r>
      <w:r>
        <w:rPr>
          <w:rFonts w:ascii="Arial" w:cs="Arial" w:eastAsia="Arial" w:hAnsi="Arial"/>
          <w:sz w:val="21"/>
          <w:szCs w:val="21"/>
          <w:color w:val="auto"/>
        </w:rPr>
        <w:t>. Subject to Sections 5, 6, 7(a) and 7(b) of this Agreement, the Performance Shares will be eligible to vest if and only if the performance conditions established in this Section 3 with respect to such Performance Shares are satisfied. Vesting of Performance Shares is based upon the performance of the Company with respect to the performance targets (as set forth below) for each Performance Year, subject to modification based on the Company’s achieved Relative TSR, each as more fully provided below and in Appendix A.</w:t>
      </w:r>
    </w:p>
    <w:p>
      <w:pPr>
        <w:spacing w:after="0" w:line="204" w:lineRule="exact"/>
        <w:rPr>
          <w:sz w:val="20"/>
          <w:szCs w:val="20"/>
          <w:color w:val="auto"/>
        </w:rPr>
      </w:pPr>
    </w:p>
    <w:p>
      <w:pPr>
        <w:jc w:val="both"/>
        <w:ind w:firstLine="656"/>
        <w:spacing w:after="0" w:line="300" w:lineRule="auto"/>
        <w:tabs>
          <w:tab w:leader="none" w:pos="1293" w:val="left"/>
        </w:tabs>
        <w:numPr>
          <w:ilvl w:val="0"/>
          <w:numId w:val="38"/>
        </w:numPr>
        <w:rPr>
          <w:rFonts w:ascii="Arial" w:cs="Arial" w:eastAsia="Arial" w:hAnsi="Arial"/>
          <w:sz w:val="21"/>
          <w:szCs w:val="21"/>
          <w:color w:val="auto"/>
        </w:rPr>
      </w:pPr>
      <w:r>
        <w:rPr>
          <w:rFonts w:ascii="Arial" w:cs="Arial" w:eastAsia="Arial" w:hAnsi="Arial"/>
          <w:sz w:val="21"/>
          <w:szCs w:val="21"/>
          <w:i w:val="1"/>
          <w:iCs w:val="1"/>
          <w:color w:val="auto"/>
        </w:rPr>
        <w:t>Year 1 Performance Shares</w:t>
      </w:r>
      <w:r>
        <w:rPr>
          <w:rFonts w:ascii="Arial" w:cs="Arial" w:eastAsia="Arial" w:hAnsi="Arial"/>
          <w:sz w:val="21"/>
          <w:szCs w:val="21"/>
          <w:color w:val="auto"/>
        </w:rPr>
        <w:t>. Subject to Sections 3(d), 5, 6, 7(a) and 7(b) of this Agreement, one-third of the Target</w:t>
      </w:r>
      <w:r>
        <w:rPr>
          <w:rFonts w:ascii="Arial" w:cs="Arial" w:eastAsia="Arial" w:hAnsi="Arial"/>
          <w:sz w:val="21"/>
          <w:szCs w:val="21"/>
          <w:i w:val="1"/>
          <w:iCs w:val="1"/>
          <w:color w:val="auto"/>
        </w:rPr>
        <w:t xml:space="preserve"> </w:t>
      </w:r>
      <w:r>
        <w:rPr>
          <w:rFonts w:ascii="Arial" w:cs="Arial" w:eastAsia="Arial" w:hAnsi="Arial"/>
          <w:sz w:val="21"/>
          <w:szCs w:val="21"/>
          <w:color w:val="auto"/>
        </w:rPr>
        <w:t>Amount (or [1/3 OF TARGET AMOUNT] Performance Shares) will be eligible to vest based on achievement of the performance targets set forth in the table below for Performance Year 1 (June 1, 2020 through May 31, 2021) (the “Year 1 Performance Shares”). One-half of the Year 1 Performance Shares shall be eligible to vest based on the Company’s Worldwide Revenue achieved for Performance Year 1 (the “Year 1 Revenue Shares”), and one-half of the Year 1 Performance Shares shall be eligible to vest based on the Company’s Worldwide Adjusted EPS achieved for Performance Year 1 (the “Year 1 EPS Shares”), each in accordance with the following table: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1771015</wp:posOffset>
            </wp:positionH>
            <wp:positionV relativeFrom="paragraph">
              <wp:posOffset>86360</wp:posOffset>
            </wp:positionV>
            <wp:extent cx="4011930" cy="329184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9">
                      <a:extLst>
                        <a:ext uri="{28A0092B-C50C-407E-A947-70E740481C1C}"/>
                      </a:extLst>
                    </a:blip>
                    <a:srcRect/>
                    <a:stretch>
                      <a:fillRect/>
                    </a:stretch>
                  </pic:blipFill>
                  <pic:spPr bwMode="auto">
                    <a:xfrm>
                      <a:off x="0" y="0"/>
                      <a:ext cx="4011930" cy="32918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jc w:val="both"/>
        <w:spacing w:after="0" w:line="291" w:lineRule="auto"/>
        <w:rPr>
          <w:sz w:val="20"/>
          <w:szCs w:val="20"/>
          <w:color w:val="auto"/>
        </w:rPr>
      </w:pPr>
      <w:r>
        <w:rPr>
          <w:rFonts w:ascii="Arial" w:cs="Arial" w:eastAsia="Arial" w:hAnsi="Arial"/>
          <w:sz w:val="22"/>
          <w:szCs w:val="22"/>
          <w:color w:val="auto"/>
        </w:rPr>
        <w:t>The number of Year 1 Revenue Shares and Year 1 EPS Shares eligible to vest shall be calculated by multiplying the number of Year 1 Revenue Shares or Year 1 EPS Shares, as applicable, by the Revenue Payout Percentage or EPS Payout Percentage, respectively, set forth in the table above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w:t>
      </w:r>
    </w:p>
    <w:p>
      <w:pPr>
        <w:sectPr>
          <w:pgSz w:w="11900" w:h="16838" w:orient="portrait"/>
          <w:cols w:equalWidth="0" w:num="1">
            <w:col w:w="11240"/>
          </w:cols>
          <w:pgMar w:left="320" w:top="1440" w:right="339" w:bottom="1440" w:gutter="0" w:footer="0" w:header="0"/>
        </w:sectPr>
      </w:pPr>
    </w:p>
    <w:bookmarkStart w:id="43" w:name="page44"/>
    <w:bookmarkEnd w:id="43"/>
    <w:p>
      <w:pPr>
        <w:spacing w:after="0" w:line="2" w:lineRule="exact"/>
        <w:rPr>
          <w:sz w:val="20"/>
          <w:szCs w:val="20"/>
          <w:color w:val="auto"/>
        </w:rPr>
      </w:pPr>
    </w:p>
    <w:p>
      <w:pPr>
        <w:jc w:val="both"/>
        <w:spacing w:after="0" w:line="286" w:lineRule="auto"/>
        <w:rPr>
          <w:sz w:val="20"/>
          <w:szCs w:val="20"/>
          <w:color w:val="auto"/>
        </w:rPr>
      </w:pPr>
      <w:r>
        <w:rPr>
          <w:rFonts w:ascii="Arial" w:cs="Arial" w:eastAsia="Arial" w:hAnsi="Arial"/>
          <w:sz w:val="22"/>
          <w:szCs w:val="22"/>
          <w:color w:val="auto"/>
        </w:rPr>
        <w:t>for the applicable level of achievement. Each of the Revenue Payout Percentage and EPS Payout Percentage shall not be below 0% and shall not exceed 200%, and the Revenue Payout Percentage and EPS Payout Percentage for performance between the levels set forth in the table above shall be determined by straight-line interpolation between such levels. Therefore, subject to Section 3(d) of this Agreement, the total number of Year 1 Performance Shares eligible to vest (the “Year 1 Eligible Performance Shares”) shall be equal to:</w:t>
      </w:r>
    </w:p>
    <w:p>
      <w:pPr>
        <w:spacing w:after="0" w:line="221" w:lineRule="exact"/>
        <w:rPr>
          <w:sz w:val="20"/>
          <w:szCs w:val="20"/>
          <w:color w:val="auto"/>
        </w:rPr>
      </w:pPr>
    </w:p>
    <w:p>
      <w:pPr>
        <w:jc w:val="center"/>
        <w:spacing w:after="0" w:line="302" w:lineRule="auto"/>
        <w:rPr>
          <w:sz w:val="20"/>
          <w:szCs w:val="20"/>
          <w:color w:val="auto"/>
        </w:rPr>
      </w:pPr>
      <w:r>
        <w:rPr>
          <w:rFonts w:ascii="Arial" w:cs="Arial" w:eastAsia="Arial" w:hAnsi="Arial"/>
          <w:sz w:val="22"/>
          <w:szCs w:val="22"/>
          <w:color w:val="auto"/>
        </w:rPr>
        <w:t>Year 1 Eligible Performance Shares = (Year 1 Revenue Shares * Revenue Payout Percentage) + (Year 1 EPS Shares * EPS Payout Percentage).</w:t>
      </w:r>
    </w:p>
    <w:p>
      <w:pPr>
        <w:spacing w:after="0" w:line="200" w:lineRule="exact"/>
        <w:rPr>
          <w:sz w:val="20"/>
          <w:szCs w:val="20"/>
          <w:color w:val="auto"/>
        </w:rPr>
      </w:pPr>
    </w:p>
    <w:p>
      <w:pPr>
        <w:jc w:val="both"/>
        <w:ind w:firstLine="656"/>
        <w:spacing w:after="0" w:line="300" w:lineRule="auto"/>
        <w:tabs>
          <w:tab w:leader="none" w:pos="1291" w:val="left"/>
        </w:tabs>
        <w:numPr>
          <w:ilvl w:val="0"/>
          <w:numId w:val="39"/>
        </w:numPr>
        <w:rPr>
          <w:rFonts w:ascii="Arial" w:cs="Arial" w:eastAsia="Arial" w:hAnsi="Arial"/>
          <w:sz w:val="21"/>
          <w:szCs w:val="21"/>
          <w:color w:val="auto"/>
        </w:rPr>
      </w:pPr>
      <w:r>
        <w:rPr>
          <w:rFonts w:ascii="Arial" w:cs="Arial" w:eastAsia="Arial" w:hAnsi="Arial"/>
          <w:sz w:val="21"/>
          <w:szCs w:val="21"/>
          <w:i w:val="1"/>
          <w:iCs w:val="1"/>
          <w:color w:val="auto"/>
        </w:rPr>
        <w:t>Year 2 Performance Shares</w:t>
      </w:r>
      <w:r>
        <w:rPr>
          <w:rFonts w:ascii="Arial" w:cs="Arial" w:eastAsia="Arial" w:hAnsi="Arial"/>
          <w:sz w:val="21"/>
          <w:szCs w:val="21"/>
          <w:color w:val="auto"/>
        </w:rPr>
        <w:t>. Subject to Sections 3(d), 5, 6, 7(a) and 7(b) of this Agreement, one-third of the Target</w:t>
      </w:r>
      <w:r>
        <w:rPr>
          <w:rFonts w:ascii="Arial" w:cs="Arial" w:eastAsia="Arial" w:hAnsi="Arial"/>
          <w:sz w:val="21"/>
          <w:szCs w:val="21"/>
          <w:i w:val="1"/>
          <w:iCs w:val="1"/>
          <w:color w:val="auto"/>
        </w:rPr>
        <w:t xml:space="preserve"> </w:t>
      </w:r>
      <w:r>
        <w:rPr>
          <w:rFonts w:ascii="Arial" w:cs="Arial" w:eastAsia="Arial" w:hAnsi="Arial"/>
          <w:sz w:val="21"/>
          <w:szCs w:val="21"/>
          <w:color w:val="auto"/>
        </w:rPr>
        <w:t>Amount (or [1/3 OF TARGET AMOUNT] Performance Shares) will be eligible to vest based on achievement of the performance targets set forth in the table below for Performance Year 2 (June 1, 2021 through May 31, 2022) (the “Year 2 Performance Shares”). One-half of the Year 2 Performance Shares shall be eligible to vest based on the Company’s Worldwide Revenue Growth achieved for Performance Year 2 (the “Year 2 Revenue Shares”), and one-half of the Year 2 Performance Shares shall be eligible to vest based on the Company’s Worldwide Adjusted EPS achieved for Performance Year 2 (the “Year 2 EPS Shares”), each in accordance with the following table: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1565275</wp:posOffset>
            </wp:positionH>
            <wp:positionV relativeFrom="paragraph">
              <wp:posOffset>86360</wp:posOffset>
            </wp:positionV>
            <wp:extent cx="4011930" cy="329184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60">
                      <a:extLst>
                        <a:ext uri="{28A0092B-C50C-407E-A947-70E740481C1C}"/>
                      </a:extLst>
                    </a:blip>
                    <a:srcRect/>
                    <a:stretch>
                      <a:fillRect/>
                    </a:stretch>
                  </pic:blipFill>
                  <pic:spPr bwMode="auto">
                    <a:xfrm>
                      <a:off x="0" y="0"/>
                      <a:ext cx="4011930" cy="32918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w:t>
      </w:r>
    </w:p>
    <w:p>
      <w:pPr>
        <w:sectPr>
          <w:pgSz w:w="11900" w:h="16838" w:orient="portrait"/>
          <w:cols w:equalWidth="0" w:num="1">
            <w:col w:w="11240"/>
          </w:cols>
          <w:pgMar w:left="320" w:top="1440" w:right="339" w:bottom="1440" w:gutter="0" w:footer="0" w:header="0"/>
        </w:sectPr>
      </w:pPr>
    </w:p>
    <w:bookmarkStart w:id="44" w:name="page45"/>
    <w:bookmarkEnd w:id="44"/>
    <w:p>
      <w:pPr>
        <w:spacing w:after="0" w:line="2" w:lineRule="exact"/>
        <w:rPr>
          <w:sz w:val="20"/>
          <w:szCs w:val="20"/>
          <w:color w:val="auto"/>
        </w:rPr>
      </w:pPr>
    </w:p>
    <w:p>
      <w:pPr>
        <w:jc w:val="both"/>
        <w:ind w:right="20"/>
        <w:spacing w:after="0" w:line="302" w:lineRule="auto"/>
        <w:rPr>
          <w:sz w:val="20"/>
          <w:szCs w:val="20"/>
          <w:color w:val="auto"/>
        </w:rPr>
      </w:pPr>
      <w:r>
        <w:rPr>
          <w:rFonts w:ascii="Arial" w:cs="Arial" w:eastAsia="Arial" w:hAnsi="Arial"/>
          <w:sz w:val="22"/>
          <w:szCs w:val="22"/>
          <w:color w:val="auto"/>
        </w:rPr>
        <w:t>Provided; however; the baseline to calculate adjusted EPS growth for Performance Year 2 shall be the greater of: (a) actual adjusted EPS for FY21; and (b) $0.05.</w:t>
      </w:r>
    </w:p>
    <w:p>
      <w:pPr>
        <w:spacing w:after="0" w:line="200" w:lineRule="exact"/>
        <w:rPr>
          <w:sz w:val="20"/>
          <w:szCs w:val="20"/>
          <w:color w:val="auto"/>
        </w:rPr>
      </w:pPr>
    </w:p>
    <w:p>
      <w:pPr>
        <w:jc w:val="both"/>
        <w:spacing w:after="0" w:line="336" w:lineRule="auto"/>
        <w:rPr>
          <w:sz w:val="20"/>
          <w:szCs w:val="20"/>
          <w:color w:val="auto"/>
        </w:rPr>
      </w:pPr>
      <w:r>
        <w:rPr>
          <w:rFonts w:ascii="Arial" w:cs="Arial" w:eastAsia="Arial" w:hAnsi="Arial"/>
          <w:sz w:val="19"/>
          <w:szCs w:val="19"/>
          <w:color w:val="auto"/>
        </w:rPr>
        <w:t>The number of Year 2 Revenue Shares and Year 2 EPS Shares eligible to vest shall be calculated by multiplying the number of Year 2 Revenue Shares or Year 2 EPS Shares, as applicable, by the Revenue Payout Percentage or EPS Payout Percentage, respectively, set forth in the table above for the applicable level of achievement. Each of the Revenue Payout Percentage and EPS Payout Percentage shall not be below 0% and shall not exceed 200%, and the Revenue Payout Percentage and EPS Payout Percentage for performance between the levels set forth in the table above shall be determined by straight-line interpolation between such levels. Therefore, subject to Section 3(d) of this Agreement, the total number of Year 2 Performance Shares eligible to vest (the “Year 2 Eligible Performance Shares”) shall be equal to:</w:t>
      </w:r>
    </w:p>
    <w:p>
      <w:pPr>
        <w:spacing w:after="0" w:line="181" w:lineRule="exact"/>
        <w:rPr>
          <w:sz w:val="20"/>
          <w:szCs w:val="20"/>
          <w:color w:val="auto"/>
        </w:rPr>
      </w:pPr>
    </w:p>
    <w:p>
      <w:pPr>
        <w:jc w:val="center"/>
        <w:spacing w:after="0" w:line="302" w:lineRule="auto"/>
        <w:rPr>
          <w:sz w:val="20"/>
          <w:szCs w:val="20"/>
          <w:color w:val="auto"/>
        </w:rPr>
      </w:pPr>
      <w:r>
        <w:rPr>
          <w:rFonts w:ascii="Arial" w:cs="Arial" w:eastAsia="Arial" w:hAnsi="Arial"/>
          <w:sz w:val="22"/>
          <w:szCs w:val="22"/>
          <w:color w:val="auto"/>
        </w:rPr>
        <w:t>Year 2 Eligible Performance Shares = (Year 2 Revenue Shares * Revenue Payout Percentage) + (Year 2 EPS Shares * EPS Payout Percentage).</w:t>
      </w:r>
    </w:p>
    <w:p>
      <w:pPr>
        <w:spacing w:after="0" w:line="200" w:lineRule="exact"/>
        <w:rPr>
          <w:sz w:val="20"/>
          <w:szCs w:val="20"/>
          <w:color w:val="auto"/>
        </w:rPr>
      </w:pPr>
    </w:p>
    <w:p>
      <w:pPr>
        <w:jc w:val="both"/>
        <w:ind w:firstLine="656"/>
        <w:spacing w:after="0" w:line="300" w:lineRule="auto"/>
        <w:tabs>
          <w:tab w:leader="none" w:pos="1293" w:val="left"/>
        </w:tabs>
        <w:numPr>
          <w:ilvl w:val="0"/>
          <w:numId w:val="40"/>
        </w:numPr>
        <w:rPr>
          <w:rFonts w:ascii="Arial" w:cs="Arial" w:eastAsia="Arial" w:hAnsi="Arial"/>
          <w:sz w:val="21"/>
          <w:szCs w:val="21"/>
          <w:color w:val="auto"/>
        </w:rPr>
      </w:pPr>
      <w:r>
        <w:rPr>
          <w:rFonts w:ascii="Arial" w:cs="Arial" w:eastAsia="Arial" w:hAnsi="Arial"/>
          <w:sz w:val="21"/>
          <w:szCs w:val="21"/>
          <w:i w:val="1"/>
          <w:iCs w:val="1"/>
          <w:color w:val="auto"/>
        </w:rPr>
        <w:t>Year 3 Performance Shares</w:t>
      </w:r>
      <w:r>
        <w:rPr>
          <w:rFonts w:ascii="Arial" w:cs="Arial" w:eastAsia="Arial" w:hAnsi="Arial"/>
          <w:sz w:val="21"/>
          <w:szCs w:val="21"/>
          <w:color w:val="auto"/>
        </w:rPr>
        <w:t>. Subject to Sections 3(d), 5, 6, 7(a) and 7(b) of this Agreement, one-third of the Target</w:t>
      </w:r>
      <w:r>
        <w:rPr>
          <w:rFonts w:ascii="Arial" w:cs="Arial" w:eastAsia="Arial" w:hAnsi="Arial"/>
          <w:sz w:val="21"/>
          <w:szCs w:val="21"/>
          <w:i w:val="1"/>
          <w:iCs w:val="1"/>
          <w:color w:val="auto"/>
        </w:rPr>
        <w:t xml:space="preserve"> </w:t>
      </w:r>
      <w:r>
        <w:rPr>
          <w:rFonts w:ascii="Arial" w:cs="Arial" w:eastAsia="Arial" w:hAnsi="Arial"/>
          <w:sz w:val="21"/>
          <w:szCs w:val="21"/>
          <w:color w:val="auto"/>
        </w:rPr>
        <w:t>Amount (or [1/3 OF TARGET AMOUNT] Performance Shares) will be eligible to vest based on achievement of the performance targets set forth in the table below for Performance Year 3 (June 1, 2022 through May 31, 2023) (the “Year 3 Performance Shares”). One-half of the Year 3 Performance Shares shall be eligible to vest based on the Company’s Worldwide Revenue Growth achieved for Performance Year 3 (the “Year 3 Revenue Shares”), and one-half of the Year 3 Performance Shares shall be eligible to vest based on the Company’s Worldwide Adjusted EPS achieved for Performance Year 3 (the “Year 3 EPS Shares”), each in accordance with the following table: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4</w:t>
      </w:r>
    </w:p>
    <w:p>
      <w:pPr>
        <w:sectPr>
          <w:pgSz w:w="11900" w:h="16838" w:orient="portrait"/>
          <w:cols w:equalWidth="0" w:num="1">
            <w:col w:w="11240"/>
          </w:cols>
          <w:pgMar w:left="320" w:top="1440" w:right="339" w:bottom="1440" w:gutter="0" w:footer="0" w:header="0"/>
        </w:sectPr>
      </w:pPr>
    </w:p>
    <w:bookmarkStart w:id="45" w:name="page46"/>
    <w:bookmarkEnd w:id="45"/>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1913890</wp:posOffset>
            </wp:positionH>
            <wp:positionV relativeFrom="page">
              <wp:posOffset>1066165</wp:posOffset>
            </wp:positionV>
            <wp:extent cx="3728720" cy="34461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1">
                      <a:clrChange>
                        <a:clrFrom>
                          <a:srgbClr val="FFFFFF"/>
                        </a:clrFrom>
                        <a:clrTo>
                          <a:srgbClr val="FFFFFF">
                            <a:alpha val="0"/>
                          </a:srgbClr>
                        </a:clrTo>
                      </a:clrChange>
                      <a:extLst>
                        <a:ext uri="{28A0092B-C50C-407E-A947-70E740481C1C}"/>
                      </a:extLst>
                    </a:blip>
                    <a:srcRect/>
                    <a:stretch>
                      <a:fillRect/>
                    </a:stretch>
                  </pic:blipFill>
                  <pic:spPr bwMode="auto">
                    <a:xfrm>
                      <a:off x="0" y="0"/>
                      <a:ext cx="3728720" cy="3446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jc w:val="both"/>
        <w:ind w:right="20"/>
        <w:spacing w:after="0" w:line="302" w:lineRule="auto"/>
        <w:rPr>
          <w:sz w:val="20"/>
          <w:szCs w:val="20"/>
          <w:color w:val="auto"/>
        </w:rPr>
      </w:pPr>
      <w:r>
        <w:rPr>
          <w:rFonts w:ascii="Arial" w:cs="Arial" w:eastAsia="Arial" w:hAnsi="Arial"/>
          <w:sz w:val="22"/>
          <w:szCs w:val="22"/>
          <w:color w:val="auto"/>
        </w:rPr>
        <w:t>Provided; however; the baseline to calculate adjusted EPS growth for Performance Year 3 shall be the greater of: (a) actual adjusted EPS for FY22; and (b) $0.10.</w:t>
      </w:r>
    </w:p>
    <w:p>
      <w:pPr>
        <w:spacing w:after="0" w:line="200" w:lineRule="exact"/>
        <w:rPr>
          <w:sz w:val="20"/>
          <w:szCs w:val="20"/>
          <w:color w:val="auto"/>
        </w:rPr>
      </w:pPr>
    </w:p>
    <w:p>
      <w:pPr>
        <w:jc w:val="both"/>
        <w:spacing w:after="0" w:line="336" w:lineRule="auto"/>
        <w:rPr>
          <w:sz w:val="20"/>
          <w:szCs w:val="20"/>
          <w:color w:val="auto"/>
        </w:rPr>
      </w:pPr>
      <w:r>
        <w:rPr>
          <w:rFonts w:ascii="Arial" w:cs="Arial" w:eastAsia="Arial" w:hAnsi="Arial"/>
          <w:sz w:val="19"/>
          <w:szCs w:val="19"/>
          <w:color w:val="auto"/>
        </w:rPr>
        <w:t>The number of Year 3 Revenue Shares and Year 3 EPS Shares eligible to vest shall be calculated by multiplying the number of Year 3 Revenue Shares or Year 3 EPS Shares, as applicable, by the Revenue Payout Percentage or EPS Payout Percentage, respectively, set forth in the table above for the applicable level of achievement. Each of the Revenue Payout Percentage and EPS Payout Percentage shall not be below 0% and shall not exceed 200%, and the Revenue Payout Percentage and EPS Payout Percentage for performance between the levels set forth in the table above shall be determined by straight-line interpolation between such levels. Therefore, subject to Section 3(d) of this Agreement, the total number of Year 3 Performance Shares eligible to vest (the “Year 3 Eligible Performance Shares”) shall be equal to:</w:t>
      </w:r>
    </w:p>
    <w:p>
      <w:pPr>
        <w:spacing w:after="0" w:line="181" w:lineRule="exact"/>
        <w:rPr>
          <w:sz w:val="20"/>
          <w:szCs w:val="20"/>
          <w:color w:val="auto"/>
        </w:rPr>
      </w:pPr>
    </w:p>
    <w:p>
      <w:pPr>
        <w:jc w:val="center"/>
        <w:spacing w:after="0" w:line="302" w:lineRule="auto"/>
        <w:rPr>
          <w:sz w:val="20"/>
          <w:szCs w:val="20"/>
          <w:color w:val="auto"/>
        </w:rPr>
      </w:pPr>
      <w:r>
        <w:rPr>
          <w:rFonts w:ascii="Arial" w:cs="Arial" w:eastAsia="Arial" w:hAnsi="Arial"/>
          <w:sz w:val="22"/>
          <w:szCs w:val="22"/>
          <w:color w:val="auto"/>
        </w:rPr>
        <w:t>Year 3 Eligible Performance Shares = (Year 3 Revenue Shares * Revenue Payout Percentage) + (Year 3 EPS Shares * EPS Payout Percentage).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5</w:t>
      </w:r>
    </w:p>
    <w:p>
      <w:pPr>
        <w:sectPr>
          <w:pgSz w:w="11900" w:h="16838" w:orient="portrait"/>
          <w:cols w:equalWidth="0" w:num="1">
            <w:col w:w="11240"/>
          </w:cols>
          <w:pgMar w:left="320" w:top="1440" w:right="339" w:bottom="1440" w:gutter="0" w:footer="0" w:header="0"/>
        </w:sectPr>
      </w:pPr>
    </w:p>
    <w:bookmarkStart w:id="46" w:name="page47"/>
    <w:bookmarkEnd w:id="46"/>
    <w:p>
      <w:pPr>
        <w:spacing w:after="0" w:line="245" w:lineRule="exact"/>
        <w:rPr>
          <w:sz w:val="20"/>
          <w:szCs w:val="20"/>
          <w:color w:val="auto"/>
        </w:rPr>
      </w:pPr>
    </w:p>
    <w:p>
      <w:pPr>
        <w:jc w:val="both"/>
        <w:ind w:firstLine="656"/>
        <w:spacing w:after="0" w:line="311" w:lineRule="auto"/>
        <w:tabs>
          <w:tab w:leader="none" w:pos="1291" w:val="left"/>
        </w:tabs>
        <w:numPr>
          <w:ilvl w:val="0"/>
          <w:numId w:val="41"/>
        </w:numPr>
        <w:rPr>
          <w:rFonts w:ascii="Arial" w:cs="Arial" w:eastAsia="Arial" w:hAnsi="Arial"/>
          <w:sz w:val="21"/>
          <w:szCs w:val="21"/>
          <w:color w:val="auto"/>
        </w:rPr>
      </w:pPr>
      <w:r>
        <w:rPr>
          <w:rFonts w:ascii="Arial" w:cs="Arial" w:eastAsia="Arial" w:hAnsi="Arial"/>
          <w:sz w:val="21"/>
          <w:szCs w:val="21"/>
          <w:i w:val="1"/>
          <w:iCs w:val="1"/>
          <w:color w:val="auto"/>
        </w:rPr>
        <w:t>TSR Modifier; Total Performance Shares Eligible to Vest</w:t>
      </w:r>
      <w:r>
        <w:rPr>
          <w:rFonts w:ascii="Arial" w:cs="Arial" w:eastAsia="Arial" w:hAnsi="Arial"/>
          <w:sz w:val="21"/>
          <w:szCs w:val="21"/>
          <w:color w:val="auto"/>
        </w:rPr>
        <w:t>. Notwithstanding the performance criteria set forth in</w:t>
      </w:r>
      <w:r>
        <w:rPr>
          <w:rFonts w:ascii="Arial" w:cs="Arial" w:eastAsia="Arial" w:hAnsi="Arial"/>
          <w:sz w:val="21"/>
          <w:szCs w:val="21"/>
          <w:i w:val="1"/>
          <w:iCs w:val="1"/>
          <w:color w:val="auto"/>
        </w:rPr>
        <w:t xml:space="preserve"> </w:t>
      </w:r>
      <w:r>
        <w:rPr>
          <w:rFonts w:ascii="Arial" w:cs="Arial" w:eastAsia="Arial" w:hAnsi="Arial"/>
          <w:sz w:val="21"/>
          <w:szCs w:val="21"/>
          <w:color w:val="auto"/>
        </w:rPr>
        <w:t>Sections 3(a) through (c) above, the vesting of the Performance Shares is further subject to achievement of the following Relative TSR performance goal over the Performance Period, as calculated in accordance with Appendix A:</w:t>
      </w:r>
    </w:p>
    <w:p>
      <w:pPr>
        <w:spacing w:after="0" w:line="200" w:lineRule="exact"/>
        <w:rPr>
          <w:sz w:val="20"/>
          <w:szCs w:val="20"/>
          <w:color w:val="auto"/>
        </w:rPr>
      </w:pP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338"/>
        </w:trPr>
        <w:tc>
          <w:tcPr>
            <w:tcW w:w="7500" w:type="dxa"/>
            <w:vAlign w:val="bottom"/>
            <w:tcBorders>
              <w:bottom w:val="single" w:sz="8" w:color="D9D9D9"/>
            </w:tcBorders>
            <w:shd w:val="clear" w:color="auto" w:fill="D9D9D9"/>
          </w:tcPr>
          <w:p>
            <w:pPr>
              <w:ind w:left="20"/>
              <w:spacing w:after="0"/>
              <w:rPr>
                <w:sz w:val="20"/>
                <w:szCs w:val="20"/>
                <w:color w:val="auto"/>
              </w:rPr>
            </w:pPr>
            <w:r>
              <w:rPr>
                <w:rFonts w:ascii="Arial" w:cs="Arial" w:eastAsia="Arial" w:hAnsi="Arial"/>
                <w:sz w:val="22"/>
                <w:szCs w:val="22"/>
                <w:b w:val="1"/>
                <w:bCs w:val="1"/>
                <w:color w:val="auto"/>
              </w:rPr>
              <w:t>Relative TSR</w:t>
            </w:r>
          </w:p>
        </w:tc>
        <w:tc>
          <w:tcPr>
            <w:tcW w:w="2740" w:type="dxa"/>
            <w:vAlign w:val="bottom"/>
            <w:tcBorders>
              <w:bottom w:val="single" w:sz="8" w:color="D9D9D9"/>
            </w:tcBorders>
            <w:shd w:val="clear" w:color="auto" w:fill="D9D9D9"/>
          </w:tcPr>
          <w:p>
            <w:pPr>
              <w:jc w:val="center"/>
              <w:spacing w:after="0"/>
              <w:rPr>
                <w:sz w:val="20"/>
                <w:szCs w:val="20"/>
                <w:color w:val="auto"/>
              </w:rPr>
            </w:pPr>
            <w:r>
              <w:rPr>
                <w:rFonts w:ascii="Arial" w:cs="Arial" w:eastAsia="Arial" w:hAnsi="Arial"/>
                <w:sz w:val="22"/>
                <w:szCs w:val="22"/>
                <w:b w:val="1"/>
                <w:bCs w:val="1"/>
                <w:color w:val="auto"/>
                <w:w w:val="95"/>
              </w:rPr>
              <w:t>TSR Multiplier</w:t>
            </w:r>
          </w:p>
        </w:tc>
      </w:tr>
      <w:tr>
        <w:trPr>
          <w:trHeight w:val="372"/>
        </w:trPr>
        <w:tc>
          <w:tcPr>
            <w:tcW w:w="7500" w:type="dxa"/>
            <w:vAlign w:val="bottom"/>
          </w:tcPr>
          <w:p>
            <w:pPr>
              <w:ind w:left="20"/>
              <w:spacing w:after="0"/>
              <w:rPr>
                <w:sz w:val="20"/>
                <w:szCs w:val="20"/>
                <w:color w:val="auto"/>
              </w:rPr>
            </w:pPr>
            <w:r>
              <w:rPr>
                <w:rFonts w:ascii="Arial" w:cs="Arial" w:eastAsia="Arial" w:hAnsi="Arial"/>
                <w:sz w:val="22"/>
                <w:szCs w:val="22"/>
                <w:color w:val="auto"/>
              </w:rPr>
              <w:t>75</w:t>
            </w:r>
            <w:r>
              <w:rPr>
                <w:rFonts w:ascii="Arial" w:cs="Arial" w:eastAsia="Arial" w:hAnsi="Arial"/>
                <w:sz w:val="28"/>
                <w:szCs w:val="28"/>
                <w:color w:val="auto"/>
                <w:vertAlign w:val="superscript"/>
              </w:rPr>
              <w:t>th</w:t>
            </w:r>
            <w:r>
              <w:rPr>
                <w:rFonts w:ascii="Arial" w:cs="Arial" w:eastAsia="Arial" w:hAnsi="Arial"/>
                <w:sz w:val="22"/>
                <w:szCs w:val="22"/>
                <w:color w:val="auto"/>
              </w:rPr>
              <w:t xml:space="preserve"> Percentile or Above</w:t>
            </w:r>
          </w:p>
        </w:tc>
        <w:tc>
          <w:tcPr>
            <w:tcW w:w="2740" w:type="dxa"/>
            <w:vAlign w:val="bottom"/>
            <w:tcBorders>
              <w:top w:val="single" w:sz="8" w:color="auto"/>
            </w:tcBorders>
          </w:tcPr>
          <w:p>
            <w:pPr>
              <w:jc w:val="center"/>
              <w:spacing w:after="0"/>
              <w:rPr>
                <w:sz w:val="20"/>
                <w:szCs w:val="20"/>
                <w:color w:val="auto"/>
              </w:rPr>
            </w:pPr>
            <w:r>
              <w:rPr>
                <w:rFonts w:ascii="Arial" w:cs="Arial" w:eastAsia="Arial" w:hAnsi="Arial"/>
                <w:sz w:val="22"/>
                <w:szCs w:val="22"/>
                <w:color w:val="auto"/>
                <w:w w:val="84"/>
              </w:rPr>
              <w:t>1.2</w:t>
            </w:r>
          </w:p>
        </w:tc>
      </w:tr>
      <w:tr>
        <w:trPr>
          <w:trHeight w:val="621"/>
        </w:trPr>
        <w:tc>
          <w:tcPr>
            <w:tcW w:w="7500" w:type="dxa"/>
            <w:vAlign w:val="bottom"/>
          </w:tcPr>
          <w:p>
            <w:pPr>
              <w:ind w:left="20"/>
              <w:spacing w:after="0"/>
              <w:rPr>
                <w:sz w:val="20"/>
                <w:szCs w:val="20"/>
                <w:color w:val="auto"/>
              </w:rPr>
            </w:pPr>
            <w:r>
              <w:rPr>
                <w:rFonts w:ascii="Arial" w:cs="Arial" w:eastAsia="Arial" w:hAnsi="Arial"/>
                <w:sz w:val="22"/>
                <w:szCs w:val="22"/>
                <w:color w:val="auto"/>
              </w:rPr>
              <w:t>50</w:t>
            </w:r>
            <w:r>
              <w:rPr>
                <w:rFonts w:ascii="Arial" w:cs="Arial" w:eastAsia="Arial" w:hAnsi="Arial"/>
                <w:sz w:val="28"/>
                <w:szCs w:val="28"/>
                <w:color w:val="auto"/>
                <w:vertAlign w:val="superscript"/>
              </w:rPr>
              <w:t>th</w:t>
            </w:r>
            <w:r>
              <w:rPr>
                <w:rFonts w:ascii="Arial" w:cs="Arial" w:eastAsia="Arial" w:hAnsi="Arial"/>
                <w:sz w:val="22"/>
                <w:szCs w:val="22"/>
                <w:color w:val="auto"/>
              </w:rPr>
              <w:t xml:space="preserve"> Percentile</w:t>
            </w:r>
          </w:p>
        </w:tc>
        <w:tc>
          <w:tcPr>
            <w:tcW w:w="2740" w:type="dxa"/>
            <w:vAlign w:val="bottom"/>
          </w:tcPr>
          <w:p>
            <w:pPr>
              <w:jc w:val="center"/>
              <w:spacing w:after="0"/>
              <w:rPr>
                <w:sz w:val="20"/>
                <w:szCs w:val="20"/>
                <w:color w:val="auto"/>
              </w:rPr>
            </w:pPr>
            <w:r>
              <w:rPr>
                <w:rFonts w:ascii="Arial" w:cs="Arial" w:eastAsia="Arial" w:hAnsi="Arial"/>
                <w:sz w:val="22"/>
                <w:szCs w:val="22"/>
                <w:color w:val="auto"/>
                <w:w w:val="84"/>
              </w:rPr>
              <w:t>1.0</w:t>
            </w:r>
          </w:p>
        </w:tc>
      </w:tr>
      <w:tr>
        <w:trPr>
          <w:trHeight w:val="608"/>
        </w:trPr>
        <w:tc>
          <w:tcPr>
            <w:tcW w:w="7500" w:type="dxa"/>
            <w:vAlign w:val="bottom"/>
          </w:tcPr>
          <w:p>
            <w:pPr>
              <w:ind w:left="20"/>
              <w:spacing w:after="0"/>
              <w:rPr>
                <w:sz w:val="20"/>
                <w:szCs w:val="20"/>
                <w:color w:val="auto"/>
              </w:rPr>
            </w:pPr>
            <w:r>
              <w:rPr>
                <w:rFonts w:ascii="Arial" w:cs="Arial" w:eastAsia="Arial" w:hAnsi="Arial"/>
                <w:sz w:val="22"/>
                <w:szCs w:val="22"/>
                <w:color w:val="auto"/>
              </w:rPr>
              <w:t>25</w:t>
            </w:r>
            <w:r>
              <w:rPr>
                <w:rFonts w:ascii="Arial" w:cs="Arial" w:eastAsia="Arial" w:hAnsi="Arial"/>
                <w:sz w:val="28"/>
                <w:szCs w:val="28"/>
                <w:color w:val="auto"/>
                <w:vertAlign w:val="superscript"/>
              </w:rPr>
              <w:t>th</w:t>
            </w:r>
            <w:r>
              <w:rPr>
                <w:rFonts w:ascii="Arial" w:cs="Arial" w:eastAsia="Arial" w:hAnsi="Arial"/>
                <w:sz w:val="22"/>
                <w:szCs w:val="22"/>
                <w:color w:val="auto"/>
              </w:rPr>
              <w:t xml:space="preserve"> Percentile or Below</w:t>
            </w:r>
          </w:p>
        </w:tc>
        <w:tc>
          <w:tcPr>
            <w:tcW w:w="2740" w:type="dxa"/>
            <w:vAlign w:val="bottom"/>
          </w:tcPr>
          <w:p>
            <w:pPr>
              <w:jc w:val="center"/>
              <w:spacing w:after="0"/>
              <w:rPr>
                <w:sz w:val="20"/>
                <w:szCs w:val="20"/>
                <w:color w:val="auto"/>
              </w:rPr>
            </w:pPr>
            <w:r>
              <w:rPr>
                <w:rFonts w:ascii="Arial" w:cs="Arial" w:eastAsia="Arial" w:hAnsi="Arial"/>
                <w:sz w:val="22"/>
                <w:szCs w:val="22"/>
                <w:color w:val="auto"/>
                <w:w w:val="84"/>
              </w:rPr>
              <w:t>0.8</w:t>
            </w:r>
          </w:p>
        </w:tc>
      </w:tr>
    </w:tbl>
    <w:p>
      <w:pPr>
        <w:spacing w:after="0" w:line="302" w:lineRule="exact"/>
        <w:rPr>
          <w:sz w:val="20"/>
          <w:szCs w:val="20"/>
          <w:color w:val="auto"/>
        </w:rPr>
      </w:pPr>
    </w:p>
    <w:p>
      <w:pPr>
        <w:spacing w:after="0" w:line="302" w:lineRule="auto"/>
        <w:rPr>
          <w:sz w:val="20"/>
          <w:szCs w:val="20"/>
          <w:color w:val="auto"/>
        </w:rPr>
      </w:pPr>
      <w:r>
        <w:rPr>
          <w:rFonts w:ascii="Arial" w:cs="Arial" w:eastAsia="Arial" w:hAnsi="Arial"/>
          <w:sz w:val="22"/>
          <w:szCs w:val="22"/>
          <w:color w:val="auto"/>
        </w:rPr>
        <w:t>The TSR Multiplier shall not be below 0.8 and shall not exceed 1.2, and shall be determined by straight-line interpolation for Relative TSR performance in between the levels set forth in the table above.</w:t>
      </w:r>
    </w:p>
    <w:p>
      <w:pPr>
        <w:spacing w:after="0" w:line="200" w:lineRule="exact"/>
        <w:rPr>
          <w:sz w:val="20"/>
          <w:szCs w:val="20"/>
          <w:color w:val="auto"/>
        </w:rPr>
      </w:pPr>
    </w:p>
    <w:p>
      <w:pPr>
        <w:spacing w:after="0"/>
        <w:rPr>
          <w:sz w:val="20"/>
          <w:szCs w:val="20"/>
          <w:color w:val="auto"/>
        </w:rPr>
      </w:pPr>
      <w:r>
        <w:rPr>
          <w:rFonts w:ascii="Arial" w:cs="Arial" w:eastAsia="Arial" w:hAnsi="Arial"/>
          <w:sz w:val="19"/>
          <w:szCs w:val="19"/>
          <w:color w:val="auto"/>
        </w:rPr>
        <w:t>The total number of Performance Shares eligible to vest in accordance with Sections 5 through 7 of this Agreement (the “Total</w:t>
      </w:r>
    </w:p>
    <w:p>
      <w:pPr>
        <w:spacing w:after="0" w:line="79" w:lineRule="exact"/>
        <w:rPr>
          <w:sz w:val="20"/>
          <w:szCs w:val="20"/>
          <w:color w:val="auto"/>
        </w:rPr>
      </w:pPr>
    </w:p>
    <w:p>
      <w:pPr>
        <w:spacing w:after="0"/>
        <w:rPr>
          <w:sz w:val="20"/>
          <w:szCs w:val="20"/>
          <w:color w:val="auto"/>
        </w:rPr>
      </w:pPr>
      <w:r>
        <w:rPr>
          <w:rFonts w:ascii="Arial" w:cs="Arial" w:eastAsia="Arial" w:hAnsi="Arial"/>
          <w:sz w:val="22"/>
          <w:szCs w:val="22"/>
          <w:color w:val="auto"/>
        </w:rPr>
        <w:t>Eligible Performance Shares”) shall be equal to:</w:t>
      </w:r>
    </w:p>
    <w:p>
      <w:pPr>
        <w:spacing w:after="0" w:line="287"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Total Eligible Performance Shares = TSR Multiplier * (Year 1 Eligible Performance Shares + Year 2 Eligible Performance Shares</w:t>
      </w:r>
    </w:p>
    <w:p>
      <w:pPr>
        <w:spacing w:after="0" w:line="79" w:lineRule="exact"/>
        <w:rPr>
          <w:sz w:val="20"/>
          <w:szCs w:val="20"/>
          <w:color w:val="auto"/>
        </w:rPr>
      </w:pPr>
    </w:p>
    <w:p>
      <w:pPr>
        <w:ind w:left="4100" w:hanging="169"/>
        <w:spacing w:after="0"/>
        <w:tabs>
          <w:tab w:leader="none" w:pos="4100" w:val="left"/>
        </w:tabs>
        <w:numPr>
          <w:ilvl w:val="1"/>
          <w:numId w:val="42"/>
        </w:numPr>
        <w:rPr>
          <w:rFonts w:ascii="Arial" w:cs="Arial" w:eastAsia="Arial" w:hAnsi="Arial"/>
          <w:sz w:val="22"/>
          <w:szCs w:val="22"/>
          <w:color w:val="auto"/>
        </w:rPr>
      </w:pPr>
      <w:r>
        <w:rPr>
          <w:rFonts w:ascii="Arial" w:cs="Arial" w:eastAsia="Arial" w:hAnsi="Arial"/>
          <w:sz w:val="22"/>
          <w:szCs w:val="22"/>
          <w:color w:val="auto"/>
        </w:rPr>
        <w:t>Year 3 Eligible Performance Shares).</w:t>
      </w:r>
    </w:p>
    <w:p>
      <w:pPr>
        <w:spacing w:after="0" w:line="287" w:lineRule="exact"/>
        <w:rPr>
          <w:rFonts w:ascii="Arial" w:cs="Arial" w:eastAsia="Arial" w:hAnsi="Arial"/>
          <w:sz w:val="22"/>
          <w:szCs w:val="22"/>
          <w:color w:val="auto"/>
        </w:rPr>
      </w:pPr>
    </w:p>
    <w:p>
      <w:pPr>
        <w:jc w:val="both"/>
        <w:ind w:firstLine="656"/>
        <w:spacing w:after="0" w:line="338" w:lineRule="auto"/>
        <w:tabs>
          <w:tab w:leader="none" w:pos="1293" w:val="left"/>
        </w:tabs>
        <w:numPr>
          <w:ilvl w:val="0"/>
          <w:numId w:val="42"/>
        </w:numPr>
        <w:rPr>
          <w:rFonts w:ascii="Arial" w:cs="Arial" w:eastAsia="Arial" w:hAnsi="Arial"/>
          <w:sz w:val="19"/>
          <w:szCs w:val="19"/>
          <w:color w:val="auto"/>
        </w:rPr>
      </w:pPr>
      <w:r>
        <w:rPr>
          <w:rFonts w:ascii="Arial" w:cs="Arial" w:eastAsia="Arial" w:hAnsi="Arial"/>
          <w:sz w:val="19"/>
          <w:szCs w:val="19"/>
          <w:i w:val="1"/>
          <w:iCs w:val="1"/>
          <w:color w:val="auto"/>
        </w:rPr>
        <w:t>Forfeiture Upon Failure to Satisfy Performance Conditions; Clawback</w:t>
      </w:r>
      <w:r>
        <w:rPr>
          <w:rFonts w:ascii="Arial" w:cs="Arial" w:eastAsia="Arial" w:hAnsi="Arial"/>
          <w:sz w:val="19"/>
          <w:szCs w:val="19"/>
          <w:color w:val="auto"/>
        </w:rPr>
        <w:t>. For the avoidance of doubt, any</w:t>
      </w:r>
      <w:r>
        <w:rPr>
          <w:rFonts w:ascii="Arial" w:cs="Arial" w:eastAsia="Arial" w:hAnsi="Arial"/>
          <w:sz w:val="19"/>
          <w:szCs w:val="19"/>
          <w:i w:val="1"/>
          <w:iCs w:val="1"/>
          <w:color w:val="auto"/>
        </w:rPr>
        <w:t xml:space="preserve"> </w:t>
      </w:r>
      <w:r>
        <w:rPr>
          <w:rFonts w:ascii="Arial" w:cs="Arial" w:eastAsia="Arial" w:hAnsi="Arial"/>
          <w:sz w:val="19"/>
          <w:szCs w:val="19"/>
          <w:color w:val="auto"/>
        </w:rPr>
        <w:t>Performance Shares for which the applicable performance conditions are not satisfied in accordance with this Section 3 shall be automatically forfeited by the Participant without consideration at the end of the Performance Period (or, if earlier, the date of termination in the circumstances described in Section 6). Without limitation of Section 13(j) of the Plan, the Performance Shares and any Common Stock that may be issued with respect to the Performance Shares shall be subject to any recovery, recoupment, clawback, and/or other forfeiture policy maintained by the Company or its Subsidiaries or Affiliates from time to time.</w:t>
      </w:r>
    </w:p>
    <w:p>
      <w:pPr>
        <w:spacing w:after="0" w:line="178" w:lineRule="exact"/>
        <w:rPr>
          <w:rFonts w:ascii="Arial" w:cs="Arial" w:eastAsia="Arial" w:hAnsi="Arial"/>
          <w:sz w:val="19"/>
          <w:szCs w:val="19"/>
          <w:color w:val="auto"/>
        </w:rPr>
      </w:pPr>
    </w:p>
    <w:p>
      <w:pPr>
        <w:jc w:val="both"/>
        <w:ind w:firstLine="656"/>
        <w:spacing w:after="0" w:line="286" w:lineRule="auto"/>
        <w:tabs>
          <w:tab w:leader="none" w:pos="1296" w:val="left"/>
        </w:tabs>
        <w:numPr>
          <w:ilvl w:val="0"/>
          <w:numId w:val="42"/>
        </w:numPr>
        <w:rPr>
          <w:rFonts w:ascii="Arial" w:cs="Arial" w:eastAsia="Arial" w:hAnsi="Arial"/>
          <w:sz w:val="22"/>
          <w:szCs w:val="22"/>
          <w:color w:val="auto"/>
        </w:rPr>
      </w:pPr>
      <w:r>
        <w:rPr>
          <w:rFonts w:ascii="Arial" w:cs="Arial" w:eastAsia="Arial" w:hAnsi="Arial"/>
          <w:sz w:val="22"/>
          <w:szCs w:val="22"/>
          <w:i w:val="1"/>
          <w:iCs w:val="1"/>
          <w:color w:val="auto"/>
        </w:rPr>
        <w:t>Board Determinations Binding; Adjustments to Performance Goals</w:t>
      </w:r>
      <w:r>
        <w:rPr>
          <w:rFonts w:ascii="Arial" w:cs="Arial" w:eastAsia="Arial" w:hAnsi="Arial"/>
          <w:sz w:val="22"/>
          <w:szCs w:val="22"/>
          <w:color w:val="auto"/>
        </w:rPr>
        <w:t>. Without limitation of Section 12(b) of the</w:t>
      </w:r>
      <w:r>
        <w:rPr>
          <w:rFonts w:ascii="Arial" w:cs="Arial" w:eastAsia="Arial" w:hAnsi="Arial"/>
          <w:sz w:val="22"/>
          <w:szCs w:val="22"/>
          <w:i w:val="1"/>
          <w:iCs w:val="1"/>
          <w:color w:val="auto"/>
        </w:rPr>
        <w:t xml:space="preserve"> </w:t>
      </w:r>
      <w:r>
        <w:rPr>
          <w:rFonts w:ascii="Arial" w:cs="Arial" w:eastAsia="Arial" w:hAnsi="Arial"/>
          <w:sz w:val="22"/>
          <w:szCs w:val="22"/>
          <w:color w:val="auto"/>
        </w:rPr>
        <w:t>Plan, all determinations and interpretations of the terms of this Agreement and the Plan (including, without limitation, all calculations regarding the determination of the level of achievement of any of the performance targets set forth herein) shall be made by the Board (or the Committee, as applicable) in its sole discretion, and shall be final, binding, and conclusive on the Company, its Subsidiaries and Affiliates, and the Participant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6</w:t>
      </w:r>
    </w:p>
    <w:p>
      <w:pPr>
        <w:sectPr>
          <w:pgSz w:w="11900" w:h="16838" w:orient="portrait"/>
          <w:cols w:equalWidth="0" w:num="1">
            <w:col w:w="11240"/>
          </w:cols>
          <w:pgMar w:left="320" w:top="1440" w:right="339" w:bottom="1440" w:gutter="0" w:footer="0" w:header="0"/>
        </w:sectPr>
      </w:pPr>
    </w:p>
    <w:bookmarkStart w:id="47" w:name="page48"/>
    <w:bookmarkEnd w:id="47"/>
    <w:p>
      <w:pPr>
        <w:spacing w:after="0" w:line="2" w:lineRule="exact"/>
        <w:rPr>
          <w:sz w:val="20"/>
          <w:szCs w:val="20"/>
          <w:color w:val="auto"/>
        </w:rPr>
      </w:pPr>
    </w:p>
    <w:p>
      <w:pPr>
        <w:jc w:val="both"/>
        <w:spacing w:after="0" w:line="299" w:lineRule="auto"/>
        <w:rPr>
          <w:sz w:val="20"/>
          <w:szCs w:val="20"/>
          <w:color w:val="auto"/>
        </w:rPr>
      </w:pPr>
      <w:r>
        <w:rPr>
          <w:rFonts w:ascii="Arial" w:cs="Arial" w:eastAsia="Arial" w:hAnsi="Arial"/>
          <w:sz w:val="21"/>
          <w:szCs w:val="21"/>
          <w:color w:val="auto"/>
        </w:rPr>
        <w:t>each of their successors and assigns). Notwithstanding anything to the contrary set forth in this Agreement, the Board (or the Committee, as applicable) may modify the performance goals described in this Section 3 (including, without limitation, any of the definitions or formulas set forth on Appendix A) in any manner that the Board (or the Committee, as applicable) deems appropriate in its sole discretion to preserve the intended benefits of this Agreement, in each case to account for the impact of events that the Board (or the Committee, as applicable) deems appropriate, including, but not limited to, mergers, acquisitions, divestitures, licensing arrangements, accounting changes, currency fluctuations, financing activities, expenses for restructuring, and other extraordinary items, whether with respect to the Company, any member of the Peer Group, or otherwise. For the avoidance of doubt, the Performance Shares granted hereunder are not intended to constitute “Performance-Based Compensation” as defined in the Plan.</w:t>
      </w:r>
    </w:p>
    <w:p>
      <w:pPr>
        <w:spacing w:after="0" w:line="141" w:lineRule="exact"/>
        <w:rPr>
          <w:sz w:val="20"/>
          <w:szCs w:val="20"/>
          <w:color w:val="auto"/>
        </w:rPr>
      </w:pPr>
    </w:p>
    <w:p>
      <w:pPr>
        <w:jc w:val="both"/>
        <w:ind w:firstLine="656"/>
        <w:spacing w:after="0" w:line="303" w:lineRule="auto"/>
        <w:tabs>
          <w:tab w:leader="none" w:pos="864" w:val="left"/>
        </w:tabs>
        <w:numPr>
          <w:ilvl w:val="0"/>
          <w:numId w:val="43"/>
        </w:numPr>
        <w:rPr>
          <w:rFonts w:ascii="Arial" w:cs="Arial" w:eastAsia="Arial" w:hAnsi="Arial"/>
          <w:sz w:val="21"/>
          <w:szCs w:val="21"/>
          <w:color w:val="auto"/>
        </w:rPr>
      </w:pPr>
      <w:r>
        <w:rPr>
          <w:rFonts w:ascii="Arial" w:cs="Arial" w:eastAsia="Arial" w:hAnsi="Arial"/>
          <w:sz w:val="21"/>
          <w:szCs w:val="21"/>
          <w:u w:val="single" w:color="auto"/>
          <w:color w:val="auto"/>
        </w:rPr>
        <w:t>Participant’s Rights in Common Stock</w:t>
      </w:r>
      <w:r>
        <w:rPr>
          <w:rFonts w:ascii="Arial" w:cs="Arial" w:eastAsia="Arial" w:hAnsi="Arial"/>
          <w:sz w:val="21"/>
          <w:szCs w:val="21"/>
          <w:color w:val="auto"/>
        </w:rPr>
        <w:t>. The shares of Common Stock, if and when issued hereunder upon the vesting of any Performance Shares, shall be registered in the name of the Participant and evidenced in the manner as the Company may determine. During the period prior to the issuance of Common Stock, the Participant will have no rights of a stockholder of the Company with respect to the Common Stock underlying the Performance Shares, including no right to receive dividends or vote the shares of Common Stock underlying the Performance Shares.</w:t>
      </w:r>
    </w:p>
    <w:p>
      <w:pPr>
        <w:spacing w:after="0" w:line="203" w:lineRule="exact"/>
        <w:rPr>
          <w:rFonts w:ascii="Arial" w:cs="Arial" w:eastAsia="Arial" w:hAnsi="Arial"/>
          <w:sz w:val="21"/>
          <w:szCs w:val="21"/>
          <w:color w:val="auto"/>
        </w:rPr>
      </w:pPr>
    </w:p>
    <w:p>
      <w:pPr>
        <w:jc w:val="both"/>
        <w:ind w:firstLine="656"/>
        <w:spacing w:after="0" w:line="331" w:lineRule="auto"/>
        <w:tabs>
          <w:tab w:leader="none" w:pos="918" w:val="left"/>
        </w:tabs>
        <w:numPr>
          <w:ilvl w:val="0"/>
          <w:numId w:val="43"/>
        </w:numPr>
        <w:rPr>
          <w:rFonts w:ascii="Arial" w:cs="Arial" w:eastAsia="Arial" w:hAnsi="Arial"/>
          <w:sz w:val="19"/>
          <w:szCs w:val="19"/>
          <w:color w:val="auto"/>
        </w:rPr>
      </w:pPr>
      <w:r>
        <w:rPr>
          <w:rFonts w:ascii="Arial" w:cs="Arial" w:eastAsia="Arial" w:hAnsi="Arial"/>
          <w:sz w:val="19"/>
          <w:szCs w:val="19"/>
          <w:u w:val="single" w:color="auto"/>
          <w:color w:val="auto"/>
        </w:rPr>
        <w:t>Death; Retirement; Disability</w:t>
      </w:r>
      <w:r>
        <w:rPr>
          <w:rFonts w:ascii="Arial" w:cs="Arial" w:eastAsia="Arial" w:hAnsi="Arial"/>
          <w:sz w:val="19"/>
          <w:szCs w:val="19"/>
          <w:color w:val="auto"/>
        </w:rPr>
        <w:t>. In the event that the Participant’s employment with the Company or any of its Subsidiaries or Affiliates is terminated due to death, Retirement, or Disability, in each case on or after the Grant Date, but prior to the end of the Performance Period, the Performance Shares shall remain eligible to vest following the end date of the Performance Period; however, except as set forth in Section 7 of this Agreement, the Participant shall only be eligible to vest in a prorated portion of the Total Eligible Performance Shares calculated in accordance with Section 3 of this Agreement based on the Participant’s months of service (rounded to the nearest whole month) with the Company (or any of its Subsidiaries or Affiliates) during the Performance Period prior to the date of such termination. The Participant may, from time to time, name any beneficiary or beneficiaries (who may be named contingently or successively) to whom any benefit under this Agreement is to be paid in case of his or her death before he or she receives any or all such benefit. Each such designation shall revoke all prior designations by the Participant, shall be in a form prescribed by the Company, and will be effective only when filed by the Participant in writing with the Secretary of the Company during the Participant’s lifetime. In the absence of any such designation, benefits remaining unpaid at the Participant’s death shall be paid to the Participant’s estate.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7</w:t>
      </w:r>
    </w:p>
    <w:p>
      <w:pPr>
        <w:sectPr>
          <w:pgSz w:w="11900" w:h="16838" w:orient="portrait"/>
          <w:cols w:equalWidth="0" w:num="1">
            <w:col w:w="11240"/>
          </w:cols>
          <w:pgMar w:left="320" w:top="1440" w:right="339" w:bottom="1440" w:gutter="0" w:footer="0" w:header="0"/>
        </w:sectPr>
      </w:pPr>
    </w:p>
    <w:bookmarkStart w:id="48" w:name="page49"/>
    <w:bookmarkEnd w:id="48"/>
    <w:p>
      <w:pPr>
        <w:spacing w:after="0" w:line="2" w:lineRule="exact"/>
        <w:rPr>
          <w:sz w:val="20"/>
          <w:szCs w:val="20"/>
          <w:color w:val="auto"/>
        </w:rPr>
      </w:pPr>
    </w:p>
    <w:p>
      <w:pPr>
        <w:jc w:val="both"/>
        <w:ind w:firstLine="656"/>
        <w:spacing w:after="0" w:line="299" w:lineRule="auto"/>
        <w:tabs>
          <w:tab w:leader="none" w:pos="864" w:val="left"/>
        </w:tabs>
        <w:numPr>
          <w:ilvl w:val="0"/>
          <w:numId w:val="44"/>
        </w:numPr>
        <w:rPr>
          <w:rFonts w:ascii="Arial" w:cs="Arial" w:eastAsia="Arial" w:hAnsi="Arial"/>
          <w:sz w:val="21"/>
          <w:szCs w:val="21"/>
          <w:color w:val="auto"/>
        </w:rPr>
      </w:pPr>
      <w:r>
        <w:rPr>
          <w:rFonts w:ascii="Arial" w:cs="Arial" w:eastAsia="Arial" w:hAnsi="Arial"/>
          <w:sz w:val="21"/>
          <w:szCs w:val="21"/>
          <w:u w:val="single" w:color="auto"/>
          <w:color w:val="auto"/>
        </w:rPr>
        <w:t>Other Terminations of Employment -- Eligibility Conditions</w:t>
      </w:r>
      <w:r>
        <w:rPr>
          <w:rFonts w:ascii="Arial" w:cs="Arial" w:eastAsia="Arial" w:hAnsi="Arial"/>
          <w:sz w:val="21"/>
          <w:szCs w:val="21"/>
          <w:color w:val="auto"/>
        </w:rPr>
        <w:t>. Except as set forth in Sections 5 or 7, vesting in any of the Total Eligible Performance Shares is expressly conditioned upon the Participant’s continuous employment with the Company or any of its Subsidiaries or Affiliates through the last day of the Performance Period. If the Participant’s employment with the Company and its Subsidiaries or Affiliates is terminated or the Participant separates from the Company and its Subsidiaries or Affiliates for any reason other than death, Retirement, or Disability, in each case prior to the end of the Performance Period (and unless Section 7 applies), the Performance Shares shall immediately terminate for no consideration and no shares of Common Stock shall be issued in respect thereof, regardless of whether any of the performance conditions in Section 3 of this Agreement would have otherwise been satisfied.</w:t>
      </w:r>
    </w:p>
    <w:p>
      <w:pPr>
        <w:spacing w:after="0" w:line="212" w:lineRule="exact"/>
        <w:rPr>
          <w:rFonts w:ascii="Arial" w:cs="Arial" w:eastAsia="Arial" w:hAnsi="Arial"/>
          <w:sz w:val="21"/>
          <w:szCs w:val="21"/>
          <w:color w:val="auto"/>
        </w:rPr>
      </w:pPr>
    </w:p>
    <w:p>
      <w:pPr>
        <w:ind w:left="880" w:hanging="224"/>
        <w:spacing w:after="0"/>
        <w:tabs>
          <w:tab w:leader="none" w:pos="880" w:val="left"/>
        </w:tabs>
        <w:numPr>
          <w:ilvl w:val="0"/>
          <w:numId w:val="44"/>
        </w:numPr>
        <w:rPr>
          <w:rFonts w:ascii="Arial" w:cs="Arial" w:eastAsia="Arial" w:hAnsi="Arial"/>
          <w:sz w:val="22"/>
          <w:szCs w:val="22"/>
          <w:color w:val="auto"/>
        </w:rPr>
      </w:pPr>
      <w:r>
        <w:rPr>
          <w:rFonts w:ascii="Arial" w:cs="Arial" w:eastAsia="Arial" w:hAnsi="Arial"/>
          <w:sz w:val="22"/>
          <w:szCs w:val="22"/>
          <w:u w:val="single" w:color="auto"/>
          <w:color w:val="auto"/>
        </w:rPr>
        <w:t>Change in Control</w:t>
      </w:r>
      <w:r>
        <w:rPr>
          <w:rFonts w:ascii="Arial" w:cs="Arial" w:eastAsia="Arial" w:hAnsi="Arial"/>
          <w:sz w:val="22"/>
          <w:szCs w:val="22"/>
          <w:color w:val="auto"/>
        </w:rPr>
        <w:t>. Notwithstanding anything to the contrary in this Agreement:</w:t>
      </w:r>
    </w:p>
    <w:p>
      <w:pPr>
        <w:spacing w:after="0" w:line="287" w:lineRule="exact"/>
        <w:rPr>
          <w:sz w:val="20"/>
          <w:szCs w:val="20"/>
          <w:color w:val="auto"/>
        </w:rPr>
      </w:pPr>
    </w:p>
    <w:p>
      <w:pPr>
        <w:jc w:val="both"/>
        <w:ind w:firstLine="656"/>
        <w:spacing w:after="0" w:line="281" w:lineRule="auto"/>
        <w:tabs>
          <w:tab w:leader="none" w:pos="1156" w:val="left"/>
        </w:tabs>
        <w:numPr>
          <w:ilvl w:val="1"/>
          <w:numId w:val="45"/>
        </w:numPr>
        <w:rPr>
          <w:rFonts w:ascii="Arial" w:cs="Arial" w:eastAsia="Arial" w:hAnsi="Arial"/>
          <w:sz w:val="22"/>
          <w:szCs w:val="22"/>
          <w:color w:val="auto"/>
        </w:rPr>
      </w:pPr>
      <w:r>
        <w:rPr>
          <w:rFonts w:ascii="Arial" w:cs="Arial" w:eastAsia="Arial" w:hAnsi="Arial"/>
          <w:sz w:val="22"/>
          <w:szCs w:val="22"/>
          <w:color w:val="auto"/>
        </w:rPr>
        <w:t>in the event of a Change in Control on or after the Grant Date, but prior to the end of the Performance Period and prior to the Participant’s termination of employment with the Company or any Subsidiary or Affiliate for any reason, the Participant shall immediately vest in 100% of the Target Amount (regardless of the number of the Performance Shares that would have otherwise been eligible to vest pursuant to Section 3);</w:t>
      </w:r>
    </w:p>
    <w:p>
      <w:pPr>
        <w:spacing w:after="0" w:line="3" w:lineRule="exact"/>
        <w:rPr>
          <w:rFonts w:ascii="Arial" w:cs="Arial" w:eastAsia="Arial" w:hAnsi="Arial"/>
          <w:sz w:val="22"/>
          <w:szCs w:val="22"/>
          <w:color w:val="auto"/>
        </w:rPr>
      </w:pPr>
    </w:p>
    <w:p>
      <w:pPr>
        <w:jc w:val="both"/>
        <w:ind w:firstLine="656"/>
        <w:spacing w:after="0" w:line="286" w:lineRule="auto"/>
        <w:tabs>
          <w:tab w:leader="none" w:pos="1140" w:val="left"/>
        </w:tabs>
        <w:numPr>
          <w:ilvl w:val="1"/>
          <w:numId w:val="45"/>
        </w:numPr>
        <w:rPr>
          <w:rFonts w:ascii="Arial" w:cs="Arial" w:eastAsia="Arial" w:hAnsi="Arial"/>
          <w:sz w:val="22"/>
          <w:szCs w:val="22"/>
          <w:color w:val="auto"/>
        </w:rPr>
      </w:pPr>
      <w:r>
        <w:rPr>
          <w:rFonts w:ascii="Arial" w:cs="Arial" w:eastAsia="Arial" w:hAnsi="Arial"/>
          <w:sz w:val="22"/>
          <w:szCs w:val="22"/>
          <w:color w:val="auto"/>
        </w:rPr>
        <w:t>in the event the Participant’s employment with the Company or any Subsidiary or Affiliate terminates due to one of the reasons expressly covered by Section 5 of this Agreement and a Change in Control of the Company occurs subsequent to such a termination of employment (but during the Performance Period), the prorated vesting provided for in Section 5 shall be based on 100% of the Target Amount instead of on the Total Eligible Performance Shares calculated in accordance with Section 3 of this Agreement;</w:t>
      </w:r>
    </w:p>
    <w:p>
      <w:pPr>
        <w:spacing w:after="0" w:line="220" w:lineRule="exact"/>
        <w:rPr>
          <w:rFonts w:ascii="Arial" w:cs="Arial" w:eastAsia="Arial" w:hAnsi="Arial"/>
          <w:sz w:val="22"/>
          <w:szCs w:val="22"/>
          <w:color w:val="auto"/>
        </w:rPr>
      </w:pPr>
    </w:p>
    <w:p>
      <w:pPr>
        <w:ind w:left="1140" w:hanging="484"/>
        <w:spacing w:after="0"/>
        <w:tabs>
          <w:tab w:leader="none" w:pos="1140" w:val="left"/>
        </w:tabs>
        <w:numPr>
          <w:ilvl w:val="1"/>
          <w:numId w:val="45"/>
        </w:numPr>
        <w:rPr>
          <w:rFonts w:ascii="Arial" w:cs="Arial" w:eastAsia="Arial" w:hAnsi="Arial"/>
          <w:sz w:val="19"/>
          <w:szCs w:val="19"/>
          <w:color w:val="auto"/>
        </w:rPr>
      </w:pPr>
      <w:r>
        <w:rPr>
          <w:rFonts w:ascii="Arial" w:cs="Arial" w:eastAsia="Arial" w:hAnsi="Arial"/>
          <w:sz w:val="19"/>
          <w:szCs w:val="19"/>
          <w:color w:val="auto"/>
        </w:rPr>
        <w:t>any shares of Common Stock subject to the Performance Shares that become vested as described in Sections 7(a) or</w:t>
      </w:r>
    </w:p>
    <w:p>
      <w:pPr>
        <w:spacing w:after="0" w:line="78" w:lineRule="exact"/>
        <w:rPr>
          <w:rFonts w:ascii="Arial" w:cs="Arial" w:eastAsia="Arial" w:hAnsi="Arial"/>
          <w:sz w:val="19"/>
          <w:szCs w:val="19"/>
          <w:color w:val="auto"/>
        </w:rPr>
      </w:pPr>
    </w:p>
    <w:p>
      <w:pPr>
        <w:jc w:val="both"/>
        <w:ind w:firstLine="8"/>
        <w:spacing w:after="0" w:line="303" w:lineRule="auto"/>
        <w:tabs>
          <w:tab w:leader="none" w:pos="320" w:val="left"/>
        </w:tabs>
        <w:numPr>
          <w:ilvl w:val="0"/>
          <w:numId w:val="46"/>
        </w:numPr>
        <w:rPr>
          <w:rFonts w:ascii="Arial" w:cs="Arial" w:eastAsia="Arial" w:hAnsi="Arial"/>
          <w:sz w:val="21"/>
          <w:szCs w:val="21"/>
          <w:color w:val="auto"/>
        </w:rPr>
      </w:pPr>
      <w:r>
        <w:rPr>
          <w:rFonts w:ascii="Arial" w:cs="Arial" w:eastAsia="Arial" w:hAnsi="Arial"/>
          <w:sz w:val="21"/>
          <w:szCs w:val="21"/>
          <w:color w:val="auto"/>
        </w:rPr>
        <w:t xml:space="preserve">of this Agreement shall be issued to the Participant upon or as soon as practicable and in all events no later than thirty (30) days after the effective date of the Change in Control (or, if so provided by the Board, immediately prior to the Change in Control); </w:t>
      </w:r>
      <w:r>
        <w:rPr>
          <w:rFonts w:ascii="Arial" w:cs="Arial" w:eastAsia="Arial" w:hAnsi="Arial"/>
          <w:sz w:val="21"/>
          <w:szCs w:val="21"/>
          <w:u w:val="single" w:color="auto"/>
          <w:color w:val="auto"/>
        </w:rPr>
        <w:t>provided</w:t>
      </w:r>
      <w:r>
        <w:rPr>
          <w:rFonts w:ascii="Arial" w:cs="Arial" w:eastAsia="Arial" w:hAnsi="Arial"/>
          <w:sz w:val="21"/>
          <w:szCs w:val="21"/>
          <w:color w:val="auto"/>
        </w:rPr>
        <w:t>, that such issuance does not result in the imposition of any additional taxes, interest, or penalties on the Participant under Section 409A, as defined below (and, if such issuance would result in such imposition, the shares of Common Stock shall instead be issued to the Participant at the time specified in Section 2); and</w:t>
      </w:r>
    </w:p>
    <w:p>
      <w:pPr>
        <w:spacing w:after="0" w:line="203" w:lineRule="exact"/>
        <w:rPr>
          <w:rFonts w:ascii="Arial" w:cs="Arial" w:eastAsia="Arial" w:hAnsi="Arial"/>
          <w:sz w:val="21"/>
          <w:szCs w:val="21"/>
          <w:color w:val="auto"/>
        </w:rPr>
      </w:pPr>
    </w:p>
    <w:p>
      <w:pPr>
        <w:jc w:val="both"/>
        <w:ind w:firstLine="656"/>
        <w:spacing w:after="0" w:line="356" w:lineRule="auto"/>
        <w:tabs>
          <w:tab w:leader="none" w:pos="1174" w:val="left"/>
        </w:tabs>
        <w:numPr>
          <w:ilvl w:val="1"/>
          <w:numId w:val="46"/>
        </w:numPr>
        <w:rPr>
          <w:rFonts w:ascii="Arial" w:cs="Arial" w:eastAsia="Arial" w:hAnsi="Arial"/>
          <w:sz w:val="19"/>
          <w:szCs w:val="19"/>
          <w:color w:val="auto"/>
        </w:rPr>
      </w:pPr>
      <w:r>
        <w:rPr>
          <w:rFonts w:ascii="Arial" w:cs="Arial" w:eastAsia="Arial" w:hAnsi="Arial"/>
          <w:sz w:val="19"/>
          <w:szCs w:val="19"/>
          <w:color w:val="auto"/>
        </w:rPr>
        <w:t>in the event a Change in Control occurs following the last day of the Performance Period and prior to the date all vested shares of Common Stock underlying the Performance Shares are issued pursuant to Section 2 above, any shares of Common Stock subject to the Performance Shares that became vested pursuant to the terms of this Agreement shall be issued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8</w:t>
      </w:r>
    </w:p>
    <w:p>
      <w:pPr>
        <w:sectPr>
          <w:pgSz w:w="11900" w:h="16838" w:orient="portrait"/>
          <w:cols w:equalWidth="0" w:num="1">
            <w:col w:w="11240"/>
          </w:cols>
          <w:pgMar w:left="320" w:top="1440" w:right="339" w:bottom="1440" w:gutter="0" w:footer="0" w:header="0"/>
        </w:sectPr>
      </w:pPr>
    </w:p>
    <w:bookmarkStart w:id="49" w:name="page50"/>
    <w:bookmarkEnd w:id="49"/>
    <w:p>
      <w:pPr>
        <w:spacing w:after="0" w:line="2" w:lineRule="exact"/>
        <w:rPr>
          <w:sz w:val="20"/>
          <w:szCs w:val="20"/>
          <w:color w:val="auto"/>
        </w:rPr>
      </w:pPr>
    </w:p>
    <w:p>
      <w:pPr>
        <w:spacing w:after="0" w:line="302" w:lineRule="auto"/>
        <w:rPr>
          <w:sz w:val="20"/>
          <w:szCs w:val="20"/>
          <w:color w:val="auto"/>
        </w:rPr>
      </w:pPr>
      <w:r>
        <w:rPr>
          <w:rFonts w:ascii="Arial" w:cs="Arial" w:eastAsia="Arial" w:hAnsi="Arial"/>
          <w:sz w:val="22"/>
          <w:szCs w:val="22"/>
          <w:color w:val="auto"/>
        </w:rPr>
        <w:t>to the Participant upon or as soon as practicable (and in all events within thirty (30) days) after the effective date of the Change in Control (or, if so provided by the Board, immediately prior to the Change in Control).</w:t>
      </w:r>
    </w:p>
    <w:p>
      <w:pPr>
        <w:spacing w:after="0" w:line="200" w:lineRule="exact"/>
        <w:rPr>
          <w:sz w:val="20"/>
          <w:szCs w:val="20"/>
          <w:color w:val="auto"/>
        </w:rPr>
      </w:pPr>
    </w:p>
    <w:p>
      <w:pPr>
        <w:ind w:firstLine="656"/>
        <w:spacing w:after="0" w:line="302" w:lineRule="auto"/>
        <w:tabs>
          <w:tab w:leader="none" w:pos="864" w:val="left"/>
        </w:tabs>
        <w:numPr>
          <w:ilvl w:val="0"/>
          <w:numId w:val="47"/>
        </w:numPr>
        <w:rPr>
          <w:rFonts w:ascii="Arial" w:cs="Arial" w:eastAsia="Arial" w:hAnsi="Arial"/>
          <w:sz w:val="22"/>
          <w:szCs w:val="22"/>
          <w:color w:val="auto"/>
        </w:rPr>
      </w:pPr>
      <w:r>
        <w:rPr>
          <w:rFonts w:ascii="Arial" w:cs="Arial" w:eastAsia="Arial" w:hAnsi="Arial"/>
          <w:sz w:val="22"/>
          <w:szCs w:val="22"/>
          <w:u w:val="single" w:color="auto"/>
          <w:color w:val="auto"/>
        </w:rPr>
        <w:t>Consideration for Stock</w:t>
      </w:r>
      <w:r>
        <w:rPr>
          <w:rFonts w:ascii="Arial" w:cs="Arial" w:eastAsia="Arial" w:hAnsi="Arial"/>
          <w:sz w:val="22"/>
          <w:szCs w:val="22"/>
          <w:color w:val="auto"/>
        </w:rPr>
        <w:t>. The shares of Common Stock underlying the Performance Shares that are issued pursuant to this Agreement will be issued for no cash consideration.</w:t>
      </w:r>
    </w:p>
    <w:p>
      <w:pPr>
        <w:spacing w:after="0" w:line="200" w:lineRule="exact"/>
        <w:rPr>
          <w:rFonts w:ascii="Arial" w:cs="Arial" w:eastAsia="Arial" w:hAnsi="Arial"/>
          <w:sz w:val="22"/>
          <w:szCs w:val="22"/>
          <w:color w:val="auto"/>
        </w:rPr>
      </w:pPr>
    </w:p>
    <w:p>
      <w:pPr>
        <w:jc w:val="both"/>
        <w:ind w:firstLine="656"/>
        <w:spacing w:after="0" w:line="285" w:lineRule="auto"/>
        <w:tabs>
          <w:tab w:leader="none" w:pos="918" w:val="left"/>
        </w:tabs>
        <w:numPr>
          <w:ilvl w:val="0"/>
          <w:numId w:val="47"/>
        </w:numPr>
        <w:rPr>
          <w:rFonts w:ascii="Arial" w:cs="Arial" w:eastAsia="Arial" w:hAnsi="Arial"/>
          <w:sz w:val="22"/>
          <w:szCs w:val="22"/>
          <w:color w:val="auto"/>
        </w:rPr>
      </w:pPr>
      <w:r>
        <w:rPr>
          <w:rFonts w:ascii="Arial" w:cs="Arial" w:eastAsia="Arial" w:hAnsi="Arial"/>
          <w:sz w:val="22"/>
          <w:szCs w:val="22"/>
          <w:u w:val="single" w:color="auto"/>
          <w:color w:val="auto"/>
        </w:rPr>
        <w:t>Issuance of Stock</w:t>
      </w:r>
      <w:r>
        <w:rPr>
          <w:rFonts w:ascii="Arial" w:cs="Arial" w:eastAsia="Arial" w:hAnsi="Arial"/>
          <w:sz w:val="22"/>
          <w:szCs w:val="22"/>
          <w:color w:val="auto"/>
        </w:rPr>
        <w:t>. The Company shall not be obligated to issue any shares of Common Stock underlying the Performance Shares that become vested pursuant to the terms of this Agreement until (i) all federal and state laws and regulations as the Company may deem applicable have been complied with; (ii) the shares have been listed or authorized for listing upon official notice to the Nasdaq Global Select Market (or such other U.S. national securities exchange) or have otherwise been accorded trading privileges; and (iii) all other legal matters in connection with the issuance and delivery of the shares have been approved by the Company’s legal department.</w:t>
      </w:r>
    </w:p>
    <w:p>
      <w:pPr>
        <w:spacing w:after="0" w:line="222" w:lineRule="exact"/>
        <w:rPr>
          <w:rFonts w:ascii="Arial" w:cs="Arial" w:eastAsia="Arial" w:hAnsi="Arial"/>
          <w:sz w:val="22"/>
          <w:szCs w:val="22"/>
          <w:color w:val="auto"/>
        </w:rPr>
      </w:pPr>
    </w:p>
    <w:p>
      <w:pPr>
        <w:jc w:val="both"/>
        <w:ind w:firstLine="656"/>
        <w:spacing w:after="0" w:line="330" w:lineRule="auto"/>
        <w:tabs>
          <w:tab w:leader="none" w:pos="972" w:val="left"/>
        </w:tabs>
        <w:numPr>
          <w:ilvl w:val="0"/>
          <w:numId w:val="47"/>
        </w:numPr>
        <w:rPr>
          <w:rFonts w:ascii="Arial" w:cs="Arial" w:eastAsia="Arial" w:hAnsi="Arial"/>
          <w:sz w:val="19"/>
          <w:szCs w:val="19"/>
          <w:color w:val="auto"/>
        </w:rPr>
      </w:pPr>
      <w:r>
        <w:rPr>
          <w:rFonts w:ascii="Arial" w:cs="Arial" w:eastAsia="Arial" w:hAnsi="Arial"/>
          <w:sz w:val="19"/>
          <w:szCs w:val="19"/>
          <w:u w:val="single" w:color="auto"/>
          <w:color w:val="auto"/>
        </w:rPr>
        <w:t>Tax Withholding</w:t>
      </w:r>
      <w:r>
        <w:rPr>
          <w:rFonts w:ascii="Arial" w:cs="Arial" w:eastAsia="Arial" w:hAnsi="Arial"/>
          <w:sz w:val="19"/>
          <w:szCs w:val="19"/>
          <w:color w:val="auto"/>
        </w:rPr>
        <w:t>. The Participant acknowledges that he or she shall be responsible for the payment of any taxes of any kind required by any national, state or local law to be paid with respect to the award of Performance Shares or the shares of Common Stock to be delivered hereunder, including, without limitation, the payment of any applicable withholding, income, social and similar taxes or obligations. The Participant further acknowledges that neither the Company nor any of its Subsidiaries or Affiliates (1) makes any representations or undertakings regarding the treatment of any tax-related matters in connection with any aspect of this Agreement, including the grant of the Performance Shares, the vesting of any of the Performance Shares, or the issuance of shares of Common Stock hereunder, the subsequent sale of any shares of Common Stock acquired hereunder and the receipt of any dividends (if applicable); or (2) commits or is under any obligation to structure the terms of the grant or any aspect of the Performance Shares to reduce or eliminate the Participant’s liability for tax-related matters or achieve any particular tax result. Further, if the Participant becomes subject to tax and/or social security contributions in more than one jurisdiction between the Grant Date and the date of any relevant taxable, tax and/or social security contribution withholding event, as applicable, the Participant acknowledges that the Company (or any of its Subsidiaries or Affiliates) may be required to withhold or account for tax-related matters in more than one jurisdiction. Prior to any relevant taxable, tax and/or social security contribution withholding event, the Participant shall pay or make adequate arrangements satisfactory to the Company to satisfy all tax-related matters. In this regard, the Participant authorizes the Company (or its applicable Subsidiary or Affiliate), at its sole discretion, to satisfy the obligations with respect to tax-related matters by one or a combination of the following: (i) withholding from the Participant’s wages or other cash compensation paid to him or her by the Company or any of its Subsidiaries or Affiliates; (ii)</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9</w:t>
      </w:r>
    </w:p>
    <w:p>
      <w:pPr>
        <w:sectPr>
          <w:pgSz w:w="11900" w:h="16838" w:orient="portrait"/>
          <w:cols w:equalWidth="0" w:num="1">
            <w:col w:w="11240"/>
          </w:cols>
          <w:pgMar w:left="320" w:top="1440" w:right="339" w:bottom="1440" w:gutter="0" w:footer="0" w:header="0"/>
        </w:sectPr>
      </w:pPr>
    </w:p>
    <w:bookmarkStart w:id="50" w:name="page51"/>
    <w:bookmarkEnd w:id="50"/>
    <w:p>
      <w:pPr>
        <w:spacing w:after="0" w:line="2" w:lineRule="exact"/>
        <w:rPr>
          <w:sz w:val="20"/>
          <w:szCs w:val="20"/>
          <w:color w:val="auto"/>
        </w:rPr>
      </w:pPr>
    </w:p>
    <w:p>
      <w:pPr>
        <w:jc w:val="both"/>
        <w:spacing w:after="0" w:line="331" w:lineRule="auto"/>
        <w:rPr>
          <w:sz w:val="20"/>
          <w:szCs w:val="20"/>
          <w:color w:val="auto"/>
        </w:rPr>
      </w:pPr>
      <w:r>
        <w:rPr>
          <w:rFonts w:ascii="Arial" w:cs="Arial" w:eastAsia="Arial" w:hAnsi="Arial"/>
          <w:sz w:val="19"/>
          <w:szCs w:val="19"/>
          <w:color w:val="auto"/>
        </w:rPr>
        <w:t>withholding from the proceeds of the sale of shares of Common Stock acquired hereunder, either through a voluntary sale or through a mandatory sale arranged by the Company (on the Participant’s behalf pursuant to this authorization); or (iii) withholding in shares of Common Stock to be issued hereunder. The Company (or its applicable Subsidiary or Affiliate) will withhold or account for tax-related matters by considering applicable maximum statutory withholding amounts or other applicable withholding rates. If the obligation for tax-related matters is satisfied by withholding in shares of Common Stock, for tax purposes, the Participant will be deemed to have been issued the full number of shares of Common Stock subject to the vested portion of the Performance Shares, notwithstanding that a number of the shares of Common Stock that would otherwise be delivered to the Participant is held back solely for the purpose of paying any taxes of any kind due as a result of any aspect of the Participant’s holding of these Performance Shares. Finally, the Participant shall pay to the Company (or at the Company’s direction, its applicable Subsidiary or Affiliate) the amount of taxes of any kind that the Company (or such applicable Subsidiary or Affiliate) may be required to withhold or account for as a result of Participant’s holding of these Performance Shares that cannot be satisfied by the means described in this Section 10. The Company may refuse to issue or deliver shares of Common Stock or the proceeds of the sale of shares of Common Stock to the Participant if the Participant fails to comply with Participant’s obligation in connection with any tax-related matters.</w:t>
      </w:r>
    </w:p>
    <w:p>
      <w:pPr>
        <w:spacing w:after="0" w:line="200" w:lineRule="exact"/>
        <w:rPr>
          <w:sz w:val="20"/>
          <w:szCs w:val="20"/>
          <w:color w:val="auto"/>
        </w:rPr>
      </w:pPr>
    </w:p>
    <w:p>
      <w:pPr>
        <w:spacing w:after="0" w:line="284" w:lineRule="exact"/>
        <w:rPr>
          <w:sz w:val="20"/>
          <w:szCs w:val="20"/>
          <w:color w:val="auto"/>
        </w:rPr>
      </w:pPr>
    </w:p>
    <w:p>
      <w:pPr>
        <w:jc w:val="both"/>
        <w:ind w:firstLine="656"/>
        <w:spacing w:after="0" w:line="331" w:lineRule="auto"/>
        <w:tabs>
          <w:tab w:leader="none" w:pos="964" w:val="left"/>
        </w:tabs>
        <w:numPr>
          <w:ilvl w:val="0"/>
          <w:numId w:val="48"/>
        </w:numPr>
        <w:rPr>
          <w:rFonts w:ascii="Arial" w:cs="Arial" w:eastAsia="Arial" w:hAnsi="Arial"/>
          <w:sz w:val="19"/>
          <w:szCs w:val="19"/>
          <w:color w:val="auto"/>
        </w:rPr>
      </w:pPr>
      <w:r>
        <w:rPr>
          <w:rFonts w:ascii="Arial" w:cs="Arial" w:eastAsia="Arial" w:hAnsi="Arial"/>
          <w:sz w:val="19"/>
          <w:szCs w:val="19"/>
          <w:u w:val="single" w:color="auto"/>
          <w:color w:val="auto"/>
        </w:rPr>
        <w:t>Compliance with Section 409A</w:t>
      </w:r>
      <w:r>
        <w:rPr>
          <w:rFonts w:ascii="Arial" w:cs="Arial" w:eastAsia="Arial" w:hAnsi="Arial"/>
          <w:sz w:val="19"/>
          <w:szCs w:val="19"/>
          <w:color w:val="auto"/>
        </w:rPr>
        <w:t>. This Agreement is intended to comply with, or be exempt from, the requirements of Section 409A of the Code and the regulations promulgated thereunder (together, “Section 409A”). Accordingly, all provisions herein shall be construed and interpreted to comply with, or to be exempt from, Section 409A. This Agreement may be amended at any time by the Company, without the consent of the Participant, to avoid the application of Section 409A in a particular circumstance or that is necessary or desirable to satisfy any of the requirements under Section 409A, but the Company shall not be under any obligation to make any such amendment. Nothing in this Agreement shall provide a basis for any person to take action against the Company or any of its Subsidiaries or Affiliates based on matters covered by Section 409A, including the tax treatment of any amount paid or Performance Shares granted under this Agreement, and neither the Company nor any of its Subsidiaries or Affiliates shall under any circumstances have any liability to Participant or his or her estate or any other party for any taxes, penalties or interest due on amounts paid or payable under this Agreement, including taxes, penalties or interest imposed under Section 409A. Notwithstanding any provision to the contrary in this Agreement, if shares of Common Stock or other amounts become issuable or distributable under this Agreement by reason of the Participant’s “separation from service,” within the meaning of Section 409A, and the Participant is a “specified employee,” within the meaning of Section 409A, at the time of such “separation from service,” the shares of Common Stock shall not be issued or distributed to the Participant prior to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10</w:t>
      </w:r>
    </w:p>
    <w:p>
      <w:pPr>
        <w:sectPr>
          <w:pgSz w:w="11900" w:h="16838" w:orient="portrait"/>
          <w:cols w:equalWidth="0" w:num="1">
            <w:col w:w="11240"/>
          </w:cols>
          <w:pgMar w:left="320" w:top="1440" w:right="339" w:bottom="1440" w:gutter="0" w:footer="0" w:header="0"/>
        </w:sectPr>
      </w:pPr>
    </w:p>
    <w:bookmarkStart w:id="51" w:name="page52"/>
    <w:bookmarkEnd w:id="51"/>
    <w:p>
      <w:pPr>
        <w:spacing w:after="0" w:line="2" w:lineRule="exact"/>
        <w:rPr>
          <w:sz w:val="20"/>
          <w:szCs w:val="20"/>
          <w:color w:val="auto"/>
        </w:rPr>
      </w:pPr>
    </w:p>
    <w:p>
      <w:pPr>
        <w:jc w:val="both"/>
        <w:spacing w:after="0" w:line="303" w:lineRule="auto"/>
        <w:rPr>
          <w:sz w:val="20"/>
          <w:szCs w:val="20"/>
          <w:color w:val="auto"/>
        </w:rPr>
      </w:pPr>
      <w:r>
        <w:rPr>
          <w:rFonts w:ascii="Arial" w:cs="Arial" w:eastAsia="Arial" w:hAnsi="Arial"/>
          <w:sz w:val="21"/>
          <w:szCs w:val="21"/>
          <w:color w:val="auto"/>
        </w:rPr>
        <w:t>earlier of (i) the first day of the seventh (7th) month following the date of the Participant’s Separation from Service or (ii) the date of the Participant’s death, if such delayed commencement is otherwise required in order to avoid a prohibited distribution under Section 409A(a)(2)(B)(i). Upon the expiration of the applicable Section 409A(a)(2)(B)(i) deferral period, any shares of Common Stock underlying the Performance Shares issued pursuant to this Agreement, the delivery of which is deferred pursuant to this Section 11, shall be issued or distributed (without interest) to the Participant.</w:t>
      </w:r>
    </w:p>
    <w:p>
      <w:pPr>
        <w:spacing w:after="0" w:line="204" w:lineRule="exact"/>
        <w:rPr>
          <w:sz w:val="20"/>
          <w:szCs w:val="20"/>
          <w:color w:val="auto"/>
        </w:rPr>
      </w:pPr>
    </w:p>
    <w:p>
      <w:pPr>
        <w:jc w:val="both"/>
        <w:ind w:firstLine="656"/>
        <w:spacing w:after="0" w:line="341" w:lineRule="auto"/>
        <w:tabs>
          <w:tab w:leader="none" w:pos="999" w:val="left"/>
        </w:tabs>
        <w:numPr>
          <w:ilvl w:val="0"/>
          <w:numId w:val="49"/>
        </w:numPr>
        <w:rPr>
          <w:rFonts w:ascii="Arial" w:cs="Arial" w:eastAsia="Arial" w:hAnsi="Arial"/>
          <w:sz w:val="19"/>
          <w:szCs w:val="19"/>
          <w:color w:val="auto"/>
        </w:rPr>
      </w:pPr>
      <w:r>
        <w:rPr>
          <w:rFonts w:ascii="Arial" w:cs="Arial" w:eastAsia="Arial" w:hAnsi="Arial"/>
          <w:sz w:val="19"/>
          <w:szCs w:val="19"/>
          <w:u w:val="single" w:color="auto"/>
          <w:color w:val="auto"/>
        </w:rPr>
        <w:t>Recapitalization</w:t>
      </w:r>
      <w:r>
        <w:rPr>
          <w:rFonts w:ascii="Arial" w:cs="Arial" w:eastAsia="Arial" w:hAnsi="Arial"/>
          <w:sz w:val="19"/>
          <w:szCs w:val="19"/>
          <w:color w:val="auto"/>
        </w:rPr>
        <w:t>. Without limitation of Section 10 of the Plan, in the event there is any change in the Company’s Common Stock through the declaration of stock dividends or through recapitalization resulting in stock split-ups or through merger, consolidation, exchange of shares of Common Stock, or otherwise, the number and class of shares of Common Stock subject to the Performance Shares shall be equitably adjusted by the Company, in a manner determined in its sole discretion, to prevent dilution or enlargement of the benefits intended to be conferred by the Performance Shares under this Agreement.</w:t>
      </w:r>
    </w:p>
    <w:p>
      <w:pPr>
        <w:spacing w:after="0" w:line="175" w:lineRule="exact"/>
        <w:rPr>
          <w:rFonts w:ascii="Arial" w:cs="Arial" w:eastAsia="Arial" w:hAnsi="Arial"/>
          <w:sz w:val="19"/>
          <w:szCs w:val="19"/>
          <w:color w:val="auto"/>
        </w:rPr>
      </w:pPr>
    </w:p>
    <w:p>
      <w:pPr>
        <w:jc w:val="both"/>
        <w:ind w:firstLine="656"/>
        <w:spacing w:after="0" w:line="346" w:lineRule="auto"/>
        <w:tabs>
          <w:tab w:leader="none" w:pos="999" w:val="left"/>
        </w:tabs>
        <w:numPr>
          <w:ilvl w:val="0"/>
          <w:numId w:val="49"/>
        </w:numPr>
        <w:rPr>
          <w:rFonts w:ascii="Arial" w:cs="Arial" w:eastAsia="Arial" w:hAnsi="Arial"/>
          <w:sz w:val="19"/>
          <w:szCs w:val="19"/>
          <w:color w:val="auto"/>
        </w:rPr>
      </w:pPr>
      <w:r>
        <w:rPr>
          <w:rFonts w:ascii="Arial" w:cs="Arial" w:eastAsia="Arial" w:hAnsi="Arial"/>
          <w:sz w:val="19"/>
          <w:szCs w:val="19"/>
          <w:u w:val="single" w:color="auto"/>
          <w:color w:val="auto"/>
        </w:rPr>
        <w:t>Investment Intent; Unfunded Obligation</w:t>
      </w:r>
      <w:r>
        <w:rPr>
          <w:rFonts w:ascii="Arial" w:cs="Arial" w:eastAsia="Arial" w:hAnsi="Arial"/>
          <w:sz w:val="19"/>
          <w:szCs w:val="19"/>
          <w:color w:val="auto"/>
        </w:rPr>
        <w:t>. The Participant acknowledges that the acquisition of shares of Common Stock to be issued hereunder is for investment purposes without a view to distribution thereof. The Participant further acknowledges that the Performance Shares granted hereunder represent an unfunded, unsecured right to receive shares of Common Stock in respect of the Performance Shares that become vested in accordance with the terms of this Agreement, if any.</w:t>
      </w:r>
    </w:p>
    <w:p>
      <w:pPr>
        <w:spacing w:after="0" w:line="171" w:lineRule="exact"/>
        <w:rPr>
          <w:rFonts w:ascii="Arial" w:cs="Arial" w:eastAsia="Arial" w:hAnsi="Arial"/>
          <w:sz w:val="19"/>
          <w:szCs w:val="19"/>
          <w:color w:val="auto"/>
        </w:rPr>
      </w:pPr>
    </w:p>
    <w:p>
      <w:pPr>
        <w:jc w:val="both"/>
        <w:ind w:firstLine="656"/>
        <w:spacing w:after="0" w:line="299" w:lineRule="auto"/>
        <w:tabs>
          <w:tab w:leader="none" w:pos="999" w:val="left"/>
        </w:tabs>
        <w:numPr>
          <w:ilvl w:val="0"/>
          <w:numId w:val="49"/>
        </w:numPr>
        <w:rPr>
          <w:rFonts w:ascii="Arial" w:cs="Arial" w:eastAsia="Arial" w:hAnsi="Arial"/>
          <w:sz w:val="21"/>
          <w:szCs w:val="21"/>
          <w:color w:val="auto"/>
        </w:rPr>
      </w:pPr>
      <w:r>
        <w:rPr>
          <w:rFonts w:ascii="Arial" w:cs="Arial" w:eastAsia="Arial" w:hAnsi="Arial"/>
          <w:sz w:val="21"/>
          <w:szCs w:val="21"/>
          <w:u w:val="single" w:color="auto"/>
          <w:color w:val="auto"/>
        </w:rPr>
        <w:t>Limits on Transferability; Restrictions on Shares; Legend on Certificate</w:t>
      </w:r>
      <w:r>
        <w:rPr>
          <w:rFonts w:ascii="Arial" w:cs="Arial" w:eastAsia="Arial" w:hAnsi="Arial"/>
          <w:sz w:val="21"/>
          <w:szCs w:val="21"/>
          <w:color w:val="auto"/>
        </w:rPr>
        <w:t>. Until any shares of Common Stock have been issued in accordance with the terms of this Agreement or by action of the Board, the Performance Shares are not transferable and shall not be sold, transferred, assigned, pledged, gifted, hypothecated or otherwise disposed of or encumbered by the Participant. Transfers by the Participant of any shares of Common Stock delivered under this Agreement are subject to the Company’s Insider Trading Policy and applicable securities laws. Shares of Common Stock issued to the Participant in certificate form or to the Participant’s book entry account upon satisfaction of the vesting and other conditions of the Performance Shares may be restricted from transfer or sale by the Company and evidenced by stop-transfer instructions upon the Participant’s book entry account or restricted legend(s) affixed to certificates in the form as the Company or its counsel may require with respect to any applicable restrictions on sale or transfer.</w:t>
      </w:r>
    </w:p>
    <w:p>
      <w:pPr>
        <w:spacing w:after="0" w:line="208" w:lineRule="exact"/>
        <w:rPr>
          <w:rFonts w:ascii="Arial" w:cs="Arial" w:eastAsia="Arial" w:hAnsi="Arial"/>
          <w:sz w:val="21"/>
          <w:szCs w:val="21"/>
          <w:color w:val="auto"/>
        </w:rPr>
      </w:pPr>
    </w:p>
    <w:p>
      <w:pPr>
        <w:jc w:val="both"/>
        <w:ind w:firstLine="656"/>
        <w:spacing w:after="0" w:line="291" w:lineRule="auto"/>
        <w:tabs>
          <w:tab w:leader="none" w:pos="985" w:val="left"/>
        </w:tabs>
        <w:numPr>
          <w:ilvl w:val="0"/>
          <w:numId w:val="49"/>
        </w:numPr>
        <w:rPr>
          <w:rFonts w:ascii="Arial" w:cs="Arial" w:eastAsia="Arial" w:hAnsi="Arial"/>
          <w:sz w:val="22"/>
          <w:szCs w:val="22"/>
          <w:color w:val="auto"/>
        </w:rPr>
      </w:pPr>
      <w:r>
        <w:rPr>
          <w:rFonts w:ascii="Arial" w:cs="Arial" w:eastAsia="Arial" w:hAnsi="Arial"/>
          <w:sz w:val="22"/>
          <w:szCs w:val="22"/>
          <w:u w:val="single" w:color="auto"/>
          <w:color w:val="auto"/>
        </w:rPr>
        <w:t>Award Subject to the Plan</w:t>
      </w:r>
      <w:r>
        <w:rPr>
          <w:rFonts w:ascii="Arial" w:cs="Arial" w:eastAsia="Arial" w:hAnsi="Arial"/>
          <w:sz w:val="22"/>
          <w:szCs w:val="22"/>
          <w:color w:val="auto"/>
        </w:rPr>
        <w:t>. The Performance Shares granted pursuant to this Agreement are subject to the Plan. The terms and provisions of the Plan, as each may be amended from time to time, are hereby incorporated herein by reference. In the event of 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11</w:t>
      </w:r>
    </w:p>
    <w:p>
      <w:pPr>
        <w:sectPr>
          <w:pgSz w:w="11900" w:h="16838" w:orient="portrait"/>
          <w:cols w:equalWidth="0" w:num="1">
            <w:col w:w="11240"/>
          </w:cols>
          <w:pgMar w:left="320" w:top="1440" w:right="339" w:bottom="1440" w:gutter="0" w:footer="0" w:header="0"/>
        </w:sectPr>
      </w:pPr>
    </w:p>
    <w:bookmarkStart w:id="52" w:name="page53"/>
    <w:bookmarkEnd w:id="52"/>
    <w:p>
      <w:pPr>
        <w:spacing w:after="0" w:line="2" w:lineRule="exact"/>
        <w:rPr>
          <w:sz w:val="20"/>
          <w:szCs w:val="20"/>
          <w:color w:val="auto"/>
        </w:rPr>
      </w:pPr>
    </w:p>
    <w:p>
      <w:pPr>
        <w:jc w:val="both"/>
        <w:spacing w:after="0" w:line="288" w:lineRule="auto"/>
        <w:rPr>
          <w:sz w:val="20"/>
          <w:szCs w:val="20"/>
          <w:color w:val="auto"/>
        </w:rPr>
      </w:pPr>
      <w:r>
        <w:rPr>
          <w:rFonts w:ascii="Arial" w:cs="Arial" w:eastAsia="Arial" w:hAnsi="Arial"/>
          <w:sz w:val="22"/>
          <w:szCs w:val="22"/>
          <w:color w:val="auto"/>
        </w:rPr>
        <w:t>conflict between any term or provision contained in this Agreement and a term or provision of the Plan, the applicable terms and conditions of the Plan will govern and prevail. However, no amendment of the Plan after the date hereof may adversely alter or impair the issuance of the Common Stock underlying the Performance Shares to be made pursuant to this Agreement without the Participant’s consent.</w:t>
      </w:r>
    </w:p>
    <w:p>
      <w:pPr>
        <w:spacing w:after="0" w:line="217" w:lineRule="exact"/>
        <w:rPr>
          <w:sz w:val="20"/>
          <w:szCs w:val="20"/>
          <w:color w:val="auto"/>
        </w:rPr>
      </w:pPr>
    </w:p>
    <w:p>
      <w:pPr>
        <w:jc w:val="both"/>
        <w:ind w:firstLine="656"/>
        <w:spacing w:after="0" w:line="356" w:lineRule="auto"/>
        <w:tabs>
          <w:tab w:leader="none" w:pos="972" w:val="left"/>
        </w:tabs>
        <w:numPr>
          <w:ilvl w:val="0"/>
          <w:numId w:val="50"/>
        </w:numPr>
        <w:rPr>
          <w:rFonts w:ascii="Arial" w:cs="Arial" w:eastAsia="Arial" w:hAnsi="Arial"/>
          <w:sz w:val="19"/>
          <w:szCs w:val="19"/>
          <w:color w:val="auto"/>
        </w:rPr>
      </w:pPr>
      <w:r>
        <w:rPr>
          <w:rFonts w:ascii="Arial" w:cs="Arial" w:eastAsia="Arial" w:hAnsi="Arial"/>
          <w:sz w:val="19"/>
          <w:szCs w:val="19"/>
          <w:u w:val="single" w:color="auto"/>
          <w:color w:val="auto"/>
        </w:rPr>
        <w:t>No Rights to Continued Employment</w:t>
      </w:r>
      <w:r>
        <w:rPr>
          <w:rFonts w:ascii="Arial" w:cs="Arial" w:eastAsia="Arial" w:hAnsi="Arial"/>
          <w:sz w:val="19"/>
          <w:szCs w:val="19"/>
          <w:color w:val="auto"/>
        </w:rPr>
        <w:t>. This Agreement shall not confer upon the Participant any right to continuation of employment with the Company, its Subsidiaries or Affiliates, nor shall this Agreement interfere in any way with the Company’s (or its Subsidiaries’ or Affiliates’) right to terminate the Participant’s employment at any time with or without cause.</w:t>
      </w:r>
    </w:p>
    <w:p>
      <w:pPr>
        <w:spacing w:after="0" w:line="161" w:lineRule="exact"/>
        <w:rPr>
          <w:rFonts w:ascii="Arial" w:cs="Arial" w:eastAsia="Arial" w:hAnsi="Arial"/>
          <w:sz w:val="19"/>
          <w:szCs w:val="19"/>
          <w:color w:val="auto"/>
        </w:rPr>
      </w:pPr>
    </w:p>
    <w:p>
      <w:pPr>
        <w:jc w:val="both"/>
        <w:ind w:firstLine="656"/>
        <w:spacing w:after="0" w:line="306" w:lineRule="auto"/>
        <w:tabs>
          <w:tab w:leader="none" w:pos="999" w:val="left"/>
        </w:tabs>
        <w:numPr>
          <w:ilvl w:val="0"/>
          <w:numId w:val="50"/>
        </w:numPr>
        <w:rPr>
          <w:rFonts w:ascii="Arial" w:cs="Arial" w:eastAsia="Arial" w:hAnsi="Arial"/>
          <w:sz w:val="21"/>
          <w:szCs w:val="21"/>
          <w:color w:val="auto"/>
        </w:rPr>
      </w:pPr>
      <w:r>
        <w:rPr>
          <w:rFonts w:ascii="Arial" w:cs="Arial" w:eastAsia="Arial" w:hAnsi="Arial"/>
          <w:sz w:val="21"/>
          <w:szCs w:val="21"/>
          <w:u w:val="single" w:color="auto"/>
          <w:color w:val="auto"/>
        </w:rPr>
        <w:t>Legal Notices</w:t>
      </w:r>
      <w:r>
        <w:rPr>
          <w:rFonts w:ascii="Arial" w:cs="Arial" w:eastAsia="Arial" w:hAnsi="Arial"/>
          <w:sz w:val="21"/>
          <w:szCs w:val="21"/>
          <w:color w:val="auto"/>
        </w:rPr>
        <w:t>. Any legal notice necessary under this Agreement shall be addressed to the Company in care of its General Counsel at the principal executive offices of the Company and to the Participant at the address appearing in the personnel records of the Company for such Participant or to either party at such other address as either party may designate in writing to the other. Any such notice shall be deemed effective upon receipt thereof by the addressee.</w:t>
      </w:r>
    </w:p>
    <w:p>
      <w:pPr>
        <w:spacing w:after="0" w:line="199" w:lineRule="exact"/>
        <w:rPr>
          <w:rFonts w:ascii="Arial" w:cs="Arial" w:eastAsia="Arial" w:hAnsi="Arial"/>
          <w:sz w:val="21"/>
          <w:szCs w:val="21"/>
          <w:color w:val="auto"/>
        </w:rPr>
      </w:pPr>
    </w:p>
    <w:p>
      <w:pPr>
        <w:jc w:val="both"/>
        <w:ind w:firstLine="656"/>
        <w:spacing w:after="0" w:line="301" w:lineRule="auto"/>
        <w:tabs>
          <w:tab w:leader="none" w:pos="972" w:val="left"/>
        </w:tabs>
        <w:numPr>
          <w:ilvl w:val="0"/>
          <w:numId w:val="50"/>
        </w:numPr>
        <w:rPr>
          <w:rFonts w:ascii="Arial" w:cs="Arial" w:eastAsia="Arial" w:hAnsi="Arial"/>
          <w:sz w:val="21"/>
          <w:szCs w:val="21"/>
          <w:color w:val="auto"/>
        </w:rPr>
      </w:pPr>
      <w:r>
        <w:rPr>
          <w:rFonts w:ascii="Arial" w:cs="Arial" w:eastAsia="Arial" w:hAnsi="Arial"/>
          <w:sz w:val="21"/>
          <w:szCs w:val="21"/>
          <w:u w:val="single" w:color="auto"/>
          <w:color w:val="auto"/>
        </w:rPr>
        <w:t>Governing Law</w:t>
      </w:r>
      <w:r>
        <w:rPr>
          <w:rFonts w:ascii="Arial" w:cs="Arial" w:eastAsia="Arial" w:hAnsi="Arial"/>
          <w:sz w:val="21"/>
          <w:szCs w:val="21"/>
          <w:color w:val="auto"/>
        </w:rPr>
        <w:t>. The interpretation, performance and enforcement of this Agreement shall be governed by the laws of the State of New York (without regard to the conflict of laws principles thereof) and applicable federal laws. For purposes of litigating any dispute that arises directly or indirectly from the relationship of the parties evidenced by this Agreement, the parties hereby submit and consent to the exclusive jurisdiction of the State of New York and agree that such litigation shall be conducted only in the State of New York, or the federal courts for the United States for the Northern District of New York, and no other courts, where this Agreement is made and/or to be performed.</w:t>
      </w:r>
    </w:p>
    <w:p>
      <w:pPr>
        <w:spacing w:after="0" w:line="207" w:lineRule="exact"/>
        <w:rPr>
          <w:rFonts w:ascii="Arial" w:cs="Arial" w:eastAsia="Arial" w:hAnsi="Arial"/>
          <w:sz w:val="21"/>
          <w:szCs w:val="21"/>
          <w:color w:val="auto"/>
        </w:rPr>
      </w:pPr>
    </w:p>
    <w:p>
      <w:pPr>
        <w:jc w:val="both"/>
        <w:ind w:firstLine="656"/>
        <w:spacing w:after="0" w:line="288" w:lineRule="auto"/>
        <w:tabs>
          <w:tab w:leader="none" w:pos="972" w:val="left"/>
        </w:tabs>
        <w:numPr>
          <w:ilvl w:val="0"/>
          <w:numId w:val="50"/>
        </w:numPr>
        <w:rPr>
          <w:rFonts w:ascii="Arial" w:cs="Arial" w:eastAsia="Arial" w:hAnsi="Arial"/>
          <w:sz w:val="22"/>
          <w:szCs w:val="22"/>
          <w:color w:val="auto"/>
        </w:rPr>
      </w:pPr>
      <w:r>
        <w:rPr>
          <w:rFonts w:ascii="Arial" w:cs="Arial" w:eastAsia="Arial" w:hAnsi="Arial"/>
          <w:sz w:val="22"/>
          <w:szCs w:val="22"/>
          <w:u w:val="single" w:color="auto"/>
          <w:color w:val="auto"/>
        </w:rPr>
        <w:t>Amendment</w:t>
      </w:r>
      <w:r>
        <w:rPr>
          <w:rFonts w:ascii="Arial" w:cs="Arial" w:eastAsia="Arial" w:hAnsi="Arial"/>
          <w:sz w:val="22"/>
          <w:szCs w:val="22"/>
          <w:color w:val="auto"/>
        </w:rPr>
        <w:t xml:space="preserve">. Upon the approval of the Board in its sole discretion, the Board or the Committee may terminate, amend or modify this Agreement, </w:t>
      </w:r>
      <w:r>
        <w:rPr>
          <w:rFonts w:ascii="Arial" w:cs="Arial" w:eastAsia="Arial" w:hAnsi="Arial"/>
          <w:sz w:val="22"/>
          <w:szCs w:val="22"/>
          <w:i w:val="1"/>
          <w:iCs w:val="1"/>
          <w:color w:val="auto"/>
        </w:rPr>
        <w:t>provided, however,</w:t>
      </w:r>
      <w:r>
        <w:rPr>
          <w:rFonts w:ascii="Arial" w:cs="Arial" w:eastAsia="Arial" w:hAnsi="Arial"/>
          <w:sz w:val="22"/>
          <w:szCs w:val="22"/>
          <w:color w:val="auto"/>
        </w:rPr>
        <w:t xml:space="preserve"> that, subject to Sections 3(f), 11 and 12 of this Agreement, no such amendment or modification of this Agreement may in any way adversely affect the Participant’s rights under this Agreement without the Participant’s written consent.</w:t>
      </w:r>
    </w:p>
    <w:p>
      <w:pPr>
        <w:spacing w:after="0" w:line="216" w:lineRule="exact"/>
        <w:rPr>
          <w:rFonts w:ascii="Arial" w:cs="Arial" w:eastAsia="Arial" w:hAnsi="Arial"/>
          <w:sz w:val="22"/>
          <w:szCs w:val="22"/>
          <w:color w:val="auto"/>
        </w:rPr>
      </w:pPr>
    </w:p>
    <w:p>
      <w:pPr>
        <w:ind w:firstLine="656"/>
        <w:spacing w:after="0" w:line="302" w:lineRule="auto"/>
        <w:tabs>
          <w:tab w:leader="none" w:pos="985" w:val="left"/>
        </w:tabs>
        <w:numPr>
          <w:ilvl w:val="0"/>
          <w:numId w:val="50"/>
        </w:numPr>
        <w:rPr>
          <w:rFonts w:ascii="Arial" w:cs="Arial" w:eastAsia="Arial" w:hAnsi="Arial"/>
          <w:sz w:val="22"/>
          <w:szCs w:val="22"/>
          <w:color w:val="auto"/>
        </w:rPr>
      </w:pPr>
      <w:r>
        <w:rPr>
          <w:rFonts w:ascii="Arial" w:cs="Arial" w:eastAsia="Arial" w:hAnsi="Arial"/>
          <w:sz w:val="22"/>
          <w:szCs w:val="22"/>
          <w:u w:val="single" w:color="auto"/>
          <w:color w:val="auto"/>
        </w:rPr>
        <w:t>Headings</w:t>
      </w:r>
      <w:r>
        <w:rPr>
          <w:rFonts w:ascii="Arial" w:cs="Arial" w:eastAsia="Arial" w:hAnsi="Arial"/>
          <w:sz w:val="22"/>
          <w:szCs w:val="22"/>
          <w:color w:val="auto"/>
        </w:rPr>
        <w:t>. The headings contained in this Agreement are for convenience only and shall not affect the meaning or interpretation of this Agreement.</w:t>
      </w:r>
    </w:p>
    <w:p>
      <w:pPr>
        <w:spacing w:after="0" w:line="200" w:lineRule="exact"/>
        <w:rPr>
          <w:rFonts w:ascii="Arial" w:cs="Arial" w:eastAsia="Arial" w:hAnsi="Arial"/>
          <w:sz w:val="22"/>
          <w:szCs w:val="22"/>
          <w:color w:val="auto"/>
        </w:rPr>
      </w:pPr>
    </w:p>
    <w:p>
      <w:pPr>
        <w:ind w:firstLine="656"/>
        <w:spacing w:after="0" w:line="302" w:lineRule="auto"/>
        <w:tabs>
          <w:tab w:leader="none" w:pos="972" w:val="left"/>
        </w:tabs>
        <w:numPr>
          <w:ilvl w:val="0"/>
          <w:numId w:val="50"/>
        </w:numPr>
        <w:rPr>
          <w:rFonts w:ascii="Arial" w:cs="Arial" w:eastAsia="Arial" w:hAnsi="Arial"/>
          <w:sz w:val="22"/>
          <w:szCs w:val="22"/>
          <w:color w:val="auto"/>
        </w:rPr>
      </w:pPr>
      <w:r>
        <w:rPr>
          <w:rFonts w:ascii="Arial" w:cs="Arial" w:eastAsia="Arial" w:hAnsi="Arial"/>
          <w:sz w:val="22"/>
          <w:szCs w:val="22"/>
          <w:u w:val="single" w:color="auto"/>
          <w:color w:val="auto"/>
        </w:rPr>
        <w:t>Counterparts</w:t>
      </w:r>
      <w:r>
        <w:rPr>
          <w:rFonts w:ascii="Arial" w:cs="Arial" w:eastAsia="Arial" w:hAnsi="Arial"/>
          <w:sz w:val="22"/>
          <w:szCs w:val="22"/>
          <w:color w:val="auto"/>
        </w:rPr>
        <w:t>. This Agreement may be executed in any number of counterparts, each of which shall be deemed to be an original and all of which together shall be deemed to be one and the same instrument.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12</w:t>
      </w:r>
    </w:p>
    <w:p>
      <w:pPr>
        <w:sectPr>
          <w:pgSz w:w="11900" w:h="16838" w:orient="portrait"/>
          <w:cols w:equalWidth="0" w:num="1">
            <w:col w:w="11240"/>
          </w:cols>
          <w:pgMar w:left="320" w:top="1440" w:right="339" w:bottom="1440" w:gutter="0" w:footer="0" w:header="0"/>
        </w:sectPr>
      </w:pPr>
    </w:p>
    <w:bookmarkStart w:id="53" w:name="page54"/>
    <w:bookmarkEnd w:id="53"/>
    <w:p>
      <w:pPr>
        <w:spacing w:after="0" w:line="2"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[REMAINDER OF PAGE INTENTIONALLY LEFT BLANK]</w:t>
      </w:r>
    </w:p>
    <w:p>
      <w:pPr>
        <w:sectPr>
          <w:pgSz w:w="11900" w:h="16838" w:orient="portrait"/>
          <w:cols w:equalWidth="0" w:num="1">
            <w:col w:w="9019"/>
          </w:cols>
          <w:pgMar w:left="1440" w:top="1440"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13</w:t>
      </w:r>
    </w:p>
    <w:p>
      <w:pPr>
        <w:sectPr>
          <w:pgSz w:w="11900" w:h="16838" w:orient="portrait"/>
          <w:cols w:equalWidth="0" w:num="1">
            <w:col w:w="9019"/>
          </w:cols>
          <w:pgMar w:left="1440" w:top="1440" w:right="1440" w:bottom="1440" w:gutter="0" w:footer="0" w:header="0"/>
          <w:type w:val="continuous"/>
        </w:sectPr>
      </w:pPr>
    </w:p>
    <w:bookmarkStart w:id="54" w:name="page55"/>
    <w:bookmarkEnd w:id="54"/>
    <w:tbl>
      <w:tblPr>
        <w:tblLayout w:type="fixed"/>
        <w:tblInd w:w="0" w:type="dxa"/>
        <w:tblCellMar>
          <w:top w:w="0" w:type="dxa"/>
          <w:left w:w="0" w:type="dxa"/>
          <w:bottom w:w="0" w:type="dxa"/>
          <w:right w:w="0" w:type="dxa"/>
        </w:tblCellMar>
      </w:tblPr>
      <w:tr>
        <w:trPr>
          <w:trHeight w:val="274"/>
        </w:trPr>
        <w:tc>
          <w:tcPr>
            <w:tcW w:w="5280" w:type="dxa"/>
            <w:vAlign w:val="bottom"/>
            <w:gridSpan w:val="2"/>
          </w:tcPr>
          <w:p>
            <w:pPr>
              <w:spacing w:after="0"/>
              <w:rPr>
                <w:sz w:val="20"/>
                <w:szCs w:val="20"/>
                <w:color w:val="auto"/>
              </w:rPr>
            </w:pPr>
            <w:r>
              <w:rPr>
                <w:rFonts w:ascii="Arial" w:cs="Arial" w:eastAsia="Arial" w:hAnsi="Arial"/>
                <w:sz w:val="22"/>
                <w:szCs w:val="22"/>
                <w:color w:val="auto"/>
              </w:rPr>
              <w:t>This Agreement is being signed as of the Grant Date.</w:t>
            </w:r>
          </w:p>
        </w:tc>
        <w:tc>
          <w:tcPr>
            <w:tcW w:w="4700" w:type="dxa"/>
            <w:vAlign w:val="bottom"/>
          </w:tcPr>
          <w:p>
            <w:pPr>
              <w:spacing w:after="0"/>
              <w:rPr>
                <w:sz w:val="23"/>
                <w:szCs w:val="23"/>
                <w:color w:val="auto"/>
              </w:rPr>
            </w:pPr>
          </w:p>
        </w:tc>
      </w:tr>
      <w:tr>
        <w:trPr>
          <w:trHeight w:val="931"/>
        </w:trPr>
        <w:tc>
          <w:tcPr>
            <w:tcW w:w="5280" w:type="dxa"/>
            <w:vAlign w:val="bottom"/>
            <w:gridSpan w:val="2"/>
          </w:tcPr>
          <w:p>
            <w:pPr>
              <w:spacing w:after="0"/>
              <w:rPr>
                <w:sz w:val="20"/>
                <w:szCs w:val="20"/>
                <w:color w:val="auto"/>
              </w:rPr>
            </w:pPr>
            <w:r>
              <w:rPr>
                <w:rFonts w:ascii="Arial" w:cs="Arial" w:eastAsia="Arial" w:hAnsi="Arial"/>
                <w:sz w:val="22"/>
                <w:szCs w:val="22"/>
                <w:color w:val="auto"/>
              </w:rPr>
              <w:t>AngioDynamics, Inc.</w:t>
            </w:r>
          </w:p>
        </w:tc>
        <w:tc>
          <w:tcPr>
            <w:tcW w:w="4700" w:type="dxa"/>
            <w:vAlign w:val="bottom"/>
          </w:tcPr>
          <w:p>
            <w:pPr>
              <w:ind w:left="660"/>
              <w:spacing w:after="0"/>
              <w:rPr>
                <w:sz w:val="20"/>
                <w:szCs w:val="20"/>
                <w:color w:val="auto"/>
              </w:rPr>
            </w:pPr>
            <w:r>
              <w:rPr>
                <w:rFonts w:ascii="Arial" w:cs="Arial" w:eastAsia="Arial" w:hAnsi="Arial"/>
                <w:sz w:val="22"/>
                <w:szCs w:val="22"/>
                <w:color w:val="auto"/>
              </w:rPr>
              <w:t>Participant</w:t>
            </w:r>
          </w:p>
        </w:tc>
      </w:tr>
      <w:tr>
        <w:trPr>
          <w:trHeight w:val="581"/>
        </w:trPr>
        <w:tc>
          <w:tcPr>
            <w:tcW w:w="500" w:type="dxa"/>
            <w:vAlign w:val="bottom"/>
          </w:tcPr>
          <w:p>
            <w:pPr>
              <w:spacing w:after="0"/>
              <w:rPr>
                <w:sz w:val="20"/>
                <w:szCs w:val="20"/>
                <w:color w:val="auto"/>
              </w:rPr>
            </w:pPr>
            <w:r>
              <w:rPr>
                <w:rFonts w:ascii="Arial" w:cs="Arial" w:eastAsia="Arial" w:hAnsi="Arial"/>
                <w:sz w:val="22"/>
                <w:szCs w:val="22"/>
                <w:color w:val="auto"/>
              </w:rPr>
              <w:t>By:</w:t>
            </w:r>
          </w:p>
        </w:tc>
        <w:tc>
          <w:tcPr>
            <w:tcW w:w="4780" w:type="dxa"/>
            <w:vAlign w:val="bottom"/>
          </w:tcPr>
          <w:p>
            <w:pPr>
              <w:jc w:val="right"/>
              <w:ind w:right="1392"/>
              <w:spacing w:after="0"/>
              <w:rPr>
                <w:sz w:val="20"/>
                <w:szCs w:val="20"/>
                <w:color w:val="auto"/>
              </w:rPr>
            </w:pPr>
            <w:r>
              <w:rPr>
                <w:rFonts w:ascii="Arial" w:cs="Arial" w:eastAsia="Arial" w:hAnsi="Arial"/>
                <w:sz w:val="22"/>
                <w:szCs w:val="22"/>
                <w:color w:val="auto"/>
                <w:w w:val="88"/>
              </w:rPr>
              <w:t>______________________________</w:t>
            </w:r>
          </w:p>
        </w:tc>
        <w:tc>
          <w:tcPr>
            <w:tcW w:w="4700" w:type="dxa"/>
            <w:vAlign w:val="bottom"/>
          </w:tcPr>
          <w:p>
            <w:pPr>
              <w:ind w:left="660"/>
              <w:spacing w:after="0"/>
              <w:rPr>
                <w:sz w:val="20"/>
                <w:szCs w:val="20"/>
                <w:color w:val="auto"/>
              </w:rPr>
            </w:pPr>
            <w:r>
              <w:rPr>
                <w:rFonts w:ascii="Arial" w:cs="Arial" w:eastAsia="Arial" w:hAnsi="Arial"/>
                <w:sz w:val="22"/>
                <w:szCs w:val="22"/>
                <w:color w:val="auto"/>
                <w:w w:val="97"/>
              </w:rPr>
              <w:t>By:  ______________________________</w:t>
            </w:r>
          </w:p>
        </w:tc>
      </w:tr>
      <w:tr>
        <w:trPr>
          <w:trHeight w:val="473"/>
        </w:trPr>
        <w:tc>
          <w:tcPr>
            <w:tcW w:w="5280" w:type="dxa"/>
            <w:vAlign w:val="bottom"/>
            <w:gridSpan w:val="2"/>
          </w:tcPr>
          <w:p>
            <w:pPr>
              <w:spacing w:after="0"/>
              <w:rPr>
                <w:sz w:val="20"/>
                <w:szCs w:val="20"/>
                <w:color w:val="auto"/>
              </w:rPr>
            </w:pPr>
            <w:r>
              <w:rPr>
                <w:rFonts w:ascii="Arial" w:cs="Arial" w:eastAsia="Arial" w:hAnsi="Arial"/>
                <w:sz w:val="22"/>
                <w:szCs w:val="22"/>
                <w:color w:val="auto"/>
              </w:rPr>
              <w:t>Name:  ______________________________</w:t>
            </w:r>
          </w:p>
        </w:tc>
        <w:tc>
          <w:tcPr>
            <w:tcW w:w="4700" w:type="dxa"/>
            <w:vAlign w:val="bottom"/>
          </w:tcPr>
          <w:p>
            <w:pPr>
              <w:ind w:left="660"/>
              <w:spacing w:after="0"/>
              <w:rPr>
                <w:sz w:val="20"/>
                <w:szCs w:val="20"/>
                <w:color w:val="auto"/>
              </w:rPr>
            </w:pPr>
            <w:r>
              <w:rPr>
                <w:rFonts w:ascii="Arial" w:cs="Arial" w:eastAsia="Arial" w:hAnsi="Arial"/>
                <w:sz w:val="22"/>
                <w:szCs w:val="22"/>
                <w:color w:val="auto"/>
                <w:w w:val="90"/>
              </w:rPr>
              <w:t>Name:  ______________________________</w:t>
            </w:r>
          </w:p>
        </w:tc>
      </w:tr>
      <w:tr>
        <w:trPr>
          <w:trHeight w:val="473"/>
        </w:trPr>
        <w:tc>
          <w:tcPr>
            <w:tcW w:w="500" w:type="dxa"/>
            <w:vAlign w:val="bottom"/>
          </w:tcPr>
          <w:p>
            <w:pPr>
              <w:spacing w:after="0"/>
              <w:rPr>
                <w:sz w:val="20"/>
                <w:szCs w:val="20"/>
                <w:color w:val="auto"/>
              </w:rPr>
            </w:pPr>
            <w:r>
              <w:rPr>
                <w:rFonts w:ascii="Arial" w:cs="Arial" w:eastAsia="Arial" w:hAnsi="Arial"/>
                <w:sz w:val="22"/>
                <w:szCs w:val="22"/>
                <w:color w:val="auto"/>
              </w:rPr>
              <w:t>Title:</w:t>
            </w:r>
          </w:p>
        </w:tc>
        <w:tc>
          <w:tcPr>
            <w:tcW w:w="4780" w:type="dxa"/>
            <w:vAlign w:val="bottom"/>
          </w:tcPr>
          <w:p>
            <w:pPr>
              <w:jc w:val="right"/>
              <w:ind w:right="1252"/>
              <w:spacing w:after="0"/>
              <w:rPr>
                <w:sz w:val="20"/>
                <w:szCs w:val="20"/>
                <w:color w:val="auto"/>
              </w:rPr>
            </w:pPr>
            <w:r>
              <w:rPr>
                <w:rFonts w:ascii="Arial" w:cs="Arial" w:eastAsia="Arial" w:hAnsi="Arial"/>
                <w:sz w:val="22"/>
                <w:szCs w:val="22"/>
                <w:color w:val="auto"/>
                <w:w w:val="92"/>
              </w:rPr>
              <w:t>______________________________</w:t>
            </w:r>
          </w:p>
        </w:tc>
        <w:tc>
          <w:tcPr>
            <w:tcW w:w="4700" w:type="dxa"/>
            <w:vAlign w:val="bottom"/>
          </w:tcPr>
          <w:p>
            <w:pPr>
              <w:spacing w:after="0"/>
              <w:rPr>
                <w:sz w:val="24"/>
                <w:szCs w:val="24"/>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ind w:left="5520"/>
        <w:spacing w:after="0"/>
        <w:rPr>
          <w:sz w:val="20"/>
          <w:szCs w:val="20"/>
          <w:color w:val="auto"/>
        </w:rPr>
      </w:pPr>
      <w:r>
        <w:rPr>
          <w:rFonts w:ascii="Arial" w:cs="Arial" w:eastAsia="Arial" w:hAnsi="Arial"/>
          <w:sz w:val="22"/>
          <w:szCs w:val="22"/>
          <w:color w:val="auto"/>
        </w:rPr>
        <w:t>14</w:t>
      </w:r>
    </w:p>
    <w:p>
      <w:pPr>
        <w:sectPr>
          <w:pgSz w:w="11900" w:h="16838" w:orient="portrait"/>
          <w:cols w:equalWidth="0" w:num="1">
            <w:col w:w="10139"/>
          </w:cols>
          <w:pgMar w:left="320" w:top="1428" w:right="1440" w:bottom="1440" w:gutter="0" w:footer="0" w:header="0"/>
        </w:sectPr>
      </w:pPr>
    </w:p>
    <w:bookmarkStart w:id="55" w:name="page56"/>
    <w:bookmarkEnd w:id="55"/>
    <w:p>
      <w:pPr>
        <w:spacing w:after="0" w:line="218" w:lineRule="exact"/>
        <w:rPr>
          <w:sz w:val="20"/>
          <w:szCs w:val="20"/>
          <w:color w:val="auto"/>
        </w:rPr>
      </w:pPr>
    </w:p>
    <w:p>
      <w:pPr>
        <w:ind w:left="2620"/>
        <w:spacing w:after="0"/>
        <w:rPr>
          <w:sz w:val="20"/>
          <w:szCs w:val="20"/>
          <w:color w:val="auto"/>
        </w:rPr>
      </w:pPr>
      <w:r>
        <w:rPr>
          <w:rFonts w:ascii="Arial" w:cs="Arial" w:eastAsia="Arial" w:hAnsi="Arial"/>
          <w:sz w:val="22"/>
          <w:szCs w:val="22"/>
          <w:u w:val="single" w:color="auto"/>
          <w:color w:val="auto"/>
        </w:rPr>
        <w:t>APPENDIX A – CERTAIN DEFINITIONS AND CALCULATIONS</w:t>
      </w:r>
    </w:p>
    <w:p>
      <w:pPr>
        <w:spacing w:after="0" w:line="247" w:lineRule="exact"/>
        <w:rPr>
          <w:sz w:val="20"/>
          <w:szCs w:val="20"/>
          <w:color w:val="auto"/>
        </w:rPr>
      </w:pPr>
    </w:p>
    <w:p>
      <w:pPr>
        <w:spacing w:after="0"/>
        <w:rPr>
          <w:sz w:val="20"/>
          <w:szCs w:val="20"/>
          <w:color w:val="auto"/>
        </w:rPr>
      </w:pPr>
      <w:r>
        <w:rPr>
          <w:rFonts w:ascii="Arial" w:cs="Arial" w:eastAsia="Arial" w:hAnsi="Arial"/>
          <w:sz w:val="22"/>
          <w:szCs w:val="22"/>
          <w:color w:val="auto"/>
        </w:rPr>
        <w:t>For purposes of this Agreement, the following terms have the meanings set forth below:</w:t>
      </w:r>
    </w:p>
    <w:p>
      <w:pPr>
        <w:spacing w:after="0" w:line="368" w:lineRule="exact"/>
        <w:rPr>
          <w:sz w:val="20"/>
          <w:szCs w:val="20"/>
          <w:color w:val="auto"/>
        </w:rPr>
      </w:pPr>
    </w:p>
    <w:p>
      <w:pPr>
        <w:ind w:left="980" w:hanging="648"/>
        <w:spacing w:after="0"/>
        <w:tabs>
          <w:tab w:leader="none" w:pos="980" w:val="left"/>
        </w:tabs>
        <w:numPr>
          <w:ilvl w:val="0"/>
          <w:numId w:val="51"/>
        </w:numPr>
        <w:rPr>
          <w:rFonts w:ascii="Arial" w:cs="Arial" w:eastAsia="Arial" w:hAnsi="Arial"/>
          <w:sz w:val="22"/>
          <w:szCs w:val="22"/>
          <w:color w:val="auto"/>
        </w:rPr>
      </w:pPr>
      <w:r>
        <w:rPr>
          <w:rFonts w:ascii="Arial" w:cs="Arial" w:eastAsia="Arial" w:hAnsi="Arial"/>
          <w:sz w:val="22"/>
          <w:szCs w:val="22"/>
          <w:color w:val="auto"/>
        </w:rPr>
        <w:t>“Change in Control” shall mean that any of the following events has occurred:</w:t>
      </w:r>
    </w:p>
    <w:p>
      <w:pPr>
        <w:spacing w:after="0" w:line="152" w:lineRule="exact"/>
        <w:rPr>
          <w:rFonts w:ascii="Arial" w:cs="Arial" w:eastAsia="Arial" w:hAnsi="Arial"/>
          <w:sz w:val="22"/>
          <w:szCs w:val="22"/>
          <w:color w:val="auto"/>
        </w:rPr>
      </w:pPr>
    </w:p>
    <w:p>
      <w:pPr>
        <w:ind w:left="660" w:right="180" w:hanging="4"/>
        <w:spacing w:after="0" w:line="356" w:lineRule="auto"/>
        <w:tabs>
          <w:tab w:leader="none" w:pos="1134" w:val="left"/>
        </w:tabs>
        <w:numPr>
          <w:ilvl w:val="1"/>
          <w:numId w:val="51"/>
        </w:numPr>
        <w:rPr>
          <w:rFonts w:ascii="Arial" w:cs="Arial" w:eastAsia="Arial" w:hAnsi="Arial"/>
          <w:sz w:val="19"/>
          <w:szCs w:val="19"/>
          <w:color w:val="auto"/>
        </w:rPr>
      </w:pPr>
      <w:r>
        <w:rPr>
          <w:rFonts w:ascii="Arial" w:cs="Arial" w:eastAsia="Arial" w:hAnsi="Arial"/>
          <w:sz w:val="19"/>
          <w:szCs w:val="19"/>
          <w:color w:val="auto"/>
        </w:rPr>
        <w:t>any Person is or becomes the Beneficial Owner, directly or indirectly, of securities of the Company representing more than 50% of the combined voting power of the Company’s then outstanding securities, excluding any Person who becomes such a Beneficial Owner in connection with a transaction described in clause (A) of paragraph (iii) below; or</w:t>
      </w:r>
    </w:p>
    <w:p>
      <w:pPr>
        <w:spacing w:after="0" w:line="26" w:lineRule="exact"/>
        <w:rPr>
          <w:rFonts w:ascii="Arial" w:cs="Arial" w:eastAsia="Arial" w:hAnsi="Arial"/>
          <w:sz w:val="19"/>
          <w:szCs w:val="19"/>
          <w:color w:val="auto"/>
        </w:rPr>
      </w:pPr>
    </w:p>
    <w:p>
      <w:pPr>
        <w:ind w:left="660" w:right="20" w:hanging="4"/>
        <w:spacing w:after="0" w:line="335" w:lineRule="auto"/>
        <w:tabs>
          <w:tab w:leader="none" w:pos="1194" w:val="left"/>
        </w:tabs>
        <w:numPr>
          <w:ilvl w:val="1"/>
          <w:numId w:val="51"/>
        </w:numPr>
        <w:rPr>
          <w:rFonts w:ascii="Arial" w:cs="Arial" w:eastAsia="Arial" w:hAnsi="Arial"/>
          <w:sz w:val="19"/>
          <w:szCs w:val="19"/>
          <w:color w:val="auto"/>
        </w:rPr>
      </w:pPr>
      <w:r>
        <w:rPr>
          <w:rFonts w:ascii="Arial" w:cs="Arial" w:eastAsia="Arial" w:hAnsi="Arial"/>
          <w:sz w:val="19"/>
          <w:szCs w:val="19"/>
          <w:color w:val="auto"/>
        </w:rPr>
        <w:t>the following individuals cease for any reason to constitute a majority of the number of directors serving on the Board: individuals who, at the beginning of any period of two consecutive years or less (not including any period prior to the date of this Agreement), constitute the Board and any new director (other than a director whose initial assumption of office is in connection with an actual or threatened election contest, including but not limited to a consent solicitation, relating to the election of directors of the Company) whose appointment or election by the Board or nomination for election by the Company’s shareholders was approved or recommended by a vote of at least two-thirds (2/3) of the directors then still in office who either were directors at the beginning of such period or whose appointment, election or nomination for election was previously so approved or recommended; or</w:t>
      </w:r>
    </w:p>
    <w:p>
      <w:pPr>
        <w:spacing w:after="0" w:line="44" w:lineRule="exact"/>
        <w:rPr>
          <w:rFonts w:ascii="Arial" w:cs="Arial" w:eastAsia="Arial" w:hAnsi="Arial"/>
          <w:sz w:val="19"/>
          <w:szCs w:val="19"/>
          <w:color w:val="auto"/>
        </w:rPr>
      </w:pPr>
    </w:p>
    <w:p>
      <w:pPr>
        <w:ind w:left="660" w:right="80" w:hanging="4"/>
        <w:spacing w:after="0" w:line="334" w:lineRule="auto"/>
        <w:tabs>
          <w:tab w:leader="none" w:pos="1254" w:val="left"/>
        </w:tabs>
        <w:numPr>
          <w:ilvl w:val="1"/>
          <w:numId w:val="51"/>
        </w:numPr>
        <w:rPr>
          <w:rFonts w:ascii="Arial" w:cs="Arial" w:eastAsia="Arial" w:hAnsi="Arial"/>
          <w:sz w:val="19"/>
          <w:szCs w:val="19"/>
          <w:color w:val="auto"/>
        </w:rPr>
      </w:pPr>
      <w:r>
        <w:rPr>
          <w:rFonts w:ascii="Arial" w:cs="Arial" w:eastAsia="Arial" w:hAnsi="Arial"/>
          <w:sz w:val="19"/>
          <w:szCs w:val="19"/>
          <w:color w:val="auto"/>
        </w:rPr>
        <w:t>there is consummated a merger or consolidation of the Company or any Subsidiary with any other corporation, other than (A) a merger or consolidation which would result in the voting securities of the Company outstanding immediately prior to such merger or consolidation continuing to represent (either by remaining outstanding or by being converted into voting securities of the surviving entity or any parent thereof), in combination with the ownership of any trustee or other fiduciary holding securities under an employee benefit plan of the Company or any Subsidiary, at least 60% of the combined voting power of the securities of the Company or such surviving entity or any parent thereof outstanding immediately after such merger or consolidation, or (B) a merger or consolidation effected to implement a recapitalization of the Company (or similar transaction) in which no Person is or becomes the Beneficial Owner, directly or indirectly, of securities of the Company representing more than 50% of the combined voting power of the Company’s then outstanding securities; or</w:t>
      </w:r>
    </w:p>
    <w:p>
      <w:pPr>
        <w:spacing w:after="0" w:line="341" w:lineRule="exact"/>
        <w:rPr>
          <w:rFonts w:ascii="Arial" w:cs="Arial" w:eastAsia="Arial" w:hAnsi="Arial"/>
          <w:sz w:val="19"/>
          <w:szCs w:val="19"/>
          <w:color w:val="auto"/>
        </w:rPr>
      </w:pPr>
    </w:p>
    <w:p>
      <w:pPr>
        <w:jc w:val="both"/>
        <w:ind w:left="660" w:hanging="4"/>
        <w:spacing w:after="0" w:line="291" w:lineRule="auto"/>
        <w:tabs>
          <w:tab w:leader="none" w:pos="1242" w:val="left"/>
        </w:tabs>
        <w:numPr>
          <w:ilvl w:val="1"/>
          <w:numId w:val="51"/>
        </w:numPr>
        <w:rPr>
          <w:rFonts w:ascii="Arial" w:cs="Arial" w:eastAsia="Arial" w:hAnsi="Arial"/>
          <w:sz w:val="22"/>
          <w:szCs w:val="22"/>
          <w:color w:val="auto"/>
        </w:rPr>
      </w:pPr>
      <w:r>
        <w:rPr>
          <w:rFonts w:ascii="Arial" w:cs="Arial" w:eastAsia="Arial" w:hAnsi="Arial"/>
          <w:sz w:val="22"/>
          <w:szCs w:val="22"/>
          <w:color w:val="auto"/>
        </w:rPr>
        <w:t>the shareholders of the Company approve a plan of complete liquidation or dissolution of the Company or there is consummated an agreement for the sale or disposition by the Company of all or substantially all of the Company’s assets, other than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center"/>
        <w:ind w:right="-99"/>
        <w:spacing w:after="0"/>
        <w:rPr>
          <w:sz w:val="20"/>
          <w:szCs w:val="20"/>
          <w:color w:val="auto"/>
        </w:rPr>
      </w:pPr>
      <w:r>
        <w:rPr>
          <w:rFonts w:ascii="Arial" w:cs="Arial" w:eastAsia="Arial" w:hAnsi="Arial"/>
          <w:sz w:val="22"/>
          <w:szCs w:val="22"/>
          <w:color w:val="auto"/>
        </w:rPr>
        <w:t>15</w:t>
      </w:r>
    </w:p>
    <w:p>
      <w:pPr>
        <w:sectPr>
          <w:pgSz w:w="11900" w:h="16838" w:orient="portrait"/>
          <w:cols w:equalWidth="0" w:num="1">
            <w:col w:w="11160"/>
          </w:cols>
          <w:pgMar w:left="320" w:top="1440" w:right="419" w:bottom="1440" w:gutter="0" w:footer="0" w:header="0"/>
        </w:sectPr>
      </w:pPr>
    </w:p>
    <w:bookmarkStart w:id="56" w:name="page57"/>
    <w:bookmarkEnd w:id="56"/>
    <w:p>
      <w:pPr>
        <w:spacing w:after="0" w:line="110" w:lineRule="exact"/>
        <w:rPr>
          <w:sz w:val="20"/>
          <w:szCs w:val="20"/>
          <w:color w:val="auto"/>
        </w:rPr>
      </w:pPr>
    </w:p>
    <w:p>
      <w:pPr>
        <w:ind w:left="328" w:right="180"/>
        <w:spacing w:after="0" w:line="311" w:lineRule="auto"/>
        <w:rPr>
          <w:sz w:val="20"/>
          <w:szCs w:val="20"/>
          <w:color w:val="auto"/>
        </w:rPr>
      </w:pPr>
      <w:r>
        <w:rPr>
          <w:rFonts w:ascii="Arial" w:cs="Arial" w:eastAsia="Arial" w:hAnsi="Arial"/>
          <w:sz w:val="21"/>
          <w:szCs w:val="21"/>
          <w:color w:val="auto"/>
        </w:rPr>
        <w:t>a sale or disposition by the Company of all or substantially all of the Company’s assets to an entity, at least 60% of the combined voting power of the voting securities of which are owned by shareholders of the Company in substantially the same proportions as their ownership of the Company immediately prior to such sale.</w:t>
      </w:r>
    </w:p>
    <w:p>
      <w:pPr>
        <w:spacing w:after="0" w:line="60" w:lineRule="exact"/>
        <w:rPr>
          <w:sz w:val="20"/>
          <w:szCs w:val="20"/>
          <w:color w:val="auto"/>
        </w:rPr>
      </w:pPr>
    </w:p>
    <w:p>
      <w:pPr>
        <w:ind w:left="648" w:hanging="648"/>
        <w:spacing w:after="0"/>
        <w:tabs>
          <w:tab w:leader="none" w:pos="648" w:val="left"/>
        </w:tabs>
        <w:numPr>
          <w:ilvl w:val="0"/>
          <w:numId w:val="52"/>
        </w:numPr>
        <w:rPr>
          <w:rFonts w:ascii="Arial" w:cs="Arial" w:eastAsia="Arial" w:hAnsi="Arial"/>
          <w:sz w:val="22"/>
          <w:szCs w:val="22"/>
          <w:color w:val="auto"/>
        </w:rPr>
      </w:pPr>
      <w:r>
        <w:rPr>
          <w:rFonts w:ascii="Arial" w:cs="Arial" w:eastAsia="Arial" w:hAnsi="Arial"/>
          <w:sz w:val="22"/>
          <w:szCs w:val="22"/>
          <w:color w:val="auto"/>
        </w:rPr>
        <w:t>“Disability” means disability as determined by the Board in its sole discretion.</w:t>
      </w:r>
    </w:p>
    <w:p>
      <w:pPr>
        <w:spacing w:after="0" w:line="200" w:lineRule="exact"/>
        <w:rPr>
          <w:rFonts w:ascii="Arial" w:cs="Arial" w:eastAsia="Arial" w:hAnsi="Arial"/>
          <w:sz w:val="22"/>
          <w:szCs w:val="22"/>
          <w:color w:val="auto"/>
        </w:rPr>
      </w:pPr>
    </w:p>
    <w:p>
      <w:pPr>
        <w:spacing w:after="0" w:line="289" w:lineRule="exact"/>
        <w:rPr>
          <w:rFonts w:ascii="Arial" w:cs="Arial" w:eastAsia="Arial" w:hAnsi="Arial"/>
          <w:sz w:val="22"/>
          <w:szCs w:val="22"/>
          <w:color w:val="auto"/>
        </w:rPr>
      </w:pPr>
    </w:p>
    <w:p>
      <w:pPr>
        <w:ind w:left="648" w:hanging="648"/>
        <w:spacing w:after="0"/>
        <w:tabs>
          <w:tab w:leader="none" w:pos="648" w:val="left"/>
        </w:tabs>
        <w:numPr>
          <w:ilvl w:val="0"/>
          <w:numId w:val="52"/>
        </w:numPr>
        <w:rPr>
          <w:rFonts w:ascii="Arial" w:cs="Arial" w:eastAsia="Arial" w:hAnsi="Arial"/>
          <w:sz w:val="21"/>
          <w:szCs w:val="21"/>
          <w:color w:val="auto"/>
        </w:rPr>
      </w:pPr>
      <w:r>
        <w:rPr>
          <w:rFonts w:ascii="Arial" w:cs="Arial" w:eastAsia="Arial" w:hAnsi="Arial"/>
          <w:sz w:val="21"/>
          <w:szCs w:val="21"/>
          <w:color w:val="auto"/>
        </w:rPr>
        <w:t>The “Peer Group” means the Company, together with the group of companies set forth on Schedule A hereto:</w:t>
      </w:r>
    </w:p>
    <w:p>
      <w:pPr>
        <w:spacing w:after="0" w:line="163" w:lineRule="exact"/>
        <w:rPr>
          <w:rFonts w:ascii="Arial" w:cs="Arial" w:eastAsia="Arial" w:hAnsi="Arial"/>
          <w:sz w:val="21"/>
          <w:szCs w:val="21"/>
          <w:color w:val="auto"/>
        </w:rPr>
      </w:pPr>
    </w:p>
    <w:p>
      <w:pPr>
        <w:ind w:left="648"/>
        <w:spacing w:after="0" w:line="301" w:lineRule="auto"/>
        <w:rPr>
          <w:rFonts w:ascii="Arial" w:cs="Arial" w:eastAsia="Arial" w:hAnsi="Arial"/>
          <w:sz w:val="21"/>
          <w:szCs w:val="21"/>
          <w:color w:val="auto"/>
        </w:rPr>
      </w:pPr>
      <w:r>
        <w:rPr>
          <w:rFonts w:ascii="Arial" w:cs="Arial" w:eastAsia="Arial" w:hAnsi="Arial"/>
          <w:sz w:val="21"/>
          <w:szCs w:val="21"/>
          <w:color w:val="auto"/>
        </w:rPr>
        <w:t>Without limitation of Section 3(f) of this Agreement, the Board (or the Committee, as applicable) shall have the sole discretion to make adjustments to the foregoing Peer Group to preserve the intended benefits of this Agreement, in each case to account for the impact of events that the Board (or the Committee, as applicable) deems appropriate, including, but not limited to, mergers, acquisitions, divestitures, licensing arrangements, accounting changes, currency fluctuations, financing activities, expenses for restructuring, and other extraordinary items, whether with respect to the Company, any member of the Peer Group, or otherwise.</w:t>
      </w:r>
    </w:p>
    <w:p>
      <w:pPr>
        <w:spacing w:after="0" w:line="200" w:lineRule="exact"/>
        <w:rPr>
          <w:rFonts w:ascii="Arial" w:cs="Arial" w:eastAsia="Arial" w:hAnsi="Arial"/>
          <w:sz w:val="21"/>
          <w:szCs w:val="21"/>
          <w:color w:val="auto"/>
        </w:rPr>
      </w:pPr>
    </w:p>
    <w:p>
      <w:pPr>
        <w:spacing w:after="0" w:line="223" w:lineRule="exact"/>
        <w:rPr>
          <w:rFonts w:ascii="Arial" w:cs="Arial" w:eastAsia="Arial" w:hAnsi="Arial"/>
          <w:sz w:val="21"/>
          <w:szCs w:val="21"/>
          <w:color w:val="auto"/>
        </w:rPr>
      </w:pPr>
    </w:p>
    <w:p>
      <w:pPr>
        <w:ind w:left="648" w:hanging="648"/>
        <w:spacing w:after="0"/>
        <w:tabs>
          <w:tab w:leader="none" w:pos="648" w:val="left"/>
        </w:tabs>
        <w:numPr>
          <w:ilvl w:val="0"/>
          <w:numId w:val="52"/>
        </w:numPr>
        <w:rPr>
          <w:rFonts w:ascii="Arial" w:cs="Arial" w:eastAsia="Arial" w:hAnsi="Arial"/>
          <w:sz w:val="21"/>
          <w:szCs w:val="21"/>
          <w:color w:val="auto"/>
        </w:rPr>
      </w:pPr>
      <w:r>
        <w:rPr>
          <w:rFonts w:ascii="Arial" w:cs="Arial" w:eastAsia="Arial" w:hAnsi="Arial"/>
          <w:sz w:val="21"/>
          <w:szCs w:val="21"/>
          <w:color w:val="auto"/>
        </w:rPr>
        <w:t>“Relative TSR” means “relative total shareholder return,” expressed as a percentile, and calculated as follows:</w:t>
      </w:r>
    </w:p>
    <w:p>
      <w:pPr>
        <w:spacing w:after="0" w:line="164" w:lineRule="exact"/>
        <w:rPr>
          <w:sz w:val="20"/>
          <w:szCs w:val="20"/>
          <w:color w:val="auto"/>
        </w:rPr>
      </w:pPr>
    </w:p>
    <w:p>
      <w:pPr>
        <w:ind w:left="968" w:right="240" w:hanging="320"/>
        <w:spacing w:after="0" w:line="302" w:lineRule="auto"/>
        <w:tabs>
          <w:tab w:leader="none" w:pos="963" w:val="left"/>
        </w:tabs>
        <w:numPr>
          <w:ilvl w:val="0"/>
          <w:numId w:val="53"/>
        </w:numPr>
        <w:rPr>
          <w:rFonts w:ascii="Arial" w:cs="Arial" w:eastAsia="Arial" w:hAnsi="Arial"/>
          <w:sz w:val="22"/>
          <w:szCs w:val="22"/>
          <w:color w:val="auto"/>
        </w:rPr>
      </w:pPr>
      <w:r>
        <w:rPr>
          <w:rFonts w:ascii="Arial" w:cs="Arial" w:eastAsia="Arial" w:hAnsi="Arial"/>
          <w:sz w:val="22"/>
          <w:szCs w:val="22"/>
          <w:color w:val="auto"/>
        </w:rPr>
        <w:t>“TSR,” or “total shareholder return,” for each member of the Peer Group shall be calculated using the following formula:</w:t>
      </w:r>
    </w:p>
    <w:p>
      <w:pPr>
        <w:spacing w:after="0" w:line="65" w:lineRule="exact"/>
        <w:rPr>
          <w:sz w:val="20"/>
          <w:szCs w:val="20"/>
          <w:color w:val="auto"/>
        </w:rPr>
      </w:pPr>
    </w:p>
    <w:p>
      <w:pPr>
        <w:ind w:left="2088"/>
        <w:spacing w:after="0"/>
        <w:rPr>
          <w:sz w:val="20"/>
          <w:szCs w:val="20"/>
          <w:color w:val="auto"/>
        </w:rPr>
      </w:pPr>
      <w:r>
        <w:rPr>
          <w:rFonts w:ascii="Arial" w:cs="Arial" w:eastAsia="Arial" w:hAnsi="Arial"/>
          <w:sz w:val="22"/>
          <w:szCs w:val="22"/>
          <w:color w:val="auto"/>
        </w:rPr>
        <w:t>TSR = (Change in Stock Price + Dividends Paid) / Beginning Stock Price.</w:t>
      </w:r>
    </w:p>
    <w:p>
      <w:pPr>
        <w:spacing w:after="0" w:line="152" w:lineRule="exact"/>
        <w:rPr>
          <w:sz w:val="20"/>
          <w:szCs w:val="20"/>
          <w:color w:val="auto"/>
        </w:rPr>
      </w:pPr>
    </w:p>
    <w:p>
      <w:pPr>
        <w:ind w:left="968" w:right="60"/>
        <w:spacing w:after="0" w:line="288" w:lineRule="auto"/>
        <w:rPr>
          <w:sz w:val="20"/>
          <w:szCs w:val="20"/>
          <w:color w:val="auto"/>
        </w:rPr>
      </w:pPr>
      <w:r>
        <w:rPr>
          <w:rFonts w:ascii="Arial" w:cs="Arial" w:eastAsia="Arial" w:hAnsi="Arial"/>
          <w:sz w:val="22"/>
          <w:szCs w:val="22"/>
          <w:color w:val="auto"/>
        </w:rPr>
        <w:t>“Beginning Stock Price,” for each member of the Peer Group (including the Company), shall mean the average of the daily closing prices on the applicable stock exchange of one share of such Peer Group member’s common stock for the 20 calendar day period ending as of the close of business on the last trading day immediately prior to the first day of the Performance Period.</w:t>
      </w:r>
    </w:p>
    <w:p>
      <w:pPr>
        <w:spacing w:after="0" w:line="82" w:lineRule="exact"/>
        <w:rPr>
          <w:sz w:val="20"/>
          <w:szCs w:val="20"/>
          <w:color w:val="auto"/>
        </w:rPr>
      </w:pPr>
    </w:p>
    <w:p>
      <w:pPr>
        <w:ind w:left="968" w:right="380"/>
        <w:spacing w:after="0" w:line="302" w:lineRule="auto"/>
        <w:rPr>
          <w:sz w:val="20"/>
          <w:szCs w:val="20"/>
          <w:color w:val="auto"/>
        </w:rPr>
      </w:pPr>
      <w:r>
        <w:rPr>
          <w:rFonts w:ascii="Arial" w:cs="Arial" w:eastAsia="Arial" w:hAnsi="Arial"/>
          <w:sz w:val="22"/>
          <w:szCs w:val="22"/>
          <w:color w:val="auto"/>
        </w:rPr>
        <w:t xml:space="preserve">“Change in Stock Price,” for each member of the Peer Group (including the Company), shall mean the Ending Stock Price </w:t>
      </w:r>
      <w:r>
        <w:rPr>
          <w:rFonts w:ascii="Arial" w:cs="Arial" w:eastAsia="Arial" w:hAnsi="Arial"/>
          <w:sz w:val="22"/>
          <w:szCs w:val="22"/>
          <w:i w:val="1"/>
          <w:iCs w:val="1"/>
          <w:color w:val="auto"/>
        </w:rPr>
        <w:t>less</w:t>
      </w:r>
      <w:r>
        <w:rPr>
          <w:rFonts w:ascii="Arial" w:cs="Arial" w:eastAsia="Arial" w:hAnsi="Arial"/>
          <w:sz w:val="22"/>
          <w:szCs w:val="22"/>
          <w:color w:val="auto"/>
        </w:rPr>
        <w:t xml:space="preserve"> the Beginning Stock Price.</w:t>
      </w:r>
    </w:p>
    <w:p>
      <w:pPr>
        <w:spacing w:after="0" w:line="65" w:lineRule="exact"/>
        <w:rPr>
          <w:sz w:val="20"/>
          <w:szCs w:val="20"/>
          <w:color w:val="auto"/>
        </w:rPr>
      </w:pPr>
    </w:p>
    <w:p>
      <w:pPr>
        <w:jc w:val="both"/>
        <w:ind w:left="968" w:right="700"/>
        <w:spacing w:after="0" w:line="385" w:lineRule="auto"/>
        <w:rPr>
          <w:sz w:val="20"/>
          <w:szCs w:val="20"/>
          <w:color w:val="auto"/>
        </w:rPr>
      </w:pPr>
      <w:r>
        <w:rPr>
          <w:rFonts w:ascii="Arial" w:cs="Arial" w:eastAsia="Arial" w:hAnsi="Arial"/>
          <w:sz w:val="19"/>
          <w:szCs w:val="19"/>
          <w:color w:val="auto"/>
        </w:rPr>
        <w:t>“Dividends Paid,” for each member of the Peer Group (including the Company), shall mean the total of all dividends paid on one share of such Peer Group member’s common stock during the Performance Period.</w:t>
      </w:r>
    </w:p>
    <w:p>
      <w:pPr>
        <w:spacing w:after="0" w:line="1" w:lineRule="exact"/>
        <w:rPr>
          <w:sz w:val="20"/>
          <w:szCs w:val="20"/>
          <w:color w:val="auto"/>
        </w:rPr>
      </w:pPr>
    </w:p>
    <w:p>
      <w:pPr>
        <w:ind w:left="968" w:right="40"/>
        <w:spacing w:after="0" w:line="291" w:lineRule="auto"/>
        <w:rPr>
          <w:sz w:val="20"/>
          <w:szCs w:val="20"/>
          <w:color w:val="auto"/>
        </w:rPr>
      </w:pPr>
      <w:r>
        <w:rPr>
          <w:rFonts w:ascii="Arial" w:cs="Arial" w:eastAsia="Arial" w:hAnsi="Arial"/>
          <w:sz w:val="22"/>
          <w:szCs w:val="22"/>
          <w:color w:val="auto"/>
        </w:rPr>
        <w:t>“Ending Stock Price,” for each member of the Peer Group (including the Company), shall mean the average of the daily closing prices on the applicable stock exchange of one share of such Peer Group member’s common stock for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center"/>
        <w:ind w:right="292"/>
        <w:spacing w:after="0"/>
        <w:rPr>
          <w:sz w:val="20"/>
          <w:szCs w:val="20"/>
          <w:color w:val="auto"/>
        </w:rPr>
      </w:pPr>
      <w:r>
        <w:rPr>
          <w:rFonts w:ascii="Arial" w:cs="Arial" w:eastAsia="Arial" w:hAnsi="Arial"/>
          <w:sz w:val="22"/>
          <w:szCs w:val="22"/>
          <w:color w:val="auto"/>
        </w:rPr>
        <w:t>16</w:t>
      </w:r>
    </w:p>
    <w:p>
      <w:pPr>
        <w:sectPr>
          <w:pgSz w:w="11900" w:h="16838" w:orient="portrait"/>
          <w:cols w:equalWidth="0" w:num="1">
            <w:col w:w="10888"/>
          </w:cols>
          <w:pgMar w:left="652" w:top="1440" w:right="359" w:bottom="1440" w:gutter="0" w:footer="0" w:header="0"/>
        </w:sectPr>
      </w:pPr>
    </w:p>
    <w:bookmarkStart w:id="57" w:name="page58"/>
    <w:bookmarkEnd w:id="57"/>
    <w:p>
      <w:pPr>
        <w:spacing w:after="0" w:line="110" w:lineRule="exact"/>
        <w:rPr>
          <w:sz w:val="20"/>
          <w:szCs w:val="20"/>
          <w:color w:val="auto"/>
        </w:rPr>
      </w:pPr>
    </w:p>
    <w:p>
      <w:pPr>
        <w:ind w:left="968"/>
        <w:spacing w:after="0"/>
        <w:rPr>
          <w:sz w:val="20"/>
          <w:szCs w:val="20"/>
          <w:color w:val="auto"/>
        </w:rPr>
      </w:pPr>
      <w:r>
        <w:rPr>
          <w:rFonts w:ascii="Arial" w:cs="Arial" w:eastAsia="Arial" w:hAnsi="Arial"/>
          <w:sz w:val="19"/>
          <w:szCs w:val="19"/>
          <w:color w:val="auto"/>
        </w:rPr>
        <w:t>20 calendar day period ending as of the close of business on the last trading day of the Performance Period.</w:t>
      </w:r>
    </w:p>
    <w:p>
      <w:pPr>
        <w:spacing w:after="0" w:line="187" w:lineRule="exact"/>
        <w:rPr>
          <w:sz w:val="20"/>
          <w:szCs w:val="20"/>
          <w:color w:val="auto"/>
        </w:rPr>
      </w:pPr>
    </w:p>
    <w:p>
      <w:pPr>
        <w:ind w:left="968" w:right="100" w:hanging="320"/>
        <w:spacing w:after="0" w:line="311" w:lineRule="auto"/>
        <w:tabs>
          <w:tab w:leader="none" w:pos="963" w:val="left"/>
        </w:tabs>
        <w:numPr>
          <w:ilvl w:val="1"/>
          <w:numId w:val="54"/>
        </w:numPr>
        <w:rPr>
          <w:rFonts w:ascii="Arial" w:cs="Arial" w:eastAsia="Arial" w:hAnsi="Arial"/>
          <w:sz w:val="21"/>
          <w:szCs w:val="21"/>
          <w:color w:val="auto"/>
        </w:rPr>
      </w:pPr>
      <w:r>
        <w:rPr>
          <w:rFonts w:ascii="Arial" w:cs="Arial" w:eastAsia="Arial" w:hAnsi="Arial"/>
          <w:sz w:val="21"/>
          <w:szCs w:val="21"/>
          <w:color w:val="auto"/>
        </w:rPr>
        <w:t>Following the calculation of the TSR for the Performance Period for the Company and each other company in the Peer Group, the Company and the other companies in the Peer Group will be ranked, in order of maximum to minimum, according to their respective TSR for the Performance Period.</w:t>
      </w:r>
    </w:p>
    <w:p>
      <w:pPr>
        <w:spacing w:after="0" w:line="60" w:lineRule="exact"/>
        <w:rPr>
          <w:rFonts w:ascii="Arial" w:cs="Arial" w:eastAsia="Arial" w:hAnsi="Arial"/>
          <w:sz w:val="21"/>
          <w:szCs w:val="21"/>
          <w:color w:val="auto"/>
        </w:rPr>
      </w:pPr>
    </w:p>
    <w:p>
      <w:pPr>
        <w:ind w:left="968" w:right="220" w:hanging="320"/>
        <w:spacing w:after="0" w:line="302" w:lineRule="auto"/>
        <w:tabs>
          <w:tab w:leader="none" w:pos="963" w:val="left"/>
        </w:tabs>
        <w:numPr>
          <w:ilvl w:val="1"/>
          <w:numId w:val="54"/>
        </w:numPr>
        <w:rPr>
          <w:rFonts w:ascii="Arial" w:cs="Arial" w:eastAsia="Arial" w:hAnsi="Arial"/>
          <w:sz w:val="22"/>
          <w:szCs w:val="22"/>
          <w:color w:val="auto"/>
        </w:rPr>
      </w:pPr>
      <w:r>
        <w:rPr>
          <w:rFonts w:ascii="Arial" w:cs="Arial" w:eastAsia="Arial" w:hAnsi="Arial"/>
          <w:sz w:val="22"/>
          <w:szCs w:val="22"/>
          <w:color w:val="auto"/>
        </w:rPr>
        <w:t>After this ranking, the Company’s Relative TSR, expressed as a percentile, shall be determined by the following formula:</w:t>
      </w:r>
    </w:p>
    <w:p>
      <w:pPr>
        <w:spacing w:after="0" w:line="200" w:lineRule="exact"/>
        <w:rPr>
          <w:rFonts w:ascii="Arial" w:cs="Arial" w:eastAsia="Arial" w:hAnsi="Arial"/>
          <w:sz w:val="22"/>
          <w:szCs w:val="22"/>
          <w:color w:val="auto"/>
        </w:rPr>
      </w:pPr>
    </w:p>
    <w:p>
      <w:pPr>
        <w:spacing w:after="0" w:line="200" w:lineRule="exact"/>
        <w:rPr>
          <w:rFonts w:ascii="Arial" w:cs="Arial" w:eastAsia="Arial" w:hAnsi="Arial"/>
          <w:sz w:val="22"/>
          <w:szCs w:val="22"/>
          <w:color w:val="auto"/>
        </w:rPr>
      </w:pPr>
    </w:p>
    <w:p>
      <w:pPr>
        <w:spacing w:after="0" w:line="200" w:lineRule="exact"/>
        <w:rPr>
          <w:rFonts w:ascii="Arial" w:cs="Arial" w:eastAsia="Arial" w:hAnsi="Arial"/>
          <w:sz w:val="22"/>
          <w:szCs w:val="22"/>
          <w:color w:val="auto"/>
        </w:rPr>
      </w:pPr>
    </w:p>
    <w:p>
      <w:pPr>
        <w:spacing w:after="0" w:line="377" w:lineRule="exact"/>
        <w:rPr>
          <w:rFonts w:ascii="Arial" w:cs="Arial" w:eastAsia="Arial" w:hAnsi="Arial"/>
          <w:sz w:val="22"/>
          <w:szCs w:val="22"/>
          <w:color w:val="auto"/>
        </w:rPr>
      </w:pPr>
    </w:p>
    <w:p>
      <w:pPr>
        <w:ind w:left="968" w:right="280"/>
        <w:spacing w:after="0" w:line="307" w:lineRule="auto"/>
        <w:rPr>
          <w:rFonts w:ascii="Arial" w:cs="Arial" w:eastAsia="Arial" w:hAnsi="Arial"/>
          <w:sz w:val="22"/>
          <w:szCs w:val="22"/>
          <w:color w:val="auto"/>
        </w:rPr>
      </w:pPr>
      <w:r>
        <w:rPr>
          <w:rFonts w:ascii="Arial" w:cs="Arial" w:eastAsia="Arial" w:hAnsi="Arial"/>
          <w:sz w:val="22"/>
          <w:szCs w:val="22"/>
          <w:b w:val="1"/>
          <w:bCs w:val="1"/>
          <w:color w:val="auto"/>
        </w:rPr>
        <w:t xml:space="preserve">“P” </w:t>
      </w:r>
      <w:r>
        <w:rPr>
          <w:rFonts w:ascii="Arial" w:cs="Arial" w:eastAsia="Arial" w:hAnsi="Arial"/>
          <w:sz w:val="22"/>
          <w:szCs w:val="22"/>
          <w:color w:val="auto"/>
        </w:rPr>
        <w:t>represents the Company’s Relative TSR, expressed as a percentile and rounded, if necessary, up to the next</w:t>
      </w:r>
      <w:r>
        <w:rPr>
          <w:rFonts w:ascii="Arial" w:cs="Arial" w:eastAsia="Arial" w:hAnsi="Arial"/>
          <w:sz w:val="22"/>
          <w:szCs w:val="22"/>
          <w:b w:val="1"/>
          <w:bCs w:val="1"/>
          <w:color w:val="auto"/>
        </w:rPr>
        <w:t xml:space="preserve"> </w:t>
      </w:r>
      <w:r>
        <w:rPr>
          <w:rFonts w:ascii="Arial" w:cs="Arial" w:eastAsia="Arial" w:hAnsi="Arial"/>
          <w:sz w:val="22"/>
          <w:szCs w:val="22"/>
          <w:color w:val="auto"/>
        </w:rPr>
        <w:t>whole percentile.</w:t>
      </w:r>
    </w:p>
    <w:p>
      <w:pPr>
        <w:spacing w:after="0" w:line="54" w:lineRule="exact"/>
        <w:rPr>
          <w:rFonts w:ascii="Arial" w:cs="Arial" w:eastAsia="Arial" w:hAnsi="Arial"/>
          <w:sz w:val="22"/>
          <w:szCs w:val="22"/>
          <w:color w:val="auto"/>
        </w:rPr>
      </w:pPr>
    </w:p>
    <w:p>
      <w:pPr>
        <w:ind w:left="968"/>
        <w:spacing w:after="0"/>
        <w:rPr>
          <w:rFonts w:ascii="Arial" w:cs="Arial" w:eastAsia="Arial" w:hAnsi="Arial"/>
          <w:sz w:val="22"/>
          <w:szCs w:val="22"/>
          <w:color w:val="auto"/>
        </w:rPr>
      </w:pPr>
      <w:r>
        <w:rPr>
          <w:rFonts w:ascii="Arial" w:cs="Arial" w:eastAsia="Arial" w:hAnsi="Arial"/>
          <w:sz w:val="22"/>
          <w:szCs w:val="22"/>
          <w:b w:val="1"/>
          <w:bCs w:val="1"/>
          <w:color w:val="auto"/>
        </w:rPr>
        <w:t xml:space="preserve">“N” </w:t>
      </w:r>
      <w:r>
        <w:rPr>
          <w:rFonts w:ascii="Arial" w:cs="Arial" w:eastAsia="Arial" w:hAnsi="Arial"/>
          <w:sz w:val="22"/>
          <w:szCs w:val="22"/>
          <w:color w:val="auto"/>
        </w:rPr>
        <w:t>represents the number of companies in the Peer Group (including the Company).</w:t>
      </w:r>
    </w:p>
    <w:p>
      <w:pPr>
        <w:spacing w:after="0" w:line="152" w:lineRule="exact"/>
        <w:rPr>
          <w:rFonts w:ascii="Arial" w:cs="Arial" w:eastAsia="Arial" w:hAnsi="Arial"/>
          <w:sz w:val="22"/>
          <w:szCs w:val="22"/>
          <w:color w:val="auto"/>
        </w:rPr>
      </w:pPr>
    </w:p>
    <w:p>
      <w:pPr>
        <w:ind w:left="968" w:right="280"/>
        <w:spacing w:after="0" w:line="307" w:lineRule="auto"/>
        <w:rPr>
          <w:rFonts w:ascii="Arial" w:cs="Arial" w:eastAsia="Arial" w:hAnsi="Arial"/>
          <w:sz w:val="22"/>
          <w:szCs w:val="22"/>
          <w:color w:val="auto"/>
        </w:rPr>
      </w:pPr>
      <w:r>
        <w:rPr>
          <w:rFonts w:ascii="Arial" w:cs="Arial" w:eastAsia="Arial" w:hAnsi="Arial"/>
          <w:sz w:val="22"/>
          <w:szCs w:val="22"/>
          <w:b w:val="1"/>
          <w:bCs w:val="1"/>
          <w:color w:val="auto"/>
        </w:rPr>
        <w:t xml:space="preserve">“R” </w:t>
      </w:r>
      <w:r>
        <w:rPr>
          <w:rFonts w:ascii="Arial" w:cs="Arial" w:eastAsia="Arial" w:hAnsi="Arial"/>
          <w:sz w:val="22"/>
          <w:szCs w:val="22"/>
          <w:color w:val="auto"/>
        </w:rPr>
        <w:t>represents the Company’s ranking versus the other companies in the Peer Group determined in accordance</w:t>
      </w:r>
      <w:r>
        <w:rPr>
          <w:rFonts w:ascii="Arial" w:cs="Arial" w:eastAsia="Arial" w:hAnsi="Arial"/>
          <w:sz w:val="22"/>
          <w:szCs w:val="22"/>
          <w:b w:val="1"/>
          <w:bCs w:val="1"/>
          <w:color w:val="auto"/>
        </w:rPr>
        <w:t xml:space="preserve"> </w:t>
      </w:r>
      <w:r>
        <w:rPr>
          <w:rFonts w:ascii="Arial" w:cs="Arial" w:eastAsia="Arial" w:hAnsi="Arial"/>
          <w:sz w:val="22"/>
          <w:szCs w:val="22"/>
          <w:color w:val="auto"/>
        </w:rPr>
        <w:t>with items (1) and (2) above.</w:t>
      </w:r>
    </w:p>
    <w:p>
      <w:pPr>
        <w:spacing w:after="0" w:line="53" w:lineRule="exact"/>
        <w:rPr>
          <w:rFonts w:ascii="Arial" w:cs="Arial" w:eastAsia="Arial" w:hAnsi="Arial"/>
          <w:sz w:val="22"/>
          <w:szCs w:val="22"/>
          <w:color w:val="auto"/>
        </w:rPr>
      </w:pPr>
    </w:p>
    <w:p>
      <w:pPr>
        <w:ind w:left="968"/>
        <w:spacing w:after="0" w:line="254" w:lineRule="auto"/>
        <w:rPr>
          <w:rFonts w:ascii="Arial" w:cs="Arial" w:eastAsia="Arial" w:hAnsi="Arial"/>
          <w:sz w:val="22"/>
          <w:szCs w:val="22"/>
          <w:color w:val="auto"/>
        </w:rPr>
      </w:pPr>
      <w:r>
        <w:rPr>
          <w:rFonts w:ascii="Arial" w:cs="Arial" w:eastAsia="Arial" w:hAnsi="Arial"/>
          <w:sz w:val="22"/>
          <w:szCs w:val="22"/>
          <w:b w:val="1"/>
          <w:bCs w:val="1"/>
          <w:i w:val="1"/>
          <w:iCs w:val="1"/>
          <w:color w:val="auto"/>
        </w:rPr>
        <w:t xml:space="preserve">Example: </w:t>
      </w:r>
      <w:r>
        <w:rPr>
          <w:rFonts w:ascii="Arial" w:cs="Arial" w:eastAsia="Arial" w:hAnsi="Arial"/>
          <w:sz w:val="22"/>
          <w:szCs w:val="22"/>
          <w:color w:val="auto"/>
        </w:rPr>
        <w:t>If the Company ranked 10</w:t>
      </w:r>
      <w:r>
        <w:rPr>
          <w:rFonts w:ascii="Arial" w:cs="Arial" w:eastAsia="Arial" w:hAnsi="Arial"/>
          <w:sz w:val="28"/>
          <w:szCs w:val="28"/>
          <w:color w:val="auto"/>
          <w:vertAlign w:val="superscript"/>
        </w:rPr>
        <w:t>th</w:t>
      </w:r>
      <w:r>
        <w:rPr>
          <w:rFonts w:ascii="Arial" w:cs="Arial" w:eastAsia="Arial" w:hAnsi="Arial"/>
          <w:sz w:val="22"/>
          <w:szCs w:val="22"/>
          <w:b w:val="1"/>
          <w:bCs w:val="1"/>
          <w:i w:val="1"/>
          <w:iCs w:val="1"/>
          <w:color w:val="auto"/>
        </w:rPr>
        <w:t xml:space="preserve"> </w:t>
      </w:r>
      <w:r>
        <w:rPr>
          <w:rFonts w:ascii="Arial" w:cs="Arial" w:eastAsia="Arial" w:hAnsi="Arial"/>
          <w:sz w:val="22"/>
          <w:szCs w:val="22"/>
          <w:color w:val="auto"/>
        </w:rPr>
        <w:t>out of 56 total companies in the Peer Group (inclusive of the Company), the</w:t>
      </w:r>
      <w:r>
        <w:rPr>
          <w:rFonts w:ascii="Arial" w:cs="Arial" w:eastAsia="Arial" w:hAnsi="Arial"/>
          <w:sz w:val="22"/>
          <w:szCs w:val="22"/>
          <w:b w:val="1"/>
          <w:bCs w:val="1"/>
          <w:i w:val="1"/>
          <w:iCs w:val="1"/>
          <w:color w:val="auto"/>
        </w:rPr>
        <w:t xml:space="preserve"> </w:t>
      </w:r>
      <w:r>
        <w:rPr>
          <w:rFonts w:ascii="Arial" w:cs="Arial" w:eastAsia="Arial" w:hAnsi="Arial"/>
          <w:sz w:val="22"/>
          <w:szCs w:val="22"/>
          <w:color w:val="auto"/>
        </w:rPr>
        <w:t>Relative TSR (“P”) therefore will be in the 84</w:t>
      </w:r>
      <w:r>
        <w:rPr>
          <w:rFonts w:ascii="Arial" w:cs="Arial" w:eastAsia="Arial" w:hAnsi="Arial"/>
          <w:sz w:val="28"/>
          <w:szCs w:val="28"/>
          <w:color w:val="auto"/>
          <w:vertAlign w:val="superscript"/>
        </w:rPr>
        <w:t>th</w:t>
      </w:r>
      <w:r>
        <w:rPr>
          <w:rFonts w:ascii="Arial" w:cs="Arial" w:eastAsia="Arial" w:hAnsi="Arial"/>
          <w:sz w:val="22"/>
          <w:szCs w:val="22"/>
          <w:color w:val="auto"/>
        </w:rPr>
        <w:t xml:space="preserve"> percentile.</w:t>
      </w:r>
    </w:p>
    <w:p>
      <w:pPr>
        <w:spacing w:after="0" w:line="22" w:lineRule="exact"/>
        <w:rPr>
          <w:rFonts w:ascii="Arial" w:cs="Arial" w:eastAsia="Arial" w:hAnsi="Arial"/>
          <w:sz w:val="22"/>
          <w:szCs w:val="22"/>
          <w:color w:val="auto"/>
        </w:rPr>
      </w:pPr>
    </w:p>
    <w:p>
      <w:pPr>
        <w:ind w:left="968"/>
        <w:spacing w:after="0"/>
        <w:rPr>
          <w:rFonts w:ascii="Arial" w:cs="Arial" w:eastAsia="Arial" w:hAnsi="Arial"/>
          <w:sz w:val="22"/>
          <w:szCs w:val="22"/>
          <w:color w:val="auto"/>
        </w:rPr>
      </w:pPr>
      <w:r>
        <w:rPr>
          <w:rFonts w:ascii="Arial" w:cs="Arial" w:eastAsia="Arial" w:hAnsi="Arial"/>
          <w:sz w:val="22"/>
          <w:szCs w:val="22"/>
          <w:color w:val="auto"/>
        </w:rPr>
        <w:t xml:space="preserve">This calculation is as follows: </w:t>
      </w:r>
      <w:r>
        <w:rPr>
          <w:rFonts w:ascii="Arial" w:cs="Arial" w:eastAsia="Arial" w:hAnsi="Arial"/>
          <w:sz w:val="22"/>
          <w:szCs w:val="22"/>
          <w:b w:val="1"/>
          <w:bCs w:val="1"/>
          <w:color w:val="auto"/>
        </w:rPr>
        <w:t>0.837</w:t>
      </w:r>
      <w:r>
        <w:rPr>
          <w:rFonts w:ascii="Arial" w:cs="Arial" w:eastAsia="Arial" w:hAnsi="Arial"/>
          <w:sz w:val="22"/>
          <w:szCs w:val="22"/>
          <w:color w:val="auto"/>
        </w:rPr>
        <w:t xml:space="preserve"> = 1 - (10 - 1) / (56 - 1).</w:t>
      </w:r>
    </w:p>
    <w:p>
      <w:pPr>
        <w:spacing w:after="0" w:line="200" w:lineRule="exact"/>
        <w:rPr>
          <w:rFonts w:ascii="Arial" w:cs="Arial" w:eastAsia="Arial" w:hAnsi="Arial"/>
          <w:sz w:val="22"/>
          <w:szCs w:val="22"/>
          <w:color w:val="auto"/>
        </w:rPr>
      </w:pPr>
    </w:p>
    <w:p>
      <w:pPr>
        <w:spacing w:after="0" w:line="309" w:lineRule="exact"/>
        <w:rPr>
          <w:rFonts w:ascii="Arial" w:cs="Arial" w:eastAsia="Arial" w:hAnsi="Arial"/>
          <w:sz w:val="22"/>
          <w:szCs w:val="22"/>
          <w:color w:val="auto"/>
        </w:rPr>
      </w:pPr>
    </w:p>
    <w:p>
      <w:pPr>
        <w:ind w:left="648" w:hanging="648"/>
        <w:spacing w:after="0"/>
        <w:tabs>
          <w:tab w:leader="none" w:pos="648" w:val="left"/>
        </w:tabs>
        <w:numPr>
          <w:ilvl w:val="0"/>
          <w:numId w:val="55"/>
        </w:numPr>
        <w:rPr>
          <w:rFonts w:ascii="Arial" w:cs="Arial" w:eastAsia="Arial" w:hAnsi="Arial"/>
          <w:sz w:val="22"/>
          <w:szCs w:val="22"/>
          <w:color w:val="auto"/>
        </w:rPr>
      </w:pPr>
      <w:r>
        <w:rPr>
          <w:rFonts w:ascii="Arial" w:cs="Arial" w:eastAsia="Arial" w:hAnsi="Arial"/>
          <w:sz w:val="22"/>
          <w:szCs w:val="22"/>
          <w:color w:val="auto"/>
        </w:rPr>
        <w:t>“Retirement” means retirement as determined by the Board in its sole discretion.</w:t>
      </w:r>
    </w:p>
    <w:p>
      <w:pPr>
        <w:spacing w:after="0" w:line="273" w:lineRule="exact"/>
        <w:rPr>
          <w:rFonts w:ascii="Arial" w:cs="Arial" w:eastAsia="Arial" w:hAnsi="Arial"/>
          <w:sz w:val="22"/>
          <w:szCs w:val="22"/>
          <w:color w:val="auto"/>
        </w:rPr>
      </w:pPr>
    </w:p>
    <w:p>
      <w:pPr>
        <w:ind w:left="648" w:right="160" w:hanging="648"/>
        <w:spacing w:after="0" w:line="314" w:lineRule="auto"/>
        <w:tabs>
          <w:tab w:leader="none" w:pos="648" w:val="left"/>
        </w:tabs>
        <w:numPr>
          <w:ilvl w:val="0"/>
          <w:numId w:val="55"/>
        </w:numPr>
        <w:rPr>
          <w:rFonts w:ascii="Arial" w:cs="Arial" w:eastAsia="Arial" w:hAnsi="Arial"/>
          <w:sz w:val="21"/>
          <w:szCs w:val="21"/>
          <w:color w:val="auto"/>
        </w:rPr>
      </w:pPr>
      <w:r>
        <w:rPr>
          <w:rFonts w:ascii="Arial" w:cs="Arial" w:eastAsia="Arial" w:hAnsi="Arial"/>
          <w:sz w:val="21"/>
          <w:szCs w:val="21"/>
          <w:color w:val="auto"/>
        </w:rPr>
        <w:t>“Worldwide Revenue” means for any particular Performance Year: revenue as publicly reported by the Company for that year and as reviewed by the Board’s Audit Committee and Compensation Committee.</w:t>
      </w:r>
    </w:p>
    <w:p>
      <w:pPr>
        <w:spacing w:after="0" w:line="178" w:lineRule="exact"/>
        <w:rPr>
          <w:rFonts w:ascii="Arial" w:cs="Arial" w:eastAsia="Arial" w:hAnsi="Arial"/>
          <w:sz w:val="21"/>
          <w:szCs w:val="21"/>
          <w:color w:val="auto"/>
        </w:rPr>
      </w:pPr>
    </w:p>
    <w:p>
      <w:pPr>
        <w:ind w:left="648" w:hanging="648"/>
        <w:spacing w:after="0"/>
        <w:tabs>
          <w:tab w:leader="none" w:pos="648" w:val="left"/>
        </w:tabs>
        <w:numPr>
          <w:ilvl w:val="0"/>
          <w:numId w:val="55"/>
        </w:numPr>
        <w:rPr>
          <w:rFonts w:ascii="Arial" w:cs="Arial" w:eastAsia="Arial" w:hAnsi="Arial"/>
          <w:sz w:val="19"/>
          <w:szCs w:val="19"/>
          <w:color w:val="auto"/>
        </w:rPr>
      </w:pPr>
      <w:r>
        <w:rPr>
          <w:rFonts w:ascii="Arial" w:cs="Arial" w:eastAsia="Arial" w:hAnsi="Arial"/>
          <w:sz w:val="19"/>
          <w:szCs w:val="19"/>
          <w:color w:val="auto"/>
        </w:rPr>
        <w:t>“Worldwide Revenue Growth” means for any particular Performance Year: the following quotient (expressed as a</w:t>
      </w:r>
    </w:p>
    <w:p>
      <w:pPr>
        <w:spacing w:after="0" w:line="65" w:lineRule="exact"/>
        <w:rPr>
          <w:rFonts w:ascii="Arial" w:cs="Arial" w:eastAsia="Arial" w:hAnsi="Arial"/>
          <w:sz w:val="19"/>
          <w:szCs w:val="19"/>
          <w:color w:val="auto"/>
        </w:rPr>
      </w:pPr>
    </w:p>
    <w:p>
      <w:pPr>
        <w:ind w:left="648" w:right="800"/>
        <w:spacing w:after="0" w:line="279" w:lineRule="auto"/>
        <w:rPr>
          <w:rFonts w:ascii="Arial" w:cs="Arial" w:eastAsia="Arial" w:hAnsi="Arial"/>
          <w:sz w:val="19"/>
          <w:szCs w:val="19"/>
          <w:color w:val="auto"/>
        </w:rPr>
      </w:pPr>
      <w:r>
        <w:rPr>
          <w:rFonts w:ascii="Arial" w:cs="Arial" w:eastAsia="Arial" w:hAnsi="Arial"/>
          <w:sz w:val="22"/>
          <w:szCs w:val="22"/>
          <w:color w:val="auto"/>
        </w:rPr>
        <w:t>percentage): (A) the excess, if any, of Worldwide Revenue for that year minus Worldwide Revenue for the immediately preceding Performance Year, divided by (B) Worldwide Revenue for the immediately preceding Performance Year.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2837180</wp:posOffset>
            </wp:positionH>
            <wp:positionV relativeFrom="paragraph">
              <wp:posOffset>-4180840</wp:posOffset>
            </wp:positionV>
            <wp:extent cx="1054100" cy="38608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2">
                      <a:extLst>
                        <a:ext uri="{28A0092B-C50C-407E-A947-70E740481C1C}"/>
                      </a:extLst>
                    </a:blip>
                    <a:srcRect/>
                    <a:stretch>
                      <a:fillRect/>
                    </a:stretch>
                  </pic:blipFill>
                  <pic:spPr bwMode="auto">
                    <a:xfrm>
                      <a:off x="0" y="0"/>
                      <a:ext cx="1054100" cy="3860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ind w:right="292"/>
        <w:spacing w:after="0"/>
        <w:rPr>
          <w:sz w:val="20"/>
          <w:szCs w:val="20"/>
          <w:color w:val="auto"/>
        </w:rPr>
      </w:pPr>
      <w:r>
        <w:rPr>
          <w:rFonts w:ascii="Arial" w:cs="Arial" w:eastAsia="Arial" w:hAnsi="Arial"/>
          <w:sz w:val="22"/>
          <w:szCs w:val="22"/>
          <w:color w:val="auto"/>
        </w:rPr>
        <w:t>17</w:t>
      </w:r>
    </w:p>
    <w:p>
      <w:pPr>
        <w:sectPr>
          <w:pgSz w:w="11900" w:h="16838" w:orient="portrait"/>
          <w:cols w:equalWidth="0" w:num="1">
            <w:col w:w="10888"/>
          </w:cols>
          <w:pgMar w:left="652" w:top="1440" w:right="359" w:bottom="1440" w:gutter="0" w:footer="0" w:header="0"/>
        </w:sectPr>
      </w:pPr>
    </w:p>
    <w:bookmarkStart w:id="58" w:name="page59"/>
    <w:bookmarkEnd w:id="58"/>
    <w:p>
      <w:pPr>
        <w:spacing w:after="0" w:line="2" w:lineRule="exact"/>
        <w:rPr>
          <w:sz w:val="20"/>
          <w:szCs w:val="20"/>
          <w:color w:val="auto"/>
        </w:rPr>
      </w:pPr>
    </w:p>
    <w:p>
      <w:pPr>
        <w:ind w:left="648" w:hanging="648"/>
        <w:spacing w:after="0" w:line="279" w:lineRule="auto"/>
        <w:tabs>
          <w:tab w:leader="none" w:pos="643" w:val="left"/>
        </w:tabs>
        <w:numPr>
          <w:ilvl w:val="0"/>
          <w:numId w:val="56"/>
        </w:numPr>
        <w:rPr>
          <w:rFonts w:ascii="Arial" w:cs="Arial" w:eastAsia="Arial" w:hAnsi="Arial"/>
          <w:sz w:val="22"/>
          <w:szCs w:val="22"/>
          <w:color w:val="auto"/>
        </w:rPr>
      </w:pPr>
      <w:r>
        <w:rPr>
          <w:rFonts w:ascii="Arial" w:cs="Arial" w:eastAsia="Arial" w:hAnsi="Arial"/>
          <w:sz w:val="22"/>
          <w:szCs w:val="22"/>
          <w:color w:val="auto"/>
        </w:rPr>
        <w:t>“Worldwide Adjusted EPS” means for any particular Performance Year: adjusted earnings per share as publicly reported by the Company for that year and as reviewed by the Board’s Audit Committee and Compensation Committee.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center"/>
        <w:ind w:right="-307"/>
        <w:spacing w:after="0"/>
        <w:rPr>
          <w:sz w:val="20"/>
          <w:szCs w:val="20"/>
          <w:color w:val="auto"/>
        </w:rPr>
      </w:pPr>
      <w:r>
        <w:rPr>
          <w:rFonts w:ascii="Arial" w:cs="Arial" w:eastAsia="Arial" w:hAnsi="Arial"/>
          <w:sz w:val="22"/>
          <w:szCs w:val="22"/>
          <w:color w:val="auto"/>
        </w:rPr>
        <w:t>18</w:t>
      </w:r>
    </w:p>
    <w:p>
      <w:pPr>
        <w:sectPr>
          <w:pgSz w:w="11900" w:h="16838" w:orient="portrait"/>
          <w:cols w:equalWidth="0" w:num="1">
            <w:col w:w="10268"/>
          </w:cols>
          <w:pgMar w:left="652" w:top="1440" w:right="979" w:bottom="1440" w:gutter="0" w:footer="0" w:header="0"/>
        </w:sectPr>
      </w:pPr>
    </w:p>
    <w:bookmarkStart w:id="59" w:name="page60"/>
    <w:bookmarkEnd w:id="59"/>
    <w:p>
      <w:pPr>
        <w:spacing w:after="0" w:line="81"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3620" w:type="dxa"/>
            <w:vAlign w:val="bottom"/>
          </w:tcPr>
          <w:p>
            <w:pPr>
              <w:spacing w:after="0"/>
              <w:rPr>
                <w:sz w:val="21"/>
                <w:szCs w:val="21"/>
                <w:color w:val="auto"/>
              </w:rPr>
            </w:pPr>
          </w:p>
        </w:tc>
        <w:tc>
          <w:tcPr>
            <w:tcW w:w="1480" w:type="dxa"/>
            <w:vAlign w:val="bottom"/>
          </w:tcPr>
          <w:p>
            <w:pPr>
              <w:spacing w:after="0"/>
              <w:rPr>
                <w:sz w:val="21"/>
                <w:szCs w:val="21"/>
                <w:color w:val="auto"/>
              </w:rPr>
            </w:pPr>
          </w:p>
        </w:tc>
        <w:tc>
          <w:tcPr>
            <w:tcW w:w="2880" w:type="dxa"/>
            <w:vAlign w:val="bottom"/>
            <w:gridSpan w:val="2"/>
          </w:tcPr>
          <w:p>
            <w:pPr>
              <w:spacing w:after="0"/>
              <w:rPr>
                <w:sz w:val="20"/>
                <w:szCs w:val="20"/>
                <w:color w:val="auto"/>
              </w:rPr>
            </w:pPr>
            <w:r>
              <w:rPr>
                <w:rFonts w:ascii="Arial" w:cs="Arial" w:eastAsia="Arial" w:hAnsi="Arial"/>
                <w:sz w:val="22"/>
                <w:szCs w:val="22"/>
                <w:color w:val="auto"/>
              </w:rPr>
              <w:t>Schedule A</w:t>
            </w:r>
          </w:p>
        </w:tc>
      </w:tr>
      <w:tr>
        <w:trPr>
          <w:trHeight w:val="20"/>
        </w:trPr>
        <w:tc>
          <w:tcPr>
            <w:tcW w:w="362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r>
      <w:tr>
        <w:trPr>
          <w:trHeight w:val="611"/>
        </w:trPr>
        <w:tc>
          <w:tcPr>
            <w:tcW w:w="3620" w:type="dxa"/>
            <w:vAlign w:val="bottom"/>
          </w:tcPr>
          <w:p>
            <w:pPr>
              <w:spacing w:after="0"/>
              <w:rPr>
                <w:sz w:val="20"/>
                <w:szCs w:val="20"/>
                <w:color w:val="auto"/>
              </w:rPr>
            </w:pPr>
            <w:r>
              <w:rPr>
                <w:rFonts w:ascii="Arial" w:cs="Arial" w:eastAsia="Arial" w:hAnsi="Arial"/>
                <w:sz w:val="22"/>
                <w:szCs w:val="22"/>
                <w:color w:val="auto"/>
              </w:rPr>
              <w:t>Becton, Dickinson and Company</w:t>
            </w:r>
          </w:p>
        </w:tc>
        <w:tc>
          <w:tcPr>
            <w:tcW w:w="4360" w:type="dxa"/>
            <w:vAlign w:val="bottom"/>
            <w:gridSpan w:val="3"/>
          </w:tcPr>
          <w:p>
            <w:pPr>
              <w:ind w:left="620"/>
              <w:spacing w:after="0"/>
              <w:rPr>
                <w:sz w:val="20"/>
                <w:szCs w:val="20"/>
                <w:color w:val="auto"/>
              </w:rPr>
            </w:pPr>
            <w:r>
              <w:rPr>
                <w:rFonts w:ascii="Arial" w:cs="Arial" w:eastAsia="Arial" w:hAnsi="Arial"/>
                <w:sz w:val="22"/>
                <w:szCs w:val="22"/>
                <w:color w:val="auto"/>
              </w:rPr>
              <w:t>Stryker Corporation</w:t>
            </w:r>
          </w:p>
        </w:tc>
      </w:tr>
      <w:tr>
        <w:trPr>
          <w:trHeight w:val="338"/>
        </w:trPr>
        <w:tc>
          <w:tcPr>
            <w:tcW w:w="3620" w:type="dxa"/>
            <w:vAlign w:val="bottom"/>
          </w:tcPr>
          <w:p>
            <w:pPr>
              <w:spacing w:after="0"/>
              <w:rPr>
                <w:sz w:val="20"/>
                <w:szCs w:val="20"/>
                <w:color w:val="auto"/>
              </w:rPr>
            </w:pPr>
            <w:r>
              <w:rPr>
                <w:rFonts w:ascii="Arial" w:cs="Arial" w:eastAsia="Arial" w:hAnsi="Arial"/>
                <w:sz w:val="22"/>
                <w:szCs w:val="22"/>
                <w:color w:val="auto"/>
              </w:rPr>
              <w:t>Boston Scientific Corporation</w:t>
            </w:r>
          </w:p>
        </w:tc>
        <w:tc>
          <w:tcPr>
            <w:tcW w:w="4360" w:type="dxa"/>
            <w:vAlign w:val="bottom"/>
            <w:gridSpan w:val="3"/>
          </w:tcPr>
          <w:p>
            <w:pPr>
              <w:ind w:left="620"/>
              <w:spacing w:after="0"/>
              <w:rPr>
                <w:sz w:val="20"/>
                <w:szCs w:val="20"/>
                <w:color w:val="auto"/>
              </w:rPr>
            </w:pPr>
            <w:r>
              <w:rPr>
                <w:rFonts w:ascii="Arial" w:cs="Arial" w:eastAsia="Arial" w:hAnsi="Arial"/>
                <w:sz w:val="22"/>
                <w:szCs w:val="22"/>
                <w:color w:val="auto"/>
              </w:rPr>
              <w:t>Intuitive Surgical, Inc.</w:t>
            </w:r>
          </w:p>
        </w:tc>
      </w:tr>
      <w:tr>
        <w:trPr>
          <w:trHeight w:val="338"/>
        </w:trPr>
        <w:tc>
          <w:tcPr>
            <w:tcW w:w="3620" w:type="dxa"/>
            <w:vAlign w:val="bottom"/>
          </w:tcPr>
          <w:p>
            <w:pPr>
              <w:spacing w:after="0"/>
              <w:rPr>
                <w:sz w:val="20"/>
                <w:szCs w:val="20"/>
                <w:color w:val="auto"/>
              </w:rPr>
            </w:pPr>
            <w:r>
              <w:rPr>
                <w:rFonts w:ascii="Arial" w:cs="Arial" w:eastAsia="Arial" w:hAnsi="Arial"/>
                <w:sz w:val="22"/>
                <w:szCs w:val="22"/>
                <w:color w:val="auto"/>
              </w:rPr>
              <w:t>Edwards Lifesciences Corporation</w:t>
            </w:r>
          </w:p>
        </w:tc>
        <w:tc>
          <w:tcPr>
            <w:tcW w:w="4360" w:type="dxa"/>
            <w:vAlign w:val="bottom"/>
            <w:gridSpan w:val="3"/>
          </w:tcPr>
          <w:p>
            <w:pPr>
              <w:ind w:left="620"/>
              <w:spacing w:after="0"/>
              <w:rPr>
                <w:sz w:val="20"/>
                <w:szCs w:val="20"/>
                <w:color w:val="auto"/>
              </w:rPr>
            </w:pPr>
            <w:r>
              <w:rPr>
                <w:rFonts w:ascii="Arial" w:cs="Arial" w:eastAsia="Arial" w:hAnsi="Arial"/>
                <w:sz w:val="22"/>
                <w:szCs w:val="22"/>
                <w:color w:val="auto"/>
              </w:rPr>
              <w:t>Varian Medical Systems, Inc.</w:t>
            </w:r>
          </w:p>
        </w:tc>
      </w:tr>
      <w:tr>
        <w:trPr>
          <w:trHeight w:val="338"/>
        </w:trPr>
        <w:tc>
          <w:tcPr>
            <w:tcW w:w="3620" w:type="dxa"/>
            <w:vAlign w:val="bottom"/>
          </w:tcPr>
          <w:p>
            <w:pPr>
              <w:spacing w:after="0"/>
              <w:rPr>
                <w:sz w:val="20"/>
                <w:szCs w:val="20"/>
                <w:color w:val="auto"/>
              </w:rPr>
            </w:pPr>
            <w:r>
              <w:rPr>
                <w:rFonts w:ascii="Arial" w:cs="Arial" w:eastAsia="Arial" w:hAnsi="Arial"/>
                <w:sz w:val="22"/>
                <w:szCs w:val="22"/>
                <w:color w:val="auto"/>
              </w:rPr>
              <w:t>STERIS plc</w:t>
            </w:r>
          </w:p>
        </w:tc>
        <w:tc>
          <w:tcPr>
            <w:tcW w:w="4360" w:type="dxa"/>
            <w:vAlign w:val="bottom"/>
            <w:gridSpan w:val="3"/>
          </w:tcPr>
          <w:p>
            <w:pPr>
              <w:ind w:left="620"/>
              <w:spacing w:after="0"/>
              <w:rPr>
                <w:sz w:val="20"/>
                <w:szCs w:val="20"/>
                <w:color w:val="auto"/>
              </w:rPr>
            </w:pPr>
            <w:r>
              <w:rPr>
                <w:rFonts w:ascii="Arial" w:cs="Arial" w:eastAsia="Arial" w:hAnsi="Arial"/>
                <w:sz w:val="22"/>
                <w:szCs w:val="22"/>
                <w:color w:val="auto"/>
              </w:rPr>
              <w:t>ResMed Inc.</w:t>
            </w:r>
          </w:p>
        </w:tc>
      </w:tr>
      <w:tr>
        <w:trPr>
          <w:trHeight w:val="338"/>
        </w:trPr>
        <w:tc>
          <w:tcPr>
            <w:tcW w:w="3620" w:type="dxa"/>
            <w:vAlign w:val="bottom"/>
          </w:tcPr>
          <w:p>
            <w:pPr>
              <w:spacing w:after="0"/>
              <w:rPr>
                <w:sz w:val="20"/>
                <w:szCs w:val="20"/>
                <w:color w:val="auto"/>
              </w:rPr>
            </w:pPr>
            <w:r>
              <w:rPr>
                <w:rFonts w:ascii="Arial" w:cs="Arial" w:eastAsia="Arial" w:hAnsi="Arial"/>
                <w:sz w:val="22"/>
                <w:szCs w:val="22"/>
                <w:color w:val="auto"/>
              </w:rPr>
              <w:t>Teleflex Incorporated</w:t>
            </w:r>
          </w:p>
        </w:tc>
        <w:tc>
          <w:tcPr>
            <w:tcW w:w="4360" w:type="dxa"/>
            <w:vAlign w:val="bottom"/>
            <w:gridSpan w:val="3"/>
          </w:tcPr>
          <w:p>
            <w:pPr>
              <w:ind w:left="620"/>
              <w:spacing w:after="0"/>
              <w:rPr>
                <w:sz w:val="20"/>
                <w:szCs w:val="20"/>
                <w:color w:val="auto"/>
              </w:rPr>
            </w:pPr>
            <w:r>
              <w:rPr>
                <w:rFonts w:ascii="Arial" w:cs="Arial" w:eastAsia="Arial" w:hAnsi="Arial"/>
                <w:sz w:val="22"/>
                <w:szCs w:val="22"/>
                <w:color w:val="auto"/>
                <w:w w:val="90"/>
              </w:rPr>
              <w:t>Integra LifeSciences Holdings Corporation</w:t>
            </w:r>
          </w:p>
        </w:tc>
      </w:tr>
      <w:tr>
        <w:trPr>
          <w:trHeight w:val="338"/>
        </w:trPr>
        <w:tc>
          <w:tcPr>
            <w:tcW w:w="3620" w:type="dxa"/>
            <w:vAlign w:val="bottom"/>
          </w:tcPr>
          <w:p>
            <w:pPr>
              <w:spacing w:after="0"/>
              <w:rPr>
                <w:sz w:val="20"/>
                <w:szCs w:val="20"/>
                <w:color w:val="auto"/>
              </w:rPr>
            </w:pPr>
            <w:r>
              <w:rPr>
                <w:rFonts w:ascii="Arial" w:cs="Arial" w:eastAsia="Arial" w:hAnsi="Arial"/>
                <w:sz w:val="22"/>
                <w:szCs w:val="22"/>
                <w:color w:val="auto"/>
              </w:rPr>
              <w:t>DexCom, Inc.</w:t>
            </w:r>
          </w:p>
        </w:tc>
        <w:tc>
          <w:tcPr>
            <w:tcW w:w="4360" w:type="dxa"/>
            <w:vAlign w:val="bottom"/>
            <w:gridSpan w:val="3"/>
          </w:tcPr>
          <w:p>
            <w:pPr>
              <w:ind w:left="620"/>
              <w:spacing w:after="0"/>
              <w:rPr>
                <w:sz w:val="20"/>
                <w:szCs w:val="20"/>
                <w:color w:val="auto"/>
              </w:rPr>
            </w:pPr>
            <w:r>
              <w:rPr>
                <w:rFonts w:ascii="Arial" w:cs="Arial" w:eastAsia="Arial" w:hAnsi="Arial"/>
                <w:sz w:val="22"/>
                <w:szCs w:val="22"/>
                <w:color w:val="auto"/>
              </w:rPr>
              <w:t>NuVasive, Inc.</w:t>
            </w:r>
          </w:p>
        </w:tc>
      </w:tr>
      <w:tr>
        <w:trPr>
          <w:trHeight w:val="338"/>
        </w:trPr>
        <w:tc>
          <w:tcPr>
            <w:tcW w:w="3620" w:type="dxa"/>
            <w:vAlign w:val="bottom"/>
          </w:tcPr>
          <w:p>
            <w:pPr>
              <w:spacing w:after="0"/>
              <w:rPr>
                <w:sz w:val="20"/>
                <w:szCs w:val="20"/>
                <w:color w:val="auto"/>
              </w:rPr>
            </w:pPr>
            <w:r>
              <w:rPr>
                <w:rFonts w:ascii="Arial" w:cs="Arial" w:eastAsia="Arial" w:hAnsi="Arial"/>
                <w:sz w:val="22"/>
                <w:szCs w:val="22"/>
                <w:color w:val="auto"/>
              </w:rPr>
              <w:t>Invacare Corporation</w:t>
            </w:r>
          </w:p>
        </w:tc>
        <w:tc>
          <w:tcPr>
            <w:tcW w:w="4360" w:type="dxa"/>
            <w:vAlign w:val="bottom"/>
            <w:gridSpan w:val="3"/>
          </w:tcPr>
          <w:p>
            <w:pPr>
              <w:ind w:left="620"/>
              <w:spacing w:after="0"/>
              <w:rPr>
                <w:sz w:val="20"/>
                <w:szCs w:val="20"/>
                <w:color w:val="auto"/>
              </w:rPr>
            </w:pPr>
            <w:r>
              <w:rPr>
                <w:rFonts w:ascii="Arial" w:cs="Arial" w:eastAsia="Arial" w:hAnsi="Arial"/>
                <w:sz w:val="22"/>
                <w:szCs w:val="22"/>
                <w:color w:val="auto"/>
              </w:rPr>
              <w:t>Cantel Medical Corp.</w:t>
            </w:r>
          </w:p>
        </w:tc>
      </w:tr>
      <w:tr>
        <w:trPr>
          <w:trHeight w:val="338"/>
        </w:trPr>
        <w:tc>
          <w:tcPr>
            <w:tcW w:w="3620" w:type="dxa"/>
            <w:vAlign w:val="bottom"/>
          </w:tcPr>
          <w:p>
            <w:pPr>
              <w:spacing w:after="0"/>
              <w:rPr>
                <w:sz w:val="20"/>
                <w:szCs w:val="20"/>
                <w:color w:val="auto"/>
              </w:rPr>
            </w:pPr>
            <w:r>
              <w:rPr>
                <w:rFonts w:ascii="Arial" w:cs="Arial" w:eastAsia="Arial" w:hAnsi="Arial"/>
                <w:sz w:val="22"/>
                <w:szCs w:val="22"/>
                <w:color w:val="auto"/>
              </w:rPr>
              <w:t>CONMED Corporation</w:t>
            </w:r>
          </w:p>
        </w:tc>
        <w:tc>
          <w:tcPr>
            <w:tcW w:w="4360" w:type="dxa"/>
            <w:vAlign w:val="bottom"/>
            <w:gridSpan w:val="3"/>
          </w:tcPr>
          <w:p>
            <w:pPr>
              <w:ind w:left="620"/>
              <w:spacing w:after="0"/>
              <w:rPr>
                <w:sz w:val="20"/>
                <w:szCs w:val="20"/>
                <w:color w:val="auto"/>
              </w:rPr>
            </w:pPr>
            <w:r>
              <w:rPr>
                <w:rFonts w:ascii="Arial" w:cs="Arial" w:eastAsia="Arial" w:hAnsi="Arial"/>
                <w:sz w:val="22"/>
                <w:szCs w:val="22"/>
                <w:color w:val="auto"/>
              </w:rPr>
              <w:t>Masimo Corporation</w:t>
            </w:r>
          </w:p>
        </w:tc>
      </w:tr>
      <w:tr>
        <w:trPr>
          <w:trHeight w:val="338"/>
        </w:trPr>
        <w:tc>
          <w:tcPr>
            <w:tcW w:w="3620" w:type="dxa"/>
            <w:vAlign w:val="bottom"/>
          </w:tcPr>
          <w:p>
            <w:pPr>
              <w:spacing w:after="0"/>
              <w:rPr>
                <w:sz w:val="20"/>
                <w:szCs w:val="20"/>
                <w:color w:val="auto"/>
              </w:rPr>
            </w:pPr>
            <w:r>
              <w:rPr>
                <w:rFonts w:ascii="Arial" w:cs="Arial" w:eastAsia="Arial" w:hAnsi="Arial"/>
                <w:sz w:val="22"/>
                <w:szCs w:val="22"/>
                <w:color w:val="auto"/>
              </w:rPr>
              <w:t>Wright Medical Group N.V.</w:t>
            </w:r>
          </w:p>
        </w:tc>
        <w:tc>
          <w:tcPr>
            <w:tcW w:w="4360" w:type="dxa"/>
            <w:vAlign w:val="bottom"/>
            <w:gridSpan w:val="3"/>
          </w:tcPr>
          <w:p>
            <w:pPr>
              <w:ind w:left="620"/>
              <w:spacing w:after="0"/>
              <w:rPr>
                <w:sz w:val="20"/>
                <w:szCs w:val="20"/>
                <w:color w:val="auto"/>
              </w:rPr>
            </w:pPr>
            <w:r>
              <w:rPr>
                <w:rFonts w:ascii="Arial" w:cs="Arial" w:eastAsia="Arial" w:hAnsi="Arial"/>
                <w:sz w:val="22"/>
                <w:szCs w:val="22"/>
                <w:color w:val="auto"/>
              </w:rPr>
              <w:t>Abiomed, Inc.</w:t>
            </w:r>
          </w:p>
        </w:tc>
      </w:tr>
      <w:tr>
        <w:trPr>
          <w:trHeight w:val="338"/>
        </w:trPr>
        <w:tc>
          <w:tcPr>
            <w:tcW w:w="3620" w:type="dxa"/>
            <w:vAlign w:val="bottom"/>
          </w:tcPr>
          <w:p>
            <w:pPr>
              <w:spacing w:after="0"/>
              <w:rPr>
                <w:sz w:val="20"/>
                <w:szCs w:val="20"/>
                <w:color w:val="auto"/>
              </w:rPr>
            </w:pPr>
            <w:r>
              <w:rPr>
                <w:rFonts w:ascii="Arial" w:cs="Arial" w:eastAsia="Arial" w:hAnsi="Arial"/>
                <w:sz w:val="22"/>
                <w:szCs w:val="22"/>
                <w:color w:val="auto"/>
              </w:rPr>
              <w:t>Insulet Corporation</w:t>
            </w:r>
          </w:p>
        </w:tc>
        <w:tc>
          <w:tcPr>
            <w:tcW w:w="4360" w:type="dxa"/>
            <w:vAlign w:val="bottom"/>
            <w:gridSpan w:val="3"/>
          </w:tcPr>
          <w:p>
            <w:pPr>
              <w:ind w:left="620"/>
              <w:spacing w:after="0"/>
              <w:rPr>
                <w:sz w:val="20"/>
                <w:szCs w:val="20"/>
                <w:color w:val="auto"/>
              </w:rPr>
            </w:pPr>
            <w:r>
              <w:rPr>
                <w:rFonts w:ascii="Arial" w:cs="Arial" w:eastAsia="Arial" w:hAnsi="Arial"/>
                <w:sz w:val="22"/>
                <w:szCs w:val="22"/>
                <w:color w:val="auto"/>
              </w:rPr>
              <w:t>Natus Medical Incorporated</w:t>
            </w:r>
          </w:p>
        </w:tc>
      </w:tr>
      <w:tr>
        <w:trPr>
          <w:trHeight w:val="338"/>
        </w:trPr>
        <w:tc>
          <w:tcPr>
            <w:tcW w:w="3620" w:type="dxa"/>
            <w:vAlign w:val="bottom"/>
          </w:tcPr>
          <w:p>
            <w:pPr>
              <w:spacing w:after="0"/>
              <w:rPr>
                <w:sz w:val="20"/>
                <w:szCs w:val="20"/>
                <w:color w:val="auto"/>
              </w:rPr>
            </w:pPr>
            <w:r>
              <w:rPr>
                <w:rFonts w:ascii="Arial" w:cs="Arial" w:eastAsia="Arial" w:hAnsi="Arial"/>
                <w:sz w:val="22"/>
                <w:szCs w:val="22"/>
                <w:color w:val="auto"/>
              </w:rPr>
              <w:t>Accuray Incorporated</w:t>
            </w:r>
          </w:p>
        </w:tc>
        <w:tc>
          <w:tcPr>
            <w:tcW w:w="4360" w:type="dxa"/>
            <w:vAlign w:val="bottom"/>
            <w:gridSpan w:val="3"/>
          </w:tcPr>
          <w:p>
            <w:pPr>
              <w:ind w:left="620"/>
              <w:spacing w:after="0"/>
              <w:rPr>
                <w:sz w:val="20"/>
                <w:szCs w:val="20"/>
                <w:color w:val="auto"/>
              </w:rPr>
            </w:pPr>
            <w:r>
              <w:rPr>
                <w:rFonts w:ascii="Arial" w:cs="Arial" w:eastAsia="Arial" w:hAnsi="Arial"/>
                <w:sz w:val="22"/>
                <w:szCs w:val="22"/>
                <w:color w:val="auto"/>
              </w:rPr>
              <w:t>CryoLife, Inc.</w:t>
            </w:r>
          </w:p>
        </w:tc>
      </w:tr>
      <w:tr>
        <w:trPr>
          <w:trHeight w:val="338"/>
        </w:trPr>
        <w:tc>
          <w:tcPr>
            <w:tcW w:w="3620" w:type="dxa"/>
            <w:vAlign w:val="bottom"/>
          </w:tcPr>
          <w:p>
            <w:pPr>
              <w:spacing w:after="0"/>
              <w:rPr>
                <w:sz w:val="20"/>
                <w:szCs w:val="20"/>
                <w:color w:val="auto"/>
              </w:rPr>
            </w:pPr>
            <w:r>
              <w:rPr>
                <w:rFonts w:ascii="Arial" w:cs="Arial" w:eastAsia="Arial" w:hAnsi="Arial"/>
                <w:sz w:val="22"/>
                <w:szCs w:val="22"/>
                <w:color w:val="auto"/>
              </w:rPr>
              <w:t>AtriCure, Inc.</w:t>
            </w:r>
          </w:p>
        </w:tc>
        <w:tc>
          <w:tcPr>
            <w:tcW w:w="4360" w:type="dxa"/>
            <w:vAlign w:val="bottom"/>
            <w:gridSpan w:val="3"/>
          </w:tcPr>
          <w:p>
            <w:pPr>
              <w:ind w:left="620"/>
              <w:spacing w:after="0"/>
              <w:rPr>
                <w:sz w:val="20"/>
                <w:szCs w:val="20"/>
                <w:color w:val="auto"/>
              </w:rPr>
            </w:pPr>
            <w:r>
              <w:rPr>
                <w:rFonts w:ascii="Arial" w:cs="Arial" w:eastAsia="Arial" w:hAnsi="Arial"/>
                <w:sz w:val="22"/>
                <w:szCs w:val="22"/>
                <w:color w:val="auto"/>
              </w:rPr>
              <w:t>Abbott Laboratories</w:t>
            </w:r>
          </w:p>
        </w:tc>
      </w:tr>
      <w:tr>
        <w:trPr>
          <w:trHeight w:val="338"/>
        </w:trPr>
        <w:tc>
          <w:tcPr>
            <w:tcW w:w="3620" w:type="dxa"/>
            <w:vAlign w:val="bottom"/>
          </w:tcPr>
          <w:p>
            <w:pPr>
              <w:spacing w:after="0"/>
              <w:rPr>
                <w:sz w:val="20"/>
                <w:szCs w:val="20"/>
                <w:color w:val="auto"/>
              </w:rPr>
            </w:pPr>
            <w:r>
              <w:rPr>
                <w:rFonts w:ascii="Arial" w:cs="Arial" w:eastAsia="Arial" w:hAnsi="Arial"/>
                <w:sz w:val="22"/>
                <w:szCs w:val="22"/>
                <w:color w:val="auto"/>
              </w:rPr>
              <w:t>Medtronic plc</w:t>
            </w:r>
          </w:p>
        </w:tc>
        <w:tc>
          <w:tcPr>
            <w:tcW w:w="4360" w:type="dxa"/>
            <w:vAlign w:val="bottom"/>
            <w:gridSpan w:val="3"/>
          </w:tcPr>
          <w:p>
            <w:pPr>
              <w:ind w:left="620"/>
              <w:spacing w:after="0"/>
              <w:rPr>
                <w:sz w:val="20"/>
                <w:szCs w:val="20"/>
                <w:color w:val="auto"/>
              </w:rPr>
            </w:pPr>
            <w:r>
              <w:rPr>
                <w:rFonts w:ascii="Arial" w:cs="Arial" w:eastAsia="Arial" w:hAnsi="Arial"/>
                <w:sz w:val="22"/>
                <w:szCs w:val="22"/>
                <w:color w:val="auto"/>
              </w:rPr>
              <w:t>Danaher Corporation</w:t>
            </w:r>
          </w:p>
        </w:tc>
      </w:tr>
      <w:tr>
        <w:trPr>
          <w:trHeight w:val="338"/>
        </w:trPr>
        <w:tc>
          <w:tcPr>
            <w:tcW w:w="3620" w:type="dxa"/>
            <w:vAlign w:val="bottom"/>
          </w:tcPr>
          <w:p>
            <w:pPr>
              <w:spacing w:after="0"/>
              <w:rPr>
                <w:sz w:val="20"/>
                <w:szCs w:val="20"/>
                <w:color w:val="auto"/>
              </w:rPr>
            </w:pPr>
            <w:r>
              <w:rPr>
                <w:rFonts w:ascii="Arial" w:cs="Arial" w:eastAsia="Arial" w:hAnsi="Arial"/>
                <w:sz w:val="22"/>
                <w:szCs w:val="22"/>
                <w:color w:val="auto"/>
              </w:rPr>
              <w:t>Baxter International Inc.</w:t>
            </w:r>
          </w:p>
        </w:tc>
        <w:tc>
          <w:tcPr>
            <w:tcW w:w="4360" w:type="dxa"/>
            <w:vAlign w:val="bottom"/>
            <w:gridSpan w:val="3"/>
          </w:tcPr>
          <w:p>
            <w:pPr>
              <w:ind w:left="620"/>
              <w:spacing w:after="0"/>
              <w:rPr>
                <w:sz w:val="20"/>
                <w:szCs w:val="20"/>
                <w:color w:val="auto"/>
              </w:rPr>
            </w:pPr>
            <w:r>
              <w:rPr>
                <w:rFonts w:ascii="Arial" w:cs="Arial" w:eastAsia="Arial" w:hAnsi="Arial"/>
                <w:sz w:val="22"/>
                <w:szCs w:val="22"/>
                <w:color w:val="auto"/>
              </w:rPr>
              <w:t>Zimmer Biomet Holdings, Inc.</w:t>
            </w:r>
          </w:p>
        </w:tc>
      </w:tr>
      <w:tr>
        <w:trPr>
          <w:trHeight w:val="338"/>
        </w:trPr>
        <w:tc>
          <w:tcPr>
            <w:tcW w:w="3620" w:type="dxa"/>
            <w:vAlign w:val="bottom"/>
          </w:tcPr>
          <w:p>
            <w:pPr>
              <w:spacing w:after="0"/>
              <w:rPr>
                <w:sz w:val="20"/>
                <w:szCs w:val="20"/>
                <w:color w:val="auto"/>
              </w:rPr>
            </w:pPr>
            <w:r>
              <w:rPr>
                <w:rFonts w:ascii="Arial" w:cs="Arial" w:eastAsia="Arial" w:hAnsi="Arial"/>
                <w:sz w:val="22"/>
                <w:szCs w:val="22"/>
                <w:color w:val="auto"/>
              </w:rPr>
              <w:t>Hologic, Inc.</w:t>
            </w:r>
          </w:p>
        </w:tc>
        <w:tc>
          <w:tcPr>
            <w:tcW w:w="4360" w:type="dxa"/>
            <w:vAlign w:val="bottom"/>
            <w:gridSpan w:val="3"/>
          </w:tcPr>
          <w:p>
            <w:pPr>
              <w:ind w:left="620"/>
              <w:spacing w:after="0"/>
              <w:rPr>
                <w:sz w:val="20"/>
                <w:szCs w:val="20"/>
                <w:color w:val="auto"/>
              </w:rPr>
            </w:pPr>
            <w:r>
              <w:rPr>
                <w:rFonts w:ascii="Arial" w:cs="Arial" w:eastAsia="Arial" w:hAnsi="Arial"/>
                <w:sz w:val="22"/>
                <w:szCs w:val="22"/>
                <w:color w:val="auto"/>
              </w:rPr>
              <w:t>IDEXX Laboratories, Inc.</w:t>
            </w:r>
          </w:p>
        </w:tc>
      </w:tr>
      <w:tr>
        <w:trPr>
          <w:trHeight w:val="337"/>
        </w:trPr>
        <w:tc>
          <w:tcPr>
            <w:tcW w:w="3620" w:type="dxa"/>
            <w:vAlign w:val="bottom"/>
          </w:tcPr>
          <w:p>
            <w:pPr>
              <w:spacing w:after="0"/>
              <w:rPr>
                <w:sz w:val="20"/>
                <w:szCs w:val="20"/>
                <w:color w:val="auto"/>
              </w:rPr>
            </w:pPr>
            <w:r>
              <w:rPr>
                <w:rFonts w:ascii="Arial" w:cs="Arial" w:eastAsia="Arial" w:hAnsi="Arial"/>
                <w:sz w:val="22"/>
                <w:szCs w:val="22"/>
                <w:color w:val="auto"/>
              </w:rPr>
              <w:t>Envista Holdings Corporation</w:t>
            </w:r>
          </w:p>
        </w:tc>
        <w:tc>
          <w:tcPr>
            <w:tcW w:w="4360" w:type="dxa"/>
            <w:vAlign w:val="bottom"/>
            <w:gridSpan w:val="3"/>
          </w:tcPr>
          <w:p>
            <w:pPr>
              <w:ind w:left="620"/>
              <w:spacing w:after="0"/>
              <w:rPr>
                <w:sz w:val="20"/>
                <w:szCs w:val="20"/>
                <w:color w:val="auto"/>
              </w:rPr>
            </w:pPr>
            <w:r>
              <w:rPr>
                <w:rFonts w:ascii="Arial" w:cs="Arial" w:eastAsia="Arial" w:hAnsi="Arial"/>
                <w:sz w:val="22"/>
                <w:szCs w:val="22"/>
                <w:color w:val="auto"/>
              </w:rPr>
              <w:t>LivaNova PLC</w:t>
            </w:r>
          </w:p>
        </w:tc>
      </w:tr>
      <w:tr>
        <w:trPr>
          <w:trHeight w:val="338"/>
        </w:trPr>
        <w:tc>
          <w:tcPr>
            <w:tcW w:w="3620" w:type="dxa"/>
            <w:vAlign w:val="bottom"/>
          </w:tcPr>
          <w:p>
            <w:pPr>
              <w:spacing w:after="0"/>
              <w:rPr>
                <w:sz w:val="20"/>
                <w:szCs w:val="20"/>
                <w:color w:val="auto"/>
              </w:rPr>
            </w:pPr>
            <w:r>
              <w:rPr>
                <w:rFonts w:ascii="Arial" w:cs="Arial" w:eastAsia="Arial" w:hAnsi="Arial"/>
                <w:sz w:val="22"/>
                <w:szCs w:val="22"/>
                <w:color w:val="auto"/>
              </w:rPr>
              <w:t>Integer Holdings Corporation</w:t>
            </w:r>
          </w:p>
        </w:tc>
        <w:tc>
          <w:tcPr>
            <w:tcW w:w="4360" w:type="dxa"/>
            <w:vAlign w:val="bottom"/>
            <w:gridSpan w:val="3"/>
          </w:tcPr>
          <w:p>
            <w:pPr>
              <w:ind w:left="620"/>
              <w:spacing w:after="0"/>
              <w:rPr>
                <w:sz w:val="20"/>
                <w:szCs w:val="20"/>
                <w:color w:val="auto"/>
              </w:rPr>
            </w:pPr>
            <w:r>
              <w:rPr>
                <w:rFonts w:ascii="Arial" w:cs="Arial" w:eastAsia="Arial" w:hAnsi="Arial"/>
                <w:sz w:val="22"/>
                <w:szCs w:val="22"/>
                <w:color w:val="auto"/>
              </w:rPr>
              <w:t>Globus Medical, Inc.</w:t>
            </w:r>
          </w:p>
        </w:tc>
      </w:tr>
      <w:tr>
        <w:trPr>
          <w:trHeight w:val="338"/>
        </w:trPr>
        <w:tc>
          <w:tcPr>
            <w:tcW w:w="3620" w:type="dxa"/>
            <w:vAlign w:val="bottom"/>
          </w:tcPr>
          <w:p>
            <w:pPr>
              <w:spacing w:after="0"/>
              <w:rPr>
                <w:sz w:val="20"/>
                <w:szCs w:val="20"/>
                <w:color w:val="auto"/>
              </w:rPr>
            </w:pPr>
            <w:r>
              <w:rPr>
                <w:rFonts w:ascii="Arial" w:cs="Arial" w:eastAsia="Arial" w:hAnsi="Arial"/>
                <w:sz w:val="22"/>
                <w:szCs w:val="22"/>
                <w:color w:val="auto"/>
              </w:rPr>
              <w:t>Varex Imaging Corporation</w:t>
            </w:r>
          </w:p>
        </w:tc>
        <w:tc>
          <w:tcPr>
            <w:tcW w:w="4360" w:type="dxa"/>
            <w:vAlign w:val="bottom"/>
            <w:gridSpan w:val="3"/>
          </w:tcPr>
          <w:p>
            <w:pPr>
              <w:ind w:left="620"/>
              <w:spacing w:after="0"/>
              <w:rPr>
                <w:sz w:val="20"/>
                <w:szCs w:val="20"/>
                <w:color w:val="auto"/>
              </w:rPr>
            </w:pPr>
            <w:r>
              <w:rPr>
                <w:rFonts w:ascii="Arial" w:cs="Arial" w:eastAsia="Arial" w:hAnsi="Arial"/>
                <w:sz w:val="22"/>
                <w:szCs w:val="22"/>
                <w:color w:val="auto"/>
              </w:rPr>
              <w:t>Orthofix Medical Inc.</w:t>
            </w:r>
          </w:p>
        </w:tc>
      </w:tr>
      <w:tr>
        <w:trPr>
          <w:trHeight w:val="338"/>
        </w:trPr>
        <w:tc>
          <w:tcPr>
            <w:tcW w:w="3620" w:type="dxa"/>
            <w:vAlign w:val="bottom"/>
          </w:tcPr>
          <w:p>
            <w:pPr>
              <w:spacing w:after="0"/>
              <w:rPr>
                <w:sz w:val="20"/>
                <w:szCs w:val="20"/>
                <w:color w:val="auto"/>
              </w:rPr>
            </w:pPr>
            <w:r>
              <w:rPr>
                <w:rFonts w:ascii="Arial" w:cs="Arial" w:eastAsia="Arial" w:hAnsi="Arial"/>
                <w:sz w:val="22"/>
                <w:szCs w:val="22"/>
                <w:color w:val="auto"/>
              </w:rPr>
              <w:t>Penumbra, Inc.</w:t>
            </w:r>
          </w:p>
        </w:tc>
        <w:tc>
          <w:tcPr>
            <w:tcW w:w="4360" w:type="dxa"/>
            <w:vAlign w:val="bottom"/>
            <w:gridSpan w:val="3"/>
          </w:tcPr>
          <w:p>
            <w:pPr>
              <w:ind w:left="620"/>
              <w:spacing w:after="0"/>
              <w:rPr>
                <w:sz w:val="20"/>
                <w:szCs w:val="20"/>
                <w:color w:val="auto"/>
              </w:rPr>
            </w:pPr>
            <w:r>
              <w:rPr>
                <w:rFonts w:ascii="Arial" w:cs="Arial" w:eastAsia="Arial" w:hAnsi="Arial"/>
                <w:sz w:val="22"/>
                <w:szCs w:val="22"/>
                <w:color w:val="auto"/>
              </w:rPr>
              <w:t>Inogen, Inc.</w:t>
            </w:r>
          </w:p>
        </w:tc>
      </w:tr>
      <w:tr>
        <w:trPr>
          <w:trHeight w:val="338"/>
        </w:trPr>
        <w:tc>
          <w:tcPr>
            <w:tcW w:w="3620" w:type="dxa"/>
            <w:vAlign w:val="bottom"/>
          </w:tcPr>
          <w:p>
            <w:pPr>
              <w:spacing w:after="0"/>
              <w:rPr>
                <w:sz w:val="20"/>
                <w:szCs w:val="20"/>
                <w:color w:val="auto"/>
              </w:rPr>
            </w:pPr>
            <w:r>
              <w:rPr>
                <w:rFonts w:ascii="Arial" w:cs="Arial" w:eastAsia="Arial" w:hAnsi="Arial"/>
                <w:sz w:val="22"/>
                <w:szCs w:val="22"/>
                <w:color w:val="auto"/>
              </w:rPr>
              <w:t>Nevro Corp.</w:t>
            </w:r>
          </w:p>
        </w:tc>
        <w:tc>
          <w:tcPr>
            <w:tcW w:w="4360" w:type="dxa"/>
            <w:vAlign w:val="bottom"/>
            <w:gridSpan w:val="3"/>
          </w:tcPr>
          <w:p>
            <w:pPr>
              <w:ind w:left="620"/>
              <w:spacing w:after="0"/>
              <w:rPr>
                <w:sz w:val="20"/>
                <w:szCs w:val="20"/>
                <w:color w:val="auto"/>
              </w:rPr>
            </w:pPr>
            <w:r>
              <w:rPr>
                <w:rFonts w:ascii="Arial" w:cs="Arial" w:eastAsia="Arial" w:hAnsi="Arial"/>
                <w:sz w:val="22"/>
                <w:szCs w:val="22"/>
                <w:color w:val="auto"/>
              </w:rPr>
              <w:t>Tandem Diabetes Care, Inc.</w:t>
            </w:r>
          </w:p>
        </w:tc>
      </w:tr>
      <w:tr>
        <w:trPr>
          <w:trHeight w:val="338"/>
        </w:trPr>
        <w:tc>
          <w:tcPr>
            <w:tcW w:w="3620" w:type="dxa"/>
            <w:vAlign w:val="bottom"/>
          </w:tcPr>
          <w:p>
            <w:pPr>
              <w:spacing w:after="0"/>
              <w:rPr>
                <w:sz w:val="20"/>
                <w:szCs w:val="20"/>
                <w:color w:val="auto"/>
              </w:rPr>
            </w:pPr>
            <w:r>
              <w:rPr>
                <w:rFonts w:ascii="Arial" w:cs="Arial" w:eastAsia="Arial" w:hAnsi="Arial"/>
                <w:sz w:val="22"/>
                <w:szCs w:val="22"/>
                <w:color w:val="auto"/>
              </w:rPr>
              <w:t>NovoCure Limited</w:t>
            </w:r>
          </w:p>
        </w:tc>
        <w:tc>
          <w:tcPr>
            <w:tcW w:w="4360" w:type="dxa"/>
            <w:vAlign w:val="bottom"/>
            <w:gridSpan w:val="3"/>
          </w:tcPr>
          <w:p>
            <w:pPr>
              <w:ind w:left="620"/>
              <w:spacing w:after="0"/>
              <w:rPr>
                <w:sz w:val="20"/>
                <w:szCs w:val="20"/>
                <w:color w:val="auto"/>
              </w:rPr>
            </w:pPr>
            <w:r>
              <w:rPr>
                <w:rFonts w:ascii="Arial" w:cs="Arial" w:eastAsia="Arial" w:hAnsi="Arial"/>
                <w:sz w:val="22"/>
                <w:szCs w:val="22"/>
                <w:color w:val="auto"/>
              </w:rPr>
              <w:t>Glaukos Corporation</w:t>
            </w:r>
          </w:p>
        </w:tc>
      </w:tr>
      <w:tr>
        <w:trPr>
          <w:trHeight w:val="338"/>
        </w:trPr>
        <w:tc>
          <w:tcPr>
            <w:tcW w:w="3620" w:type="dxa"/>
            <w:vAlign w:val="bottom"/>
          </w:tcPr>
          <w:p>
            <w:pPr>
              <w:spacing w:after="0"/>
              <w:rPr>
                <w:sz w:val="20"/>
                <w:szCs w:val="20"/>
                <w:color w:val="auto"/>
              </w:rPr>
            </w:pPr>
            <w:r>
              <w:rPr>
                <w:rFonts w:ascii="Arial" w:cs="Arial" w:eastAsia="Arial" w:hAnsi="Arial"/>
                <w:sz w:val="22"/>
                <w:szCs w:val="22"/>
                <w:color w:val="auto"/>
              </w:rPr>
              <w:t>Cardiovascular Systems, Inc.</w:t>
            </w:r>
          </w:p>
        </w:tc>
        <w:tc>
          <w:tcPr>
            <w:tcW w:w="14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880" w:type="dxa"/>
            <w:vAlign w:val="bottom"/>
          </w:tcPr>
          <w:p>
            <w:pPr>
              <w:spacing w:after="0"/>
              <w:rPr>
                <w:sz w:val="24"/>
                <w:szCs w:val="24"/>
                <w:color w:val="auto"/>
              </w:rPr>
            </w:pPr>
          </w:p>
        </w:tc>
      </w:tr>
    </w:tbl>
    <w:p>
      <w:pPr>
        <w:sectPr>
          <w:pgSz w:w="11900" w:h="16838" w:orient="portrait"/>
          <w:cols w:equalWidth="0" w:num="1">
            <w:col w:w="10119"/>
          </w:cols>
          <w:pgMar w:left="340" w:top="1440" w:right="1440" w:bottom="1440" w:gutter="0" w:footer="0" w:header="0"/>
        </w:sectPr>
      </w:pPr>
    </w:p>
    <w:bookmarkStart w:id="60" w:name="page61"/>
    <w:bookmarkEnd w:id="60"/>
    <w:p>
      <w:pPr>
        <w:jc w:val="right"/>
        <w:spacing w:after="0"/>
        <w:rPr>
          <w:sz w:val="20"/>
          <w:szCs w:val="20"/>
          <w:color w:val="auto"/>
        </w:rPr>
      </w:pPr>
      <w:r>
        <w:rPr>
          <w:rFonts w:ascii="Arial" w:cs="Arial" w:eastAsia="Arial" w:hAnsi="Arial"/>
          <w:sz w:val="18"/>
          <w:szCs w:val="18"/>
          <w:b w:val="1"/>
          <w:bCs w:val="1"/>
          <w:color w:val="auto"/>
        </w:rPr>
        <w:t>Exhibit 31.1</w:t>
      </w:r>
    </w:p>
    <w:p>
      <w:pPr>
        <w:spacing w:after="0" w:line="2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I, James C. Clemmer, certify that:</w:t>
      </w:r>
    </w:p>
    <w:p>
      <w:pPr>
        <w:spacing w:after="0" w:line="293" w:lineRule="exact"/>
        <w:rPr>
          <w:sz w:val="20"/>
          <w:szCs w:val="20"/>
          <w:color w:val="auto"/>
        </w:rPr>
      </w:pPr>
    </w:p>
    <w:p>
      <w:pPr>
        <w:ind w:left="540" w:hanging="494"/>
        <w:spacing w:after="0"/>
        <w:tabs>
          <w:tab w:leader="none" w:pos="540" w:val="left"/>
        </w:tabs>
        <w:numPr>
          <w:ilvl w:val="0"/>
          <w:numId w:val="57"/>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AngioDynamics, Inc.;</w:t>
      </w:r>
    </w:p>
    <w:p>
      <w:pPr>
        <w:spacing w:after="0" w:line="23" w:lineRule="exact"/>
        <w:rPr>
          <w:rFonts w:ascii="Arial" w:cs="Arial" w:eastAsia="Arial" w:hAnsi="Arial"/>
          <w:sz w:val="18"/>
          <w:szCs w:val="18"/>
          <w:color w:val="auto"/>
        </w:rPr>
      </w:pPr>
    </w:p>
    <w:p>
      <w:pPr>
        <w:jc w:val="both"/>
        <w:ind w:left="540" w:right="220" w:hanging="494"/>
        <w:spacing w:after="0" w:line="224" w:lineRule="auto"/>
        <w:tabs>
          <w:tab w:leader="none" w:pos="540" w:val="left"/>
        </w:tabs>
        <w:numPr>
          <w:ilvl w:val="0"/>
          <w:numId w:val="57"/>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ind w:left="540" w:right="200" w:hanging="494"/>
        <w:spacing w:after="0" w:line="248" w:lineRule="auto"/>
        <w:tabs>
          <w:tab w:leader="none" w:pos="540" w:val="left"/>
        </w:tabs>
        <w:numPr>
          <w:ilvl w:val="0"/>
          <w:numId w:val="57"/>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 w:lineRule="exact"/>
        <w:rPr>
          <w:rFonts w:ascii="Arial" w:cs="Arial" w:eastAsia="Arial" w:hAnsi="Arial"/>
          <w:sz w:val="17"/>
          <w:szCs w:val="17"/>
          <w:color w:val="auto"/>
        </w:rPr>
      </w:pPr>
    </w:p>
    <w:p>
      <w:pPr>
        <w:ind w:left="540" w:right="220" w:hanging="494"/>
        <w:spacing w:after="0" w:line="224" w:lineRule="auto"/>
        <w:tabs>
          <w:tab w:leader="none" w:pos="540" w:val="left"/>
        </w:tabs>
        <w:numPr>
          <w:ilvl w:val="0"/>
          <w:numId w:val="57"/>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 w:lineRule="exact"/>
        <w:rPr>
          <w:sz w:val="20"/>
          <w:szCs w:val="20"/>
          <w:color w:val="auto"/>
        </w:rPr>
      </w:pPr>
    </w:p>
    <w:p>
      <w:pPr>
        <w:ind w:left="540" w:right="420" w:hanging="494"/>
        <w:spacing w:after="0" w:line="224" w:lineRule="auto"/>
        <w:tabs>
          <w:tab w:leader="none" w:pos="540" w:val="left"/>
        </w:tabs>
        <w:numPr>
          <w:ilvl w:val="0"/>
          <w:numId w:val="58"/>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provide reasonable assurance regarding the reliability of financial reporting and the preparation of financial statements for external purposes in accordance with generally accepted accounting principles;</w:t>
      </w:r>
    </w:p>
    <w:p>
      <w:pPr>
        <w:ind w:left="540" w:right="180" w:hanging="494"/>
        <w:spacing w:after="0" w:line="224" w:lineRule="auto"/>
        <w:tabs>
          <w:tab w:leader="none" w:pos="540" w:val="left"/>
        </w:tabs>
        <w:numPr>
          <w:ilvl w:val="0"/>
          <w:numId w:val="58"/>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jc w:val="both"/>
        <w:ind w:left="540" w:right="960" w:hanging="494"/>
        <w:spacing w:after="0" w:line="264" w:lineRule="auto"/>
        <w:tabs>
          <w:tab w:leader="none" w:pos="540" w:val="left"/>
        </w:tabs>
        <w:numPr>
          <w:ilvl w:val="0"/>
          <w:numId w:val="58"/>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ind w:left="540" w:right="80" w:hanging="494"/>
        <w:spacing w:after="0" w:line="224" w:lineRule="auto"/>
        <w:tabs>
          <w:tab w:leader="none" w:pos="540" w:val="left"/>
        </w:tabs>
        <w:numPr>
          <w:ilvl w:val="0"/>
          <w:numId w:val="58"/>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 w:lineRule="exact"/>
        <w:rPr>
          <w:sz w:val="20"/>
          <w:szCs w:val="20"/>
          <w:color w:val="auto"/>
        </w:rPr>
      </w:pPr>
    </w:p>
    <w:p>
      <w:pPr>
        <w:ind w:left="540" w:right="140" w:hanging="494"/>
        <w:spacing w:after="0" w:line="248" w:lineRule="auto"/>
        <w:tabs>
          <w:tab w:leader="none" w:pos="540" w:val="left"/>
        </w:tabs>
        <w:numPr>
          <w:ilvl w:val="0"/>
          <w:numId w:val="59"/>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 w:lineRule="exact"/>
        <w:rPr>
          <w:sz w:val="20"/>
          <w:szCs w:val="20"/>
          <w:color w:val="auto"/>
        </w:rPr>
      </w:pPr>
    </w:p>
    <w:p>
      <w:pPr>
        <w:ind w:left="540" w:right="380" w:hanging="494"/>
        <w:spacing w:after="0" w:line="234" w:lineRule="auto"/>
        <w:tabs>
          <w:tab w:leader="none" w:pos="540" w:val="left"/>
        </w:tabs>
        <w:numPr>
          <w:ilvl w:val="0"/>
          <w:numId w:val="60"/>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 w:lineRule="exact"/>
        <w:rPr>
          <w:rFonts w:ascii="Arial" w:cs="Arial" w:eastAsia="Arial" w:hAnsi="Arial"/>
          <w:sz w:val="18"/>
          <w:szCs w:val="18"/>
          <w:color w:val="auto"/>
        </w:rPr>
      </w:pPr>
    </w:p>
    <w:p>
      <w:pPr>
        <w:ind w:left="540" w:right="360" w:hanging="494"/>
        <w:spacing w:after="0" w:line="234" w:lineRule="auto"/>
        <w:tabs>
          <w:tab w:leader="none" w:pos="540" w:val="left"/>
        </w:tabs>
        <w:numPr>
          <w:ilvl w:val="0"/>
          <w:numId w:val="60"/>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38" w:lineRule="exact"/>
        <w:rPr>
          <w:sz w:val="20"/>
          <w:szCs w:val="20"/>
          <w:color w:val="auto"/>
        </w:rPr>
      </w:pPr>
    </w:p>
    <w:p>
      <w:pPr>
        <w:spacing w:after="0"/>
        <w:rPr>
          <w:sz w:val="20"/>
          <w:szCs w:val="20"/>
          <w:color w:val="auto"/>
        </w:rPr>
      </w:pPr>
      <w:r>
        <w:rPr>
          <w:rFonts w:ascii="Arial" w:cs="Arial" w:eastAsia="Arial" w:hAnsi="Arial"/>
          <w:sz w:val="18"/>
          <w:szCs w:val="18"/>
          <w:color w:val="auto"/>
        </w:rPr>
        <w:t>Date: January 8, 2021</w:t>
      </w:r>
    </w:p>
    <w:p>
      <w:pPr>
        <w:spacing w:after="0" w:line="252" w:lineRule="exact"/>
        <w:rPr>
          <w:sz w:val="20"/>
          <w:szCs w:val="20"/>
          <w:color w:val="auto"/>
        </w:rPr>
      </w:pPr>
    </w:p>
    <w:p>
      <w:pPr>
        <w:ind w:right="9080" w:firstLine="8"/>
        <w:spacing w:after="0" w:line="340" w:lineRule="auto"/>
        <w:tabs>
          <w:tab w:leader="none" w:pos="95" w:val="left"/>
        </w:tabs>
        <w:numPr>
          <w:ilvl w:val="0"/>
          <w:numId w:val="61"/>
        </w:numPr>
        <w:rPr>
          <w:rFonts w:ascii="Arial" w:cs="Arial" w:eastAsia="Arial" w:hAnsi="Arial"/>
          <w:sz w:val="15"/>
          <w:szCs w:val="15"/>
          <w:u w:val="single" w:color="auto"/>
          <w:color w:val="auto"/>
        </w:rPr>
      </w:pPr>
      <w:r>
        <w:rPr>
          <w:rFonts w:ascii="Arial" w:cs="Arial" w:eastAsia="Arial" w:hAnsi="Arial"/>
          <w:sz w:val="15"/>
          <w:szCs w:val="15"/>
          <w:u w:val="single" w:color="auto"/>
          <w:color w:val="auto"/>
        </w:rPr>
        <w:t xml:space="preserve">S / JAMES C. CLEMMER </w:t>
      </w:r>
      <w:r>
        <w:rPr>
          <w:rFonts w:ascii="Arial" w:cs="Arial" w:eastAsia="Arial" w:hAnsi="Arial"/>
          <w:sz w:val="15"/>
          <w:szCs w:val="15"/>
          <w:color w:val="auto"/>
        </w:rPr>
        <w:t>James C. Clemmer, President, Chief Executive Officer</w:t>
      </w:r>
    </w:p>
    <w:p>
      <w:pPr>
        <w:sectPr>
          <w:pgSz w:w="11900" w:h="16838" w:orient="portrait"/>
          <w:cols w:equalWidth="0" w:num="1">
            <w:col w:w="11240"/>
          </w:cols>
          <w:pgMar w:left="320" w:top="891" w:right="339" w:bottom="1440" w:gutter="0" w:footer="0" w:header="0"/>
        </w:sectPr>
      </w:pPr>
    </w:p>
    <w:bookmarkStart w:id="61" w:name="page62"/>
    <w:bookmarkEnd w:id="61"/>
    <w:p>
      <w:pPr>
        <w:jc w:val="right"/>
        <w:spacing w:after="0"/>
        <w:rPr>
          <w:sz w:val="20"/>
          <w:szCs w:val="20"/>
          <w:color w:val="auto"/>
        </w:rPr>
      </w:pPr>
      <w:r>
        <w:rPr>
          <w:rFonts w:ascii="Arial" w:cs="Arial" w:eastAsia="Arial" w:hAnsi="Arial"/>
          <w:sz w:val="18"/>
          <w:szCs w:val="18"/>
          <w:b w:val="1"/>
          <w:bCs w:val="1"/>
          <w:color w:val="auto"/>
        </w:rPr>
        <w:t>Exhibit 31.2</w:t>
      </w:r>
    </w:p>
    <w:p>
      <w:pPr>
        <w:spacing w:after="0" w:line="2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I, Stephen A. Trowbridge, certify that:</w:t>
      </w:r>
    </w:p>
    <w:p>
      <w:pPr>
        <w:spacing w:after="0" w:line="50" w:lineRule="exact"/>
        <w:rPr>
          <w:sz w:val="20"/>
          <w:szCs w:val="20"/>
          <w:color w:val="auto"/>
        </w:rPr>
      </w:pPr>
    </w:p>
    <w:p>
      <w:pPr>
        <w:ind w:left="540" w:hanging="494"/>
        <w:spacing w:after="0"/>
        <w:tabs>
          <w:tab w:leader="none" w:pos="540" w:val="left"/>
        </w:tabs>
        <w:numPr>
          <w:ilvl w:val="0"/>
          <w:numId w:val="62"/>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AngioDynamics, Inc.;</w:t>
      </w:r>
    </w:p>
    <w:p>
      <w:pPr>
        <w:spacing w:after="0" w:line="23" w:lineRule="exact"/>
        <w:rPr>
          <w:rFonts w:ascii="Arial" w:cs="Arial" w:eastAsia="Arial" w:hAnsi="Arial"/>
          <w:sz w:val="18"/>
          <w:szCs w:val="18"/>
          <w:color w:val="auto"/>
        </w:rPr>
      </w:pPr>
    </w:p>
    <w:p>
      <w:pPr>
        <w:jc w:val="both"/>
        <w:ind w:left="540" w:right="220" w:hanging="494"/>
        <w:spacing w:after="0" w:line="224" w:lineRule="auto"/>
        <w:tabs>
          <w:tab w:leader="none" w:pos="540" w:val="left"/>
        </w:tabs>
        <w:numPr>
          <w:ilvl w:val="0"/>
          <w:numId w:val="62"/>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ind w:left="540" w:right="200" w:hanging="494"/>
        <w:spacing w:after="0" w:line="248" w:lineRule="auto"/>
        <w:tabs>
          <w:tab w:leader="none" w:pos="540" w:val="left"/>
        </w:tabs>
        <w:numPr>
          <w:ilvl w:val="0"/>
          <w:numId w:val="62"/>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 w:lineRule="exact"/>
        <w:rPr>
          <w:rFonts w:ascii="Arial" w:cs="Arial" w:eastAsia="Arial" w:hAnsi="Arial"/>
          <w:sz w:val="17"/>
          <w:szCs w:val="17"/>
          <w:color w:val="auto"/>
        </w:rPr>
      </w:pPr>
    </w:p>
    <w:p>
      <w:pPr>
        <w:ind w:left="540" w:right="220" w:hanging="494"/>
        <w:spacing w:after="0" w:line="224" w:lineRule="auto"/>
        <w:tabs>
          <w:tab w:leader="none" w:pos="540" w:val="left"/>
        </w:tabs>
        <w:numPr>
          <w:ilvl w:val="0"/>
          <w:numId w:val="62"/>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 w:lineRule="exact"/>
        <w:rPr>
          <w:sz w:val="20"/>
          <w:szCs w:val="20"/>
          <w:color w:val="auto"/>
        </w:rPr>
      </w:pPr>
    </w:p>
    <w:p>
      <w:pPr>
        <w:ind w:left="540" w:right="420" w:hanging="494"/>
        <w:spacing w:after="0" w:line="224" w:lineRule="auto"/>
        <w:tabs>
          <w:tab w:leader="none" w:pos="540" w:val="left"/>
        </w:tabs>
        <w:numPr>
          <w:ilvl w:val="0"/>
          <w:numId w:val="63"/>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provide reasonable assurance regarding the reliability of financial reporting and the preparation of financial statements for external purposes in accordance with generally accepted accounting principles;</w:t>
      </w:r>
    </w:p>
    <w:p>
      <w:pPr>
        <w:ind w:left="540" w:right="180" w:hanging="494"/>
        <w:spacing w:after="0" w:line="224" w:lineRule="auto"/>
        <w:tabs>
          <w:tab w:leader="none" w:pos="540" w:val="left"/>
        </w:tabs>
        <w:numPr>
          <w:ilvl w:val="0"/>
          <w:numId w:val="63"/>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jc w:val="both"/>
        <w:ind w:left="540" w:right="960" w:hanging="494"/>
        <w:spacing w:after="0" w:line="264" w:lineRule="auto"/>
        <w:tabs>
          <w:tab w:leader="none" w:pos="540" w:val="left"/>
        </w:tabs>
        <w:numPr>
          <w:ilvl w:val="0"/>
          <w:numId w:val="63"/>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ind w:left="540" w:right="80" w:hanging="494"/>
        <w:spacing w:after="0" w:line="224" w:lineRule="auto"/>
        <w:tabs>
          <w:tab w:leader="none" w:pos="540" w:val="left"/>
        </w:tabs>
        <w:numPr>
          <w:ilvl w:val="0"/>
          <w:numId w:val="63"/>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 w:lineRule="exact"/>
        <w:rPr>
          <w:sz w:val="20"/>
          <w:szCs w:val="20"/>
          <w:color w:val="auto"/>
        </w:rPr>
      </w:pPr>
    </w:p>
    <w:p>
      <w:pPr>
        <w:ind w:left="540" w:right="140" w:hanging="494"/>
        <w:spacing w:after="0" w:line="248" w:lineRule="auto"/>
        <w:tabs>
          <w:tab w:leader="none" w:pos="540" w:val="left"/>
        </w:tabs>
        <w:numPr>
          <w:ilvl w:val="0"/>
          <w:numId w:val="64"/>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 w:lineRule="exact"/>
        <w:rPr>
          <w:sz w:val="20"/>
          <w:szCs w:val="20"/>
          <w:color w:val="auto"/>
        </w:rPr>
      </w:pPr>
    </w:p>
    <w:p>
      <w:pPr>
        <w:ind w:left="540" w:right="380" w:hanging="494"/>
        <w:spacing w:after="0" w:line="234" w:lineRule="auto"/>
        <w:tabs>
          <w:tab w:leader="none" w:pos="540" w:val="left"/>
        </w:tabs>
        <w:numPr>
          <w:ilvl w:val="0"/>
          <w:numId w:val="65"/>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 w:lineRule="exact"/>
        <w:rPr>
          <w:rFonts w:ascii="Arial" w:cs="Arial" w:eastAsia="Arial" w:hAnsi="Arial"/>
          <w:sz w:val="18"/>
          <w:szCs w:val="18"/>
          <w:color w:val="auto"/>
        </w:rPr>
      </w:pPr>
    </w:p>
    <w:p>
      <w:pPr>
        <w:ind w:left="540" w:right="360" w:hanging="494"/>
        <w:spacing w:after="0" w:line="234" w:lineRule="auto"/>
        <w:tabs>
          <w:tab w:leader="none" w:pos="540" w:val="left"/>
        </w:tabs>
        <w:numPr>
          <w:ilvl w:val="0"/>
          <w:numId w:val="65"/>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38" w:lineRule="exact"/>
        <w:rPr>
          <w:sz w:val="20"/>
          <w:szCs w:val="20"/>
          <w:color w:val="auto"/>
        </w:rPr>
      </w:pPr>
    </w:p>
    <w:p>
      <w:pPr>
        <w:spacing w:after="0"/>
        <w:rPr>
          <w:sz w:val="20"/>
          <w:szCs w:val="20"/>
          <w:color w:val="auto"/>
        </w:rPr>
      </w:pPr>
      <w:r>
        <w:rPr>
          <w:rFonts w:ascii="Arial" w:cs="Arial" w:eastAsia="Arial" w:hAnsi="Arial"/>
          <w:sz w:val="18"/>
          <w:szCs w:val="18"/>
          <w:color w:val="auto"/>
        </w:rPr>
        <w:t>Date: January 8, 2021</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 S / STEPHEN A. TROWBRIDGE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Stephen A. Trowbridge, Executive Vice President,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Chief Financial Officer</w:t>
      </w:r>
    </w:p>
    <w:p>
      <w:pPr>
        <w:sectPr>
          <w:pgSz w:w="11900" w:h="16838" w:orient="portrait"/>
          <w:cols w:equalWidth="0" w:num="1">
            <w:col w:w="11240"/>
          </w:cols>
          <w:pgMar w:left="320" w:top="891" w:right="339" w:bottom="1440" w:gutter="0" w:footer="0" w:header="0"/>
        </w:sectPr>
      </w:pPr>
    </w:p>
    <w:bookmarkStart w:id="62" w:name="page63"/>
    <w:bookmarkEnd w:id="62"/>
    <w:p>
      <w:pPr>
        <w:jc w:val="right"/>
        <w:spacing w:after="0"/>
        <w:rPr>
          <w:sz w:val="20"/>
          <w:szCs w:val="20"/>
          <w:color w:val="auto"/>
        </w:rPr>
      </w:pPr>
      <w:r>
        <w:rPr>
          <w:rFonts w:ascii="Arial" w:cs="Arial" w:eastAsia="Arial" w:hAnsi="Arial"/>
          <w:sz w:val="18"/>
          <w:szCs w:val="18"/>
          <w:b w:val="1"/>
          <w:bCs w:val="1"/>
          <w:color w:val="auto"/>
        </w:rPr>
        <w:t>Exhibit 32.1</w:t>
      </w:r>
    </w:p>
    <w:p>
      <w:pPr>
        <w:spacing w:after="0" w:line="256" w:lineRule="exact"/>
        <w:rPr>
          <w:sz w:val="20"/>
          <w:szCs w:val="20"/>
          <w:color w:val="auto"/>
        </w:rPr>
      </w:pPr>
    </w:p>
    <w:p>
      <w:pPr>
        <w:jc w:val="center"/>
        <w:ind w:left="340" w:right="2560"/>
        <w:spacing w:after="0" w:line="263" w:lineRule="auto"/>
        <w:rPr>
          <w:sz w:val="20"/>
          <w:szCs w:val="20"/>
          <w:color w:val="auto"/>
        </w:rPr>
      </w:pPr>
      <w:r>
        <w:rPr>
          <w:rFonts w:ascii="Arial" w:cs="Arial" w:eastAsia="Arial" w:hAnsi="Arial"/>
          <w:sz w:val="18"/>
          <w:szCs w:val="18"/>
          <w:color w:val="auto"/>
        </w:rPr>
        <w:t>CERTIFICATION OF CHIEF EXECUTIVE OFFICER PURSUANT TO TITLE 18, UNITED STATES CODE, SECTION 1350, AS ADOPTED PURSUANT TO SECTION 906 OF THE SARBANES-OXLEY ACT OF 2002</w:t>
      </w:r>
    </w:p>
    <w:p>
      <w:pPr>
        <w:spacing w:after="0" w:line="211"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I, James C. Clemmer, President, Chief Executive Officer and Director of ANGIODYNAMICS, Inc. (the "Company"), certify, pursuant to Section 906 of the Sarbanes-Oxley Act of 2002, 18 U.S.C. Section 1350, that, to the best of my knowledge:</w:t>
      </w:r>
    </w:p>
    <w:p>
      <w:pPr>
        <w:spacing w:after="0" w:line="238" w:lineRule="exact"/>
        <w:rPr>
          <w:sz w:val="20"/>
          <w:szCs w:val="20"/>
          <w:color w:val="auto"/>
        </w:rPr>
      </w:pPr>
    </w:p>
    <w:p>
      <w:pPr>
        <w:ind w:left="540" w:right="780" w:hanging="494"/>
        <w:spacing w:after="0" w:line="249" w:lineRule="auto"/>
        <w:tabs>
          <w:tab w:leader="none" w:pos="540" w:val="left"/>
        </w:tabs>
        <w:numPr>
          <w:ilvl w:val="0"/>
          <w:numId w:val="66"/>
        </w:numPr>
        <w:rPr>
          <w:rFonts w:ascii="Arial" w:cs="Arial" w:eastAsia="Arial" w:hAnsi="Arial"/>
          <w:sz w:val="17"/>
          <w:szCs w:val="17"/>
          <w:color w:val="auto"/>
        </w:rPr>
      </w:pPr>
      <w:r>
        <w:rPr>
          <w:rFonts w:ascii="Arial" w:cs="Arial" w:eastAsia="Arial" w:hAnsi="Arial"/>
          <w:sz w:val="17"/>
          <w:szCs w:val="17"/>
          <w:color w:val="auto"/>
        </w:rPr>
        <w:t>the quarterly report on Form 10-Q of the Company for the fiscal quarter ended November 30, 2020 (the "Report") fully complies with the requirements of Section 13(a) or 15(d) of the Securities Exchange Act of 1934 (15 U.S.C. 78m or 78o(d)); and</w:t>
      </w:r>
    </w:p>
    <w:p>
      <w:pPr>
        <w:ind w:left="540" w:hanging="494"/>
        <w:spacing w:after="0"/>
        <w:tabs>
          <w:tab w:leader="none" w:pos="540" w:val="left"/>
        </w:tabs>
        <w:numPr>
          <w:ilvl w:val="0"/>
          <w:numId w:val="66"/>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382" w:lineRule="exact"/>
        <w:rPr>
          <w:sz w:val="20"/>
          <w:szCs w:val="20"/>
          <w:color w:val="auto"/>
        </w:rPr>
      </w:pPr>
    </w:p>
    <w:p>
      <w:pPr>
        <w:spacing w:after="0"/>
        <w:rPr>
          <w:sz w:val="20"/>
          <w:szCs w:val="20"/>
          <w:color w:val="auto"/>
        </w:rPr>
      </w:pPr>
      <w:r>
        <w:rPr>
          <w:rFonts w:ascii="Arial" w:cs="Arial" w:eastAsia="Arial" w:hAnsi="Arial"/>
          <w:sz w:val="18"/>
          <w:szCs w:val="18"/>
          <w:color w:val="auto"/>
        </w:rPr>
        <w:t>Date: January 8, 2021</w:t>
      </w:r>
    </w:p>
    <w:p>
      <w:pPr>
        <w:spacing w:after="0" w:line="293" w:lineRule="exact"/>
        <w:rPr>
          <w:sz w:val="20"/>
          <w:szCs w:val="20"/>
          <w:color w:val="auto"/>
        </w:rPr>
      </w:pPr>
    </w:p>
    <w:p>
      <w:pPr>
        <w:ind w:left="1800"/>
        <w:spacing w:after="0"/>
        <w:rPr>
          <w:sz w:val="20"/>
          <w:szCs w:val="20"/>
          <w:color w:val="auto"/>
        </w:rPr>
      </w:pPr>
      <w:r>
        <w:rPr>
          <w:rFonts w:ascii="Arial" w:cs="Arial" w:eastAsia="Arial" w:hAnsi="Arial"/>
          <w:sz w:val="18"/>
          <w:szCs w:val="18"/>
          <w:color w:val="auto"/>
        </w:rPr>
        <w:t>/ S / JAMES C. CLEMMER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14605</wp:posOffset>
            </wp:positionV>
            <wp:extent cx="3549015" cy="88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3">
                      <a:extLst>
                        <a:ext uri="{28A0092B-C50C-407E-A947-70E740481C1C}"/>
                      </a:extLst>
                    </a:blip>
                    <a:srcRect/>
                    <a:stretch>
                      <a:fillRect/>
                    </a:stretch>
                  </pic:blipFill>
                  <pic:spPr bwMode="auto">
                    <a:xfrm>
                      <a:off x="0" y="0"/>
                      <a:ext cx="3549015" cy="8890"/>
                    </a:xfrm>
                    <a:prstGeom prst="rect">
                      <a:avLst/>
                    </a:prstGeom>
                    <a:noFill/>
                  </pic:spPr>
                </pic:pic>
              </a:graphicData>
            </a:graphic>
          </wp:anchor>
        </w:drawing>
      </w:r>
    </w:p>
    <w:p>
      <w:pPr>
        <w:spacing w:after="0" w:line="1" w:lineRule="exact"/>
        <w:rPr>
          <w:sz w:val="20"/>
          <w:szCs w:val="20"/>
          <w:color w:val="auto"/>
        </w:rPr>
      </w:pPr>
    </w:p>
    <w:p>
      <w:pPr>
        <w:ind w:left="1740"/>
        <w:spacing w:after="0"/>
        <w:rPr>
          <w:sz w:val="20"/>
          <w:szCs w:val="20"/>
          <w:color w:val="auto"/>
        </w:rPr>
      </w:pPr>
      <w:r>
        <w:rPr>
          <w:rFonts w:ascii="Arial" w:cs="Arial" w:eastAsia="Arial" w:hAnsi="Arial"/>
          <w:sz w:val="18"/>
          <w:szCs w:val="18"/>
          <w:color w:val="auto"/>
        </w:rPr>
        <w:t>James C. Clemmer, President,</w:t>
      </w:r>
    </w:p>
    <w:p>
      <w:pPr>
        <w:ind w:left="1960"/>
        <w:spacing w:after="0"/>
        <w:rPr>
          <w:sz w:val="20"/>
          <w:szCs w:val="20"/>
          <w:color w:val="auto"/>
        </w:rPr>
      </w:pPr>
      <w:r>
        <w:rPr>
          <w:rFonts w:ascii="Arial" w:cs="Arial" w:eastAsia="Arial" w:hAnsi="Arial"/>
          <w:sz w:val="18"/>
          <w:szCs w:val="18"/>
          <w:color w:val="auto"/>
        </w:rPr>
        <w:t>Chief Executive Officer</w:t>
      </w:r>
    </w:p>
    <w:p>
      <w:pPr>
        <w:sectPr>
          <w:pgSz w:w="11900" w:h="16838" w:orient="portrait"/>
          <w:cols w:equalWidth="0" w:num="1">
            <w:col w:w="11240"/>
          </w:cols>
          <w:pgMar w:left="320" w:top="891" w:right="339" w:bottom="1440" w:gutter="0" w:footer="0" w:header="0"/>
        </w:sectPr>
      </w:pPr>
    </w:p>
    <w:bookmarkStart w:id="63" w:name="page64"/>
    <w:bookmarkEnd w:id="63"/>
    <w:p>
      <w:pPr>
        <w:jc w:val="right"/>
        <w:spacing w:after="0"/>
        <w:rPr>
          <w:sz w:val="20"/>
          <w:szCs w:val="20"/>
          <w:color w:val="auto"/>
        </w:rPr>
      </w:pPr>
      <w:r>
        <w:rPr>
          <w:rFonts w:ascii="Arial" w:cs="Arial" w:eastAsia="Arial" w:hAnsi="Arial"/>
          <w:sz w:val="18"/>
          <w:szCs w:val="18"/>
          <w:b w:val="1"/>
          <w:bCs w:val="1"/>
          <w:color w:val="auto"/>
        </w:rPr>
        <w:t>Exhibit 32.2</w:t>
      </w:r>
    </w:p>
    <w:p>
      <w:pPr>
        <w:spacing w:after="0" w:line="256" w:lineRule="exact"/>
        <w:rPr>
          <w:sz w:val="20"/>
          <w:szCs w:val="20"/>
          <w:color w:val="auto"/>
        </w:rPr>
      </w:pPr>
    </w:p>
    <w:p>
      <w:pPr>
        <w:jc w:val="center"/>
        <w:ind w:left="340" w:right="2580"/>
        <w:spacing w:after="0" w:line="263" w:lineRule="auto"/>
        <w:rPr>
          <w:sz w:val="20"/>
          <w:szCs w:val="20"/>
          <w:color w:val="auto"/>
        </w:rPr>
      </w:pPr>
      <w:r>
        <w:rPr>
          <w:rFonts w:ascii="Arial" w:cs="Arial" w:eastAsia="Arial" w:hAnsi="Arial"/>
          <w:sz w:val="18"/>
          <w:szCs w:val="18"/>
          <w:color w:val="auto"/>
        </w:rPr>
        <w:t>CERTIFICATION OF CHIEF FINANCIAL OFFICER PURSUANT TO TITLE 18, UNITED STATES CODE, SECTION 1350, AS ADOPTED PURSUANT TO SECTION 906 OF THE SARBANES-OXLEY ACT OF 2002</w:t>
      </w:r>
    </w:p>
    <w:p>
      <w:pPr>
        <w:spacing w:after="0" w:line="211" w:lineRule="exact"/>
        <w:rPr>
          <w:sz w:val="20"/>
          <w:szCs w:val="20"/>
          <w:color w:val="auto"/>
        </w:rPr>
      </w:pPr>
    </w:p>
    <w:p>
      <w:pPr>
        <w:ind w:right="380"/>
        <w:spacing w:after="0" w:line="308" w:lineRule="auto"/>
        <w:rPr>
          <w:sz w:val="20"/>
          <w:szCs w:val="20"/>
          <w:color w:val="auto"/>
        </w:rPr>
      </w:pPr>
      <w:r>
        <w:rPr>
          <w:rFonts w:ascii="Arial" w:cs="Arial" w:eastAsia="Arial" w:hAnsi="Arial"/>
          <w:sz w:val="17"/>
          <w:szCs w:val="17"/>
          <w:color w:val="auto"/>
        </w:rPr>
        <w:t>I, Stephen A. Trowbridge, Senior Vice President, General Counsel and Interim Chief Financial Officer of ANGIODYNAMICS, Inc. (the "Company"), certify, pursuant to Section 906 of the Sarbanes-Oxley Act of 2002, 18 U.S.C. Section 1350, that, to the best of my knowledge:</w:t>
      </w:r>
    </w:p>
    <w:p>
      <w:pPr>
        <w:spacing w:after="0" w:line="214" w:lineRule="exact"/>
        <w:rPr>
          <w:sz w:val="20"/>
          <w:szCs w:val="20"/>
          <w:color w:val="auto"/>
        </w:rPr>
      </w:pPr>
    </w:p>
    <w:p>
      <w:pPr>
        <w:ind w:left="540" w:right="780" w:hanging="494"/>
        <w:spacing w:after="0" w:line="249" w:lineRule="auto"/>
        <w:tabs>
          <w:tab w:leader="none" w:pos="540" w:val="left"/>
        </w:tabs>
        <w:numPr>
          <w:ilvl w:val="0"/>
          <w:numId w:val="67"/>
        </w:numPr>
        <w:rPr>
          <w:rFonts w:ascii="Arial" w:cs="Arial" w:eastAsia="Arial" w:hAnsi="Arial"/>
          <w:sz w:val="17"/>
          <w:szCs w:val="17"/>
          <w:color w:val="auto"/>
        </w:rPr>
      </w:pPr>
      <w:r>
        <w:rPr>
          <w:rFonts w:ascii="Arial" w:cs="Arial" w:eastAsia="Arial" w:hAnsi="Arial"/>
          <w:sz w:val="17"/>
          <w:szCs w:val="17"/>
          <w:color w:val="auto"/>
        </w:rPr>
        <w:t>the quarterly report on Form 10-Q of the Company for the fiscal quarter ended November 30, 2020 (the "Report") fully complies with the requirements of Section 13(a) or 15(d) of the Securities Exchange Act of 1934 (15 U.S.C. 78m or 78o(d)); and</w:t>
      </w:r>
    </w:p>
    <w:p>
      <w:pPr>
        <w:ind w:left="540" w:hanging="494"/>
        <w:spacing w:after="0"/>
        <w:tabs>
          <w:tab w:leader="none" w:pos="540" w:val="left"/>
        </w:tabs>
        <w:numPr>
          <w:ilvl w:val="0"/>
          <w:numId w:val="67"/>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382" w:lineRule="exact"/>
        <w:rPr>
          <w:sz w:val="20"/>
          <w:szCs w:val="20"/>
          <w:color w:val="auto"/>
        </w:rPr>
      </w:pPr>
    </w:p>
    <w:p>
      <w:pPr>
        <w:spacing w:after="0"/>
        <w:rPr>
          <w:sz w:val="20"/>
          <w:szCs w:val="20"/>
          <w:color w:val="auto"/>
        </w:rPr>
      </w:pPr>
      <w:r>
        <w:rPr>
          <w:rFonts w:ascii="Arial" w:cs="Arial" w:eastAsia="Arial" w:hAnsi="Arial"/>
          <w:sz w:val="18"/>
          <w:szCs w:val="18"/>
          <w:color w:val="auto"/>
        </w:rPr>
        <w:t>Date: January 8, 2021</w:t>
      </w:r>
    </w:p>
    <w:p>
      <w:pPr>
        <w:spacing w:after="0" w:line="293" w:lineRule="exact"/>
        <w:rPr>
          <w:sz w:val="20"/>
          <w:szCs w:val="20"/>
          <w:color w:val="auto"/>
        </w:rPr>
      </w:pPr>
    </w:p>
    <w:p>
      <w:pPr>
        <w:ind w:left="1520"/>
        <w:spacing w:after="0"/>
        <w:rPr>
          <w:sz w:val="20"/>
          <w:szCs w:val="20"/>
          <w:color w:val="auto"/>
        </w:rPr>
      </w:pPr>
      <w:r>
        <w:rPr>
          <w:rFonts w:ascii="Arial" w:cs="Arial" w:eastAsia="Arial" w:hAnsi="Arial"/>
          <w:sz w:val="18"/>
          <w:szCs w:val="18"/>
          <w:color w:val="auto"/>
        </w:rPr>
        <w:t>/ S / STEPHEN A. TROWBRIDGE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14605</wp:posOffset>
            </wp:positionV>
            <wp:extent cx="3549015" cy="82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4">
                      <a:extLst>
                        <a:ext uri="{28A0092B-C50C-407E-A947-70E740481C1C}"/>
                      </a:extLst>
                    </a:blip>
                    <a:srcRect/>
                    <a:stretch>
                      <a:fillRect/>
                    </a:stretch>
                  </pic:blipFill>
                  <pic:spPr bwMode="auto">
                    <a:xfrm>
                      <a:off x="0" y="0"/>
                      <a:ext cx="3549015" cy="8255"/>
                    </a:xfrm>
                    <a:prstGeom prst="rect">
                      <a:avLst/>
                    </a:prstGeom>
                    <a:noFill/>
                  </pic:spPr>
                </pic:pic>
              </a:graphicData>
            </a:graphic>
          </wp:anchor>
        </w:drawing>
      </w:r>
    </w:p>
    <w:p>
      <w:pPr>
        <w:spacing w:after="0" w:line="1" w:lineRule="exact"/>
        <w:rPr>
          <w:sz w:val="20"/>
          <w:szCs w:val="20"/>
          <w:color w:val="auto"/>
        </w:rPr>
      </w:pPr>
    </w:p>
    <w:p>
      <w:pPr>
        <w:ind w:left="40"/>
        <w:spacing w:after="0"/>
        <w:rPr>
          <w:sz w:val="20"/>
          <w:szCs w:val="20"/>
          <w:color w:val="auto"/>
        </w:rPr>
      </w:pPr>
      <w:r>
        <w:rPr>
          <w:rFonts w:ascii="Arial" w:cs="Arial" w:eastAsia="Arial" w:hAnsi="Arial"/>
          <w:sz w:val="18"/>
          <w:szCs w:val="18"/>
          <w:color w:val="auto"/>
        </w:rPr>
        <w:t>Stephen A. Trowbridge, Executive Vice President,</w:t>
      </w:r>
    </w:p>
    <w:p>
      <w:pPr>
        <w:ind w:left="40"/>
        <w:spacing w:after="0"/>
        <w:rPr>
          <w:sz w:val="20"/>
          <w:szCs w:val="20"/>
          <w:color w:val="auto"/>
        </w:rPr>
      </w:pPr>
      <w:r>
        <w:rPr>
          <w:rFonts w:ascii="Arial" w:cs="Arial" w:eastAsia="Arial" w:hAnsi="Arial"/>
          <w:sz w:val="18"/>
          <w:szCs w:val="18"/>
          <w:color w:val="auto"/>
        </w:rPr>
        <w:t>Chief Financial Officer</w:t>
      </w:r>
    </w:p>
    <w:sectPr>
      <w:pgSz w:w="11900" w:h="16838" w:orient="portrait"/>
      <w:cols w:equalWidth="0" w:num="1">
        <w:col w:w="11240"/>
      </w:cols>
      <w:pgMar w:left="320" w:top="89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14FD4A1"/>
    <w:multiLevelType w:val="hybridMultilevel"/>
    <w:lvl w:ilvl="0">
      <w:lvlJc w:val="left"/>
      <w:lvlText w:val="☒"/>
      <w:numFmt w:val="bullet"/>
      <w:start w:val="1"/>
    </w:lvl>
  </w:abstractNum>
  <w:abstractNum w:abstractNumId="1">
    <w:nsid w:val="419AC241"/>
    <w:multiLevelType w:val="hybridMultilevel"/>
    <w:lvl w:ilvl="0">
      <w:lvlJc w:val="left"/>
      <w:lvlText w:val="☐"/>
      <w:numFmt w:val="bullet"/>
      <w:start w:val="1"/>
    </w:lvl>
  </w:abstractNum>
  <w:abstractNum w:abstractNumId="2">
    <w:nsid w:val="5577F8E1"/>
    <w:multiLevelType w:val="hybridMultilevel"/>
    <w:lvl w:ilvl="0">
      <w:lvlJc w:val="left"/>
      <w:lvlText w:val="%1."/>
      <w:numFmt w:val="decimal"/>
      <w:start w:val="3"/>
    </w:lvl>
  </w:abstractNum>
  <w:abstractNum w:abstractNumId="3">
    <w:nsid w:val="440BADFC"/>
    <w:multiLevelType w:val="hybridMultilevel"/>
    <w:lvl w:ilvl="0">
      <w:lvlJc w:val="left"/>
      <w:lvlText w:val="•"/>
      <w:numFmt w:val="bullet"/>
      <w:start w:val="1"/>
    </w:lvl>
  </w:abstractNum>
  <w:abstractNum w:abstractNumId="4">
    <w:nsid w:val="5072367"/>
    <w:multiLevelType w:val="hybridMultilevel"/>
    <w:lvl w:ilvl="0">
      <w:lvlJc w:val="left"/>
      <w:lvlText w:val="•"/>
      <w:numFmt w:val="bullet"/>
      <w:start w:val="1"/>
    </w:lvl>
  </w:abstractNum>
  <w:abstractNum w:abstractNumId="5">
    <w:nsid w:val="3804823E"/>
    <w:multiLevelType w:val="hybridMultilevel"/>
    <w:lvl w:ilvl="0">
      <w:lvlJc w:val="left"/>
      <w:lvlText w:val="(%1)"/>
      <w:numFmt w:val="decimal"/>
      <w:start w:val="1"/>
    </w:lvl>
  </w:abstractNum>
  <w:abstractNum w:abstractNumId="6">
    <w:nsid w:val="77465F01"/>
    <w:multiLevelType w:val="hybridMultilevel"/>
    <w:lvl w:ilvl="0">
      <w:lvlJc w:val="left"/>
      <w:lvlText w:val="(%1)"/>
      <w:numFmt w:val="decimal"/>
      <w:start w:val="1"/>
    </w:lvl>
  </w:abstractNum>
  <w:abstractNum w:abstractNumId="7">
    <w:nsid w:val="7724C67E"/>
    <w:multiLevelType w:val="hybridMultilevel"/>
    <w:lvl w:ilvl="0">
      <w:lvlJc w:val="left"/>
      <w:lvlText w:val="•"/>
      <w:numFmt w:val="bullet"/>
      <w:start w:val="1"/>
    </w:lvl>
  </w:abstractNum>
  <w:abstractNum w:abstractNumId="8">
    <w:nsid w:val="5C482A97"/>
    <w:multiLevelType w:val="hybridMultilevel"/>
    <w:lvl w:ilvl="0">
      <w:lvlJc w:val="left"/>
      <w:lvlText w:val="•"/>
      <w:numFmt w:val="bullet"/>
      <w:start w:val="1"/>
    </w:lvl>
  </w:abstractNum>
  <w:abstractNum w:abstractNumId="9">
    <w:nsid w:val="2463B9EA"/>
    <w:multiLevelType w:val="hybridMultilevel"/>
    <w:lvl w:ilvl="0">
      <w:lvlJc w:val="left"/>
      <w:lvlText w:val="•"/>
      <w:numFmt w:val="bullet"/>
      <w:start w:val="1"/>
    </w:lvl>
  </w:abstractNum>
  <w:abstractNum w:abstractNumId="10">
    <w:nsid w:val="5E884ADC"/>
    <w:multiLevelType w:val="hybridMultilevel"/>
    <w:lvl w:ilvl="0">
      <w:lvlJc w:val="left"/>
      <w:lvlText w:val="•"/>
      <w:numFmt w:val="bullet"/>
      <w:start w:val="1"/>
    </w:lvl>
  </w:abstractNum>
  <w:abstractNum w:abstractNumId="11">
    <w:nsid w:val="51EAD36B"/>
    <w:multiLevelType w:val="hybridMultilevel"/>
    <w:lvl w:ilvl="0">
      <w:lvlJc w:val="left"/>
      <w:lvlText w:val="•"/>
      <w:numFmt w:val="bullet"/>
      <w:start w:val="1"/>
    </w:lvl>
  </w:abstractNum>
  <w:abstractNum w:abstractNumId="12">
    <w:nsid w:val="2D517796"/>
    <w:multiLevelType w:val="hybridMultilevel"/>
    <w:lvl w:ilvl="0">
      <w:lvlJc w:val="left"/>
      <w:lvlText w:val="•"/>
      <w:numFmt w:val="bullet"/>
      <w:start w:val="1"/>
    </w:lvl>
  </w:abstractNum>
  <w:abstractNum w:abstractNumId="13">
    <w:nsid w:val="580BD78F"/>
    <w:multiLevelType w:val="hybridMultilevel"/>
    <w:lvl w:ilvl="0">
      <w:lvlJc w:val="left"/>
      <w:lvlText w:val="•"/>
      <w:numFmt w:val="bullet"/>
      <w:start w:val="1"/>
    </w:lvl>
  </w:abstractNum>
  <w:abstractNum w:abstractNumId="14">
    <w:nsid w:val="153EA438"/>
    <w:multiLevelType w:val="hybridMultilevel"/>
    <w:lvl w:ilvl="0">
      <w:lvlJc w:val="left"/>
      <w:lvlText w:val="•"/>
      <w:numFmt w:val="bullet"/>
      <w:start w:val="1"/>
    </w:lvl>
  </w:abstractNum>
  <w:abstractNum w:abstractNumId="15">
    <w:nsid w:val="3855585C"/>
    <w:multiLevelType w:val="hybridMultilevel"/>
    <w:lvl w:ilvl="0">
      <w:lvlJc w:val="left"/>
      <w:lvlText w:val="•"/>
      <w:numFmt w:val="bullet"/>
      <w:start w:val="1"/>
    </w:lvl>
  </w:abstractNum>
  <w:abstractNum w:abstractNumId="16">
    <w:nsid w:val="70A64E2A"/>
    <w:multiLevelType w:val="hybridMultilevel"/>
    <w:lvl w:ilvl="0">
      <w:lvlJc w:val="left"/>
      <w:lvlText w:val="•"/>
      <w:numFmt w:val="bullet"/>
      <w:start w:val="1"/>
    </w:lvl>
  </w:abstractNum>
  <w:abstractNum w:abstractNumId="17">
    <w:nsid w:val="6A2342EC"/>
    <w:multiLevelType w:val="hybridMultilevel"/>
    <w:lvl w:ilvl="0">
      <w:lvlJc w:val="left"/>
      <w:lvlText w:val="•"/>
      <w:numFmt w:val="bullet"/>
      <w:start w:val="1"/>
    </w:lvl>
  </w:abstractNum>
  <w:abstractNum w:abstractNumId="18">
    <w:nsid w:val="2A487CB0"/>
    <w:multiLevelType w:val="hybridMultilevel"/>
    <w:lvl w:ilvl="0">
      <w:lvlJc w:val="left"/>
      <w:lvlText w:val="•"/>
      <w:numFmt w:val="bullet"/>
      <w:start w:val="1"/>
    </w:lvl>
  </w:abstractNum>
  <w:abstractNum w:abstractNumId="19">
    <w:nsid w:val="1D4ED43B"/>
    <w:multiLevelType w:val="hybridMultilevel"/>
    <w:lvl w:ilvl="0">
      <w:lvlJc w:val="left"/>
      <w:lvlText w:val="•"/>
      <w:numFmt w:val="bullet"/>
      <w:start w:val="1"/>
    </w:lvl>
  </w:abstractNum>
  <w:abstractNum w:abstractNumId="20">
    <w:nsid w:val="725A06FB"/>
    <w:multiLevelType w:val="hybridMultilevel"/>
    <w:lvl w:ilvl="0">
      <w:lvlJc w:val="left"/>
      <w:lvlText w:val="•"/>
      <w:numFmt w:val="bullet"/>
      <w:start w:val="1"/>
    </w:lvl>
  </w:abstractNum>
  <w:abstractNum w:abstractNumId="21">
    <w:nsid w:val="2CD89A32"/>
    <w:multiLevelType w:val="hybridMultilevel"/>
    <w:lvl w:ilvl="0">
      <w:lvlJc w:val="left"/>
      <w:lvlText w:val="•"/>
      <w:numFmt w:val="bullet"/>
      <w:start w:val="1"/>
    </w:lvl>
  </w:abstractNum>
  <w:abstractNum w:abstractNumId="22">
    <w:nsid w:val="57E4CCAF"/>
    <w:multiLevelType w:val="hybridMultilevel"/>
    <w:lvl w:ilvl="0">
      <w:lvlJc w:val="left"/>
      <w:lvlText w:val="•"/>
      <w:numFmt w:val="bullet"/>
      <w:start w:val="1"/>
    </w:lvl>
  </w:abstractNum>
  <w:abstractNum w:abstractNumId="23">
    <w:nsid w:val="7A6D8D3C"/>
    <w:multiLevelType w:val="hybridMultilevel"/>
    <w:lvl w:ilvl="0">
      <w:lvlJc w:val="left"/>
      <w:lvlText w:val="•"/>
      <w:numFmt w:val="bullet"/>
      <w:start w:val="1"/>
    </w:lvl>
  </w:abstractNum>
  <w:abstractNum w:abstractNumId="24">
    <w:nsid w:val="4B588F54"/>
    <w:multiLevelType w:val="hybridMultilevel"/>
    <w:lvl w:ilvl="0">
      <w:lvlJc w:val="left"/>
      <w:lvlText w:val="•"/>
      <w:numFmt w:val="bullet"/>
      <w:start w:val="1"/>
    </w:lvl>
  </w:abstractNum>
  <w:abstractNum w:abstractNumId="25">
    <w:nsid w:val="542289EC"/>
    <w:multiLevelType w:val="hybridMultilevel"/>
    <w:lvl w:ilvl="0">
      <w:lvlJc w:val="left"/>
      <w:lvlText w:val="•"/>
      <w:numFmt w:val="bullet"/>
      <w:start w:val="1"/>
    </w:lvl>
  </w:abstractNum>
  <w:abstractNum w:abstractNumId="26">
    <w:nsid w:val="6DE91B18"/>
    <w:multiLevelType w:val="hybridMultilevel"/>
    <w:lvl w:ilvl="0">
      <w:lvlJc w:val="left"/>
      <w:lvlText w:val="•"/>
      <w:numFmt w:val="bullet"/>
      <w:start w:val="1"/>
    </w:lvl>
  </w:abstractNum>
  <w:abstractNum w:abstractNumId="27">
    <w:nsid w:val="38437FDB"/>
    <w:multiLevelType w:val="hybridMultilevel"/>
    <w:lvl w:ilvl="0">
      <w:lvlJc w:val="left"/>
      <w:lvlText w:val="•"/>
      <w:numFmt w:val="bullet"/>
      <w:start w:val="1"/>
    </w:lvl>
  </w:abstractNum>
  <w:abstractNum w:abstractNumId="28">
    <w:nsid w:val="7644A45C"/>
    <w:multiLevelType w:val="hybridMultilevel"/>
    <w:lvl w:ilvl="0">
      <w:lvlJc w:val="left"/>
      <w:lvlText w:val="•"/>
      <w:numFmt w:val="bullet"/>
      <w:start w:val="1"/>
    </w:lvl>
  </w:abstractNum>
  <w:abstractNum w:abstractNumId="29">
    <w:nsid w:val="32FFF902"/>
    <w:multiLevelType w:val="hybridMultilevel"/>
    <w:lvl w:ilvl="0">
      <w:lvlJc w:val="left"/>
      <w:lvlText w:val="•"/>
      <w:numFmt w:val="bullet"/>
      <w:start w:val="1"/>
    </w:lvl>
  </w:abstractNum>
  <w:abstractNum w:abstractNumId="30">
    <w:nsid w:val="684A481A"/>
    <w:multiLevelType w:val="hybridMultilevel"/>
    <w:lvl w:ilvl="0">
      <w:lvlJc w:val="left"/>
      <w:lvlText w:val="•"/>
      <w:numFmt w:val="bullet"/>
      <w:start w:val="1"/>
    </w:lvl>
  </w:abstractNum>
  <w:abstractNum w:abstractNumId="31">
    <w:nsid w:val="579478FE"/>
    <w:multiLevelType w:val="hybridMultilevel"/>
    <w:lvl w:ilvl="0">
      <w:lvlJc w:val="left"/>
      <w:lvlText w:val="•"/>
      <w:numFmt w:val="bullet"/>
      <w:start w:val="1"/>
    </w:lvl>
  </w:abstractNum>
  <w:abstractNum w:abstractNumId="32">
    <w:nsid w:val="749ABB43"/>
    <w:multiLevelType w:val="hybridMultilevel"/>
    <w:lvl w:ilvl="0">
      <w:lvlJc w:val="left"/>
      <w:lvlText w:val="•"/>
      <w:numFmt w:val="bullet"/>
      <w:start w:val="1"/>
    </w:lvl>
  </w:abstractNum>
  <w:abstractNum w:abstractNumId="33">
    <w:nsid w:val="3DC240FB"/>
    <w:multiLevelType w:val="hybridMultilevel"/>
    <w:lvl w:ilvl="0">
      <w:lvlJc w:val="left"/>
      <w:lvlText w:val="•"/>
      <w:numFmt w:val="bullet"/>
      <w:start w:val="1"/>
    </w:lvl>
  </w:abstractNum>
  <w:abstractNum w:abstractNumId="34">
    <w:nsid w:val="1BA026FA"/>
    <w:multiLevelType w:val="hybridMultilevel"/>
    <w:lvl w:ilvl="0">
      <w:lvlJc w:val="left"/>
      <w:lvlText w:val="•"/>
      <w:numFmt w:val="bullet"/>
      <w:start w:val="1"/>
    </w:lvl>
  </w:abstractNum>
  <w:abstractNum w:abstractNumId="35">
    <w:nsid w:val="79A1DEAA"/>
    <w:multiLevelType w:val="hybridMultilevel"/>
    <w:lvl w:ilvl="0">
      <w:lvlJc w:val="left"/>
      <w:lvlText w:val="%1."/>
      <w:numFmt w:val="decimal"/>
      <w:start w:val="1"/>
    </w:lvl>
  </w:abstractNum>
  <w:abstractNum w:abstractNumId="36">
    <w:nsid w:val="75C6C33A"/>
    <w:multiLevelType w:val="hybridMultilevel"/>
    <w:lvl w:ilvl="0">
      <w:lvlJc w:val="left"/>
      <w:lvlText w:val="%1."/>
      <w:numFmt w:val="decimal"/>
      <w:start w:val="3"/>
    </w:lvl>
  </w:abstractNum>
  <w:abstractNum w:abstractNumId="37">
    <w:nsid w:val="12E685FB"/>
    <w:multiLevelType w:val="hybridMultilevel"/>
    <w:lvl w:ilvl="0">
      <w:lvlJc w:val="left"/>
      <w:lvlText w:val="(%1)"/>
      <w:numFmt w:val="lowerLetter"/>
      <w:start w:val="1"/>
    </w:lvl>
  </w:abstractNum>
  <w:abstractNum w:abstractNumId="38">
    <w:nsid w:val="70C6A529"/>
    <w:multiLevelType w:val="hybridMultilevel"/>
    <w:lvl w:ilvl="0">
      <w:lvlJc w:val="left"/>
      <w:lvlText w:val="(%1)"/>
      <w:numFmt w:val="lowerLetter"/>
      <w:start w:val="2"/>
    </w:lvl>
  </w:abstractNum>
  <w:abstractNum w:abstractNumId="39">
    <w:nsid w:val="520EEDD1"/>
    <w:multiLevelType w:val="hybridMultilevel"/>
    <w:lvl w:ilvl="0">
      <w:lvlJc w:val="left"/>
      <w:lvlText w:val="(%1)"/>
      <w:numFmt w:val="lowerLetter"/>
      <w:start w:val="3"/>
    </w:lvl>
  </w:abstractNum>
  <w:abstractNum w:abstractNumId="40">
    <w:nsid w:val="374A3FE6"/>
    <w:multiLevelType w:val="hybridMultilevel"/>
    <w:lvl w:ilvl="0">
      <w:lvlJc w:val="left"/>
      <w:lvlText w:val="(%1)"/>
      <w:numFmt w:val="lowerLetter"/>
      <w:start w:val="4"/>
    </w:lvl>
  </w:abstractNum>
  <w:abstractNum w:abstractNumId="41">
    <w:nsid w:val="4F4EF005"/>
    <w:multiLevelType w:val="hybridMultilevel"/>
    <w:lvl w:ilvl="0">
      <w:lvlJc w:val="left"/>
      <w:lvlText w:val="(%1)"/>
      <w:numFmt w:val="lowerLetter"/>
      <w:start w:val="4"/>
    </w:lvl>
    <w:lvl w:ilvl="1">
      <w:lvlJc w:val="left"/>
      <w:lvlText w:val="+"/>
      <w:numFmt w:val="bullet"/>
      <w:start w:val="1"/>
    </w:lvl>
  </w:abstractNum>
  <w:abstractNum w:abstractNumId="42">
    <w:nsid w:val="23F9C13C"/>
    <w:multiLevelType w:val="hybridMultilevel"/>
    <w:lvl w:ilvl="0">
      <w:lvlJc w:val="left"/>
      <w:lvlText w:val="%1."/>
      <w:numFmt w:val="decimal"/>
      <w:start w:val="4"/>
    </w:lvl>
  </w:abstractNum>
  <w:abstractNum w:abstractNumId="43">
    <w:nsid w:val="649BB77C"/>
    <w:multiLevelType w:val="hybridMultilevel"/>
    <w:lvl w:ilvl="0">
      <w:lvlJc w:val="left"/>
      <w:lvlText w:val="%1."/>
      <w:numFmt w:val="decimal"/>
      <w:start w:val="6"/>
    </w:lvl>
  </w:abstractNum>
  <w:abstractNum w:abstractNumId="44">
    <w:nsid w:val="275AC794"/>
    <w:multiLevelType w:val="hybridMultilevel"/>
    <w:lvl w:ilvl="0">
      <w:lvlJc w:val="left"/>
      <w:lvlText w:val="%1"/>
      <w:numFmt w:val="lowerLetter"/>
      <w:start w:val="1"/>
    </w:lvl>
    <w:lvl w:ilvl="1">
      <w:lvlJc w:val="left"/>
      <w:lvlText w:val="(%2)"/>
      <w:numFmt w:val="lowerLetter"/>
      <w:start w:val="1"/>
    </w:lvl>
  </w:abstractNum>
  <w:abstractNum w:abstractNumId="45">
    <w:nsid w:val="39386575"/>
    <w:multiLevelType w:val="hybridMultilevel"/>
    <w:lvl w:ilvl="0">
      <w:lvlJc w:val="left"/>
      <w:lvlText w:val="(%1)"/>
      <w:numFmt w:val="lowerLetter"/>
      <w:start w:val="2"/>
    </w:lvl>
    <w:lvl w:ilvl="1">
      <w:lvlJc w:val="left"/>
      <w:lvlText w:val="(%2)"/>
      <w:numFmt w:val="lowerLetter"/>
      <w:start w:val="4"/>
    </w:lvl>
  </w:abstractNum>
  <w:abstractNum w:abstractNumId="46">
    <w:nsid w:val="1CF10FD8"/>
    <w:multiLevelType w:val="hybridMultilevel"/>
    <w:lvl w:ilvl="0">
      <w:lvlJc w:val="left"/>
      <w:lvlText w:val="%1."/>
      <w:numFmt w:val="decimal"/>
      <w:start w:val="8"/>
    </w:lvl>
  </w:abstractNum>
  <w:abstractNum w:abstractNumId="47">
    <w:nsid w:val="180115BE"/>
    <w:multiLevelType w:val="hybridMultilevel"/>
    <w:lvl w:ilvl="0">
      <w:lvlJc w:val="left"/>
      <w:lvlText w:val="%1."/>
      <w:numFmt w:val="decimal"/>
      <w:start w:val="11"/>
    </w:lvl>
  </w:abstractNum>
  <w:abstractNum w:abstractNumId="48">
    <w:nsid w:val="235BA861"/>
    <w:multiLevelType w:val="hybridMultilevel"/>
    <w:lvl w:ilvl="0">
      <w:lvlJc w:val="left"/>
      <w:lvlText w:val="%1."/>
      <w:numFmt w:val="decimal"/>
      <w:start w:val="12"/>
    </w:lvl>
  </w:abstractNum>
  <w:abstractNum w:abstractNumId="49">
    <w:nsid w:val="47398C89"/>
    <w:multiLevelType w:val="hybridMultilevel"/>
    <w:lvl w:ilvl="0">
      <w:lvlJc w:val="left"/>
      <w:lvlText w:val="%1."/>
      <w:numFmt w:val="decimal"/>
      <w:start w:val="16"/>
    </w:lvl>
  </w:abstractNum>
  <w:abstractNum w:abstractNumId="50">
    <w:nsid w:val="354FE9F9"/>
    <w:multiLevelType w:val="hybridMultilevel"/>
    <w:lvl w:ilvl="0">
      <w:lvlJc w:val="left"/>
      <w:lvlText w:val="(%1)"/>
      <w:numFmt w:val="lowerLetter"/>
      <w:start w:val="1"/>
    </w:lvl>
    <w:lvl w:ilvl="1">
      <w:lvlJc w:val="left"/>
      <w:lvlText w:val="(%2)"/>
      <w:numFmt w:val="lowerRoman"/>
      <w:start w:val="1"/>
    </w:lvl>
  </w:abstractNum>
  <w:abstractNum w:abstractNumId="51">
    <w:nsid w:val="15B5AF5C"/>
    <w:multiLevelType w:val="hybridMultilevel"/>
    <w:lvl w:ilvl="0">
      <w:lvlJc w:val="left"/>
      <w:lvlText w:val="(%1)"/>
      <w:numFmt w:val="lowerLetter"/>
      <w:start w:val="2"/>
    </w:lvl>
  </w:abstractNum>
  <w:abstractNum w:abstractNumId="52">
    <w:nsid w:val="741226BB"/>
    <w:multiLevelType w:val="hybridMultilevel"/>
    <w:lvl w:ilvl="0">
      <w:lvlJc w:val="left"/>
      <w:lvlText w:val="(%1)"/>
      <w:numFmt w:val="decimal"/>
      <w:start w:val="1"/>
    </w:lvl>
  </w:abstractNum>
  <w:abstractNum w:abstractNumId="53">
    <w:nsid w:val="D34B6A8"/>
    <w:multiLevelType w:val="hybridMultilevel"/>
    <w:lvl w:ilvl="0">
      <w:lvlJc w:val="left"/>
      <w:lvlText w:val="%1"/>
      <w:numFmt w:val="lowerLetter"/>
      <w:start w:val="1"/>
    </w:lvl>
    <w:lvl w:ilvl="1">
      <w:lvlJc w:val="left"/>
      <w:lvlText w:val="(%2)"/>
      <w:numFmt w:val="decimal"/>
      <w:start w:val="2"/>
    </w:lvl>
  </w:abstractNum>
  <w:abstractNum w:abstractNumId="54">
    <w:nsid w:val="10233C99"/>
    <w:multiLevelType w:val="hybridMultilevel"/>
    <w:lvl w:ilvl="0">
      <w:lvlJc w:val="left"/>
      <w:lvlText w:val="(%1)"/>
      <w:numFmt w:val="lowerLetter"/>
      <w:start w:val="5"/>
    </w:lvl>
    <w:lvl w:ilvl="1">
      <w:lvlJc w:val="left"/>
      <w:lvlText w:val="%2"/>
      <w:numFmt w:val="decimal"/>
      <w:start w:val="1"/>
    </w:lvl>
  </w:abstractNum>
  <w:abstractNum w:abstractNumId="55">
    <w:nsid w:val="3F6AB60F"/>
    <w:multiLevelType w:val="hybridMultilevel"/>
    <w:lvl w:ilvl="0">
      <w:lvlJc w:val="left"/>
      <w:lvlText w:val="(%1)"/>
      <w:numFmt w:val="lowerLetter"/>
      <w:start w:val="8"/>
    </w:lvl>
  </w:abstractNum>
  <w:abstractNum w:abstractNumId="56">
    <w:nsid w:val="61574095"/>
    <w:multiLevelType w:val="hybridMultilevel"/>
    <w:lvl w:ilvl="0">
      <w:lvlJc w:val="left"/>
      <w:lvlText w:val="%1."/>
      <w:numFmt w:val="decimal"/>
      <w:start w:val="1"/>
    </w:lvl>
  </w:abstractNum>
  <w:abstractNum w:abstractNumId="57">
    <w:nsid w:val="7E0C57B1"/>
    <w:multiLevelType w:val="hybridMultilevel"/>
    <w:lvl w:ilvl="0">
      <w:lvlJc w:val="left"/>
      <w:lvlText w:val="(%1)"/>
      <w:numFmt w:val="lowerLetter"/>
      <w:start w:val="1"/>
    </w:lvl>
  </w:abstractNum>
  <w:abstractNum w:abstractNumId="58">
    <w:nsid w:val="77AE35EB"/>
    <w:multiLevelType w:val="hybridMultilevel"/>
    <w:lvl w:ilvl="0">
      <w:lvlJc w:val="left"/>
      <w:lvlText w:val="%1."/>
      <w:numFmt w:val="decimal"/>
      <w:start w:val="5"/>
    </w:lvl>
  </w:abstractNum>
  <w:abstractNum w:abstractNumId="59">
    <w:nsid w:val="579BE4F1"/>
    <w:multiLevelType w:val="hybridMultilevel"/>
    <w:lvl w:ilvl="0">
      <w:lvlJc w:val="left"/>
      <w:lvlText w:val="(%1)"/>
      <w:numFmt w:val="lowerLetter"/>
      <w:start w:val="1"/>
    </w:lvl>
  </w:abstractNum>
  <w:abstractNum w:abstractNumId="60">
    <w:nsid w:val="310C50B3"/>
    <w:multiLevelType w:val="hybridMultilevel"/>
    <w:lvl w:ilvl="0">
      <w:lvlJc w:val="left"/>
      <w:lvlText w:val="/"/>
      <w:numFmt w:val="bullet"/>
      <w:start w:val="1"/>
    </w:lvl>
  </w:abstractNum>
  <w:abstractNum w:abstractNumId="61">
    <w:nsid w:val="5FF87E05"/>
    <w:multiLevelType w:val="hybridMultilevel"/>
    <w:lvl w:ilvl="0">
      <w:lvlJc w:val="left"/>
      <w:lvlText w:val="%1."/>
      <w:numFmt w:val="decimal"/>
      <w:start w:val="1"/>
    </w:lvl>
  </w:abstractNum>
  <w:abstractNum w:abstractNumId="62">
    <w:nsid w:val="2F305DEF"/>
    <w:multiLevelType w:val="hybridMultilevel"/>
    <w:lvl w:ilvl="0">
      <w:lvlJc w:val="left"/>
      <w:lvlText w:val="(%1)"/>
      <w:numFmt w:val="lowerLetter"/>
      <w:start w:val="1"/>
    </w:lvl>
  </w:abstractNum>
  <w:abstractNum w:abstractNumId="63">
    <w:nsid w:val="25A70BF7"/>
    <w:multiLevelType w:val="hybridMultilevel"/>
    <w:lvl w:ilvl="0">
      <w:lvlJc w:val="left"/>
      <w:lvlText w:val="%1."/>
      <w:numFmt w:val="decimal"/>
      <w:start w:val="5"/>
    </w:lvl>
  </w:abstractNum>
  <w:abstractNum w:abstractNumId="64">
    <w:nsid w:val="1DBABF00"/>
    <w:multiLevelType w:val="hybridMultilevel"/>
    <w:lvl w:ilvl="0">
      <w:lvlJc w:val="left"/>
      <w:lvlText w:val="(%1)"/>
      <w:numFmt w:val="lowerLetter"/>
      <w:start w:val="1"/>
    </w:lvl>
  </w:abstractNum>
  <w:abstractNum w:abstractNumId="65">
    <w:nsid w:val="4AD084E9"/>
    <w:multiLevelType w:val="hybridMultilevel"/>
    <w:lvl w:ilvl="0">
      <w:lvlJc w:val="left"/>
      <w:lvlText w:val="%1."/>
      <w:numFmt w:val="decimal"/>
      <w:start w:val="1"/>
    </w:lvl>
  </w:abstractNum>
  <w:abstractNum w:abstractNumId="66">
    <w:nsid w:val="1F48EAA1"/>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7" Type="http://schemas.openxmlformats.org/officeDocument/2006/relationships/image" Target="media/image49.png"/><Relationship Id="rId58" Type="http://schemas.openxmlformats.org/officeDocument/2006/relationships/image" Target="media/image50.jpeg"/><Relationship Id="rId59" Type="http://schemas.openxmlformats.org/officeDocument/2006/relationships/image" Target="media/image51.jpeg"/><Relationship Id="rId60" Type="http://schemas.openxmlformats.org/officeDocument/2006/relationships/image" Target="media/image52.jpeg"/><Relationship Id="rId61" Type="http://schemas.openxmlformats.org/officeDocument/2006/relationships/image" Target="media/image53.jpeg"/><Relationship Id="rId62" Type="http://schemas.openxmlformats.org/officeDocument/2006/relationships/image" Target="media/image54.jpeg"/><Relationship Id="rId63" Type="http://schemas.openxmlformats.org/officeDocument/2006/relationships/image" Target="media/image55.png"/><Relationship Id="rId64" Type="http://schemas.openxmlformats.org/officeDocument/2006/relationships/image" Target="media/image56.png"/><Relationship Id="rId56" Type="http://schemas.openxmlformats.org/officeDocument/2006/relationships/hyperlink" Target="https://www.sec.gov/Archives/edgar/data/1275187/000127518720000028/angoproxy-53120.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2021-01-08T11:08:46Z</dcterms:created>
  <dcterms:modified xsi:type="dcterms:W3CDTF">2021-01-08T11:08:46Z</dcterms:modified>
</cp:coreProperties>
</file>