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214630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10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3228975</wp:posOffset>
            </wp:positionH>
            <wp:positionV relativeFrom="paragraph">
              <wp:posOffset>127635</wp:posOffset>
            </wp:positionV>
            <wp:extent cx="72009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11430"/>
                    </a:xfrm>
                    <a:prstGeom prst="rect">
                      <a:avLst/>
                    </a:prstGeom>
                    <a:noFill/>
                  </pic:spPr>
                </pic:pic>
              </a:graphicData>
            </a:graphic>
          </wp:anchor>
        </w:drawing>
      </w:r>
    </w:p>
    <w:p>
      <w:pPr>
        <w:spacing w:after="0" w:line="375"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5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6"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October 2, 2025</w:t>
      </w:r>
    </w:p>
    <w:p>
      <w:pPr>
        <w:spacing w:after="0" w:line="131"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29"/>
          <w:szCs w:val="29"/>
          <w:b w:val="1"/>
          <w:bCs w:val="1"/>
          <w:color w:val="auto"/>
        </w:rPr>
        <w:t>AngioDynamics, Inc.</w:t>
      </w:r>
    </w:p>
    <w:p>
      <w:pPr>
        <w:spacing w:after="0" w:line="34"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color w:val="auto"/>
        </w:rPr>
        <w:t>(Exact Name of Registrant as Specified in Charter)</w:t>
      </w:r>
    </w:p>
    <w:p>
      <w:pPr>
        <w:spacing w:after="0" w:line="134" w:lineRule="exact"/>
        <w:rPr>
          <w:sz w:val="24"/>
          <w:szCs w:val="24"/>
          <w:color w:val="auto"/>
        </w:rPr>
      </w:pPr>
    </w:p>
    <w:tbl>
      <w:tblPr>
        <w:tblLayout w:type="fixed"/>
        <w:tblInd w:w="788" w:type="dxa"/>
        <w:tblCellMar>
          <w:top w:w="0" w:type="dxa"/>
          <w:left w:w="0" w:type="dxa"/>
          <w:bottom w:w="0" w:type="dxa"/>
          <w:right w:w="0" w:type="dxa"/>
        </w:tblCellMar>
      </w:tblPr>
      <w:tr>
        <w:trPr>
          <w:trHeight w:val="159"/>
        </w:trPr>
        <w:tc>
          <w:tcPr>
            <w:tcW w:w="3580" w:type="dxa"/>
            <w:vAlign w:val="bottom"/>
          </w:tcPr>
          <w:p>
            <w:pPr>
              <w:jc w:val="center"/>
              <w:ind w:right="136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920" w:type="dxa"/>
            <w:vAlign w:val="bottom"/>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000-50761</w:t>
            </w:r>
          </w:p>
        </w:tc>
        <w:tc>
          <w:tcPr>
            <w:tcW w:w="2980" w:type="dxa"/>
            <w:vAlign w:val="bottom"/>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11-3146460</w:t>
            </w:r>
          </w:p>
        </w:tc>
      </w:tr>
      <w:tr>
        <w:trPr>
          <w:trHeight w:val="288"/>
        </w:trPr>
        <w:tc>
          <w:tcPr>
            <w:tcW w:w="3580" w:type="dxa"/>
            <w:vAlign w:val="bottom"/>
          </w:tcPr>
          <w:p>
            <w:pPr>
              <w:jc w:val="center"/>
              <w:ind w:right="1360"/>
              <w:spacing w:after="0"/>
              <w:rPr>
                <w:sz w:val="20"/>
                <w:szCs w:val="20"/>
                <w:color w:val="auto"/>
              </w:rPr>
            </w:pPr>
            <w:r>
              <w:rPr>
                <w:rFonts w:ascii="Times New Roman" w:cs="Times New Roman" w:eastAsia="Times New Roman" w:hAnsi="Times New Roman"/>
                <w:sz w:val="12"/>
                <w:szCs w:val="12"/>
                <w:color w:val="auto"/>
              </w:rPr>
              <w:t>(State or Other Jurisdiction of Incorporation)</w:t>
            </w:r>
          </w:p>
        </w:tc>
        <w:tc>
          <w:tcPr>
            <w:tcW w:w="2920" w:type="dxa"/>
            <w:vAlign w:val="bottom"/>
          </w:tcPr>
          <w:p>
            <w:pPr>
              <w:jc w:val="center"/>
              <w:ind w:right="280"/>
              <w:spacing w:after="0"/>
              <w:rPr>
                <w:sz w:val="20"/>
                <w:szCs w:val="20"/>
                <w:color w:val="auto"/>
              </w:rPr>
            </w:pPr>
            <w:r>
              <w:rPr>
                <w:rFonts w:ascii="Times New Roman" w:cs="Times New Roman" w:eastAsia="Times New Roman" w:hAnsi="Times New Roman"/>
                <w:sz w:val="12"/>
                <w:szCs w:val="12"/>
                <w:color w:val="auto"/>
              </w:rPr>
              <w:t>(Commission File Number)</w:t>
            </w:r>
          </w:p>
        </w:tc>
        <w:tc>
          <w:tcPr>
            <w:tcW w:w="2980" w:type="dxa"/>
            <w:vAlign w:val="bottom"/>
          </w:tcPr>
          <w:p>
            <w:pPr>
              <w:jc w:val="center"/>
              <w:ind w:left="1260"/>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288"/>
        </w:trPr>
        <w:tc>
          <w:tcPr>
            <w:tcW w:w="3580" w:type="dxa"/>
            <w:vAlign w:val="bottom"/>
          </w:tcPr>
          <w:p>
            <w:pPr>
              <w:jc w:val="center"/>
              <w:ind w:left="340"/>
              <w:spacing w:after="0"/>
              <w:rPr>
                <w:sz w:val="20"/>
                <w:szCs w:val="20"/>
                <w:color w:val="auto"/>
              </w:rPr>
            </w:pPr>
            <w:r>
              <w:rPr>
                <w:rFonts w:ascii="Times New Roman" w:cs="Times New Roman" w:eastAsia="Times New Roman" w:hAnsi="Times New Roman"/>
                <w:sz w:val="12"/>
                <w:szCs w:val="12"/>
                <w:b w:val="1"/>
                <w:bCs w:val="1"/>
                <w:color w:val="auto"/>
                <w:w w:val="99"/>
              </w:rPr>
              <w:t>14 Plaza Drive, Latham, New York</w:t>
            </w:r>
          </w:p>
        </w:tc>
        <w:tc>
          <w:tcPr>
            <w:tcW w:w="2920" w:type="dxa"/>
            <w:vAlign w:val="bottom"/>
          </w:tcPr>
          <w:p>
            <w:pPr>
              <w:spacing w:after="0"/>
              <w:rPr>
                <w:sz w:val="24"/>
                <w:szCs w:val="24"/>
                <w:color w:val="auto"/>
              </w:rPr>
            </w:pPr>
          </w:p>
        </w:tc>
        <w:tc>
          <w:tcPr>
            <w:tcW w:w="2980" w:type="dxa"/>
            <w:vAlign w:val="bottom"/>
          </w:tcPr>
          <w:p>
            <w:pPr>
              <w:jc w:val="right"/>
              <w:ind w:right="1520"/>
              <w:spacing w:after="0"/>
              <w:rPr>
                <w:sz w:val="20"/>
                <w:szCs w:val="20"/>
                <w:color w:val="auto"/>
              </w:rPr>
            </w:pPr>
            <w:r>
              <w:rPr>
                <w:rFonts w:ascii="Times New Roman" w:cs="Times New Roman" w:eastAsia="Times New Roman" w:hAnsi="Times New Roman"/>
                <w:sz w:val="12"/>
                <w:szCs w:val="12"/>
                <w:b w:val="1"/>
                <w:bCs w:val="1"/>
                <w:color w:val="auto"/>
              </w:rPr>
              <w:t>12110</w:t>
            </w:r>
          </w:p>
        </w:tc>
      </w:tr>
      <w:tr>
        <w:trPr>
          <w:trHeight w:val="288"/>
        </w:trPr>
        <w:tc>
          <w:tcPr>
            <w:tcW w:w="3580" w:type="dxa"/>
            <w:vAlign w:val="bottom"/>
          </w:tcPr>
          <w:p>
            <w:pPr>
              <w:jc w:val="center"/>
              <w:ind w:left="32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2920" w:type="dxa"/>
            <w:vAlign w:val="bottom"/>
          </w:tcPr>
          <w:p>
            <w:pPr>
              <w:spacing w:after="0"/>
              <w:rPr>
                <w:sz w:val="24"/>
                <w:szCs w:val="24"/>
                <w:color w:val="auto"/>
              </w:rPr>
            </w:pPr>
          </w:p>
        </w:tc>
        <w:tc>
          <w:tcPr>
            <w:tcW w:w="298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rPr>
              <w:t>(Zip Code)</w:t>
            </w:r>
          </w:p>
        </w:tc>
      </w:tr>
      <w:tr>
        <w:trPr>
          <w:trHeight w:val="288"/>
        </w:trPr>
        <w:tc>
          <w:tcPr>
            <w:tcW w:w="3580" w:type="dxa"/>
            <w:vAlign w:val="bottom"/>
          </w:tcPr>
          <w:p>
            <w:pPr>
              <w:spacing w:after="0"/>
              <w:rPr>
                <w:sz w:val="24"/>
                <w:szCs w:val="24"/>
                <w:color w:val="auto"/>
              </w:rPr>
            </w:pPr>
          </w:p>
        </w:tc>
        <w:tc>
          <w:tcPr>
            <w:tcW w:w="2920" w:type="dxa"/>
            <w:vAlign w:val="bottom"/>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(518) 795-1400</w:t>
            </w:r>
          </w:p>
        </w:tc>
        <w:tc>
          <w:tcPr>
            <w:tcW w:w="2980" w:type="dxa"/>
            <w:vAlign w:val="bottom"/>
          </w:tcPr>
          <w:p>
            <w:pPr>
              <w:spacing w:after="0"/>
              <w:rPr>
                <w:sz w:val="24"/>
                <w:szCs w:val="24"/>
                <w:color w:val="auto"/>
              </w:rPr>
            </w:pPr>
          </w:p>
        </w:tc>
      </w:tr>
    </w:tbl>
    <w:p>
      <w:pPr>
        <w:spacing w:after="0" w:line="133" w:lineRule="exact"/>
        <w:rPr>
          <w:sz w:val="24"/>
          <w:szCs w:val="24"/>
          <w:color w:val="auto"/>
        </w:rPr>
      </w:pPr>
    </w:p>
    <w:p>
      <w:pPr>
        <w:jc w:val="center"/>
        <w:ind w:right="-107"/>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 (b))</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 (c))</w:t>
      </w:r>
    </w:p>
    <w:p>
      <w:pPr>
        <w:spacing w:after="0" w:line="14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48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61"/>
        </w:trPr>
        <w:tc>
          <w:tcPr>
            <w:tcW w:w="4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 of each class</w:t>
            </w:r>
          </w:p>
        </w:tc>
        <w:tc>
          <w:tcPr>
            <w:tcW w:w="2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Trading Symbol(s)</w:t>
            </w:r>
          </w:p>
        </w:tc>
        <w:tc>
          <w:tcPr>
            <w:tcW w:w="162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8"/>
              </w:rPr>
              <w:t>Name of each exchange on which</w:t>
            </w:r>
          </w:p>
        </w:tc>
      </w:tr>
      <w:tr>
        <w:trPr>
          <w:trHeight w:val="124"/>
        </w:trPr>
        <w:tc>
          <w:tcPr>
            <w:tcW w:w="860" w:type="dxa"/>
            <w:vAlign w:val="bottom"/>
            <w:tcBorders>
              <w:top w:val="single" w:sz="8" w:color="auto"/>
            </w:tcBorders>
          </w:tcPr>
          <w:p>
            <w:pPr>
              <w:spacing w:after="0"/>
              <w:rPr>
                <w:sz w:val="10"/>
                <w:szCs w:val="10"/>
                <w:color w:val="auto"/>
              </w:rPr>
            </w:pPr>
          </w:p>
        </w:tc>
        <w:tc>
          <w:tcPr>
            <w:tcW w:w="40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140" w:type="dxa"/>
            <w:vAlign w:val="bottom"/>
          </w:tcPr>
          <w:p>
            <w:pPr>
              <w:spacing w:after="0"/>
              <w:rPr>
                <w:sz w:val="10"/>
                <w:szCs w:val="10"/>
                <w:color w:val="auto"/>
              </w:rPr>
            </w:pPr>
          </w:p>
        </w:tc>
        <w:tc>
          <w:tcPr>
            <w:tcW w:w="162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2"/>
                <w:szCs w:val="12"/>
                <w:color w:val="auto"/>
              </w:rPr>
              <w:t>registered</w:t>
            </w:r>
          </w:p>
        </w:tc>
      </w:tr>
      <w:tr>
        <w:trPr>
          <w:trHeight w:val="20"/>
        </w:trPr>
        <w:tc>
          <w:tcPr>
            <w:tcW w:w="486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95"/>
        </w:trPr>
        <w:tc>
          <w:tcPr>
            <w:tcW w:w="4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Common Stock, par value $0.01 per share</w:t>
            </w:r>
          </w:p>
        </w:tc>
        <w:tc>
          <w:tcPr>
            <w:tcW w:w="204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ANGO</w:t>
            </w:r>
          </w:p>
        </w:tc>
        <w:tc>
          <w:tcPr>
            <w:tcW w:w="1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NASDAQ Global Select Market</w:t>
            </w:r>
          </w:p>
        </w:tc>
      </w:tr>
    </w:tbl>
    <w:p>
      <w:pPr>
        <w:spacing w:after="0" w:line="133" w:lineRule="exact"/>
        <w:rPr>
          <w:sz w:val="24"/>
          <w:szCs w:val="24"/>
          <w:color w:val="auto"/>
        </w:rPr>
      </w:pPr>
    </w:p>
    <w:p>
      <w:pPr>
        <w:ind w:left="8" w:right="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left="8"/>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7178040"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280670</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08"/>
          </w:cols>
          <w:pgMar w:left="292" w:top="391"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 Results of Operations and Financial Condition.</w:t>
      </w:r>
    </w:p>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On October 2, 2025, AngioDynamics, Inc. (“AngioDynamics”) issued a press release announcing financial results for the fiscal first quarter ended August 31, 2025. A copy of the press release is furnished herewith as Exhibit 99.1.</w:t>
      </w:r>
    </w:p>
    <w:p>
      <w:pPr>
        <w:spacing w:after="0" w:line="150" w:lineRule="exact"/>
        <w:rPr>
          <w:sz w:val="20"/>
          <w:szCs w:val="20"/>
          <w:color w:val="auto"/>
        </w:rPr>
      </w:pPr>
    </w:p>
    <w:p>
      <w:pPr>
        <w:jc w:val="both"/>
        <w:ind w:firstLine="270"/>
        <w:spacing w:after="0" w:line="265" w:lineRule="auto"/>
        <w:rPr>
          <w:sz w:val="20"/>
          <w:szCs w:val="20"/>
          <w:color w:val="auto"/>
        </w:rPr>
      </w:pPr>
      <w:r>
        <w:rPr>
          <w:rFonts w:ascii="Times New Roman" w:cs="Times New Roman" w:eastAsia="Times New Roman" w:hAnsi="Times New Roman"/>
          <w:sz w:val="12"/>
          <w:szCs w:val="12"/>
          <w:color w:val="auto"/>
        </w:rPr>
        <w:t>The information set forth in Item 2.02 of this Form 8-K (including Exhibit 99.1) shall not be deemed “filed” for purposes of Section 18 of the Securities Exchange Act of 1934, as amended (the “Exchange Act”), or otherwise subject to the liabilities under that Section. Furthermore, such information shall not be deemed to be incorporated by reference into any filing under the Securities Act of 1933, as amended (the “Securities Act”), or the Exchange Act, except as shall be expressly set forth by specific reference in such a filing.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 Regulation FD Disclosure.</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Presentation slides discussing AngioDynamics and its fiscal first quarter ended August 31, 2025 are furnished herewith as Exhibit 99.2.</w:t>
      </w:r>
    </w:p>
    <w:p>
      <w:pPr>
        <w:spacing w:after="0" w:line="150" w:lineRule="exact"/>
        <w:rPr>
          <w:sz w:val="20"/>
          <w:szCs w:val="20"/>
          <w:color w:val="auto"/>
        </w:rPr>
      </w:pPr>
    </w:p>
    <w:p>
      <w:pPr>
        <w:jc w:val="both"/>
        <w:ind w:firstLine="261"/>
        <w:spacing w:after="0" w:line="279" w:lineRule="auto"/>
        <w:rPr>
          <w:sz w:val="20"/>
          <w:szCs w:val="20"/>
          <w:color w:val="auto"/>
        </w:rPr>
      </w:pPr>
      <w:r>
        <w:rPr>
          <w:rFonts w:ascii="Times New Roman" w:cs="Times New Roman" w:eastAsia="Times New Roman" w:hAnsi="Times New Roman"/>
          <w:sz w:val="12"/>
          <w:szCs w:val="12"/>
          <w:color w:val="auto"/>
        </w:rPr>
        <w:t>The presentation slides furnished pursuant to Item 7.01 of this Form 8-K (including Exhibit 99.2) shall not be deemed “filed” for purposes of Section 18 of the Exchange Act, or otherwise subject to the liabilities under that Section. Furthermore, the presentation slides shall not be deemed to be incorporated by reference into any filing under the Securities Act or the Exchange Act.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jc w:val="both"/>
        <w:ind w:firstLine="216"/>
        <w:spacing w:after="0" w:line="253" w:lineRule="auto"/>
        <w:rPr>
          <w:sz w:val="20"/>
          <w:szCs w:val="20"/>
          <w:color w:val="auto"/>
        </w:rPr>
      </w:pPr>
      <w:r>
        <w:rPr>
          <w:rFonts w:ascii="Times New Roman" w:cs="Times New Roman" w:eastAsia="Times New Roman" w:hAnsi="Times New Roman"/>
          <w:sz w:val="12"/>
          <w:szCs w:val="12"/>
          <w:color w:val="auto"/>
        </w:rPr>
        <w:t>This document and its attachments contain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scale and scope of the COVID-19 global pandemic,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tariffs,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as well as the risk factors listed from time to time in AngioDynamics’ SEC filings, including but not limited to its Annual Report on Form 10-K for the year ended May 31, 2025. AngioDynamics does not assume any obligation to publicly update or revise any forward-looking statements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161290</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 w:name="page3"/>
    <w:bookmarkEnd w:id="2"/>
    <w:p>
      <w:pPr>
        <w:ind w:left="8"/>
        <w:spacing w:after="0"/>
        <w:rPr>
          <w:sz w:val="20"/>
          <w:szCs w:val="20"/>
          <w:color w:val="auto"/>
        </w:rPr>
      </w:pPr>
      <w:r>
        <w:rPr>
          <w:rFonts w:ascii="Times New Roman" w:cs="Times New Roman" w:eastAsia="Times New Roman" w:hAnsi="Times New Roman"/>
          <w:sz w:val="12"/>
          <w:szCs w:val="12"/>
          <w:b w:val="1"/>
          <w:bCs w:val="1"/>
          <w:color w:val="auto"/>
        </w:rPr>
        <w:t>Item 9.01 – Financial Statements and Exhibits.</w:t>
      </w:r>
    </w:p>
    <w:p>
      <w:pPr>
        <w:spacing w:after="0" w:line="152" w:lineRule="exact"/>
        <w:rPr>
          <w:sz w:val="20"/>
          <w:szCs w:val="20"/>
          <w:color w:val="auto"/>
        </w:rPr>
      </w:pPr>
    </w:p>
    <w:p>
      <w:pPr>
        <w:ind w:left="428" w:hanging="428"/>
        <w:spacing w:after="0"/>
        <w:tabs>
          <w:tab w:leader="none" w:pos="42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Exhibits</w:t>
      </w:r>
      <w:r>
        <w:rPr>
          <w:rFonts w:ascii="Times New Roman" w:cs="Times New Roman" w:eastAsia="Times New Roman" w:hAnsi="Times New Roman"/>
          <w:sz w:val="12"/>
          <w:szCs w:val="12"/>
          <w:color w:val="auto"/>
        </w:rPr>
        <w:t>.</w:t>
      </w:r>
    </w:p>
    <w:p>
      <w:pPr>
        <w:spacing w:after="0" w:line="142"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w w:val="96"/>
              </w:rPr>
              <w:t>Exhibit No.</w:t>
            </w:r>
          </w:p>
        </w:tc>
        <w:tc>
          <w:tcPr>
            <w:tcW w:w="1140" w:type="dxa"/>
            <w:vAlign w:val="bottom"/>
          </w:tcPr>
          <w:p>
            <w:pPr>
              <w:spacing w:after="0"/>
              <w:rPr>
                <w:sz w:val="12"/>
                <w:szCs w:val="12"/>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6"/>
              </w:rPr>
              <w:t>Description</w:t>
            </w:r>
          </w:p>
        </w:tc>
        <w:tc>
          <w:tcPr>
            <w:tcW w:w="9040" w:type="dxa"/>
            <w:vAlign w:val="bottom"/>
          </w:tcPr>
          <w:p>
            <w:pPr>
              <w:spacing w:after="0"/>
              <w:rPr>
                <w:sz w:val="12"/>
                <w:szCs w:val="12"/>
                <w:color w:val="auto"/>
              </w:rPr>
            </w:pPr>
          </w:p>
        </w:tc>
      </w:tr>
      <w:tr>
        <w:trPr>
          <w:trHeight w:val="268"/>
        </w:trPr>
        <w:tc>
          <w:tcPr>
            <w:tcW w:w="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Press Release, dated October 2, 2025.</w:t>
            </w:r>
          </w:p>
        </w:tc>
      </w:tr>
      <w:tr>
        <w:trPr>
          <w:trHeight w:val="268"/>
        </w:trPr>
        <w:tc>
          <w:tcPr>
            <w:tcW w:w="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Presentation, dated October 2, 2025.</w:t>
            </w:r>
          </w:p>
        </w:tc>
      </w:tr>
      <w:tr>
        <w:trPr>
          <w:trHeight w:val="268"/>
        </w:trPr>
        <w:tc>
          <w:tcPr>
            <w:tcW w:w="2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040" w:type="dxa"/>
            <w:vAlign w:val="bottom"/>
            <w:tcBorders>
              <w:bottom w:val="single" w:sz="8" w:color="auto"/>
            </w:tcBorders>
          </w:tcPr>
          <w:p>
            <w:pPr>
              <w:spacing w:after="0"/>
              <w:rPr>
                <w:sz w:val="23"/>
                <w:szCs w:val="23"/>
                <w:color w:val="auto"/>
              </w:rPr>
            </w:pPr>
          </w:p>
        </w:tc>
      </w:tr>
    </w:tbl>
    <w:p>
      <w:pPr>
        <w:sectPr>
          <w:pgSz w:w="11900" w:h="16838" w:orient="portrait"/>
          <w:cols w:equalWidth="0" w:num="1">
            <w:col w:w="11308"/>
          </w:cols>
          <w:pgMar w:left="292" w:top="125" w:right="2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80" w:type="dxa"/>
            <w:vAlign w:val="bottom"/>
          </w:tcPr>
          <w:p>
            <w:pPr>
              <w:spacing w:after="0"/>
              <w:rPr>
                <w:sz w:val="12"/>
                <w:szCs w:val="12"/>
                <w:color w:val="auto"/>
              </w:rPr>
            </w:pPr>
          </w:p>
        </w:tc>
        <w:tc>
          <w:tcPr>
            <w:tcW w:w="7920" w:type="dxa"/>
            <w:vAlign w:val="bottom"/>
            <w:gridSpan w:val="4"/>
          </w:tcPr>
          <w:p>
            <w:pPr>
              <w:ind w:left="2280"/>
              <w:spacing w:after="0"/>
              <w:rPr>
                <w:sz w:val="20"/>
                <w:szCs w:val="20"/>
                <w:color w:val="auto"/>
              </w:rPr>
            </w:pPr>
            <w:r>
              <w:rPr>
                <w:rFonts w:ascii="Times New Roman" w:cs="Times New Roman" w:eastAsia="Times New Roman" w:hAnsi="Times New Roman"/>
                <w:sz w:val="12"/>
                <w:szCs w:val="12"/>
                <w:color w:val="auto"/>
              </w:rPr>
              <w:t>ANGIODYNAMICS, INC.</w:t>
            </w:r>
          </w:p>
        </w:tc>
      </w:tr>
      <w:tr>
        <w:trPr>
          <w:trHeight w:val="155"/>
        </w:trPr>
        <w:tc>
          <w:tcPr>
            <w:tcW w:w="3380" w:type="dxa"/>
            <w:vAlign w:val="bottom"/>
          </w:tcPr>
          <w:p>
            <w:pPr>
              <w:spacing w:after="0"/>
              <w:rPr>
                <w:sz w:val="13"/>
                <w:szCs w:val="13"/>
                <w:color w:val="auto"/>
              </w:rPr>
            </w:pPr>
          </w:p>
        </w:tc>
        <w:tc>
          <w:tcPr>
            <w:tcW w:w="7920" w:type="dxa"/>
            <w:vAlign w:val="bottom"/>
            <w:gridSpan w:val="4"/>
          </w:tcPr>
          <w:p>
            <w:pPr>
              <w:ind w:left="2280"/>
              <w:spacing w:after="0"/>
              <w:rPr>
                <w:sz w:val="20"/>
                <w:szCs w:val="20"/>
                <w:color w:val="auto"/>
              </w:rPr>
            </w:pPr>
            <w:r>
              <w:rPr>
                <w:rFonts w:ascii="Times New Roman" w:cs="Times New Roman" w:eastAsia="Times New Roman" w:hAnsi="Times New Roman"/>
                <w:sz w:val="12"/>
                <w:szCs w:val="12"/>
                <w:color w:val="auto"/>
              </w:rPr>
              <w:t>(Registrant)</w:t>
            </w:r>
          </w:p>
        </w:tc>
      </w:tr>
      <w:tr>
        <w:trPr>
          <w:trHeight w:val="261"/>
        </w:trPr>
        <w:tc>
          <w:tcPr>
            <w:tcW w:w="3380" w:type="dxa"/>
            <w:vAlign w:val="bottom"/>
          </w:tcPr>
          <w:p>
            <w:pPr>
              <w:spacing w:after="0"/>
              <w:rPr>
                <w:sz w:val="20"/>
                <w:szCs w:val="20"/>
                <w:color w:val="auto"/>
              </w:rPr>
            </w:pPr>
            <w:r>
              <w:rPr>
                <w:rFonts w:ascii="Times New Roman" w:cs="Times New Roman" w:eastAsia="Times New Roman" w:hAnsi="Times New Roman"/>
                <w:sz w:val="12"/>
                <w:szCs w:val="12"/>
                <w:color w:val="auto"/>
              </w:rPr>
              <w:t>Date: October 2, 2025</w:t>
            </w:r>
          </w:p>
        </w:tc>
        <w:tc>
          <w:tcPr>
            <w:tcW w:w="7920" w:type="dxa"/>
            <w:vAlign w:val="bottom"/>
            <w:gridSpan w:val="4"/>
          </w:tcPr>
          <w:p>
            <w:pPr>
              <w:ind w:left="2280"/>
              <w:spacing w:after="0"/>
              <w:rPr>
                <w:sz w:val="20"/>
                <w:szCs w:val="20"/>
                <w:color w:val="auto"/>
              </w:rPr>
            </w:pPr>
            <w:r>
              <w:rPr>
                <w:rFonts w:ascii="Times New Roman" w:cs="Times New Roman" w:eastAsia="Times New Roman" w:hAnsi="Times New Roman"/>
                <w:sz w:val="12"/>
                <w:szCs w:val="12"/>
                <w:color w:val="auto"/>
              </w:rPr>
              <w:t>By: /s/ Lawrence T. Weiss</w:t>
            </w:r>
          </w:p>
        </w:tc>
      </w:tr>
      <w:tr>
        <w:trPr>
          <w:trHeight w:val="20"/>
        </w:trPr>
        <w:tc>
          <w:tcPr>
            <w:tcW w:w="3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140"/>
        </w:trPr>
        <w:tc>
          <w:tcPr>
            <w:tcW w:w="3380" w:type="dxa"/>
            <w:vAlign w:val="bottom"/>
          </w:tcPr>
          <w:p>
            <w:pPr>
              <w:spacing w:after="0"/>
              <w:rPr>
                <w:sz w:val="12"/>
                <w:szCs w:val="12"/>
                <w:color w:val="auto"/>
              </w:rPr>
            </w:pPr>
          </w:p>
        </w:tc>
        <w:tc>
          <w:tcPr>
            <w:tcW w:w="2720" w:type="dxa"/>
            <w:vAlign w:val="bottom"/>
            <w:gridSpan w:val="2"/>
          </w:tcPr>
          <w:p>
            <w:pPr>
              <w:ind w:left="2280"/>
              <w:spacing w:after="0"/>
              <w:rPr>
                <w:sz w:val="20"/>
                <w:szCs w:val="20"/>
                <w:color w:val="auto"/>
              </w:rPr>
            </w:pPr>
            <w:r>
              <w:rPr>
                <w:rFonts w:ascii="Times New Roman" w:cs="Times New Roman" w:eastAsia="Times New Roman" w:hAnsi="Times New Roman"/>
                <w:sz w:val="12"/>
                <w:szCs w:val="12"/>
                <w:color w:val="auto"/>
              </w:rPr>
              <w:t>Name:</w:t>
            </w:r>
          </w:p>
        </w:tc>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Lawrence T. Weiss</w:t>
            </w:r>
          </w:p>
        </w:tc>
      </w:tr>
      <w:tr>
        <w:trPr>
          <w:trHeight w:val="155"/>
        </w:trPr>
        <w:tc>
          <w:tcPr>
            <w:tcW w:w="3380" w:type="dxa"/>
            <w:vAlign w:val="bottom"/>
          </w:tcPr>
          <w:p>
            <w:pPr>
              <w:spacing w:after="0"/>
              <w:rPr>
                <w:sz w:val="13"/>
                <w:szCs w:val="13"/>
                <w:color w:val="auto"/>
              </w:rPr>
            </w:pPr>
          </w:p>
        </w:tc>
        <w:tc>
          <w:tcPr>
            <w:tcW w:w="2720" w:type="dxa"/>
            <w:vAlign w:val="bottom"/>
            <w:gridSpan w:val="2"/>
          </w:tcPr>
          <w:p>
            <w:pPr>
              <w:ind w:left="2280"/>
              <w:spacing w:after="0"/>
              <w:rPr>
                <w:sz w:val="20"/>
                <w:szCs w:val="20"/>
                <w:color w:val="auto"/>
              </w:rPr>
            </w:pPr>
            <w:r>
              <w:rPr>
                <w:rFonts w:ascii="Times New Roman" w:cs="Times New Roman" w:eastAsia="Times New Roman" w:hAnsi="Times New Roman"/>
                <w:sz w:val="12"/>
                <w:szCs w:val="12"/>
                <w:color w:val="auto"/>
              </w:rPr>
              <w:t>Title:</w:t>
            </w:r>
          </w:p>
        </w:tc>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Senior Vice President, Chief Legal Officer and Corporate Secretary</w:t>
            </w:r>
          </w:p>
        </w:tc>
      </w:tr>
      <w:tr>
        <w:trPr>
          <w:trHeight w:val="351"/>
        </w:trPr>
        <w:tc>
          <w:tcPr>
            <w:tcW w:w="33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5" w:right="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99.1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AngioDynamics Reports Fiscal Year 2026 First Quarter Financial Results; Med Tech Growth of 26.1% Drives Continued Momentum</w:t>
      </w:r>
    </w:p>
    <w:p>
      <w:pPr>
        <w:spacing w:after="0" w:line="150"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Med Tech segment delivers fourth consecutive quarter of over 20% revenue growth</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Reported Adjusted EBITDA of $2.2 million compared to ($0.2) million in the prior year</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Continues to expect to be cash flow positive for the full fiscal year 2026</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Raised full year FY 2026 guidance for net sales, Med Tech net sales growth, Adjusted EBITDA and Adjusted EPS</w:t>
      </w:r>
    </w:p>
    <w:p>
      <w:pPr>
        <w:spacing w:after="0" w:line="139"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LATHAM, N.Y.--(BUSINESS WIRE)— Oct. 2, 2025-- AngioDynamics, Inc. (NASDAQ: ANGO), a leading and transformative medical technology company focused on restoring healthy blood flow in the body’s vascular system, expanding cancer treatment options, and improving quality of life for patients, today announced financial results for the first quarter of fiscal year 2026, which ended August 31, 2025.</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Fiscal Year 2026 First Quarter Highlights</w:t>
            </w:r>
          </w:p>
        </w:tc>
        <w:tc>
          <w:tcPr>
            <w:tcW w:w="3740" w:type="dxa"/>
            <w:vAlign w:val="bottom"/>
          </w:tcPr>
          <w:p>
            <w:pPr>
              <w:spacing w:after="0"/>
              <w:rPr>
                <w:sz w:val="13"/>
                <w:szCs w:val="13"/>
                <w:color w:val="auto"/>
              </w:rPr>
            </w:pPr>
          </w:p>
        </w:tc>
        <w:tc>
          <w:tcPr>
            <w:tcW w:w="3860" w:type="dxa"/>
            <w:vAlign w:val="bottom"/>
          </w:tcPr>
          <w:p>
            <w:pPr>
              <w:spacing w:after="0"/>
              <w:rPr>
                <w:sz w:val="13"/>
                <w:szCs w:val="13"/>
                <w:color w:val="auto"/>
              </w:rPr>
            </w:pPr>
          </w:p>
        </w:tc>
      </w:tr>
      <w:tr>
        <w:trPr>
          <w:trHeight w:val="273"/>
        </w:trPr>
        <w:tc>
          <w:tcPr>
            <w:tcW w:w="3700" w:type="dxa"/>
            <w:vAlign w:val="bottom"/>
          </w:tcPr>
          <w:p>
            <w:pPr>
              <w:spacing w:after="0"/>
              <w:rPr>
                <w:sz w:val="23"/>
                <w:szCs w:val="23"/>
                <w:color w:val="auto"/>
              </w:rPr>
            </w:pPr>
          </w:p>
        </w:tc>
        <w:tc>
          <w:tcPr>
            <w:tcW w:w="3740" w:type="dxa"/>
            <w:vAlign w:val="bottom"/>
          </w:tcPr>
          <w:p>
            <w:pPr>
              <w:jc w:val="center"/>
              <w:ind w:left="180"/>
              <w:spacing w:after="0"/>
              <w:rPr>
                <w:sz w:val="20"/>
                <w:szCs w:val="20"/>
                <w:color w:val="auto"/>
              </w:rPr>
            </w:pPr>
            <w:r>
              <w:rPr>
                <w:rFonts w:ascii="Times New Roman" w:cs="Times New Roman" w:eastAsia="Times New Roman" w:hAnsi="Times New Roman"/>
                <w:sz w:val="12"/>
                <w:szCs w:val="12"/>
                <w:b w:val="1"/>
                <w:bCs w:val="1"/>
                <w:color w:val="auto"/>
                <w:w w:val="99"/>
              </w:rPr>
              <w:t>Quarter Ended</w:t>
            </w:r>
          </w:p>
        </w:tc>
        <w:tc>
          <w:tcPr>
            <w:tcW w:w="3860" w:type="dxa"/>
            <w:vAlign w:val="bottom"/>
          </w:tcPr>
          <w:p>
            <w:pPr>
              <w:spacing w:after="0"/>
              <w:rPr>
                <w:sz w:val="23"/>
                <w:szCs w:val="23"/>
                <w:color w:val="auto"/>
              </w:rPr>
            </w:pPr>
          </w:p>
        </w:tc>
      </w:tr>
      <w:tr>
        <w:trPr>
          <w:trHeight w:val="159"/>
        </w:trPr>
        <w:tc>
          <w:tcPr>
            <w:tcW w:w="370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tcPr>
          <w:p>
            <w:pPr>
              <w:jc w:val="center"/>
              <w:ind w:left="160"/>
              <w:spacing w:after="0"/>
              <w:rPr>
                <w:sz w:val="20"/>
                <w:szCs w:val="20"/>
                <w:color w:val="auto"/>
              </w:rPr>
            </w:pPr>
            <w:r>
              <w:rPr>
                <w:rFonts w:ascii="Times New Roman" w:cs="Times New Roman" w:eastAsia="Times New Roman" w:hAnsi="Times New Roman"/>
                <w:sz w:val="12"/>
                <w:szCs w:val="12"/>
                <w:b w:val="1"/>
                <w:bCs w:val="1"/>
                <w:i w:val="1"/>
                <w:iCs w:val="1"/>
                <w:color w:val="auto"/>
                <w:w w:val="99"/>
              </w:rPr>
              <w:t>August 31, 2025</w:t>
            </w:r>
          </w:p>
        </w:tc>
        <w:tc>
          <w:tcPr>
            <w:tcW w:w="38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2"/>
                <w:szCs w:val="12"/>
                <w:b w:val="1"/>
                <w:bCs w:val="1"/>
                <w:color w:val="auto"/>
              </w:rPr>
              <w:t>Pro Forma* YoY Growth</w:t>
            </w:r>
          </w:p>
        </w:tc>
      </w:tr>
      <w:tr>
        <w:trPr>
          <w:trHeight w:val="142"/>
        </w:trPr>
        <w:tc>
          <w:tcPr>
            <w:tcW w:w="37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Sales</w:t>
            </w:r>
          </w:p>
        </w:tc>
        <w:tc>
          <w:tcPr>
            <w:tcW w:w="3740" w:type="dxa"/>
            <w:vAlign w:val="bottom"/>
            <w:tcBorders>
              <w:bottom w:val="single" w:sz="8" w:color="auto"/>
            </w:tcBorders>
            <w:shd w:val="clear" w:color="auto" w:fill="CCEEFF"/>
          </w:tcPr>
          <w:p>
            <w:pPr>
              <w:jc w:val="center"/>
              <w:ind w:left="180"/>
              <w:spacing w:after="0"/>
              <w:rPr>
                <w:sz w:val="20"/>
                <w:szCs w:val="20"/>
                <w:color w:val="auto"/>
              </w:rPr>
            </w:pPr>
            <w:r>
              <w:rPr>
                <w:rFonts w:ascii="Times New Roman" w:cs="Times New Roman" w:eastAsia="Times New Roman" w:hAnsi="Times New Roman"/>
                <w:sz w:val="12"/>
                <w:szCs w:val="12"/>
                <w:b w:val="1"/>
                <w:bCs w:val="1"/>
                <w:color w:val="auto"/>
                <w:w w:val="99"/>
              </w:rPr>
              <w:t>$75.7 million</w:t>
            </w:r>
          </w:p>
        </w:tc>
        <w:tc>
          <w:tcPr>
            <w:tcW w:w="3860" w:type="dxa"/>
            <w:vAlign w:val="bottom"/>
            <w:tcBorders>
              <w:bottom w:val="single" w:sz="8" w:color="auto"/>
            </w:tcBorders>
            <w:shd w:val="clear" w:color="auto" w:fill="CCEEFF"/>
          </w:tcPr>
          <w:p>
            <w:pPr>
              <w:jc w:val="center"/>
              <w:ind w:left="100"/>
              <w:spacing w:after="0"/>
              <w:rPr>
                <w:sz w:val="20"/>
                <w:szCs w:val="20"/>
                <w:color w:val="auto"/>
              </w:rPr>
            </w:pPr>
            <w:r>
              <w:rPr>
                <w:rFonts w:ascii="Times New Roman" w:cs="Times New Roman" w:eastAsia="Times New Roman" w:hAnsi="Times New Roman"/>
                <w:sz w:val="12"/>
                <w:szCs w:val="12"/>
                <w:b w:val="1"/>
                <w:bCs w:val="1"/>
                <w:color w:val="auto"/>
              </w:rPr>
              <w:t>12.2%</w:t>
            </w:r>
          </w:p>
        </w:tc>
      </w:tr>
      <w:tr>
        <w:trPr>
          <w:trHeight w:val="142"/>
        </w:trPr>
        <w:tc>
          <w:tcPr>
            <w:tcW w:w="3700" w:type="dxa"/>
            <w:vAlign w:val="bottom"/>
          </w:tcPr>
          <w:p>
            <w:pPr>
              <w:ind w:left="100"/>
              <w:spacing w:after="0"/>
              <w:rPr>
                <w:sz w:val="20"/>
                <w:szCs w:val="20"/>
                <w:color w:val="auto"/>
              </w:rPr>
            </w:pPr>
            <w:r>
              <w:rPr>
                <w:rFonts w:ascii="Times New Roman" w:cs="Times New Roman" w:eastAsia="Times New Roman" w:hAnsi="Times New Roman"/>
                <w:sz w:val="12"/>
                <w:szCs w:val="12"/>
                <w:i w:val="1"/>
                <w:iCs w:val="1"/>
                <w:color w:val="auto"/>
              </w:rPr>
              <w:t>Med Tech Net Sales</w:t>
            </w:r>
          </w:p>
        </w:tc>
        <w:tc>
          <w:tcPr>
            <w:tcW w:w="3740" w:type="dxa"/>
            <w:vAlign w:val="bottom"/>
          </w:tcPr>
          <w:p>
            <w:pPr>
              <w:jc w:val="center"/>
              <w:ind w:left="160"/>
              <w:spacing w:after="0"/>
              <w:rPr>
                <w:sz w:val="20"/>
                <w:szCs w:val="20"/>
                <w:color w:val="auto"/>
              </w:rPr>
            </w:pPr>
            <w:r>
              <w:rPr>
                <w:rFonts w:ascii="Times New Roman" w:cs="Times New Roman" w:eastAsia="Times New Roman" w:hAnsi="Times New Roman"/>
                <w:sz w:val="12"/>
                <w:szCs w:val="12"/>
                <w:i w:val="1"/>
                <w:iCs w:val="1"/>
                <w:color w:val="auto"/>
                <w:w w:val="99"/>
              </w:rPr>
              <w:t>$35.3 million</w:t>
            </w:r>
          </w:p>
        </w:tc>
        <w:tc>
          <w:tcPr>
            <w:tcW w:w="3860" w:type="dxa"/>
            <w:vAlign w:val="bottom"/>
          </w:tcPr>
          <w:p>
            <w:pPr>
              <w:jc w:val="center"/>
              <w:ind w:left="100"/>
              <w:spacing w:after="0"/>
              <w:rPr>
                <w:sz w:val="20"/>
                <w:szCs w:val="20"/>
                <w:color w:val="auto"/>
              </w:rPr>
            </w:pPr>
            <w:r>
              <w:rPr>
                <w:rFonts w:ascii="Times New Roman" w:cs="Times New Roman" w:eastAsia="Times New Roman" w:hAnsi="Times New Roman"/>
                <w:sz w:val="12"/>
                <w:szCs w:val="12"/>
                <w:i w:val="1"/>
                <w:iCs w:val="1"/>
                <w:color w:val="auto"/>
                <w:w w:val="96"/>
              </w:rPr>
              <w:t>26.1%</w:t>
            </w:r>
          </w:p>
        </w:tc>
      </w:tr>
      <w:tr>
        <w:trPr>
          <w:trHeight w:val="144"/>
        </w:trPr>
        <w:tc>
          <w:tcPr>
            <w:tcW w:w="37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2"/>
                <w:szCs w:val="12"/>
                <w:i w:val="1"/>
                <w:iCs w:val="1"/>
                <w:color w:val="auto"/>
              </w:rPr>
              <w:t>Med Device Net Sales</w:t>
            </w:r>
          </w:p>
        </w:tc>
        <w:tc>
          <w:tcPr>
            <w:tcW w:w="3740" w:type="dxa"/>
            <w:vAlign w:val="bottom"/>
            <w:tcBorders>
              <w:bottom w:val="single" w:sz="8" w:color="auto"/>
            </w:tcBorders>
            <w:shd w:val="clear" w:color="auto" w:fill="CCEEFF"/>
          </w:tcPr>
          <w:p>
            <w:pPr>
              <w:jc w:val="center"/>
              <w:ind w:left="160"/>
              <w:spacing w:after="0"/>
              <w:rPr>
                <w:sz w:val="20"/>
                <w:szCs w:val="20"/>
                <w:color w:val="auto"/>
              </w:rPr>
            </w:pPr>
            <w:r>
              <w:rPr>
                <w:rFonts w:ascii="Times New Roman" w:cs="Times New Roman" w:eastAsia="Times New Roman" w:hAnsi="Times New Roman"/>
                <w:sz w:val="12"/>
                <w:szCs w:val="12"/>
                <w:i w:val="1"/>
                <w:iCs w:val="1"/>
                <w:color w:val="auto"/>
                <w:w w:val="99"/>
              </w:rPr>
              <w:t>$40.4 million</w:t>
            </w:r>
          </w:p>
        </w:tc>
        <w:tc>
          <w:tcPr>
            <w:tcW w:w="3860" w:type="dxa"/>
            <w:vAlign w:val="bottom"/>
            <w:tcBorders>
              <w:bottom w:val="single" w:sz="8" w:color="auto"/>
            </w:tcBorders>
            <w:shd w:val="clear" w:color="auto" w:fill="CCEEFF"/>
          </w:tcPr>
          <w:p>
            <w:pPr>
              <w:jc w:val="center"/>
              <w:ind w:left="100"/>
              <w:spacing w:after="0"/>
              <w:rPr>
                <w:sz w:val="20"/>
                <w:szCs w:val="20"/>
                <w:color w:val="auto"/>
              </w:rPr>
            </w:pPr>
            <w:r>
              <w:rPr>
                <w:rFonts w:ascii="Times New Roman" w:cs="Times New Roman" w:eastAsia="Times New Roman" w:hAnsi="Times New Roman"/>
                <w:sz w:val="12"/>
                <w:szCs w:val="12"/>
                <w:i w:val="1"/>
                <w:iCs w:val="1"/>
                <w:color w:val="auto"/>
              </w:rPr>
              <w:t>2.3%</w:t>
            </w:r>
          </w:p>
        </w:tc>
      </w:tr>
    </w:tbl>
    <w:p>
      <w:pPr>
        <w:spacing w:after="0" w:line="133"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gross margin of 55.3%</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GAAP loss per share of $0.26</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loss per share of $0.10</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of $2.2 million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Ended fiscal 2026 first quarter with $38.8 million in cash and cash equivalents, ahead of expectations, continues to expect to be cash flow positive for the full year FY 2026</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First patients enrolled in both the AMBITION BTK and RECOVER-AV trials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NanoKnife PRESERVE study published in the journal of European Urology</w:t>
      </w:r>
    </w:p>
    <w:p>
      <w:pPr>
        <w:spacing w:after="0" w:line="137"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12"/>
          <w:szCs w:val="12"/>
          <w:i w:val="1"/>
          <w:iCs w:val="1"/>
          <w:color w:val="auto"/>
        </w:rPr>
        <w:t>*Pro forma results exclude the Dialysis and BioSentry businesses divested in June 2023 and the PICC, Midline and tip location product portfolios divested in February 2024, as well as the discontinued Radiofrequency and Syntrax support catheter products in February 2024.</w:t>
      </w:r>
    </w:p>
    <w:p>
      <w:pPr>
        <w:spacing w:after="0" w:line="10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333333"/>
        </w:rPr>
        <w:t>"We had an outstanding first quarter as we continued to build off of the strong momentum created in fiscal 2025," commented Jim Clemmer, President and Chief Executive Officer of AngioDynamics, Inc. "Our strategy to bring unique platform technologies to large, fast growing global markets has paid off as we reported our fourth quarter in a row of MedTech growth of over 20%. This continued performance, combined with our disciplined focus on operational excellence, is driving sustained profitable growth.”</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24" w:right="299" w:bottom="1440" w:gutter="0" w:footer="0" w:header="0"/>
        </w:sectPr>
      </w:pPr>
    </w:p>
    <w:bookmarkStart w:id="5" w:name="page6"/>
    <w:bookmarkEnd w:id="5"/>
    <w:p>
      <w:pPr>
        <w:spacing w:after="0" w:line="279" w:lineRule="auto"/>
        <w:rPr>
          <w:sz w:val="20"/>
          <w:szCs w:val="20"/>
          <w:color w:val="auto"/>
        </w:rPr>
      </w:pPr>
      <w:r>
        <w:rPr>
          <w:rFonts w:ascii="Times New Roman" w:cs="Times New Roman" w:eastAsia="Times New Roman" w:hAnsi="Times New Roman"/>
          <w:sz w:val="12"/>
          <w:szCs w:val="12"/>
          <w:color w:val="333333"/>
        </w:rPr>
        <w:t>Mr. Clemmer continued, “Our exceptional team is executing our vision to deliver transformative technologies that expand treatment options and help patients live healthier, happier lives. With our superior technologies supported by our clinical investments and the strength of our balance sheet, we remain well-positioned to drive consistent, profitable growth, and deliver sustained value creation during the balance of 2026 and beyond.”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333333"/>
        </w:rPr>
        <w:t>Fiscal Year 2026 First Quarter Financial Results</w:t>
      </w:r>
    </w:p>
    <w:p>
      <w:pPr>
        <w:spacing w:after="0" w:line="154"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333333"/>
        </w:rPr>
        <w:t>Unless otherwise noted, all financial comparisons below are presented on a pro forma basis excluding the Dialysis and BioSentry businesses divested in June 2023, the PICC, Midline, and tip location product portfolios divested in February 2024, and the RadioFrequency and Syntrax support catheter products discontinued in February 2024.</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Net sales for the first quarter of fiscal year 2026 were $75.7 million, an increase of 12.2% compared to the prior-year quarter.</w:t>
      </w:r>
    </w:p>
    <w:p>
      <w:pPr>
        <w:spacing w:after="0" w:line="150"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333333"/>
        </w:rPr>
        <w:t>Med Tech net sales were $35.3 million, a 26.1% increase from $28.0 million in the prior-year period. Med Tech includes the Auryon peripheral atherectomy platform, the thrombus management platform and the NanoKnife irreversible electroporation platform.</w:t>
      </w:r>
    </w:p>
    <w:p>
      <w:pPr>
        <w:spacing w:after="0" w:line="111"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333333"/>
        </w:rPr>
        <w:t>Growth during the quarter was driven by solid performance across the Med Tech segment. Auryon sales were $16.5 million an increase of 20.1%, our Mechanical Thrombectomy business, which includes AngioVac and AlphaVac, delivered sales of $11.3 million, an increase of 41.2%, and NanoKnife sales were $6.4 million, an increase of 26.7%, including 31.3% growth in probes.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Med Device net sales were $40.4 million, a 2.3% increase compared to $39.5 million in the prior-year period.</w:t>
      </w:r>
    </w:p>
    <w:p>
      <w:pPr>
        <w:spacing w:after="0" w:line="150"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2"/>
          <w:szCs w:val="12"/>
          <w:color w:val="333333"/>
        </w:rPr>
        <w:t>Gross margin for the first quarter of fiscal 2026 was 55.3%, which was 90 basis points higher compared to the first quarter of fiscal 2025, and 260 basis points higher sequentially from 52.7% in the fourth quarter of fiscal 2025, primarily due to increased Med Tech revenue, as well as operational efficiencies. Gross margin included $1.7 million of tariff expense.</w:t>
      </w:r>
    </w:p>
    <w:p>
      <w:pPr>
        <w:spacing w:after="0" w:line="111"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333333"/>
        </w:rPr>
        <w:t>The Company recorded a GAAP net loss of $10.9 million, or a loss per share of $0.26, in the first quarter of fiscal 2026. Excluding the items shown in the non-GAAP reconciliation table below, adjusted net loss for the first quarter of fiscal 2026 was $4.2 million, or a loss per share of $0.10. This compares to an adjusted net loss during the fiscal first quarter of 2025 of $4.4 million, or a loss per share of $0.11.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color w:val="333333"/>
        </w:rPr>
        <w:t>Adjusted EBITDA in the first quarter of fiscal 2026, excluding the items shown in the non-GAAP reconciliation table below, was $2.2 million, compared to $(0.2) million in the first quarter of fiscal 2025.</w:t>
      </w:r>
    </w:p>
    <w:p>
      <w:pPr>
        <w:spacing w:after="0" w:line="150"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333333"/>
        </w:rPr>
        <w:t>In the first quarter of fiscal 2026, the Company used $17.1 million of cash. The Company’s first fiscal quarter has historically exhibited the highest utilization of cash during the year, and the first quarter of fiscal 2026 was better than the Company’s expectations, resulting in the use of less cash than expected. The Company continues to expect to be cash flow positive for the full year fiscal 2026.</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At August 31, 2025, the Company had $38.8 million in cash and cash equivalents compared to $55.9 million in cash and cash equivalents at May 31, 2025. The Company maintains a debt-free balance sheet.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333333"/>
        </w:rPr>
        <w:t>First Patient Enrolled in AMBITION BTK Trial</w:t>
      </w:r>
    </w:p>
    <w:p>
      <w:pPr>
        <w:spacing w:after="0" w:line="15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333333"/>
        </w:rPr>
        <w:t>During the quarter, the Company announced that it achieved a significant clinical milestone with the enrollment of the first patient in the AMBITION BTK trial, a prospective, multicenter, randomized controlled trial designed to investigate the clinical safety and effectiveness of the Auryon Atherectomy System in treating challenging below-the-knee lesions in patients with Critical Limb Ischemia. The trial will include up to 224 patients at up to 30 sites, with a companion registry enrolling up to 1,500 additional patients, representing the Company's continued commitment to advancing clinical evidence for the treatment of peripheral artery disease and expanding the clinical applications for the Auryon platform.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333333"/>
        </w:rPr>
        <w:t>First Patient Enrolled in RECOVER-AV Clinical Trial</w:t>
      </w:r>
    </w:p>
    <w:p>
      <w:pPr>
        <w:spacing w:after="0" w:line="15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333333"/>
        </w:rPr>
        <w:t>During the quarter, the Company announced the first patient enrollment in the RECOVER-AV clinical trial, a prospective, multi-center, multi-national, single-arm study evaluating the AlphaVac F1885 System for the treatment of acute, intermediate-risk pulmonary embolism. The study builds on the existing U.S. FDA 510(k) clearance and European CE Mark approval to assess mechanical thrombectomy treatment and long-term functional outcomes in intermediate-risk PE patients across Europe, Canada, and Hong Kong. The trial will enroll patients at up to 20 hospital-based sites and follows patients for 12 months, with functional and quality-of-life outcomes assessed at 30 days and 12 months, representing the Company's continued commitment to expanding its global clinical presence and generating evidence-based data to support broader access to life-saving PE treatment.</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color w:val="333333"/>
        </w:rPr>
        <w:t>NanoKnife PRESERVE Study Results Published in Leading European Journal</w:t>
      </w:r>
    </w:p>
    <w:p>
      <w:pPr>
        <w:spacing w:after="0" w:line="15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2"/>
          <w:szCs w:val="12"/>
          <w:color w:val="333333"/>
        </w:rPr>
        <w:t>During the quarter, the Company announced the publication of results from the PRESERVE study in European Urology, a leading journal in urologic research. The study assessed the safety and effectiveness of irreversible electroporation with the NanoKnife System to ablate prostate tissue in patients with intermediate-risk prostate cancer. The PRESERVE clinical study met its primary effectiveness endpoint, with 84.0% of men free from in-field, clinically significant disease at 12 months post-procedure. The study also demonstrated strong quality-of-life outcomes, with urinary continence largely preserved (97% at baseline vs. 96% at 12 months) and 84% of patients with good baseline sexual function at 12 months, reinforcing the NanoKnife System's role in providing effective treatment while preserving quality of life.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20" w:type="dxa"/>
            <w:vAlign w:val="bottom"/>
          </w:tcPr>
          <w:p>
            <w:pPr>
              <w:spacing w:after="0"/>
              <w:rPr>
                <w:sz w:val="20"/>
                <w:szCs w:val="20"/>
                <w:color w:val="auto"/>
              </w:rPr>
            </w:pPr>
            <w:r>
              <w:rPr>
                <w:rFonts w:ascii="Times New Roman" w:cs="Times New Roman" w:eastAsia="Times New Roman" w:hAnsi="Times New Roman"/>
                <w:sz w:val="12"/>
                <w:szCs w:val="12"/>
                <w:b w:val="1"/>
                <w:bCs w:val="1"/>
                <w:color w:val="333333"/>
              </w:rPr>
              <w:t>Fiscal Year 2026 Financial Guidance</w:t>
            </w:r>
          </w:p>
        </w:tc>
        <w:tc>
          <w:tcPr>
            <w:tcW w:w="246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840" w:type="dxa"/>
            <w:vAlign w:val="bottom"/>
          </w:tcPr>
          <w:p>
            <w:pPr>
              <w:spacing w:after="0"/>
              <w:rPr>
                <w:sz w:val="13"/>
                <w:szCs w:val="13"/>
                <w:color w:val="auto"/>
              </w:rPr>
            </w:pPr>
          </w:p>
        </w:tc>
      </w:tr>
      <w:tr>
        <w:trPr>
          <w:trHeight w:val="288"/>
        </w:trPr>
        <w:tc>
          <w:tcPr>
            <w:tcW w:w="3020" w:type="dxa"/>
            <w:vAlign w:val="bottom"/>
          </w:tcPr>
          <w:p>
            <w:pPr>
              <w:spacing w:after="0"/>
              <w:rPr>
                <w:sz w:val="20"/>
                <w:szCs w:val="20"/>
                <w:color w:val="auto"/>
              </w:rPr>
            </w:pPr>
            <w:r>
              <w:rPr>
                <w:rFonts w:ascii="Times New Roman" w:cs="Times New Roman" w:eastAsia="Times New Roman" w:hAnsi="Times New Roman"/>
                <w:sz w:val="12"/>
                <w:szCs w:val="12"/>
                <w:color w:val="333333"/>
              </w:rPr>
              <w:t>For fiscal year 2026 the company now expects:</w:t>
            </w:r>
          </w:p>
        </w:tc>
        <w:tc>
          <w:tcPr>
            <w:tcW w:w="24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73"/>
        </w:trPr>
        <w:tc>
          <w:tcPr>
            <w:tcW w:w="30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980" w:type="dxa"/>
            <w:vAlign w:val="bottom"/>
          </w:tcPr>
          <w:p>
            <w:pPr>
              <w:jc w:val="center"/>
              <w:ind w:left="60"/>
              <w:spacing w:after="0"/>
              <w:rPr>
                <w:sz w:val="20"/>
                <w:szCs w:val="20"/>
                <w:color w:val="auto"/>
              </w:rPr>
            </w:pPr>
            <w:r>
              <w:rPr>
                <w:rFonts w:ascii="Times New Roman" w:cs="Times New Roman" w:eastAsia="Times New Roman" w:hAnsi="Times New Roman"/>
                <w:sz w:val="12"/>
                <w:szCs w:val="12"/>
                <w:b w:val="1"/>
                <w:bCs w:val="1"/>
                <w:color w:val="333333"/>
                <w:w w:val="99"/>
              </w:rPr>
              <w:t>Current Guidance</w:t>
            </w:r>
          </w:p>
        </w:tc>
        <w:tc>
          <w:tcPr>
            <w:tcW w:w="2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333333"/>
                <w:w w:val="98"/>
              </w:rPr>
              <w:t>Previous Guidance</w:t>
            </w:r>
          </w:p>
        </w:tc>
      </w:tr>
      <w:tr>
        <w:trPr>
          <w:trHeight w:val="159"/>
        </w:trPr>
        <w:tc>
          <w:tcPr>
            <w:tcW w:w="302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2"/>
                <w:szCs w:val="12"/>
                <w:b w:val="1"/>
                <w:bCs w:val="1"/>
                <w:color w:val="333333"/>
                <w:w w:val="98"/>
              </w:rPr>
              <w:t>Guidance Metric</w:t>
            </w:r>
          </w:p>
        </w:tc>
        <w:tc>
          <w:tcPr>
            <w:tcW w:w="24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b w:val="1"/>
                <w:bCs w:val="1"/>
                <w:color w:val="333333"/>
                <w:w w:val="99"/>
              </w:rPr>
              <w:t>Guidance Action</w:t>
            </w:r>
          </w:p>
        </w:tc>
        <w:tc>
          <w:tcPr>
            <w:tcW w:w="2980" w:type="dxa"/>
            <w:vAlign w:val="bottom"/>
            <w:tcBorders>
              <w:bottom w:val="single" w:sz="8" w:color="auto"/>
            </w:tcBorders>
          </w:tcPr>
          <w:p>
            <w:pPr>
              <w:jc w:val="center"/>
              <w:ind w:left="80"/>
              <w:spacing w:after="0"/>
              <w:rPr>
                <w:sz w:val="20"/>
                <w:szCs w:val="20"/>
                <w:color w:val="auto"/>
              </w:rPr>
            </w:pPr>
            <w:r>
              <w:rPr>
                <w:rFonts w:ascii="Times New Roman" w:cs="Times New Roman" w:eastAsia="Times New Roman" w:hAnsi="Times New Roman"/>
                <w:sz w:val="12"/>
                <w:szCs w:val="12"/>
                <w:b w:val="1"/>
                <w:bCs w:val="1"/>
                <w:i w:val="1"/>
                <w:iCs w:val="1"/>
                <w:color w:val="333333"/>
                <w:w w:val="99"/>
              </w:rPr>
              <w:t>(as of October 2, 2025)</w:t>
            </w: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i w:val="1"/>
                <w:iCs w:val="1"/>
                <w:color w:val="333333"/>
                <w:w w:val="98"/>
              </w:rPr>
              <w:t>(as of July 15, 2025)</w:t>
            </w:r>
          </w:p>
        </w:tc>
      </w:tr>
      <w:tr>
        <w:trPr>
          <w:trHeight w:val="142"/>
        </w:trPr>
        <w:tc>
          <w:tcPr>
            <w:tcW w:w="302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333333"/>
              </w:rPr>
              <w:t>Net Sales</w:t>
            </w:r>
          </w:p>
        </w:tc>
        <w:tc>
          <w:tcPr>
            <w:tcW w:w="246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color w:val="333333"/>
                <w:w w:val="99"/>
              </w:rPr>
              <w:t>Increased</w:t>
            </w:r>
          </w:p>
        </w:tc>
        <w:tc>
          <w:tcPr>
            <w:tcW w:w="298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2"/>
                <w:szCs w:val="12"/>
                <w:color w:val="333333"/>
              </w:rPr>
              <w:t>$308 - $313 million</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333333"/>
              </w:rPr>
              <w:t>$305 - $310 million</w:t>
            </w:r>
          </w:p>
        </w:tc>
      </w:tr>
      <w:tr>
        <w:trPr>
          <w:trHeight w:val="144"/>
        </w:trPr>
        <w:tc>
          <w:tcPr>
            <w:tcW w:w="30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840" w:type="dxa"/>
            <w:vAlign w:val="bottom"/>
          </w:tcPr>
          <w:p>
            <w:pPr>
              <w:spacing w:after="0"/>
              <w:rPr>
                <w:sz w:val="12"/>
                <w:szCs w:val="12"/>
                <w:color w:val="auto"/>
              </w:rPr>
            </w:pPr>
          </w:p>
        </w:tc>
      </w:tr>
      <w:tr>
        <w:trPr>
          <w:trHeight w:val="144"/>
        </w:trPr>
        <w:tc>
          <w:tcPr>
            <w:tcW w:w="3020" w:type="dxa"/>
            <w:vAlign w:val="bottom"/>
            <w:shd w:val="clear" w:color="auto" w:fill="CCEEFF"/>
          </w:tcPr>
          <w:p>
            <w:pPr>
              <w:jc w:val="center"/>
              <w:ind w:right="200"/>
              <w:spacing w:after="0"/>
              <w:rPr>
                <w:sz w:val="20"/>
                <w:szCs w:val="20"/>
                <w:color w:val="auto"/>
              </w:rPr>
            </w:pPr>
            <w:r>
              <w:rPr>
                <w:rFonts w:ascii="Times New Roman" w:cs="Times New Roman" w:eastAsia="Times New Roman" w:hAnsi="Times New Roman"/>
                <w:sz w:val="12"/>
                <w:szCs w:val="12"/>
                <w:color w:val="333333"/>
                <w:w w:val="99"/>
              </w:rPr>
              <w:t>Med Tech Net Sales Growth</w:t>
            </w:r>
          </w:p>
        </w:tc>
        <w:tc>
          <w:tcPr>
            <w:tcW w:w="246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color w:val="333333"/>
                <w:w w:val="99"/>
              </w:rPr>
              <w:t>Increased</w:t>
            </w:r>
          </w:p>
        </w:tc>
        <w:tc>
          <w:tcPr>
            <w:tcW w:w="298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color w:val="333333"/>
                <w:w w:val="99"/>
              </w:rPr>
              <w:t>14% - 16%</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333333"/>
                <w:w w:val="99"/>
              </w:rPr>
              <w:t>12% - 15%</w:t>
            </w:r>
          </w:p>
        </w:tc>
      </w:tr>
      <w:tr>
        <w:trPr>
          <w:trHeight w:val="144"/>
        </w:trPr>
        <w:tc>
          <w:tcPr>
            <w:tcW w:w="30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840" w:type="dxa"/>
            <w:vAlign w:val="bottom"/>
          </w:tcPr>
          <w:p>
            <w:pPr>
              <w:spacing w:after="0"/>
              <w:rPr>
                <w:sz w:val="12"/>
                <w:szCs w:val="12"/>
                <w:color w:val="auto"/>
              </w:rPr>
            </w:pPr>
          </w:p>
        </w:tc>
      </w:tr>
      <w:tr>
        <w:trPr>
          <w:trHeight w:val="144"/>
        </w:trPr>
        <w:tc>
          <w:tcPr>
            <w:tcW w:w="302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333333"/>
                <w:w w:val="99"/>
              </w:rPr>
              <w:t>Med Device Net Sales Growth</w:t>
            </w:r>
          </w:p>
        </w:tc>
        <w:tc>
          <w:tcPr>
            <w:tcW w:w="246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color w:val="333333"/>
                <w:w w:val="98"/>
              </w:rPr>
              <w:t>Unchanged</w:t>
            </w:r>
          </w:p>
        </w:tc>
        <w:tc>
          <w:tcPr>
            <w:tcW w:w="298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2"/>
                <w:szCs w:val="12"/>
                <w:color w:val="333333"/>
              </w:rPr>
              <w:t>Flat</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333333"/>
                <w:w w:val="96"/>
              </w:rPr>
              <w:t>Flat</w:t>
            </w:r>
          </w:p>
        </w:tc>
      </w:tr>
      <w:tr>
        <w:trPr>
          <w:trHeight w:val="144"/>
        </w:trPr>
        <w:tc>
          <w:tcPr>
            <w:tcW w:w="30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840" w:type="dxa"/>
            <w:vAlign w:val="bottom"/>
          </w:tcPr>
          <w:p>
            <w:pPr>
              <w:spacing w:after="0"/>
              <w:rPr>
                <w:sz w:val="12"/>
                <w:szCs w:val="12"/>
                <w:color w:val="auto"/>
              </w:rPr>
            </w:pPr>
          </w:p>
        </w:tc>
      </w:tr>
      <w:tr>
        <w:trPr>
          <w:trHeight w:val="144"/>
        </w:trPr>
        <w:tc>
          <w:tcPr>
            <w:tcW w:w="302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333333"/>
                <w:w w:val="99"/>
              </w:rPr>
              <w:t>Gross Margin</w:t>
            </w:r>
          </w:p>
        </w:tc>
        <w:tc>
          <w:tcPr>
            <w:tcW w:w="246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color w:val="333333"/>
                <w:w w:val="98"/>
              </w:rPr>
              <w:t>Unchanged</w:t>
            </w:r>
          </w:p>
        </w:tc>
        <w:tc>
          <w:tcPr>
            <w:tcW w:w="298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2"/>
                <w:szCs w:val="12"/>
                <w:color w:val="333333"/>
                <w:w w:val="99"/>
              </w:rPr>
              <w:t>53.5% - 55.5%</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333333"/>
                <w:w w:val="99"/>
              </w:rPr>
              <w:t>53.5% - 55.5%</w:t>
            </w:r>
          </w:p>
        </w:tc>
      </w:tr>
      <w:tr>
        <w:trPr>
          <w:trHeight w:val="144"/>
        </w:trPr>
        <w:tc>
          <w:tcPr>
            <w:tcW w:w="30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840" w:type="dxa"/>
            <w:vAlign w:val="bottom"/>
          </w:tcPr>
          <w:p>
            <w:pPr>
              <w:spacing w:after="0"/>
              <w:rPr>
                <w:sz w:val="12"/>
                <w:szCs w:val="12"/>
                <w:color w:val="auto"/>
              </w:rPr>
            </w:pPr>
          </w:p>
        </w:tc>
      </w:tr>
      <w:tr>
        <w:trPr>
          <w:trHeight w:val="144"/>
        </w:trPr>
        <w:tc>
          <w:tcPr>
            <w:tcW w:w="302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333333"/>
                <w:w w:val="99"/>
              </w:rPr>
              <w:t>Adjusted EBITDA</w:t>
            </w:r>
          </w:p>
        </w:tc>
        <w:tc>
          <w:tcPr>
            <w:tcW w:w="246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color w:val="333333"/>
                <w:w w:val="99"/>
              </w:rPr>
              <w:t>Increased</w:t>
            </w:r>
          </w:p>
        </w:tc>
        <w:tc>
          <w:tcPr>
            <w:tcW w:w="298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2"/>
                <w:szCs w:val="12"/>
                <w:color w:val="333333"/>
              </w:rPr>
              <w:t>$6.0 - $10.0 million</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333333"/>
              </w:rPr>
              <w:t>$3.0 - $8.0 million</w:t>
            </w:r>
          </w:p>
        </w:tc>
      </w:tr>
      <w:tr>
        <w:trPr>
          <w:trHeight w:val="144"/>
        </w:trPr>
        <w:tc>
          <w:tcPr>
            <w:tcW w:w="30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840" w:type="dxa"/>
            <w:vAlign w:val="bottom"/>
          </w:tcPr>
          <w:p>
            <w:pPr>
              <w:spacing w:after="0"/>
              <w:rPr>
                <w:sz w:val="12"/>
                <w:szCs w:val="12"/>
                <w:color w:val="auto"/>
              </w:rPr>
            </w:pPr>
          </w:p>
        </w:tc>
      </w:tr>
      <w:tr>
        <w:trPr>
          <w:trHeight w:val="144"/>
        </w:trPr>
        <w:tc>
          <w:tcPr>
            <w:tcW w:w="302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333333"/>
                <w:w w:val="98"/>
              </w:rPr>
              <w:t>Adjusted EPS</w:t>
            </w:r>
          </w:p>
        </w:tc>
        <w:tc>
          <w:tcPr>
            <w:tcW w:w="246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color w:val="333333"/>
                <w:w w:val="99"/>
              </w:rPr>
              <w:t>Increased</w:t>
            </w:r>
          </w:p>
        </w:tc>
        <w:tc>
          <w:tcPr>
            <w:tcW w:w="298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color w:val="333333"/>
                <w:w w:val="99"/>
              </w:rPr>
              <w:t>($0.33) – ($0.23)</w:t>
            </w: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333333"/>
                <w:w w:val="99"/>
              </w:rPr>
              <w:t>($0.35) – ($0.25)</w:t>
            </w:r>
          </w:p>
        </w:tc>
      </w:tr>
      <w:tr>
        <w:trPr>
          <w:trHeight w:val="144"/>
        </w:trPr>
        <w:tc>
          <w:tcPr>
            <w:tcW w:w="30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840" w:type="dxa"/>
            <w:vAlign w:val="bottom"/>
          </w:tcPr>
          <w:p>
            <w:pPr>
              <w:spacing w:after="0"/>
              <w:rPr>
                <w:sz w:val="12"/>
                <w:szCs w:val="12"/>
                <w:color w:val="auto"/>
              </w:rPr>
            </w:pPr>
          </w:p>
        </w:tc>
      </w:tr>
      <w:tr>
        <w:trPr>
          <w:trHeight w:val="144"/>
        </w:trPr>
        <w:tc>
          <w:tcPr>
            <w:tcW w:w="3020" w:type="dxa"/>
            <w:vAlign w:val="bottom"/>
            <w:tcBorders>
              <w:bottom w:val="single" w:sz="8" w:color="auto"/>
            </w:tcBorders>
            <w:shd w:val="clear" w:color="auto" w:fill="CCEEFF"/>
          </w:tcPr>
          <w:p>
            <w:pPr>
              <w:jc w:val="center"/>
              <w:ind w:right="200"/>
              <w:spacing w:after="0"/>
              <w:rPr>
                <w:sz w:val="20"/>
                <w:szCs w:val="20"/>
                <w:color w:val="auto"/>
              </w:rPr>
            </w:pPr>
            <w:r>
              <w:rPr>
                <w:rFonts w:ascii="Times New Roman" w:cs="Times New Roman" w:eastAsia="Times New Roman" w:hAnsi="Times New Roman"/>
                <w:sz w:val="12"/>
                <w:szCs w:val="12"/>
                <w:color w:val="333333"/>
                <w:w w:val="99"/>
              </w:rPr>
              <w:t>Free Cash Flow</w:t>
            </w:r>
          </w:p>
        </w:tc>
        <w:tc>
          <w:tcPr>
            <w:tcW w:w="2460" w:type="dxa"/>
            <w:vAlign w:val="bottom"/>
            <w:tcBorders>
              <w:bottom w:val="single" w:sz="8" w:color="auto"/>
            </w:tcBorders>
            <w:shd w:val="clear" w:color="auto" w:fill="CCEEFF"/>
          </w:tcPr>
          <w:p>
            <w:pPr>
              <w:jc w:val="center"/>
              <w:ind w:right="20"/>
              <w:spacing w:after="0"/>
              <w:rPr>
                <w:sz w:val="20"/>
                <w:szCs w:val="20"/>
                <w:color w:val="auto"/>
              </w:rPr>
            </w:pPr>
            <w:r>
              <w:rPr>
                <w:rFonts w:ascii="Times New Roman" w:cs="Times New Roman" w:eastAsia="Times New Roman" w:hAnsi="Times New Roman"/>
                <w:sz w:val="12"/>
                <w:szCs w:val="12"/>
                <w:color w:val="333333"/>
                <w:w w:val="98"/>
              </w:rPr>
              <w:t>Unchanged</w:t>
            </w:r>
          </w:p>
        </w:tc>
        <w:tc>
          <w:tcPr>
            <w:tcW w:w="2980" w:type="dxa"/>
            <w:vAlign w:val="bottom"/>
            <w:tcBorders>
              <w:bottom w:val="single" w:sz="8" w:color="auto"/>
            </w:tcBorders>
            <w:shd w:val="clear" w:color="auto" w:fill="CCEEFF"/>
          </w:tcPr>
          <w:p>
            <w:pPr>
              <w:jc w:val="center"/>
              <w:ind w:left="80"/>
              <w:spacing w:after="0"/>
              <w:rPr>
                <w:sz w:val="20"/>
                <w:szCs w:val="20"/>
                <w:color w:val="auto"/>
              </w:rPr>
            </w:pPr>
            <w:r>
              <w:rPr>
                <w:rFonts w:ascii="Times New Roman" w:cs="Times New Roman" w:eastAsia="Times New Roman" w:hAnsi="Times New Roman"/>
                <w:sz w:val="12"/>
                <w:szCs w:val="12"/>
                <w:color w:val="333333"/>
                <w:w w:val="99"/>
              </w:rPr>
              <w:t>Positive for full year FY 2026</w:t>
            </w:r>
          </w:p>
        </w:tc>
        <w:tc>
          <w:tcPr>
            <w:tcW w:w="2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333333"/>
                <w:w w:val="99"/>
              </w:rPr>
              <w:t>Positive for full year FY 2026</w:t>
            </w:r>
          </w:p>
        </w:tc>
      </w:tr>
      <w:tr>
        <w:trPr>
          <w:trHeight w:val="286"/>
        </w:trPr>
        <w:tc>
          <w:tcPr>
            <w:tcW w:w="302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333333"/>
              </w:rPr>
              <w:t>Tariff Related Guidance Assumptions</w:t>
            </w:r>
          </w:p>
        </w:tc>
        <w:tc>
          <w:tcPr>
            <w:tcW w:w="24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40" w:type="dxa"/>
            <w:vAlign w:val="bottom"/>
          </w:tcPr>
          <w:p>
            <w:pPr>
              <w:spacing w:after="0"/>
              <w:rPr>
                <w:sz w:val="24"/>
                <w:szCs w:val="24"/>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For the full fiscal year 2026, the company continues to expect a $4.0 - $6.0 million impact from tariffs, which are included in the above provided guidance.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All assumptions made related to expected tariff impacts are based on the Company’s point of view on the current tariff situation, as of October 2, 2025. As the situation is fluid, these assumptions may change in the future.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333333"/>
        </w:rPr>
        <w:t>Conference Call</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333333"/>
        </w:rPr>
        <w:t>The Company’s management will host a conference call at 8:00 a.m. ET the same day to discuss the results. To participate in the conference call, dial 1-877-407-0784 (domestic) or +1-201-689-8560 (international). This conference call will also be webcast and can be accessed from the “Investors” section of the AngioDynamics website at www.angiodynamics.com. The webcast replay of the call will be available at the same site approximately one hour after the end of the call.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A recording of the call will also be available, until Thursday, October 09, 2025 at 11:59 PM ET. To hear this recording, dial 1-844-512-2921 (domestic) or +1-412-317-6671 (international) and enter the passcode 13755707.</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color w:val="333333"/>
        </w:rPr>
        <w:t>Use of Non-GAAP Measures</w:t>
      </w:r>
    </w:p>
    <w:p>
      <w:pPr>
        <w:spacing w:after="0" w:line="1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333333"/>
        </w:rPr>
        <w:t>Management uses non-GAAP measures to establish operational goals and believes that non-GAAP measures may assist investors in analyzing the underlying trends in AngioDynamics' business over time. Investors should consider these non-GAAP measures in addition to, not as a substitute for or as superior to, financial reporting measures prepared in accordance with GAAP. In this news release, AngioDynamics has reported pro forma results, adjusted EBITDA, adjusted net income and adjusted earnings per share. Management uses these measures in its internal analysis and review of operational performance. Management believes that these measures provide investors with useful information in comparing AngioDynamics' performance over different periods. By using these non-GAAP measures, management believes that investors get a better picture of the performance of AngioDynamics' underlying business. Management encourages investors to review AngioDynamics' financial results prepared in accordance with GAAP to understand AngioDynamics' performance taking into account all relevant factors, including those that may only occur from time to time but have a material impact on AngioDynamics' financial results. Please see the tables that follow for a reconciliation of non-GAAP measures to measures prepared in accordance with GAAP.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333333"/>
        </w:rPr>
        <w:t>About AngioDynamics,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AngioDynamics is a leading and transformative medical technology company focused on restoring healthy blood flow in the body’s vascular system, expanding cancer treatment options and improving quality of life for patients.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333333"/>
        </w:rPr>
        <w:t xml:space="preserve">The Company’s innovative technologies and devices are chosen by talented physicians in fast-growing healthcare markets to treat unmet patient needs. For more information, visit </w:t>
      </w:r>
      <w:r>
        <w:rPr>
          <w:rFonts w:ascii="Times New Roman" w:cs="Times New Roman" w:eastAsia="Times New Roman" w:hAnsi="Times New Roman"/>
          <w:sz w:val="12"/>
          <w:szCs w:val="12"/>
          <w:u w:val="single" w:color="auto"/>
          <w:color w:val="000000"/>
        </w:rPr>
        <w:t>www.angiodynamics.com</w:t>
      </w:r>
      <w:r>
        <w:rPr>
          <w:rFonts w:ascii="Times New Roman" w:cs="Times New Roman" w:eastAsia="Times New Roman" w:hAnsi="Times New Roman"/>
          <w:sz w:val="12"/>
          <w:szCs w:val="12"/>
          <w:color w:val="000000"/>
        </w:rPr>
        <w: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color w:val="333333"/>
        </w:rPr>
        <w:t>Safe Harbor</w:t>
      </w:r>
    </w:p>
    <w:p>
      <w:pPr>
        <w:spacing w:after="0" w:line="1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333333"/>
        </w:rPr>
        <w:t>This release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scale and scope of the COVID-19 global pandemic,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tariffs,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as well as the risk factors listed from time to time in AngioDynamics' SEC filings, including but not limited to its Annual Report on Form 10-K for the year ended May 31, 2025. AngioDynamics does not assume any obligation to publicly update or revise any forward-looking statements for any reason.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Stephen Trowbridge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Executive Vice President &amp; CFO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518-795-1408</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strowbridge@angiodynamics.com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Media: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Saleem Cheeks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Vice President, Communications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518-795-1174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scheeks@angiodynamics.com</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1780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ANGIODYNAMICS, INC. AND SUBSIDIARIES</w:t>
      </w:r>
    </w:p>
    <w:p>
      <w:pPr>
        <w:spacing w:after="0" w:line="21"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CONSOLIDATED INCOME STATEMENTS</w:t>
      </w:r>
    </w:p>
    <w:p>
      <w:pPr>
        <w:spacing w:after="0" w:line="6"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(in thousands, except per share data)</w:t>
      </w:r>
    </w:p>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60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5"/>
          </w:tcPr>
          <w:p>
            <w:pPr>
              <w:jc w:val="right"/>
              <w:ind w:right="960"/>
              <w:spacing w:after="0"/>
              <w:rPr>
                <w:sz w:val="20"/>
                <w:szCs w:val="20"/>
                <w:color w:val="auto"/>
              </w:rPr>
            </w:pPr>
            <w:r>
              <w:rPr>
                <w:rFonts w:ascii="Times New Roman" w:cs="Times New Roman" w:eastAsia="Times New Roman" w:hAnsi="Times New Roman"/>
                <w:sz w:val="12"/>
                <w:szCs w:val="12"/>
                <w:color w:val="auto"/>
              </w:rPr>
              <w:t>Three Months Ended</w:t>
            </w: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4"/>
        </w:trPr>
        <w:tc>
          <w:tcPr>
            <w:tcW w:w="6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6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400"/>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3"/>
                <w:szCs w:val="13"/>
                <w:color w:val="auto"/>
              </w:rPr>
            </w:pPr>
          </w:p>
        </w:tc>
        <w:tc>
          <w:tcPr>
            <w:tcW w:w="122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60" w:type="dxa"/>
            <w:vAlign w:val="bottom"/>
          </w:tcPr>
          <w:p>
            <w:pPr>
              <w:spacing w:after="0"/>
              <w:rPr>
                <w:sz w:val="13"/>
                <w:szCs w:val="13"/>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Pro Forma</w:t>
            </w:r>
          </w:p>
        </w:tc>
      </w:tr>
      <w:tr>
        <w:trPr>
          <w:trHeight w:val="155"/>
        </w:trPr>
        <w:tc>
          <w:tcPr>
            <w:tcW w:w="6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Aug 31, 2025</w:t>
            </w:r>
          </w:p>
        </w:tc>
        <w:tc>
          <w:tcPr>
            <w:tcW w:w="120" w:type="dxa"/>
            <w:vAlign w:val="bottom"/>
          </w:tcPr>
          <w:p>
            <w:pPr>
              <w:spacing w:after="0"/>
              <w:rPr>
                <w:sz w:val="13"/>
                <w:szCs w:val="13"/>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Aug 31, 2024</w:t>
            </w:r>
          </w:p>
        </w:tc>
        <w:tc>
          <w:tcPr>
            <w:tcW w:w="12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color w:val="auto"/>
              </w:rPr>
              <w:t>Aug 31, 2024</w:t>
            </w:r>
          </w:p>
        </w:tc>
        <w:tc>
          <w:tcPr>
            <w:tcW w:w="16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Aug 31, 2024</w:t>
            </w:r>
          </w:p>
        </w:tc>
      </w:tr>
      <w:tr>
        <w:trPr>
          <w:trHeight w:val="153"/>
        </w:trPr>
        <w:tc>
          <w:tcPr>
            <w:tcW w:w="60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rPr>
              <w:t>(unaudited)</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3"/>
        </w:trPr>
        <w:tc>
          <w:tcPr>
            <w:tcW w:w="6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spacing w:after="0"/>
              <w:rPr>
                <w:sz w:val="11"/>
                <w:szCs w:val="1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75,711</w:t>
            </w:r>
          </w:p>
        </w:tc>
        <w:tc>
          <w:tcPr>
            <w:tcW w:w="24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67,491</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67,500</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Cost of sales (exclusive of intangible amortization)</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33,854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30,767</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30,765</w:t>
            </w:r>
          </w:p>
        </w:tc>
      </w:tr>
      <w:tr>
        <w:trPr>
          <w:trHeight w:val="142"/>
        </w:trPr>
        <w:tc>
          <w:tcPr>
            <w:tcW w:w="6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Gross margin</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41,857</w:t>
            </w:r>
          </w:p>
        </w:tc>
        <w:tc>
          <w:tcPr>
            <w:tcW w:w="240" w:type="dxa"/>
            <w:vAlign w:val="bottom"/>
            <w:tcBorders>
              <w:left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36,724</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36,735</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 of net sales</w:t>
            </w:r>
          </w:p>
        </w:tc>
        <w:tc>
          <w:tcPr>
            <w:tcW w:w="14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55.3%</w:t>
            </w:r>
          </w:p>
        </w:tc>
        <w:tc>
          <w:tcPr>
            <w:tcW w:w="12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54.4%</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54.4%</w:t>
            </w:r>
          </w:p>
        </w:tc>
      </w:tr>
      <w:tr>
        <w:trPr>
          <w:trHeight w:val="144"/>
        </w:trPr>
        <w:tc>
          <w:tcPr>
            <w:tcW w:w="6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Research and development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6,417</w:t>
            </w:r>
          </w:p>
        </w:tc>
        <w:tc>
          <w:tcPr>
            <w:tcW w:w="24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6,285</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6,285</w:t>
            </w:r>
          </w:p>
        </w:tc>
      </w:tr>
      <w:tr>
        <w:trPr>
          <w:trHeight w:val="144"/>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Sales and marketing</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28,130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25,605</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25,605</w:t>
            </w:r>
          </w:p>
        </w:tc>
      </w:tr>
      <w:tr>
        <w:trPr>
          <w:trHeight w:val="144"/>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12,555</w:t>
            </w:r>
          </w:p>
        </w:tc>
        <w:tc>
          <w:tcPr>
            <w:tcW w:w="24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10,975</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10,975</w:t>
            </w:r>
          </w:p>
        </w:tc>
      </w:tr>
      <w:tr>
        <w:trPr>
          <w:trHeight w:val="144"/>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2,570</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2,570</w:t>
            </w:r>
          </w:p>
        </w:tc>
      </w:tr>
      <w:tr>
        <w:trPr>
          <w:trHeight w:val="144"/>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76</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76</w:t>
            </w:r>
          </w:p>
        </w:tc>
      </w:tr>
      <w:tr>
        <w:trPr>
          <w:trHeight w:val="144"/>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Acquisition, restructuring and other items, net</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4,311</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154</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4,465</w:t>
            </w:r>
          </w:p>
        </w:tc>
      </w:tr>
      <w:tr>
        <w:trPr>
          <w:trHeight w:val="142"/>
        </w:trPr>
        <w:tc>
          <w:tcPr>
            <w:tcW w:w="6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52,513</w:t>
            </w:r>
          </w:p>
        </w:tc>
        <w:tc>
          <w:tcPr>
            <w:tcW w:w="240" w:type="dxa"/>
            <w:vAlign w:val="bottom"/>
            <w:tcBorders>
              <w:left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49,822</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49,976</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60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Operating loss</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(10,656)</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(13,098)</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(143)</w:t>
            </w: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(13,241)</w:t>
            </w:r>
          </w:p>
        </w:tc>
      </w:tr>
      <w:tr>
        <w:trPr>
          <w:trHeight w:val="20"/>
        </w:trPr>
        <w:tc>
          <w:tcPr>
            <w:tcW w:w="6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 (expense), net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606</w:t>
            </w: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Other expense, net</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(178)</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(173)</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(173)</w:t>
            </w:r>
          </w:p>
        </w:tc>
      </w:tr>
      <w:tr>
        <w:trPr>
          <w:trHeight w:val="142"/>
        </w:trPr>
        <w:tc>
          <w:tcPr>
            <w:tcW w:w="6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Total other income (expense), net</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240" w:type="dxa"/>
            <w:vAlign w:val="bottom"/>
            <w:tcBorders>
              <w:left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433</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433</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60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Loss before income tax benefit</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(10,838)</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(12,665)</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(143)</w:t>
            </w: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(12,808)</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24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133</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133</w:t>
            </w:r>
          </w:p>
        </w:tc>
      </w:tr>
      <w:tr>
        <w:trPr>
          <w:trHeight w:val="20"/>
        </w:trPr>
        <w:tc>
          <w:tcPr>
            <w:tcW w:w="6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60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Net loss</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(10,903)</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(12,798)</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(143)</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(12,941)</w:t>
            </w:r>
          </w:p>
        </w:tc>
      </w:tr>
      <w:tr>
        <w:trPr>
          <w:trHeight w:val="20"/>
        </w:trPr>
        <w:tc>
          <w:tcPr>
            <w:tcW w:w="6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0"/>
        </w:trPr>
        <w:tc>
          <w:tcPr>
            <w:tcW w:w="6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tcBorders>
              <w:lef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Loss per share</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Basic</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(0.26)</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(0.31)</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(0.32)</w:t>
            </w:r>
          </w:p>
        </w:tc>
      </w:tr>
      <w:tr>
        <w:trPr>
          <w:trHeight w:val="144"/>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Diluted</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(0.26)</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(0.31)</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(0.32)</w:t>
            </w:r>
          </w:p>
        </w:tc>
      </w:tr>
      <w:tr>
        <w:trPr>
          <w:trHeight w:val="144"/>
        </w:trPr>
        <w:tc>
          <w:tcPr>
            <w:tcW w:w="6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shares outstanding</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Basic</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41,174</w:t>
            </w:r>
          </w:p>
        </w:tc>
        <w:tc>
          <w:tcPr>
            <w:tcW w:w="24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40,653</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40,653</w:t>
            </w:r>
          </w:p>
        </w:tc>
      </w:tr>
      <w:tr>
        <w:trPr>
          <w:trHeight w:val="155"/>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Diluted</w:t>
            </w:r>
          </w:p>
        </w:tc>
        <w:tc>
          <w:tcPr>
            <w:tcW w:w="1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41,174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40,653</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40,653</w:t>
            </w:r>
          </w:p>
        </w:tc>
      </w:tr>
    </w:tbl>
    <w:p>
      <w:pPr>
        <w:spacing w:after="0" w:line="122" w:lineRule="exact"/>
        <w:rPr>
          <w:sz w:val="20"/>
          <w:szCs w:val="20"/>
          <w:color w:val="auto"/>
        </w:rPr>
      </w:pPr>
    </w:p>
    <w:p>
      <w:pPr>
        <w:ind w:left="8" w:right="260" w:hanging="8"/>
        <w:spacing w:after="0" w:line="279" w:lineRule="auto"/>
        <w:tabs>
          <w:tab w:leader="none" w:pos="2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three months ended August 31, 2024.</w:t>
      </w:r>
    </w:p>
    <w:p>
      <w:pPr>
        <w:spacing w:after="0" w:line="11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elimination of revenues and expenses representing the operating results from the sales and discontinuation of the Businesses.</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1" w:name="page12"/>
    <w:bookmarkEnd w:id="11"/>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ANGIODYNAMICS, INC. AND SUBSIDIARIES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GAAP TO NON-GAAP RECONCILIATION</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(in thousands, except per share data)</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Reconciliation of Net Loss to non-GAAP Adjusted Net Loss and Pro Forma Adjusted Net Loss:</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6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2"/>
                <w:szCs w:val="12"/>
                <w:color w:val="auto"/>
              </w:rPr>
              <w:t>Three Months Ended</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4"/>
        </w:trPr>
        <w:tc>
          <w:tcPr>
            <w:tcW w:w="6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380"/>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6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380"/>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160" w:type="dxa"/>
            <w:vAlign w:val="bottom"/>
          </w:tcPr>
          <w:p>
            <w:pPr>
              <w:spacing w:after="0"/>
              <w:rPr>
                <w:sz w:val="13"/>
                <w:szCs w:val="13"/>
                <w:color w:val="auto"/>
              </w:rPr>
            </w:pPr>
          </w:p>
        </w:tc>
        <w:tc>
          <w:tcPr>
            <w:tcW w:w="118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7"/>
              </w:rPr>
              <w:t>Pro Forma</w:t>
            </w:r>
          </w:p>
        </w:tc>
      </w:tr>
      <w:tr>
        <w:trPr>
          <w:trHeight w:val="155"/>
        </w:trPr>
        <w:tc>
          <w:tcPr>
            <w:tcW w:w="60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Aug 31, 2025</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2"/>
                <w:szCs w:val="12"/>
                <w:color w:val="auto"/>
                <w:w w:val="97"/>
              </w:rPr>
              <w:t>Aug 31, 2024</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2"/>
                <w:szCs w:val="12"/>
                <w:color w:val="auto"/>
              </w:rPr>
              <w:t>Aug 31, 2024</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color w:val="auto"/>
              </w:rPr>
              <w:t>Aug 31, 2024</w:t>
            </w:r>
          </w:p>
        </w:tc>
        <w:tc>
          <w:tcPr>
            <w:tcW w:w="120" w:type="dxa"/>
            <w:vAlign w:val="bottom"/>
          </w:tcPr>
          <w:p>
            <w:pPr>
              <w:spacing w:after="0"/>
              <w:rPr>
                <w:sz w:val="13"/>
                <w:szCs w:val="13"/>
                <w:color w:val="auto"/>
              </w:rPr>
            </w:pPr>
          </w:p>
        </w:tc>
      </w:tr>
      <w:tr>
        <w:trPr>
          <w:trHeight w:val="153"/>
        </w:trPr>
        <w:tc>
          <w:tcPr>
            <w:tcW w:w="6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tcPr>
          <w:p>
            <w:pPr>
              <w:jc w:val="center"/>
              <w:ind w:left="701"/>
              <w:spacing w:after="0"/>
              <w:rPr>
                <w:sz w:val="20"/>
                <w:szCs w:val="20"/>
                <w:color w:val="auto"/>
              </w:rPr>
            </w:pPr>
            <w:r>
              <w:rPr>
                <w:rFonts w:ascii="Times New Roman" w:cs="Times New Roman" w:eastAsia="Times New Roman" w:hAnsi="Times New Roman"/>
                <w:sz w:val="12"/>
                <w:szCs w:val="12"/>
                <w:color w:val="auto"/>
                <w:w w:val="97"/>
              </w:rPr>
              <w:t>(unaudited)</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3"/>
        </w:trPr>
        <w:tc>
          <w:tcPr>
            <w:tcW w:w="6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spacing w:after="0"/>
              <w:rPr>
                <w:sz w:val="11"/>
                <w:szCs w:val="1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(10,903)</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(12,798)</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(143)</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(12,941)</w:t>
            </w:r>
          </w:p>
        </w:tc>
      </w:tr>
      <w:tr>
        <w:trPr>
          <w:trHeight w:val="144"/>
        </w:trPr>
        <w:tc>
          <w:tcPr>
            <w:tcW w:w="6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2,570</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2,570</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76</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76</w:t>
            </w:r>
          </w:p>
        </w:tc>
      </w:tr>
      <w:tr>
        <w:trPr>
          <w:trHeight w:val="144"/>
        </w:trPr>
        <w:tc>
          <w:tcPr>
            <w:tcW w:w="60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 xml:space="preserve">Acquisition, restructuring and other items, net </w:t>
            </w:r>
            <w:r>
              <w:rPr>
                <w:rFonts w:ascii="Times New Roman" w:cs="Times New Roman" w:eastAsia="Times New Roman" w:hAnsi="Times New Roman"/>
                <w:sz w:val="16"/>
                <w:szCs w:val="16"/>
                <w:color w:val="auto"/>
                <w:vertAlign w:val="superscript"/>
              </w:rPr>
              <w:t>(3)</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2,758</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4,311</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154</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4,465</w:t>
            </w:r>
          </w:p>
        </w:tc>
      </w:tr>
      <w:tr>
        <w:trPr>
          <w:trHeight w:val="144"/>
        </w:trPr>
        <w:tc>
          <w:tcPr>
            <w:tcW w:w="6000" w:type="dxa"/>
            <w:vAlign w:val="bottom"/>
          </w:tcPr>
          <w:p>
            <w:pPr>
              <w:spacing w:after="0" w:line="144" w:lineRule="exact"/>
              <w:rPr>
                <w:sz w:val="20"/>
                <w:szCs w:val="20"/>
                <w:color w:val="auto"/>
              </w:rPr>
            </w:pPr>
            <w:r>
              <w:rPr>
                <w:rFonts w:ascii="Times New Roman" w:cs="Times New Roman" w:eastAsia="Times New Roman" w:hAnsi="Times New Roman"/>
                <w:sz w:val="10"/>
                <w:szCs w:val="10"/>
                <w:color w:val="auto"/>
              </w:rPr>
              <w:t xml:space="preserve">Tax effect of non-GAAP items </w:t>
            </w:r>
            <w:r>
              <w:rPr>
                <w:rFonts w:ascii="Times New Roman" w:cs="Times New Roman" w:eastAsia="Times New Roman" w:hAnsi="Times New Roman"/>
                <w:sz w:val="16"/>
                <w:szCs w:val="16"/>
                <w:color w:val="auto"/>
                <w:vertAlign w:val="superscript"/>
              </w:rPr>
              <w:t>(4)</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1,446</w:t>
            </w:r>
          </w:p>
        </w:tc>
        <w:tc>
          <w:tcPr>
            <w:tcW w:w="16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1,443</w:t>
            </w:r>
          </w:p>
        </w:tc>
      </w:tr>
      <w:tr>
        <w:trPr>
          <w:trHeight w:val="182"/>
        </w:trPr>
        <w:tc>
          <w:tcPr>
            <w:tcW w:w="6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Adjusted net loss</w:t>
            </w: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(4,179)</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(4,395)</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(4,387)</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264"/>
        </w:trPr>
        <w:tc>
          <w:tcPr>
            <w:tcW w:w="73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w w:val="99"/>
              </w:rPr>
              <w:t>Reconciliation of Diluted Loss and Pro Forma Diluted Loss Per Share to non-GAAP Adjusted and Pro Forma Adjusted Diluted Loss Per Share:</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88"/>
        </w:trPr>
        <w:tc>
          <w:tcPr>
            <w:tcW w:w="6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2"/>
                <w:szCs w:val="12"/>
                <w:color w:val="auto"/>
              </w:rPr>
              <w:t>Three Months Ended</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4"/>
        </w:trPr>
        <w:tc>
          <w:tcPr>
            <w:tcW w:w="6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380"/>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6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380"/>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160" w:type="dxa"/>
            <w:vAlign w:val="bottom"/>
          </w:tcPr>
          <w:p>
            <w:pPr>
              <w:spacing w:after="0"/>
              <w:rPr>
                <w:sz w:val="13"/>
                <w:szCs w:val="13"/>
                <w:color w:val="auto"/>
              </w:rPr>
            </w:pPr>
          </w:p>
        </w:tc>
        <w:tc>
          <w:tcPr>
            <w:tcW w:w="118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7"/>
              </w:rPr>
              <w:t>Pro Forma</w:t>
            </w:r>
          </w:p>
        </w:tc>
      </w:tr>
      <w:tr>
        <w:trPr>
          <w:trHeight w:val="155"/>
        </w:trPr>
        <w:tc>
          <w:tcPr>
            <w:tcW w:w="60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Aug 31, 2025</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2"/>
                <w:szCs w:val="12"/>
                <w:color w:val="auto"/>
                <w:w w:val="97"/>
              </w:rPr>
              <w:t>Aug 31, 2024</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2"/>
                <w:szCs w:val="12"/>
                <w:color w:val="auto"/>
              </w:rPr>
              <w:t>Aug 31, 2024</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color w:val="auto"/>
              </w:rPr>
              <w:t>Aug 31, 2024</w:t>
            </w:r>
          </w:p>
        </w:tc>
        <w:tc>
          <w:tcPr>
            <w:tcW w:w="120" w:type="dxa"/>
            <w:vAlign w:val="bottom"/>
          </w:tcPr>
          <w:p>
            <w:pPr>
              <w:spacing w:after="0"/>
              <w:rPr>
                <w:sz w:val="13"/>
                <w:szCs w:val="13"/>
                <w:color w:val="auto"/>
              </w:rPr>
            </w:pPr>
          </w:p>
        </w:tc>
      </w:tr>
      <w:tr>
        <w:trPr>
          <w:trHeight w:val="153"/>
        </w:trPr>
        <w:tc>
          <w:tcPr>
            <w:tcW w:w="6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(unaudited)</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3"/>
        </w:trPr>
        <w:tc>
          <w:tcPr>
            <w:tcW w:w="6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spacing w:after="0"/>
              <w:rPr>
                <w:sz w:val="11"/>
                <w:szCs w:val="1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loss per share</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(0.26)</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(0.31)</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(0.01)</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(0.32)</w:t>
            </w:r>
          </w:p>
        </w:tc>
      </w:tr>
      <w:tr>
        <w:trPr>
          <w:trHeight w:val="144"/>
        </w:trPr>
        <w:tc>
          <w:tcPr>
            <w:tcW w:w="6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0.06</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0.00</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0.06</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0.00</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0.00</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0.00</w:t>
            </w:r>
          </w:p>
        </w:tc>
      </w:tr>
      <w:tr>
        <w:trPr>
          <w:trHeight w:val="144"/>
        </w:trPr>
        <w:tc>
          <w:tcPr>
            <w:tcW w:w="60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 xml:space="preserve">Acquisition, restructuring and other items, net </w:t>
            </w:r>
            <w:r>
              <w:rPr>
                <w:rFonts w:ascii="Times New Roman" w:cs="Times New Roman" w:eastAsia="Times New Roman" w:hAnsi="Times New Roman"/>
                <w:sz w:val="16"/>
                <w:szCs w:val="16"/>
                <w:color w:val="auto"/>
                <w:vertAlign w:val="superscript"/>
              </w:rPr>
              <w:t>(3)</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0.07</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0.10</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0.00</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0.10</w:t>
            </w:r>
          </w:p>
        </w:tc>
      </w:tr>
      <w:tr>
        <w:trPr>
          <w:trHeight w:val="144"/>
        </w:trPr>
        <w:tc>
          <w:tcPr>
            <w:tcW w:w="6000" w:type="dxa"/>
            <w:vAlign w:val="bottom"/>
          </w:tcPr>
          <w:p>
            <w:pPr>
              <w:spacing w:after="0" w:line="144" w:lineRule="exact"/>
              <w:rPr>
                <w:sz w:val="20"/>
                <w:szCs w:val="20"/>
                <w:color w:val="auto"/>
              </w:rPr>
            </w:pPr>
            <w:r>
              <w:rPr>
                <w:rFonts w:ascii="Times New Roman" w:cs="Times New Roman" w:eastAsia="Times New Roman" w:hAnsi="Times New Roman"/>
                <w:sz w:val="10"/>
                <w:szCs w:val="10"/>
                <w:color w:val="auto"/>
              </w:rPr>
              <w:t xml:space="preserve">Tax effect of non-GAAP items </w:t>
            </w:r>
            <w:r>
              <w:rPr>
                <w:rFonts w:ascii="Times New Roman" w:cs="Times New Roman" w:eastAsia="Times New Roman" w:hAnsi="Times New Roman"/>
                <w:sz w:val="16"/>
                <w:szCs w:val="16"/>
                <w:color w:val="auto"/>
                <w:vertAlign w:val="superscript"/>
              </w:rPr>
              <w:t>(4)</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0.04</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0.00</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0.04</w:t>
            </w:r>
          </w:p>
        </w:tc>
      </w:tr>
      <w:tr>
        <w:trPr>
          <w:trHeight w:val="20"/>
        </w:trPr>
        <w:tc>
          <w:tcPr>
            <w:tcW w:w="6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Adjusted diluted loss per share</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(0.10)</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(0.11)</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0.00</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(0.11)</w:t>
            </w:r>
          </w:p>
        </w:tc>
      </w:tr>
      <w:tr>
        <w:trPr>
          <w:trHeight w:val="120"/>
        </w:trPr>
        <w:tc>
          <w:tcPr>
            <w:tcW w:w="600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44"/>
        </w:trPr>
        <w:tc>
          <w:tcPr>
            <w:tcW w:w="6000" w:type="dxa"/>
            <w:vAlign w:val="bottom"/>
            <w:shd w:val="clear" w:color="auto" w:fill="CCEEFF"/>
          </w:tcPr>
          <w:p>
            <w:pPr>
              <w:ind w:left="100"/>
              <w:spacing w:after="0" w:line="144" w:lineRule="exact"/>
              <w:rPr>
                <w:sz w:val="20"/>
                <w:szCs w:val="20"/>
                <w:color w:val="auto"/>
              </w:rPr>
            </w:pPr>
            <w:r>
              <w:rPr>
                <w:rFonts w:ascii="Times New Roman" w:cs="Times New Roman" w:eastAsia="Times New Roman" w:hAnsi="Times New Roman"/>
                <w:sz w:val="10"/>
                <w:szCs w:val="10"/>
                <w:color w:val="auto"/>
              </w:rPr>
              <w:t xml:space="preserve">Adjusted diluted sharecount </w:t>
            </w:r>
            <w:r>
              <w:rPr>
                <w:rFonts w:ascii="Times New Roman" w:cs="Times New Roman" w:eastAsia="Times New Roman" w:hAnsi="Times New Roman"/>
                <w:sz w:val="16"/>
                <w:szCs w:val="16"/>
                <w:color w:val="auto"/>
                <w:vertAlign w:val="superscript"/>
              </w:rPr>
              <w:t>(5)</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41,174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40,653</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40,653</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40,653</w:t>
            </w:r>
          </w:p>
        </w:tc>
      </w:tr>
    </w:tbl>
    <w:p>
      <w:pPr>
        <w:spacing w:after="0" w:line="133" w:lineRule="exact"/>
        <w:rPr>
          <w:sz w:val="20"/>
          <w:szCs w:val="20"/>
          <w:color w:val="auto"/>
        </w:rPr>
      </w:pPr>
    </w:p>
    <w:p>
      <w:pPr>
        <w:ind w:left="8" w:right="260" w:hanging="8"/>
        <w:spacing w:after="0" w:line="259" w:lineRule="auto"/>
        <w:tabs>
          <w:tab w:leader="none" w:pos="20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three months ended August 31, 2024.</w:t>
      </w:r>
    </w:p>
    <w:p>
      <w:pPr>
        <w:spacing w:after="0" w:line="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elimination of revenues and expenses representing the operating results from the sales and discontinuation of the Businesses.</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costs related to merger and acquisition activities, restructuring, and unusual items, including asset impairments and write-offs, certain litigation, and other items.</w:t>
      </w:r>
    </w:p>
    <w:p>
      <w:pPr>
        <w:spacing w:after="0" w:line="6" w:lineRule="exact"/>
        <w:rPr>
          <w:rFonts w:ascii="Times New Roman" w:cs="Times New Roman" w:eastAsia="Times New Roman" w:hAnsi="Times New Roman"/>
          <w:sz w:val="12"/>
          <w:szCs w:val="12"/>
          <w:color w:val="auto"/>
        </w:rPr>
      </w:pPr>
    </w:p>
    <w:p>
      <w:pPr>
        <w:ind w:left="8" w:right="20" w:hanging="8"/>
        <w:spacing w:after="0" w:line="250" w:lineRule="auto"/>
        <w:tabs>
          <w:tab w:leader="none" w:pos="17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Adjustment to reflect the income tax provision on a non-GAAP basis has been calculated assuming no valuation allowance on the Company's U.S. deferred tax assets and an effective tax rate of 23% for the periods ended August 31, 2025 and 2024.</w:t>
      </w:r>
    </w:p>
    <w:p>
      <w:pPr>
        <w:ind w:left="168" w:hanging="168"/>
        <w:spacing w:after="0"/>
        <w:tabs>
          <w:tab w:leader="none" w:pos="16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Diluted shares may differ for non-GAAP measures as compared to GAAP due to a GAAP loss.</w:t>
      </w:r>
    </w:p>
    <w:p>
      <w:pPr>
        <w:spacing w:after="0" w:line="25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2" w:name="page13"/>
    <w:bookmarkEnd w:id="12"/>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ANGIODYNAMICS, INC. AND SUBSIDIARIES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GAAP TO NON-GAAP RECONCILIATION (Continued)</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(in thousands, except per share data)</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Reconciliation of Net Loss and Pro Forma Net Loss to Adjusted EBITDA and Pro Forma Adjusted EBITDA:</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6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960"/>
              <w:spacing w:after="0"/>
              <w:rPr>
                <w:sz w:val="20"/>
                <w:szCs w:val="20"/>
                <w:color w:val="auto"/>
              </w:rPr>
            </w:pPr>
            <w:r>
              <w:rPr>
                <w:rFonts w:ascii="Times New Roman" w:cs="Times New Roman" w:eastAsia="Times New Roman" w:hAnsi="Times New Roman"/>
                <w:sz w:val="12"/>
                <w:szCs w:val="12"/>
                <w:color w:val="auto"/>
              </w:rPr>
              <w:t>Three Months Ended</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4"/>
        </w:trPr>
        <w:tc>
          <w:tcPr>
            <w:tcW w:w="6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51"/>
        </w:trPr>
        <w:tc>
          <w:tcPr>
            <w:tcW w:w="6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right"/>
              <w:ind w:right="400"/>
              <w:spacing w:after="0" w:line="151"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3"/>
                <w:szCs w:val="13"/>
                <w:color w:val="auto"/>
              </w:rPr>
            </w:pPr>
          </w:p>
        </w:tc>
        <w:tc>
          <w:tcPr>
            <w:tcW w:w="1220" w:type="dxa"/>
            <w:vAlign w:val="bottom"/>
            <w:gridSpan w:val="2"/>
          </w:tcPr>
          <w:p>
            <w:pPr>
              <w:jc w:val="center"/>
              <w:ind w:right="320"/>
              <w:spacing w:after="0" w:line="151"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7"/>
                <w:szCs w:val="17"/>
                <w:color w:val="auto"/>
                <w:vertAlign w:val="superscript"/>
              </w:rPr>
              <w:t>(2)</w:t>
            </w:r>
          </w:p>
        </w:tc>
        <w:tc>
          <w:tcPr>
            <w:tcW w:w="160" w:type="dxa"/>
            <w:vAlign w:val="bottom"/>
          </w:tcPr>
          <w:p>
            <w:pPr>
              <w:spacing w:after="0"/>
              <w:rPr>
                <w:sz w:val="13"/>
                <w:szCs w:val="13"/>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Pro Forma</w:t>
            </w:r>
          </w:p>
        </w:tc>
      </w:tr>
      <w:tr>
        <w:trPr>
          <w:trHeight w:val="155"/>
        </w:trPr>
        <w:tc>
          <w:tcPr>
            <w:tcW w:w="60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Aug 31, 2025</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Aug 31, 2024</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color w:val="auto"/>
              </w:rPr>
              <w:t>Aug 31, 2024</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rPr>
              <w:t>Aug 31, 2024</w:t>
            </w:r>
          </w:p>
        </w:tc>
        <w:tc>
          <w:tcPr>
            <w:tcW w:w="120" w:type="dxa"/>
            <w:vAlign w:val="bottom"/>
          </w:tcPr>
          <w:p>
            <w:pPr>
              <w:spacing w:after="0"/>
              <w:rPr>
                <w:sz w:val="13"/>
                <w:szCs w:val="13"/>
                <w:color w:val="auto"/>
              </w:rPr>
            </w:pPr>
          </w:p>
        </w:tc>
      </w:tr>
      <w:tr>
        <w:trPr>
          <w:trHeight w:val="153"/>
        </w:trPr>
        <w:tc>
          <w:tcPr>
            <w:tcW w:w="6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(unaudited)</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3"/>
        </w:trPr>
        <w:tc>
          <w:tcPr>
            <w:tcW w:w="6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spacing w:after="0"/>
              <w:rPr>
                <w:sz w:val="11"/>
                <w:szCs w:val="1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(10,903)</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(12,798)</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(143)</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(12,941)</w:t>
            </w:r>
          </w:p>
        </w:tc>
      </w:tr>
      <w:tr>
        <w:trPr>
          <w:trHeight w:val="144"/>
        </w:trPr>
        <w:tc>
          <w:tcPr>
            <w:tcW w:w="6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133</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133</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 (income), net</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(606)</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(606)</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5,950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6,785</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6,785</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76</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76</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 based compensation</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4,470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3,205</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3,205</w:t>
            </w:r>
          </w:p>
        </w:tc>
      </w:tr>
      <w:tr>
        <w:trPr>
          <w:trHeight w:val="144"/>
        </w:trPr>
        <w:tc>
          <w:tcPr>
            <w:tcW w:w="6000" w:type="dxa"/>
            <w:vAlign w:val="bottom"/>
          </w:tcPr>
          <w:p>
            <w:pPr>
              <w:spacing w:after="0" w:line="144" w:lineRule="exact"/>
              <w:rPr>
                <w:sz w:val="20"/>
                <w:szCs w:val="20"/>
                <w:color w:val="auto"/>
              </w:rPr>
            </w:pPr>
            <w:r>
              <w:rPr>
                <w:rFonts w:ascii="Times New Roman" w:cs="Times New Roman" w:eastAsia="Times New Roman" w:hAnsi="Times New Roman"/>
                <w:sz w:val="10"/>
                <w:szCs w:val="10"/>
                <w:color w:val="auto"/>
              </w:rPr>
              <w:t xml:space="preserve">Acquisition, restructuring and other items, net </w:t>
            </w:r>
            <w:r>
              <w:rPr>
                <w:rFonts w:ascii="Times New Roman" w:cs="Times New Roman" w:eastAsia="Times New Roman" w:hAnsi="Times New Roman"/>
                <w:sz w:val="16"/>
                <w:szCs w:val="16"/>
                <w:color w:val="auto"/>
                <w:vertAlign w:val="superscript"/>
              </w:rPr>
              <w:t>(3)</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3,042</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154</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3,196</w:t>
            </w:r>
          </w:p>
        </w:tc>
      </w:tr>
      <w:tr>
        <w:trPr>
          <w:trHeight w:val="182"/>
        </w:trPr>
        <w:tc>
          <w:tcPr>
            <w:tcW w:w="6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Adjusted EBITDA</w:t>
            </w: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2,160</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3" w:lineRule="exact"/>
        <w:rPr>
          <w:sz w:val="20"/>
          <w:szCs w:val="20"/>
          <w:color w:val="auto"/>
        </w:rPr>
      </w:pPr>
    </w:p>
    <w:p>
      <w:pPr>
        <w:ind w:left="8" w:right="260" w:hanging="8"/>
        <w:spacing w:after="0" w:line="259" w:lineRule="auto"/>
        <w:tabs>
          <w:tab w:leader="none" w:pos="2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three months ended August 31, 2024.</w:t>
      </w:r>
    </w:p>
    <w:p>
      <w:pPr>
        <w:spacing w:after="0" w:line="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elimination of revenues and expenses representing the operating results from the sales and discontinuation of the Businesses.</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costs related to merger and acquisition activities, restructuring, and unusual items, including asset impairments and write-offs, certain litigation, and other items.</w:t>
      </w:r>
    </w:p>
    <w:p>
      <w:pPr>
        <w:spacing w:after="0" w:line="25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3" w:name="page14"/>
    <w:bookmarkEnd w:id="13"/>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ANGIODYNAMICS, INC. AND SUBSIDIARIES</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ACQUISITION, RESTRUCTURING, AND OTHER ITEMS, NET DETAIL</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(in thousands)</w:t>
      </w:r>
    </w:p>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8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40" w:type="dxa"/>
            <w:vAlign w:val="bottom"/>
            <w:gridSpan w:val="5"/>
          </w:tcPr>
          <w:p>
            <w:pPr>
              <w:jc w:val="right"/>
              <w:ind w:right="840"/>
              <w:spacing w:after="0"/>
              <w:rPr>
                <w:sz w:val="20"/>
                <w:szCs w:val="20"/>
                <w:color w:val="auto"/>
              </w:rPr>
            </w:pPr>
            <w:r>
              <w:rPr>
                <w:rFonts w:ascii="Times New Roman" w:cs="Times New Roman" w:eastAsia="Times New Roman" w:hAnsi="Times New Roman"/>
                <w:sz w:val="12"/>
                <w:szCs w:val="12"/>
                <w:color w:val="auto"/>
              </w:rPr>
              <w:t>Three Months Ended</w:t>
            </w:r>
          </w:p>
        </w:tc>
      </w:tr>
      <w:tr>
        <w:trPr>
          <w:trHeight w:val="142"/>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Aug 31, 2025</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rPr>
              <w:t>Aug 31, 2024</w:t>
            </w:r>
          </w:p>
        </w:tc>
        <w:tc>
          <w:tcPr>
            <w:tcW w:w="120" w:type="dxa"/>
            <w:vAlign w:val="bottom"/>
          </w:tcPr>
          <w:p>
            <w:pPr>
              <w:spacing w:after="0"/>
              <w:rPr>
                <w:sz w:val="12"/>
                <w:szCs w:val="12"/>
                <w:color w:val="auto"/>
              </w:rPr>
            </w:pPr>
          </w:p>
        </w:tc>
      </w:tr>
      <w:tr>
        <w:trPr>
          <w:trHeight w:val="142"/>
        </w:trPr>
        <w:tc>
          <w:tcPr>
            <w:tcW w:w="87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0"/>
                <w:szCs w:val="10"/>
                <w:color w:val="auto"/>
              </w:rPr>
              <w:t xml:space="preserve">Legal </w:t>
            </w:r>
            <w:r>
              <w:rPr>
                <w:rFonts w:ascii="Times New Roman" w:cs="Times New Roman" w:eastAsia="Times New Roman" w:hAnsi="Times New Roman"/>
                <w:sz w:val="16"/>
                <w:szCs w:val="16"/>
                <w:color w:val="auto"/>
                <w:vertAlign w:val="superscript"/>
              </w:rPr>
              <w:t>(1)</w:t>
            </w: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507</w:t>
            </w:r>
          </w:p>
        </w:tc>
        <w:tc>
          <w:tcPr>
            <w:tcW w:w="120" w:type="dxa"/>
            <w:vAlign w:val="bottom"/>
            <w:shd w:val="clear" w:color="auto" w:fill="CCEEFF"/>
          </w:tcPr>
          <w:p>
            <w:pPr>
              <w:spacing w:after="0"/>
              <w:rPr>
                <w:sz w:val="12"/>
                <w:szCs w:val="12"/>
                <w:color w:val="auto"/>
              </w:rPr>
            </w:pPr>
          </w:p>
        </w:tc>
      </w:tr>
      <w:tr>
        <w:trPr>
          <w:trHeight w:val="144"/>
        </w:trPr>
        <w:tc>
          <w:tcPr>
            <w:tcW w:w="8700" w:type="dxa"/>
            <w:vAlign w:val="bottom"/>
          </w:tcPr>
          <w:p>
            <w:pPr>
              <w:spacing w:after="0" w:line="144" w:lineRule="exact"/>
              <w:rPr>
                <w:sz w:val="20"/>
                <w:szCs w:val="20"/>
                <w:color w:val="auto"/>
              </w:rPr>
            </w:pPr>
            <w:r>
              <w:rPr>
                <w:rFonts w:ascii="Times New Roman" w:cs="Times New Roman" w:eastAsia="Times New Roman" w:hAnsi="Times New Roman"/>
                <w:sz w:val="10"/>
                <w:szCs w:val="10"/>
                <w:color w:val="auto"/>
              </w:rPr>
              <w:t xml:space="preserve">Plant closure </w:t>
            </w:r>
            <w:r>
              <w:rPr>
                <w:rFonts w:ascii="Times New Roman" w:cs="Times New Roman" w:eastAsia="Times New Roman" w:hAnsi="Times New Roman"/>
                <w:sz w:val="16"/>
                <w:szCs w:val="16"/>
                <w:color w:val="auto"/>
                <w:vertAlign w:val="superscript"/>
              </w:rPr>
              <w:t>(2)</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3,589</w:t>
            </w:r>
          </w:p>
        </w:tc>
      </w:tr>
      <w:tr>
        <w:trPr>
          <w:trHeight w:val="144"/>
        </w:trPr>
        <w:tc>
          <w:tcPr>
            <w:tcW w:w="87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0"/>
                <w:szCs w:val="10"/>
                <w:color w:val="auto"/>
              </w:rPr>
              <w:t xml:space="preserve">Transition service agreement </w:t>
            </w:r>
            <w:r>
              <w:rPr>
                <w:rFonts w:ascii="Times New Roman" w:cs="Times New Roman" w:eastAsia="Times New Roman" w:hAnsi="Times New Roman"/>
                <w:sz w:val="16"/>
                <w:szCs w:val="16"/>
                <w:color w:val="auto"/>
                <w:vertAlign w:val="superscript"/>
              </w:rPr>
              <w:t>(3)</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(302)</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(507)</w:t>
            </w:r>
          </w:p>
        </w:tc>
      </w:tr>
      <w:tr>
        <w:trPr>
          <w:trHeight w:val="144"/>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722</w:t>
            </w:r>
          </w:p>
        </w:tc>
      </w:tr>
      <w:tr>
        <w:trPr>
          <w:trHeight w:val="182"/>
        </w:trPr>
        <w:tc>
          <w:tcPr>
            <w:tcW w:w="8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w:t>
            </w: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2,758</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4,311</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33" w:lineRule="exact"/>
        <w:rPr>
          <w:sz w:val="20"/>
          <w:szCs w:val="20"/>
          <w:color w:val="auto"/>
        </w:rPr>
      </w:pPr>
    </w:p>
    <w:p>
      <w:pPr>
        <w:ind w:left="208" w:hanging="208"/>
        <w:spacing w:after="0"/>
        <w:tabs>
          <w:tab w:leader="none" w:pos="20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Legal expenses related to litigation that is outside the normal course of business.</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Plant closure expense, related to the restructuring of our manufacturing footprint which was announced on January 5, 2024.</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Transition services agreements that were entered into with Merit and Spectrum.</w:t>
      </w:r>
    </w:p>
    <w:p>
      <w:pPr>
        <w:spacing w:after="0" w:line="2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4" w:name="page15"/>
    <w:bookmarkEnd w:id="14"/>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ANGIODYNAMICS, INC. AND SUBSIDIARIES</w:t>
      </w:r>
    </w:p>
    <w:p>
      <w:pPr>
        <w:spacing w:after="0" w:line="21"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NET SALES BY PRODUCT CATEGORY AND BY GEOGRAPHY</w:t>
      </w:r>
    </w:p>
    <w:p>
      <w:pPr>
        <w:spacing w:after="0" w:line="6"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(in thousands)</w:t>
      </w:r>
    </w:p>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32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2"/>
                <w:szCs w:val="12"/>
                <w:color w:val="auto"/>
              </w:rPr>
              <w:t>Three Months Ended</w:t>
            </w: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80" w:type="dxa"/>
            <w:vAlign w:val="bottom"/>
          </w:tcPr>
          <w:p>
            <w:pPr>
              <w:jc w:val="center"/>
              <w:ind w:left="220"/>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260"/>
              <w:spacing w:after="0" w:line="162"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8"/>
                <w:szCs w:val="18"/>
                <w:color w:val="auto"/>
                <w:vertAlign w:val="superscript"/>
              </w:rPr>
              <w:t>(1)</w:t>
            </w:r>
          </w:p>
        </w:tc>
        <w:tc>
          <w:tcPr>
            <w:tcW w:w="1080" w:type="dxa"/>
            <w:vAlign w:val="bottom"/>
          </w:tcPr>
          <w:p>
            <w:pPr>
              <w:jc w:val="center"/>
              <w:ind w:left="220"/>
              <w:spacing w:after="0" w:line="162"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8"/>
                <w:szCs w:val="18"/>
                <w:color w:val="auto"/>
                <w:vertAlign w:val="superscript"/>
              </w:rPr>
              <w:t>(2)</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color w:val="auto"/>
              </w:rPr>
              <w:t>Pro Forma</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Actual</w:t>
            </w: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2"/>
                <w:szCs w:val="12"/>
                <w:color w:val="auto"/>
              </w:rPr>
              <w:t>Pro Forma</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rPr>
              <w:t>Aug 31, 2025</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color w:val="auto"/>
              </w:rPr>
              <w:t>Aug 31, 2024</w:t>
            </w:r>
          </w:p>
        </w:tc>
        <w:tc>
          <w:tcPr>
            <w:tcW w:w="1080" w:type="dxa"/>
            <w:vAlign w:val="bottom"/>
            <w:tcBorders>
              <w:top w:val="single" w:sz="8" w:color="auto"/>
              <w:bottom w:val="single" w:sz="8" w:color="auto"/>
            </w:tcBorders>
          </w:tcPr>
          <w:p>
            <w:pPr>
              <w:jc w:val="center"/>
              <w:ind w:left="200"/>
              <w:spacing w:after="0"/>
              <w:rPr>
                <w:sz w:val="20"/>
                <w:szCs w:val="20"/>
                <w:color w:val="auto"/>
              </w:rPr>
            </w:pPr>
            <w:r>
              <w:rPr>
                <w:rFonts w:ascii="Times New Roman" w:cs="Times New Roman" w:eastAsia="Times New Roman" w:hAnsi="Times New Roman"/>
                <w:sz w:val="12"/>
                <w:szCs w:val="12"/>
                <w:color w:val="auto"/>
              </w:rPr>
              <w:t>Aug 31, 2024</w:t>
            </w:r>
          </w:p>
        </w:tc>
        <w:tc>
          <w:tcPr>
            <w:tcW w:w="3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rPr>
              <w:t>Aug 31, 2024</w:t>
            </w:r>
          </w:p>
        </w:tc>
        <w:tc>
          <w:tcPr>
            <w:tcW w:w="22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 Growth</w:t>
            </w:r>
          </w:p>
        </w:tc>
        <w:tc>
          <w:tcPr>
            <w:tcW w:w="220" w:type="dxa"/>
            <w:vAlign w:val="bottom"/>
          </w:tcPr>
          <w:p>
            <w:pPr>
              <w:spacing w:after="0"/>
              <w:rPr>
                <w:sz w:val="12"/>
                <w:szCs w:val="12"/>
                <w:color w:val="auto"/>
              </w:rPr>
            </w:pPr>
          </w:p>
        </w:tc>
        <w:tc>
          <w:tcPr>
            <w:tcW w:w="11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2"/>
                <w:szCs w:val="12"/>
                <w:color w:val="auto"/>
              </w:rPr>
              <w:t>% Growth</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Net Sales</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jc w:val="center"/>
              <w:ind w:left="220"/>
              <w:spacing w:after="0"/>
              <w:rPr>
                <w:sz w:val="20"/>
                <w:szCs w:val="20"/>
                <w:color w:val="auto"/>
              </w:rPr>
            </w:pPr>
            <w:r>
              <w:rPr>
                <w:rFonts w:ascii="Times New Roman" w:cs="Times New Roman" w:eastAsia="Times New Roman" w:hAnsi="Times New Roman"/>
                <w:sz w:val="12"/>
                <w:szCs w:val="12"/>
                <w:color w:val="auto"/>
              </w:rPr>
              <w:t>(unaudited)</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2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Med Tech</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35,261</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27,969</w:t>
            </w:r>
          </w:p>
        </w:tc>
        <w:tc>
          <w:tcPr>
            <w:tcW w:w="108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27,969</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26.1%</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26.1%</w:t>
            </w:r>
          </w:p>
        </w:tc>
        <w:tc>
          <w:tcPr>
            <w:tcW w:w="0" w:type="dxa"/>
            <w:vAlign w:val="bottom"/>
          </w:tcPr>
          <w:p>
            <w:pPr>
              <w:spacing w:after="0"/>
              <w:rPr>
                <w:sz w:val="1"/>
                <w:szCs w:val="1"/>
                <w:color w:val="auto"/>
              </w:rPr>
            </w:pPr>
          </w:p>
        </w:tc>
      </w:tr>
      <w:tr>
        <w:trPr>
          <w:trHeight w:val="144"/>
        </w:trPr>
        <w:tc>
          <w:tcPr>
            <w:tcW w:w="3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Med Device</w:t>
            </w:r>
          </w:p>
        </w:tc>
        <w:tc>
          <w:tcPr>
            <w:tcW w:w="140" w:type="dxa"/>
            <w:vAlign w:val="bottom"/>
          </w:tcPr>
          <w:p>
            <w:pPr>
              <w:spacing w:after="0"/>
              <w:rPr>
                <w:sz w:val="12"/>
                <w:szCs w:val="12"/>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40,450</w:t>
            </w:r>
          </w:p>
        </w:tc>
        <w:tc>
          <w:tcPr>
            <w:tcW w:w="120" w:type="dxa"/>
            <w:vAlign w:val="bottom"/>
          </w:tcPr>
          <w:p>
            <w:pPr>
              <w:spacing w:after="0"/>
              <w:rPr>
                <w:sz w:val="12"/>
                <w:szCs w:val="12"/>
                <w:color w:val="auto"/>
              </w:rPr>
            </w:pP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39,522</w:t>
            </w:r>
          </w:p>
        </w:tc>
        <w:tc>
          <w:tcPr>
            <w:tcW w:w="1080" w:type="dxa"/>
            <w:vAlign w:val="bottom"/>
          </w:tcPr>
          <w:p>
            <w:pPr>
              <w:spacing w:after="0"/>
              <w:rPr>
                <w:sz w:val="12"/>
                <w:szCs w:val="12"/>
                <w:color w:val="auto"/>
              </w:rPr>
            </w:pP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w:t>
            </w:r>
          </w:p>
        </w:tc>
        <w:tc>
          <w:tcPr>
            <w:tcW w:w="22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39,531</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2.3%</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2.3%</w:t>
            </w:r>
          </w:p>
        </w:tc>
        <w:tc>
          <w:tcPr>
            <w:tcW w:w="0" w:type="dxa"/>
            <w:vAlign w:val="bottom"/>
          </w:tcPr>
          <w:p>
            <w:pPr>
              <w:spacing w:after="0"/>
              <w:rPr>
                <w:sz w:val="1"/>
                <w:szCs w:val="1"/>
                <w:color w:val="auto"/>
              </w:rPr>
            </w:pPr>
          </w:p>
        </w:tc>
      </w:tr>
      <w:tr>
        <w:trPr>
          <w:trHeight w:val="182"/>
        </w:trPr>
        <w:tc>
          <w:tcPr>
            <w:tcW w:w="328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75,711</w:t>
            </w: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67,491</w:t>
            </w:r>
          </w:p>
        </w:tc>
        <w:tc>
          <w:tcPr>
            <w:tcW w:w="1080" w:type="dxa"/>
            <w:vAlign w:val="bottom"/>
            <w:tcBorders>
              <w:top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w:t>
            </w:r>
          </w:p>
        </w:tc>
        <w:tc>
          <w:tcPr>
            <w:tcW w:w="22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67,500</w:t>
            </w: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12.2%</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12.2%</w:t>
            </w:r>
          </w:p>
        </w:tc>
        <w:tc>
          <w:tcPr>
            <w:tcW w:w="0" w:type="dxa"/>
            <w:vAlign w:val="bottom"/>
          </w:tcPr>
          <w:p>
            <w:pPr>
              <w:spacing w:after="0"/>
              <w:rPr>
                <w:sz w:val="1"/>
                <w:szCs w:val="1"/>
                <w:color w:val="auto"/>
              </w:rPr>
            </w:pPr>
          </w:p>
        </w:tc>
      </w:tr>
      <w:tr>
        <w:trPr>
          <w:trHeight w:val="120"/>
        </w:trPr>
        <w:tc>
          <w:tcPr>
            <w:tcW w:w="32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1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United States</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66,456</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59,481</w:t>
            </w:r>
          </w:p>
        </w:tc>
        <w:tc>
          <w:tcPr>
            <w:tcW w:w="1080" w:type="dxa"/>
            <w:vAlign w:val="bottom"/>
          </w:tcPr>
          <w:p>
            <w:pPr>
              <w:jc w:val="right"/>
              <w:ind w:right="8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59,491</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11.7%</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11.7%</w:t>
            </w:r>
          </w:p>
        </w:tc>
        <w:tc>
          <w:tcPr>
            <w:tcW w:w="0" w:type="dxa"/>
            <w:vAlign w:val="bottom"/>
          </w:tcPr>
          <w:p>
            <w:pPr>
              <w:spacing w:after="0"/>
              <w:rPr>
                <w:sz w:val="1"/>
                <w:szCs w:val="1"/>
                <w:color w:val="auto"/>
              </w:rPr>
            </w:pPr>
          </w:p>
        </w:tc>
      </w:tr>
      <w:tr>
        <w:trPr>
          <w:trHeight w:val="144"/>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International</w:t>
            </w:r>
          </w:p>
        </w:tc>
        <w:tc>
          <w:tcPr>
            <w:tcW w:w="140" w:type="dxa"/>
            <w:vAlign w:val="bottom"/>
            <w:shd w:val="clear" w:color="auto" w:fill="CCEEFF"/>
          </w:tcPr>
          <w:p>
            <w:pPr>
              <w:spacing w:after="0"/>
              <w:rPr>
                <w:sz w:val="12"/>
                <w:szCs w:val="1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9,255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8,010</w:t>
            </w:r>
          </w:p>
        </w:tc>
        <w:tc>
          <w:tcPr>
            <w:tcW w:w="10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8,009</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15.5%</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15.6%</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75,711</w:t>
            </w:r>
          </w:p>
        </w:tc>
        <w:tc>
          <w:tcPr>
            <w:tcW w:w="22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67,491</w:t>
            </w:r>
          </w:p>
        </w:tc>
        <w:tc>
          <w:tcPr>
            <w:tcW w:w="1080" w:type="dxa"/>
            <w:vAlign w:val="bottom"/>
          </w:tcPr>
          <w:p>
            <w:pPr>
              <w:jc w:val="right"/>
              <w:ind w:right="8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67,500</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12.2%</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8" w:right="260" w:hanging="8"/>
        <w:spacing w:after="0" w:line="259" w:lineRule="auto"/>
        <w:tabs>
          <w:tab w:leader="none" w:pos="2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three months ended August 31, 2024.</w:t>
      </w:r>
    </w:p>
    <w:p>
      <w:pPr>
        <w:spacing w:after="0" w:line="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elimination of revenues and expenses representing the operating results from the sales and discontinuation of the Businesses.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60" w:type="dxa"/>
            <w:vAlign w:val="bottom"/>
            <w:gridSpan w:val="6"/>
          </w:tcPr>
          <w:p>
            <w:pPr>
              <w:ind w:left="980"/>
              <w:spacing w:after="0"/>
              <w:rPr>
                <w:sz w:val="20"/>
                <w:szCs w:val="20"/>
                <w:color w:val="auto"/>
              </w:rPr>
            </w:pPr>
            <w:r>
              <w:rPr>
                <w:rFonts w:ascii="Times New Roman" w:cs="Times New Roman" w:eastAsia="Times New Roman" w:hAnsi="Times New Roman"/>
                <w:sz w:val="12"/>
                <w:szCs w:val="12"/>
                <w:b w:val="1"/>
                <w:bCs w:val="1"/>
                <w:color w:val="auto"/>
              </w:rPr>
              <w:t>GROSS MARGIN BY PRODUCT CATEGORY</w:t>
            </w: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3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(in thousands)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3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2"/>
                <w:szCs w:val="12"/>
                <w:color w:val="auto"/>
              </w:rPr>
              <w:t>Three Months Ended</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24"/>
        </w:trPr>
        <w:tc>
          <w:tcPr>
            <w:tcW w:w="3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jc w:val="center"/>
              <w:ind w:right="180"/>
              <w:spacing w:after="0" w:line="124" w:lineRule="exact"/>
              <w:rPr>
                <w:sz w:val="20"/>
                <w:szCs w:val="20"/>
                <w:color w:val="auto"/>
              </w:rPr>
            </w:pPr>
            <w:r>
              <w:rPr>
                <w:rFonts w:ascii="Times New Roman" w:cs="Times New Roman" w:eastAsia="Times New Roman" w:hAnsi="Times New Roman"/>
                <w:sz w:val="12"/>
                <w:szCs w:val="12"/>
                <w:color w:val="auto"/>
              </w:rPr>
              <w:t>Pro Forma</w:t>
            </w: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62"/>
        </w:trPr>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340"/>
              <w:spacing w:after="0" w:line="162" w:lineRule="exact"/>
              <w:rPr>
                <w:sz w:val="20"/>
                <w:szCs w:val="20"/>
                <w:color w:val="auto"/>
              </w:rPr>
            </w:pPr>
            <w:r>
              <w:rPr>
                <w:rFonts w:ascii="Times New Roman" w:cs="Times New Roman" w:eastAsia="Times New Roman" w:hAnsi="Times New Roman"/>
                <w:sz w:val="11"/>
                <w:szCs w:val="11"/>
                <w:color w:val="auto"/>
              </w:rPr>
              <w:t xml:space="preserve">As Reported </w:t>
            </w:r>
            <w:r>
              <w:rPr>
                <w:rFonts w:ascii="Times New Roman" w:cs="Times New Roman" w:eastAsia="Times New Roman" w:hAnsi="Times New Roman"/>
                <w:sz w:val="18"/>
                <w:szCs w:val="18"/>
                <w:color w:val="auto"/>
                <w:vertAlign w:val="superscript"/>
              </w:rPr>
              <w:t>(1)</w:t>
            </w:r>
          </w:p>
        </w:tc>
        <w:tc>
          <w:tcPr>
            <w:tcW w:w="160" w:type="dxa"/>
            <w:vAlign w:val="bottom"/>
          </w:tcPr>
          <w:p>
            <w:pPr>
              <w:spacing w:after="0"/>
              <w:rPr>
                <w:sz w:val="14"/>
                <w:szCs w:val="14"/>
                <w:color w:val="auto"/>
              </w:rPr>
            </w:pPr>
          </w:p>
        </w:tc>
        <w:tc>
          <w:tcPr>
            <w:tcW w:w="1120" w:type="dxa"/>
            <w:vAlign w:val="bottom"/>
          </w:tcPr>
          <w:p>
            <w:pPr>
              <w:jc w:val="center"/>
              <w:ind w:right="180"/>
              <w:spacing w:after="0" w:line="162" w:lineRule="exact"/>
              <w:rPr>
                <w:sz w:val="20"/>
                <w:szCs w:val="20"/>
                <w:color w:val="auto"/>
              </w:rPr>
            </w:pPr>
            <w:r>
              <w:rPr>
                <w:rFonts w:ascii="Times New Roman" w:cs="Times New Roman" w:eastAsia="Times New Roman" w:hAnsi="Times New Roman"/>
                <w:sz w:val="11"/>
                <w:szCs w:val="11"/>
                <w:color w:val="auto"/>
              </w:rPr>
              <w:t xml:space="preserve">Adjustments </w:t>
            </w:r>
            <w:r>
              <w:rPr>
                <w:rFonts w:ascii="Times New Roman" w:cs="Times New Roman" w:eastAsia="Times New Roman" w:hAnsi="Times New Roman"/>
                <w:sz w:val="18"/>
                <w:szCs w:val="18"/>
                <w:color w:val="auto"/>
                <w:vertAlign w:val="superscript"/>
              </w:rPr>
              <w:t>(2)</w:t>
            </w:r>
          </w:p>
        </w:tc>
        <w:tc>
          <w:tcPr>
            <w:tcW w:w="2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rPr>
              <w:t>Pro Forma</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Actual</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Pro Forma</w:t>
            </w:r>
          </w:p>
        </w:tc>
      </w:tr>
      <w:tr>
        <w:trPr>
          <w:trHeight w:val="142"/>
        </w:trPr>
        <w:tc>
          <w:tcPr>
            <w:tcW w:w="32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color w:val="auto"/>
              </w:rPr>
              <w:t>Aug 31, 2025</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Aug 31, 2024</w:t>
            </w:r>
          </w:p>
        </w:tc>
        <w:tc>
          <w:tcPr>
            <w:tcW w:w="1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center"/>
              <w:ind w:right="200"/>
              <w:spacing w:after="0"/>
              <w:rPr>
                <w:sz w:val="20"/>
                <w:szCs w:val="20"/>
                <w:color w:val="auto"/>
              </w:rPr>
            </w:pPr>
            <w:r>
              <w:rPr>
                <w:rFonts w:ascii="Times New Roman" w:cs="Times New Roman" w:eastAsia="Times New Roman" w:hAnsi="Times New Roman"/>
                <w:sz w:val="12"/>
                <w:szCs w:val="12"/>
                <w:color w:val="auto"/>
              </w:rPr>
              <w:t>Aug 31, 2024</w:t>
            </w:r>
          </w:p>
        </w:tc>
        <w:tc>
          <w:tcPr>
            <w:tcW w:w="2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rPr>
              <w:t>Aug 31, 2024</w:t>
            </w:r>
          </w:p>
        </w:tc>
        <w:tc>
          <w:tcPr>
            <w:tcW w:w="22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 Change</w:t>
            </w:r>
          </w:p>
        </w:tc>
        <w:tc>
          <w:tcPr>
            <w:tcW w:w="22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rPr>
              <w:t>% Change</w:t>
            </w:r>
          </w:p>
        </w:tc>
        <w:tc>
          <w:tcPr>
            <w:tcW w:w="120" w:type="dxa"/>
            <w:vAlign w:val="bottom"/>
          </w:tcPr>
          <w:p>
            <w:pPr>
              <w:spacing w:after="0"/>
              <w:rPr>
                <w:sz w:val="12"/>
                <w:szCs w:val="12"/>
                <w:color w:val="auto"/>
              </w:rPr>
            </w:pPr>
          </w:p>
        </w:tc>
      </w:tr>
      <w:tr>
        <w:trPr>
          <w:trHeight w:val="142"/>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7"/>
              </w:rPr>
              <w:t>(unaudited)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220"/>
              <w:spacing w:after="0"/>
              <w:rPr>
                <w:sz w:val="20"/>
                <w:szCs w:val="20"/>
                <w:color w:val="auto"/>
              </w:rPr>
            </w:pPr>
            <w:r>
              <w:rPr>
                <w:rFonts w:ascii="Times New Roman" w:cs="Times New Roman" w:eastAsia="Times New Roman" w:hAnsi="Times New Roman"/>
                <w:sz w:val="12"/>
                <w:szCs w:val="12"/>
                <w:color w:val="auto"/>
              </w:rPr>
              <w:t>(unaudited)</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Med Tech</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21,922</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17,697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17,697</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23.9%</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23.9%</w:t>
            </w: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Gross margin % of sales</w:t>
            </w:r>
          </w:p>
        </w:tc>
        <w:tc>
          <w:tcPr>
            <w:tcW w:w="14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62.2%</w:t>
            </w:r>
          </w:p>
        </w:tc>
        <w:tc>
          <w:tcPr>
            <w:tcW w:w="120" w:type="dxa"/>
            <w:vAlign w:val="bottom"/>
          </w:tcPr>
          <w:p>
            <w:pPr>
              <w:spacing w:after="0"/>
              <w:rPr>
                <w:sz w:val="12"/>
                <w:szCs w:val="12"/>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63.3%</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63.3%</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3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spacing w:after="0"/>
              <w:rPr>
                <w:sz w:val="12"/>
                <w:szCs w:val="12"/>
                <w:color w:val="auto"/>
              </w:rPr>
            </w:pPr>
          </w:p>
        </w:tc>
        <w:tc>
          <w:tcPr>
            <w:tcW w:w="1340" w:type="dxa"/>
            <w:vAlign w:val="bottom"/>
            <w:gridSpan w:val="2"/>
            <w:shd w:val="clear" w:color="auto" w:fill="CCEEFF"/>
          </w:tcPr>
          <w:p>
            <w:pPr>
              <w:spacing w:after="0"/>
              <w:rPr>
                <w:sz w:val="12"/>
                <w:szCs w:val="12"/>
                <w:color w:val="auto"/>
              </w:rPr>
            </w:pPr>
          </w:p>
        </w:tc>
        <w:tc>
          <w:tcPr>
            <w:tcW w:w="1240" w:type="dxa"/>
            <w:vAlign w:val="bottom"/>
            <w:gridSpan w:val="2"/>
            <w:shd w:val="clear" w:color="auto" w:fill="CCEEFF"/>
          </w:tcPr>
          <w:p>
            <w:pPr>
              <w:spacing w:after="0"/>
              <w:rPr>
                <w:sz w:val="12"/>
                <w:szCs w:val="12"/>
                <w:color w:val="auto"/>
              </w:rPr>
            </w:pPr>
          </w:p>
        </w:tc>
      </w:tr>
      <w:tr>
        <w:trPr>
          <w:trHeight w:val="144"/>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Med Device</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19,935</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19,027</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ind w:left="880"/>
              <w:spacing w:after="0"/>
              <w:rPr>
                <w:sz w:val="20"/>
                <w:szCs w:val="20"/>
                <w:color w:val="auto"/>
              </w:rPr>
            </w:pPr>
            <w:r>
              <w:rPr>
                <w:rFonts w:ascii="Times New Roman" w:cs="Times New Roman" w:eastAsia="Times New Roman" w:hAnsi="Times New Roman"/>
                <w:sz w:val="12"/>
                <w:szCs w:val="12"/>
                <w:color w:val="auto"/>
              </w:rPr>
              <w:t>11</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19,038</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4.8%</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4.7%</w:t>
            </w: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margin % of sales</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49.3%</w:t>
            </w: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48.1%</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48.2%</w:t>
            </w: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3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spacing w:after="0"/>
              <w:rPr>
                <w:sz w:val="12"/>
                <w:szCs w:val="12"/>
                <w:color w:val="auto"/>
              </w:rPr>
            </w:pPr>
          </w:p>
        </w:tc>
        <w:tc>
          <w:tcPr>
            <w:tcW w:w="1340" w:type="dxa"/>
            <w:vAlign w:val="bottom"/>
            <w:gridSpan w:val="2"/>
          </w:tcPr>
          <w:p>
            <w:pPr>
              <w:spacing w:after="0"/>
              <w:rPr>
                <w:sz w:val="12"/>
                <w:szCs w:val="12"/>
                <w:color w:val="auto"/>
              </w:rPr>
            </w:pPr>
          </w:p>
        </w:tc>
        <w:tc>
          <w:tcPr>
            <w:tcW w:w="1240" w:type="dxa"/>
            <w:vAlign w:val="bottom"/>
            <w:gridSpan w:val="2"/>
          </w:tcPr>
          <w:p>
            <w:pPr>
              <w:spacing w:after="0"/>
              <w:rPr>
                <w:sz w:val="12"/>
                <w:szCs w:val="12"/>
                <w:color w:val="auto"/>
              </w:rPr>
            </w:pPr>
          </w:p>
        </w:tc>
      </w:tr>
      <w:tr>
        <w:trPr>
          <w:trHeight w:val="14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41,857</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36,724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2"/>
                <w:szCs w:val="12"/>
                <w:color w:val="auto"/>
              </w:rPr>
              <w:t>11</w:t>
            </w:r>
          </w:p>
        </w:tc>
        <w:tc>
          <w:tcPr>
            <w:tcW w:w="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36,735</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14.0%</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13.9%</w:t>
            </w:r>
          </w:p>
        </w:tc>
      </w:tr>
      <w:tr>
        <w:trPr>
          <w:trHeight w:val="155"/>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Gross margin % of sales</w:t>
            </w:r>
          </w:p>
        </w:tc>
        <w:tc>
          <w:tcPr>
            <w:tcW w:w="14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55.3%</w:t>
            </w:r>
          </w:p>
        </w:tc>
        <w:tc>
          <w:tcPr>
            <w:tcW w:w="120" w:type="dxa"/>
            <w:vAlign w:val="bottom"/>
          </w:tcPr>
          <w:p>
            <w:pPr>
              <w:spacing w:after="0"/>
              <w:rPr>
                <w:sz w:val="13"/>
                <w:szCs w:val="13"/>
                <w:color w:val="auto"/>
              </w:rPr>
            </w:pPr>
          </w:p>
        </w:tc>
        <w:tc>
          <w:tcPr>
            <w:tcW w:w="1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54.4%</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54.4%</w:t>
            </w: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122" w:lineRule="exact"/>
        <w:rPr>
          <w:sz w:val="20"/>
          <w:szCs w:val="20"/>
          <w:color w:val="auto"/>
        </w:rPr>
      </w:pPr>
    </w:p>
    <w:p>
      <w:pPr>
        <w:ind w:left="8" w:right="260" w:hanging="8"/>
        <w:spacing w:after="0" w:line="259" w:lineRule="auto"/>
        <w:tabs>
          <w:tab w:leader="none" w:pos="20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Company's US GAAP consolidated financial statements before pro forma adjustments related to the sale of the Dialysis and BioSentry Businesses on June 8, 2023, the sale of the PICCs and Midlines Businesses on February 15, 2024 and the discontinuation of the RadioFrequency Ablation and Syntrax products ("the Businesses") as of February 29, 2024, for the three months ended August 31, 2024.</w:t>
      </w:r>
    </w:p>
    <w:p>
      <w:pPr>
        <w:spacing w:after="0" w:line="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the elimination of revenues and expenses representing the operating results from the sales and discontinuation of the Businesses.</w:t>
      </w:r>
    </w:p>
    <w:p>
      <w:pPr>
        <w:spacing w:after="0" w:line="25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7804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ANGIODYNAMICS, INC. AND SUBSIDIARIES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90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Aug 31, 2025</w:t>
            </w:r>
          </w:p>
        </w:tc>
        <w:tc>
          <w:tcPr>
            <w:tcW w:w="140" w:type="dxa"/>
            <w:vAlign w:val="bottom"/>
          </w:tcPr>
          <w:p>
            <w:pPr>
              <w:spacing w:after="0"/>
              <w:rPr>
                <w:sz w:val="13"/>
                <w:szCs w:val="13"/>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May 31, 2025</w:t>
            </w:r>
          </w:p>
        </w:tc>
        <w:tc>
          <w:tcPr>
            <w:tcW w:w="0" w:type="dxa"/>
            <w:vAlign w:val="bottom"/>
          </w:tcPr>
          <w:p>
            <w:pPr>
              <w:spacing w:after="0"/>
              <w:rPr>
                <w:sz w:val="1"/>
                <w:szCs w:val="1"/>
                <w:color w:val="auto"/>
              </w:rPr>
            </w:pPr>
          </w:p>
        </w:tc>
      </w:tr>
      <w:tr>
        <w:trPr>
          <w:trHeight w:val="153"/>
        </w:trPr>
        <w:tc>
          <w:tcPr>
            <w:tcW w:w="39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48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(unaudited)</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color w:val="auto"/>
              </w:rPr>
              <w:t>(audited)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900" w:type="dxa"/>
            <w:vAlign w:val="bottom"/>
            <w:vMerge w:val="continue"/>
          </w:tcPr>
          <w:p>
            <w:pPr>
              <w:spacing w:after="0"/>
              <w:rPr>
                <w:sz w:val="10"/>
                <w:szCs w:val="10"/>
                <w:color w:val="auto"/>
              </w:rPr>
            </w:pPr>
          </w:p>
        </w:tc>
        <w:tc>
          <w:tcPr>
            <w:tcW w:w="4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4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496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38,762</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55,893</w:t>
            </w:r>
          </w:p>
        </w:tc>
        <w:tc>
          <w:tcPr>
            <w:tcW w:w="0" w:type="dxa"/>
            <w:vAlign w:val="bottom"/>
          </w:tcPr>
          <w:p>
            <w:pPr>
              <w:spacing w:after="0"/>
              <w:rPr>
                <w:sz w:val="1"/>
                <w:szCs w:val="1"/>
                <w:color w:val="auto"/>
              </w:rPr>
            </w:pPr>
          </w:p>
        </w:tc>
      </w:tr>
      <w:tr>
        <w:trPr>
          <w:trHeight w:val="144"/>
        </w:trPr>
        <w:tc>
          <w:tcPr>
            <w:tcW w:w="39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Accounts receivable, net</w:t>
            </w: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42,643</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42,890</w:t>
            </w: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Inventories</w:t>
            </w:r>
          </w:p>
        </w:tc>
        <w:tc>
          <w:tcPr>
            <w:tcW w:w="4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62,255</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62,006</w:t>
            </w:r>
          </w:p>
        </w:tc>
        <w:tc>
          <w:tcPr>
            <w:tcW w:w="0" w:type="dxa"/>
            <w:vAlign w:val="bottom"/>
          </w:tcPr>
          <w:p>
            <w:pPr>
              <w:spacing w:after="0"/>
              <w:rPr>
                <w:sz w:val="1"/>
                <w:szCs w:val="1"/>
                <w:color w:val="auto"/>
              </w:rPr>
            </w:pPr>
          </w:p>
        </w:tc>
      </w:tr>
      <w:tr>
        <w:trPr>
          <w:trHeight w:val="144"/>
        </w:trPr>
        <w:tc>
          <w:tcPr>
            <w:tcW w:w="39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Prepaid expenses and other</w:t>
            </w: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12,996</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7,535</w:t>
            </w:r>
          </w:p>
        </w:tc>
        <w:tc>
          <w:tcPr>
            <w:tcW w:w="0" w:type="dxa"/>
            <w:vAlign w:val="bottom"/>
          </w:tcPr>
          <w:p>
            <w:pPr>
              <w:spacing w:after="0"/>
              <w:rPr>
                <w:sz w:val="1"/>
                <w:szCs w:val="1"/>
                <w:color w:val="auto"/>
              </w:rPr>
            </w:pPr>
          </w:p>
        </w:tc>
      </w:tr>
      <w:tr>
        <w:trPr>
          <w:trHeight w:val="142"/>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Total current assets</w:t>
            </w:r>
          </w:p>
        </w:tc>
        <w:tc>
          <w:tcPr>
            <w:tcW w:w="48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156,656</w:t>
            </w:r>
          </w:p>
        </w:tc>
        <w:tc>
          <w:tcPr>
            <w:tcW w:w="2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168,324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31,066</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32,300</w:t>
            </w: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4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9,540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10,404</w:t>
            </w:r>
          </w:p>
        </w:tc>
        <w:tc>
          <w:tcPr>
            <w:tcW w:w="0" w:type="dxa"/>
            <w:vAlign w:val="bottom"/>
          </w:tcPr>
          <w:p>
            <w:pPr>
              <w:spacing w:after="0"/>
              <w:rPr>
                <w:sz w:val="1"/>
                <w:szCs w:val="1"/>
                <w:color w:val="auto"/>
              </w:rPr>
            </w:pP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68,380</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69,116</w:t>
            </w:r>
          </w:p>
        </w:tc>
        <w:tc>
          <w:tcPr>
            <w:tcW w:w="0" w:type="dxa"/>
            <w:vAlign w:val="bottom"/>
          </w:tcPr>
          <w:p>
            <w:pPr>
              <w:spacing w:after="0"/>
              <w:rPr>
                <w:sz w:val="1"/>
                <w:szCs w:val="1"/>
                <w:color w:val="auto"/>
              </w:rPr>
            </w:pPr>
          </w:p>
        </w:tc>
      </w:tr>
      <w:tr>
        <w:trPr>
          <w:trHeight w:val="182"/>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Total assets</w:t>
            </w:r>
          </w:p>
        </w:tc>
        <w:tc>
          <w:tcPr>
            <w:tcW w:w="48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265,642</w:t>
            </w:r>
          </w:p>
        </w:tc>
        <w:tc>
          <w:tcPr>
            <w:tcW w:w="2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280,144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900" w:type="dxa"/>
            <w:vAlign w:val="bottom"/>
            <w:tcBorders>
              <w:top w:val="single" w:sz="8" w:color="CCEEFF"/>
            </w:tcBorders>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480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4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Accounts payable</w:t>
            </w:r>
          </w:p>
        </w:tc>
        <w:tc>
          <w:tcPr>
            <w:tcW w:w="4960" w:type="dxa"/>
            <w:vAlign w:val="bottom"/>
            <w:gridSpan w:val="2"/>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31,882</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33,291</w:t>
            </w: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Accrued liabilities</w:t>
            </w:r>
          </w:p>
        </w:tc>
        <w:tc>
          <w:tcPr>
            <w:tcW w:w="4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27,657</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35,518</w:t>
            </w:r>
          </w:p>
        </w:tc>
        <w:tc>
          <w:tcPr>
            <w:tcW w:w="0" w:type="dxa"/>
            <w:vAlign w:val="bottom"/>
          </w:tcPr>
          <w:p>
            <w:pPr>
              <w:spacing w:after="0"/>
              <w:rPr>
                <w:sz w:val="1"/>
                <w:szCs w:val="1"/>
                <w:color w:val="auto"/>
              </w:rPr>
            </w:pPr>
          </w:p>
        </w:tc>
      </w:tr>
      <w:tr>
        <w:trPr>
          <w:trHeight w:val="144"/>
        </w:trPr>
        <w:tc>
          <w:tcPr>
            <w:tcW w:w="39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8,743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7,388</w:t>
            </w:r>
          </w:p>
        </w:tc>
        <w:tc>
          <w:tcPr>
            <w:tcW w:w="0" w:type="dxa"/>
            <w:vAlign w:val="bottom"/>
          </w:tcPr>
          <w:p>
            <w:pPr>
              <w:spacing w:after="0"/>
              <w:rPr>
                <w:sz w:val="1"/>
                <w:szCs w:val="1"/>
                <w:color w:val="auto"/>
              </w:rPr>
            </w:pPr>
          </w:p>
        </w:tc>
      </w:tr>
      <w:tr>
        <w:trPr>
          <w:trHeight w:val="142"/>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48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right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0"/>
              </w:rPr>
              <w:t>68,282</w:t>
            </w:r>
          </w:p>
        </w:tc>
        <w:tc>
          <w:tcPr>
            <w:tcW w:w="2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76,197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4,268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4,073</w:t>
            </w: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long-term liabilities</w:t>
            </w:r>
          </w:p>
        </w:tc>
        <w:tc>
          <w:tcPr>
            <w:tcW w:w="4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14,237</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16,904</w:t>
            </w:r>
          </w:p>
        </w:tc>
        <w:tc>
          <w:tcPr>
            <w:tcW w:w="0" w:type="dxa"/>
            <w:vAlign w:val="bottom"/>
          </w:tcPr>
          <w:p>
            <w:pPr>
              <w:spacing w:after="0"/>
              <w:rPr>
                <w:sz w:val="1"/>
                <w:szCs w:val="1"/>
                <w:color w:val="auto"/>
              </w:rPr>
            </w:pPr>
          </w:p>
        </w:tc>
      </w:tr>
      <w:tr>
        <w:trPr>
          <w:trHeight w:val="20"/>
        </w:trPr>
        <w:tc>
          <w:tcPr>
            <w:tcW w:w="3900" w:type="dxa"/>
            <w:vAlign w:val="bottom"/>
            <w:shd w:val="clear" w:color="auto" w:fill="CCEEFF"/>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Total liabilities</w:t>
            </w: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86,787</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97,174</w:t>
            </w: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4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178,855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182,970</w:t>
            </w:r>
          </w:p>
        </w:tc>
        <w:tc>
          <w:tcPr>
            <w:tcW w:w="0" w:type="dxa"/>
            <w:vAlign w:val="bottom"/>
          </w:tcPr>
          <w:p>
            <w:pPr>
              <w:spacing w:after="0"/>
              <w:rPr>
                <w:sz w:val="1"/>
                <w:szCs w:val="1"/>
                <w:color w:val="auto"/>
              </w:rPr>
            </w:pPr>
          </w:p>
        </w:tc>
      </w:tr>
      <w:tr>
        <w:trPr>
          <w:trHeight w:val="20"/>
        </w:trPr>
        <w:tc>
          <w:tcPr>
            <w:tcW w:w="3900" w:type="dxa"/>
            <w:vAlign w:val="bottom"/>
            <w:shd w:val="clear" w:color="auto" w:fill="CCEEFF"/>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480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265,642</w:t>
            </w:r>
          </w:p>
        </w:tc>
        <w:tc>
          <w:tcPr>
            <w:tcW w:w="20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280,144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800" w:type="dxa"/>
            <w:vAlign w:val="bottom"/>
            <w:vMerge w:val="restart"/>
          </w:tcPr>
          <w:p>
            <w:pPr>
              <w:jc w:val="right"/>
              <w:ind w:right="2944"/>
              <w:spacing w:after="0"/>
              <w:rPr>
                <w:sz w:val="20"/>
                <w:szCs w:val="20"/>
                <w:color w:val="auto"/>
              </w:rPr>
            </w:pPr>
            <w:r>
              <w:rPr>
                <w:rFonts w:ascii="Times New Roman" w:cs="Times New Roman" w:eastAsia="Times New Roman" w:hAnsi="Times New Roman"/>
                <w:sz w:val="10"/>
                <w:szCs w:val="10"/>
                <w:color w:val="auto"/>
              </w:rPr>
              <w:t>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90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90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5" w:right="299"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ANGIODYNAMICS, INC.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0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40" w:type="dxa"/>
            <w:vAlign w:val="bottom"/>
            <w:gridSpan w:val="5"/>
          </w:tcPr>
          <w:p>
            <w:pPr>
              <w:jc w:val="right"/>
              <w:ind w:right="840"/>
              <w:spacing w:after="0"/>
              <w:rPr>
                <w:sz w:val="20"/>
                <w:szCs w:val="20"/>
                <w:color w:val="auto"/>
              </w:rPr>
            </w:pPr>
            <w:r>
              <w:rPr>
                <w:rFonts w:ascii="Times New Roman" w:cs="Times New Roman" w:eastAsia="Times New Roman" w:hAnsi="Times New Roman"/>
                <w:sz w:val="12"/>
                <w:szCs w:val="12"/>
                <w:color w:val="auto"/>
              </w:rPr>
              <w:t>Three Months Ended</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Aug 31, 2025</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rPr>
              <w:t>Aug 31, 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7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(unaudited)</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700" w:type="dxa"/>
            <w:vAlign w:val="bottom"/>
            <w:vMerge w:val="continue"/>
          </w:tcPr>
          <w:p>
            <w:pPr>
              <w:spacing w:after="0"/>
              <w:rPr>
                <w:sz w:val="11"/>
                <w:szCs w:val="11"/>
                <w:color w:val="auto"/>
              </w:rPr>
            </w:pPr>
          </w:p>
        </w:tc>
        <w:tc>
          <w:tcPr>
            <w:tcW w:w="4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loss</w:t>
            </w:r>
          </w:p>
        </w:tc>
        <w:tc>
          <w:tcPr>
            <w:tcW w:w="416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(10,903)</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(12,798)</w:t>
            </w:r>
          </w:p>
        </w:tc>
        <w:tc>
          <w:tcPr>
            <w:tcW w:w="0" w:type="dxa"/>
            <w:vAlign w:val="bottom"/>
          </w:tcPr>
          <w:p>
            <w:pPr>
              <w:spacing w:after="0"/>
              <w:rPr>
                <w:sz w:val="1"/>
                <w:szCs w:val="1"/>
                <w:color w:val="auto"/>
              </w:rPr>
            </w:pPr>
          </w:p>
        </w:tc>
      </w:tr>
      <w:tr>
        <w:trPr>
          <w:trHeight w:val="144"/>
        </w:trPr>
        <w:tc>
          <w:tcPr>
            <w:tcW w:w="4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4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6,785</w:t>
            </w:r>
          </w:p>
        </w:tc>
        <w:tc>
          <w:tcPr>
            <w:tcW w:w="0" w:type="dxa"/>
            <w:vAlign w:val="bottom"/>
          </w:tcPr>
          <w:p>
            <w:pPr>
              <w:spacing w:after="0"/>
              <w:rPr>
                <w:sz w:val="1"/>
                <w:szCs w:val="1"/>
                <w:color w:val="auto"/>
              </w:rPr>
            </w:pPr>
          </w:p>
        </w:tc>
      </w:tr>
      <w:tr>
        <w:trPr>
          <w:trHeight w:val="144"/>
        </w:trPr>
        <w:tc>
          <w:tcPr>
            <w:tcW w:w="4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Non-cash lease expense</w:t>
            </w: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494</w:t>
            </w:r>
          </w:p>
        </w:tc>
        <w:tc>
          <w:tcPr>
            <w:tcW w:w="0" w:type="dxa"/>
            <w:vAlign w:val="bottom"/>
          </w:tcPr>
          <w:p>
            <w:pPr>
              <w:spacing w:after="0"/>
              <w:rPr>
                <w:sz w:val="1"/>
                <w:szCs w:val="1"/>
                <w:color w:val="auto"/>
              </w:rPr>
            </w:pPr>
          </w:p>
        </w:tc>
      </w:tr>
      <w:tr>
        <w:trPr>
          <w:trHeight w:val="144"/>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Stock based compensation</w:t>
            </w:r>
          </w:p>
        </w:tc>
        <w:tc>
          <w:tcPr>
            <w:tcW w:w="4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4,470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3,205</w:t>
            </w:r>
          </w:p>
        </w:tc>
        <w:tc>
          <w:tcPr>
            <w:tcW w:w="0" w:type="dxa"/>
            <w:vAlign w:val="bottom"/>
          </w:tcPr>
          <w:p>
            <w:pPr>
              <w:spacing w:after="0"/>
              <w:rPr>
                <w:sz w:val="1"/>
                <w:szCs w:val="1"/>
                <w:color w:val="auto"/>
              </w:rPr>
            </w:pPr>
          </w:p>
        </w:tc>
      </w:tr>
      <w:tr>
        <w:trPr>
          <w:trHeight w:val="144"/>
        </w:trPr>
        <w:tc>
          <w:tcPr>
            <w:tcW w:w="4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Change in fair value of contingent consideration</w:t>
            </w: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76</w:t>
            </w:r>
          </w:p>
        </w:tc>
        <w:tc>
          <w:tcPr>
            <w:tcW w:w="0" w:type="dxa"/>
            <w:vAlign w:val="bottom"/>
          </w:tcPr>
          <w:p>
            <w:pPr>
              <w:spacing w:after="0"/>
              <w:rPr>
                <w:sz w:val="1"/>
                <w:szCs w:val="1"/>
                <w:color w:val="auto"/>
              </w:rPr>
            </w:pPr>
          </w:p>
        </w:tc>
      </w:tr>
      <w:tr>
        <w:trPr>
          <w:trHeight w:val="144"/>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Deferred income taxes</w:t>
            </w:r>
          </w:p>
        </w:tc>
        <w:tc>
          <w:tcPr>
            <w:tcW w:w="4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(16)</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(339)</w:t>
            </w:r>
          </w:p>
        </w:tc>
        <w:tc>
          <w:tcPr>
            <w:tcW w:w="0" w:type="dxa"/>
            <w:vAlign w:val="bottom"/>
          </w:tcPr>
          <w:p>
            <w:pPr>
              <w:spacing w:after="0"/>
              <w:rPr>
                <w:sz w:val="1"/>
                <w:szCs w:val="1"/>
                <w:color w:val="auto"/>
              </w:rPr>
            </w:pPr>
          </w:p>
        </w:tc>
      </w:tr>
      <w:tr>
        <w:trPr>
          <w:trHeight w:val="144"/>
        </w:trPr>
        <w:tc>
          <w:tcPr>
            <w:tcW w:w="4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Change in accounts receivable allowances</w:t>
            </w: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270</w:t>
            </w:r>
          </w:p>
        </w:tc>
        <w:tc>
          <w:tcPr>
            <w:tcW w:w="0" w:type="dxa"/>
            <w:vAlign w:val="bottom"/>
          </w:tcPr>
          <w:p>
            <w:pPr>
              <w:spacing w:after="0"/>
              <w:rPr>
                <w:sz w:val="1"/>
                <w:szCs w:val="1"/>
                <w:color w:val="auto"/>
              </w:rPr>
            </w:pPr>
          </w:p>
        </w:tc>
      </w:tr>
      <w:tr>
        <w:trPr>
          <w:trHeight w:val="144"/>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Fixed and intangible asset impairments and disposals</w:t>
            </w:r>
          </w:p>
        </w:tc>
        <w:tc>
          <w:tcPr>
            <w:tcW w:w="4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(27)</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144"/>
        </w:trPr>
        <w:tc>
          <w:tcPr>
            <w:tcW w:w="4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Other</w:t>
            </w: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121</w:t>
            </w:r>
          </w:p>
        </w:tc>
        <w:tc>
          <w:tcPr>
            <w:tcW w:w="0" w:type="dxa"/>
            <w:vAlign w:val="bottom"/>
          </w:tcPr>
          <w:p>
            <w:pPr>
              <w:spacing w:after="0"/>
              <w:rPr>
                <w:sz w:val="1"/>
                <w:szCs w:val="1"/>
                <w:color w:val="auto"/>
              </w:rPr>
            </w:pPr>
          </w:p>
        </w:tc>
      </w:tr>
      <w:tr>
        <w:trPr>
          <w:trHeight w:val="144"/>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4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Accounts receivable</w:t>
            </w: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3,784</w:t>
            </w:r>
          </w:p>
        </w:tc>
        <w:tc>
          <w:tcPr>
            <w:tcW w:w="0" w:type="dxa"/>
            <w:vAlign w:val="bottom"/>
          </w:tcPr>
          <w:p>
            <w:pPr>
              <w:spacing w:after="0"/>
              <w:rPr>
                <w:sz w:val="1"/>
                <w:szCs w:val="1"/>
                <w:color w:val="auto"/>
              </w:rPr>
            </w:pPr>
          </w:p>
        </w:tc>
      </w:tr>
      <w:tr>
        <w:trPr>
          <w:trHeight w:val="144"/>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Inventories</w:t>
            </w:r>
          </w:p>
        </w:tc>
        <w:tc>
          <w:tcPr>
            <w:tcW w:w="4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(192)</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(4,053)</w:t>
            </w:r>
          </w:p>
        </w:tc>
        <w:tc>
          <w:tcPr>
            <w:tcW w:w="0" w:type="dxa"/>
            <w:vAlign w:val="bottom"/>
          </w:tcPr>
          <w:p>
            <w:pPr>
              <w:spacing w:after="0"/>
              <w:rPr>
                <w:sz w:val="1"/>
                <w:szCs w:val="1"/>
                <w:color w:val="auto"/>
              </w:rPr>
            </w:pPr>
          </w:p>
        </w:tc>
      </w:tr>
      <w:tr>
        <w:trPr>
          <w:trHeight w:val="144"/>
        </w:trPr>
        <w:tc>
          <w:tcPr>
            <w:tcW w:w="4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Prepaid expenses and other</w:t>
            </w: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(5,525)</w:t>
            </w:r>
          </w:p>
        </w:tc>
        <w:tc>
          <w:tcPr>
            <w:tcW w:w="2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(836)</w:t>
            </w:r>
          </w:p>
        </w:tc>
        <w:tc>
          <w:tcPr>
            <w:tcW w:w="0" w:type="dxa"/>
            <w:vAlign w:val="bottom"/>
          </w:tcPr>
          <w:p>
            <w:pPr>
              <w:spacing w:after="0"/>
              <w:rPr>
                <w:sz w:val="1"/>
                <w:szCs w:val="1"/>
                <w:color w:val="auto"/>
              </w:rPr>
            </w:pPr>
          </w:p>
        </w:tc>
      </w:tr>
      <w:tr>
        <w:trPr>
          <w:trHeight w:val="144"/>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Accounts payable, accrued and other liabilities</w:t>
            </w:r>
          </w:p>
        </w:tc>
        <w:tc>
          <w:tcPr>
            <w:tcW w:w="4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(10,697)</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(14,982)</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Net cash used in operating activities</w:t>
            </w: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(15,914)</w:t>
            </w:r>
          </w:p>
        </w:tc>
        <w:tc>
          <w:tcPr>
            <w:tcW w:w="2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(18,253)</w:t>
            </w:r>
          </w:p>
        </w:tc>
        <w:tc>
          <w:tcPr>
            <w:tcW w:w="0" w:type="dxa"/>
            <w:vAlign w:val="bottom"/>
          </w:tcPr>
          <w:p>
            <w:pPr>
              <w:spacing w:after="0"/>
              <w:rPr>
                <w:sz w:val="1"/>
                <w:szCs w:val="1"/>
                <w:color w:val="auto"/>
              </w:rPr>
            </w:pPr>
          </w:p>
        </w:tc>
      </w:tr>
      <w:tr>
        <w:trPr>
          <w:trHeight w:val="142"/>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40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Additions to property, plant and equipment</w:t>
            </w: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(731)</w:t>
            </w:r>
          </w:p>
        </w:tc>
        <w:tc>
          <w:tcPr>
            <w:tcW w:w="2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(1,092)</w:t>
            </w:r>
          </w:p>
        </w:tc>
        <w:tc>
          <w:tcPr>
            <w:tcW w:w="0" w:type="dxa"/>
            <w:vAlign w:val="bottom"/>
          </w:tcPr>
          <w:p>
            <w:pPr>
              <w:spacing w:after="0"/>
              <w:rPr>
                <w:sz w:val="1"/>
                <w:szCs w:val="1"/>
                <w:color w:val="auto"/>
              </w:rPr>
            </w:pPr>
          </w:p>
        </w:tc>
      </w:tr>
      <w:tr>
        <w:trPr>
          <w:trHeight w:val="144"/>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Additions to placement and evaluation units</w:t>
            </w:r>
          </w:p>
        </w:tc>
        <w:tc>
          <w:tcPr>
            <w:tcW w:w="4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(820)</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(1,313)</w:t>
            </w:r>
          </w:p>
        </w:tc>
        <w:tc>
          <w:tcPr>
            <w:tcW w:w="0" w:type="dxa"/>
            <w:vAlign w:val="bottom"/>
          </w:tcPr>
          <w:p>
            <w:pPr>
              <w:spacing w:after="0"/>
              <w:rPr>
                <w:sz w:val="1"/>
                <w:szCs w:val="1"/>
                <w:color w:val="auto"/>
              </w:rPr>
            </w:pPr>
          </w:p>
        </w:tc>
      </w:tr>
      <w:tr>
        <w:trPr>
          <w:trHeight w:val="20"/>
        </w:trPr>
        <w:tc>
          <w:tcPr>
            <w:tcW w:w="470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0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(1,551)</w:t>
            </w:r>
          </w:p>
        </w:tc>
        <w:tc>
          <w:tcPr>
            <w:tcW w:w="2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(2,405)</w:t>
            </w:r>
          </w:p>
        </w:tc>
        <w:tc>
          <w:tcPr>
            <w:tcW w:w="0" w:type="dxa"/>
            <w:vAlign w:val="bottom"/>
          </w:tcPr>
          <w:p>
            <w:pPr>
              <w:spacing w:after="0"/>
              <w:rPr>
                <w:sz w:val="1"/>
                <w:szCs w:val="1"/>
                <w:color w:val="auto"/>
              </w:rPr>
            </w:pPr>
          </w:p>
        </w:tc>
      </w:tr>
      <w:tr>
        <w:trPr>
          <w:trHeight w:val="142"/>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40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Principal payments on finance arrangements</w:t>
            </w: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(91)</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Repurchase of common stock</w:t>
            </w:r>
          </w:p>
        </w:tc>
        <w:tc>
          <w:tcPr>
            <w:tcW w:w="4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(552)</w:t>
            </w:r>
          </w:p>
        </w:tc>
        <w:tc>
          <w:tcPr>
            <w:tcW w:w="0" w:type="dxa"/>
            <w:vAlign w:val="bottom"/>
          </w:tcPr>
          <w:p>
            <w:pPr>
              <w:spacing w:after="0"/>
              <w:rPr>
                <w:sz w:val="1"/>
                <w:szCs w:val="1"/>
                <w:color w:val="auto"/>
              </w:rPr>
            </w:pPr>
          </w:p>
        </w:tc>
      </w:tr>
      <w:tr>
        <w:trPr>
          <w:trHeight w:val="144"/>
        </w:trPr>
        <w:tc>
          <w:tcPr>
            <w:tcW w:w="47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Proceeds from exercise of stock options and employee stock purchase plan</w:t>
            </w: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43</w:t>
            </w:r>
          </w:p>
        </w:tc>
        <w:tc>
          <w:tcPr>
            <w:tcW w:w="0" w:type="dxa"/>
            <w:vAlign w:val="bottom"/>
          </w:tcPr>
          <w:p>
            <w:pPr>
              <w:spacing w:after="0"/>
              <w:rPr>
                <w:sz w:val="1"/>
                <w:szCs w:val="1"/>
                <w:color w:val="auto"/>
              </w:rPr>
            </w:pPr>
          </w:p>
        </w:tc>
      </w:tr>
      <w:tr>
        <w:trPr>
          <w:trHeight w:val="142"/>
        </w:trPr>
        <w:tc>
          <w:tcPr>
            <w:tcW w:w="4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2"/>
                <w:szCs w:val="12"/>
                <w:b w:val="1"/>
                <w:bCs w:val="1"/>
                <w:color w:val="auto"/>
              </w:rPr>
              <w:t>Net cash provided by (used in) financing activities</w:t>
            </w:r>
          </w:p>
        </w:tc>
        <w:tc>
          <w:tcPr>
            <w:tcW w:w="40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(509)</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Effect of exchange rate changes on cash and cash equivalents</w:t>
            </w: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116</w:t>
            </w:r>
          </w:p>
        </w:tc>
        <w:tc>
          <w:tcPr>
            <w:tcW w:w="0" w:type="dxa"/>
            <w:vAlign w:val="bottom"/>
          </w:tcPr>
          <w:p>
            <w:pPr>
              <w:spacing w:after="0"/>
              <w:rPr>
                <w:sz w:val="1"/>
                <w:szCs w:val="1"/>
                <w:color w:val="auto"/>
              </w:rPr>
            </w:pPr>
          </w:p>
        </w:tc>
      </w:tr>
      <w:tr>
        <w:trPr>
          <w:trHeight w:val="142"/>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b w:val="1"/>
                <w:bCs w:val="1"/>
                <w:color w:val="auto"/>
              </w:rPr>
              <w:t>Decrease in cash and cash equivalents</w:t>
            </w:r>
          </w:p>
        </w:tc>
        <w:tc>
          <w:tcPr>
            <w:tcW w:w="40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(17,131)</w:t>
            </w:r>
          </w:p>
        </w:tc>
        <w:tc>
          <w:tcPr>
            <w:tcW w:w="22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(21,051)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Cash and cash equivalents at beginning of period</w:t>
            </w: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55,893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76,056</w:t>
            </w:r>
          </w:p>
        </w:tc>
        <w:tc>
          <w:tcPr>
            <w:tcW w:w="0" w:type="dxa"/>
            <w:vAlign w:val="bottom"/>
          </w:tcPr>
          <w:p>
            <w:pPr>
              <w:spacing w:after="0"/>
              <w:rPr>
                <w:sz w:val="1"/>
                <w:szCs w:val="1"/>
                <w:color w:val="auto"/>
              </w:rPr>
            </w:pPr>
          </w:p>
        </w:tc>
      </w:tr>
      <w:tr>
        <w:trPr>
          <w:trHeight w:val="182"/>
        </w:trPr>
        <w:tc>
          <w:tcPr>
            <w:tcW w:w="4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Cash and cash equivalents at end of period</w:t>
            </w:r>
          </w:p>
        </w:tc>
        <w:tc>
          <w:tcPr>
            <w:tcW w:w="40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38,762</w:t>
            </w: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55,005</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73"/>
        </w:trPr>
        <w:tc>
          <w:tcPr>
            <w:tcW w:w="4700" w:type="dxa"/>
            <w:vAlign w:val="bottom"/>
          </w:tcPr>
          <w:p>
            <w:pPr>
              <w:spacing w:after="0"/>
              <w:rPr>
                <w:sz w:val="24"/>
                <w:szCs w:val="24"/>
                <w:color w:val="auto"/>
              </w:rPr>
            </w:pPr>
          </w:p>
        </w:tc>
        <w:tc>
          <w:tcPr>
            <w:tcW w:w="4000" w:type="dxa"/>
            <w:vAlign w:val="bottom"/>
          </w:tcPr>
          <w:p>
            <w:pPr>
              <w:jc w:val="right"/>
              <w:ind w:right="2946"/>
              <w:spacing w:after="0"/>
              <w:rPr>
                <w:sz w:val="20"/>
                <w:szCs w:val="20"/>
                <w:color w:val="auto"/>
              </w:rPr>
            </w:pPr>
            <w:r>
              <w:rPr>
                <w:rFonts w:ascii="Times New Roman" w:cs="Times New Roman" w:eastAsia="Times New Roman" w:hAnsi="Times New Roman"/>
                <w:sz w:val="10"/>
                <w:szCs w:val="10"/>
                <w:color w:val="auto"/>
              </w:rPr>
              <w:t>13</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4700" w:type="dxa"/>
            <w:vAlign w:val="bottom"/>
            <w:tcBorders>
              <w:bottom w:val="single" w:sz="8" w:color="auto"/>
            </w:tcBorders>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5" w:right="299" w:bottom="1440" w:gutter="0" w:footer="0" w:header="0"/>
        </w:sectPr>
      </w:pPr>
    </w:p>
    <w:bookmarkStart w:id="17" w:name="page18"/>
    <w:bookmarkEnd w:id="17"/>
    <w:p>
      <w:pPr>
        <w:ind w:left="954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218680" cy="42976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0" w:num="1">
            <w:col w:w="10160"/>
          </w:cols>
          <w:pgMar w:left="1440" w:top="224" w:right="299" w:bottom="1440"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54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3548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2025-10-02T06:36:20Z</dcterms:created>
  <dcterms:modified xsi:type="dcterms:W3CDTF">2025-10-02T06:36:20Z</dcterms:modified>
</cp:coreProperties>
</file>