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632460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598170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62865</wp:posOffset>
            </wp:positionV>
            <wp:extent cx="382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82550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7"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30, 2024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664845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82"/>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149"/>
        </w:trPr>
        <w:tc>
          <w:tcPr>
            <w:tcW w:w="4000" w:type="dxa"/>
            <w:vAlign w:val="bottom"/>
          </w:tcPr>
          <w:p>
            <w:pPr>
              <w:jc w:val="center"/>
              <w:ind w:right="2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4"/>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0"/>
          <w:szCs w:val="20"/>
          <w:color w:val="auto"/>
        </w:rPr>
      </w:pPr>
    </w:p>
    <w:p>
      <w:pPr>
        <w:sectPr>
          <w:pgSz w:w="11900" w:h="16838" w:orient="portrait"/>
          <w:cols w:equalWidth="0" w:num="4">
            <w:col w:w="8900" w:space="180"/>
            <w:col w:w="260" w:space="80"/>
            <w:col w:w="160" w:space="180"/>
            <w:col w:w="1480"/>
          </w:cols>
          <w:pgMar w:left="320" w:top="118" w:right="339" w:bottom="1440" w:gutter="0" w:footer="0" w:header="0"/>
          <w:type w:val="continuous"/>
        </w:sectPr>
      </w:pP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5">
            <w:col w:w="8480" w:space="180"/>
            <w:col w:w="260" w:space="80"/>
            <w:col w:w="160" w:space="180"/>
            <w:col w:w="220" w:space="100"/>
            <w:col w:w="1580"/>
          </w:cols>
          <w:pgMar w:left="320" w:top="118" w:right="3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10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8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1"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780" w:type="dxa"/>
            <w:vAlign w:val="bottom"/>
          </w:tcPr>
          <w:p>
            <w:pPr>
              <w:spacing w:after="0"/>
              <w:rPr>
                <w:sz w:val="13"/>
                <w:szCs w:val="13"/>
                <w:color w:val="auto"/>
              </w:rPr>
            </w:pPr>
          </w:p>
        </w:tc>
        <w:tc>
          <w:tcPr>
            <w:tcW w:w="552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Outstanding as of January 7, 2025</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3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40,465,709</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6360" w:type="dxa"/>
            <w:vAlign w:val="bottom"/>
            <w:gridSpan w:val="12"/>
            <w:vMerge w:val="restart"/>
          </w:tcPr>
          <w:p>
            <w:pPr>
              <w:jc w:val="center"/>
              <w:ind w:right="29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360" w:type="dxa"/>
            <w:vAlign w:val="bottom"/>
            <w:gridSpan w:val="12"/>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9"/>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w:t>
            </w:r>
          </w:p>
        </w:tc>
        <w:tc>
          <w:tcPr>
            <w:tcW w:w="5580" w:type="dxa"/>
            <w:vAlign w:val="bottom"/>
            <w:gridSpan w:val="9"/>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51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4200" w:type="dxa"/>
            <w:vAlign w:val="bottom"/>
            <w:gridSpan w:val="4"/>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4900" w:type="dxa"/>
            <w:vAlign w:val="bottom"/>
            <w:gridSpan w:val="7"/>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66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1"/>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060" w:type="dxa"/>
            <w:vAlign w:val="bottom"/>
            <w:tcBorders>
              <w:top w:val="single" w:sz="8" w:color="0000FF"/>
            </w:tcBorders>
            <w:gridSpan w:val="7"/>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22"/>
                <w:szCs w:val="22"/>
                <w:color w:val="auto"/>
              </w:rPr>
            </w:pPr>
          </w:p>
        </w:tc>
        <w:tc>
          <w:tcPr>
            <w:tcW w:w="7920" w:type="dxa"/>
            <w:vAlign w:val="bottom"/>
            <w:gridSpan w:val="18"/>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740" w:type="dxa"/>
            <w:vAlign w:val="bottom"/>
            <w:gridSpan w:val="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on Senior Securities</w:t>
            </w:r>
          </w:p>
        </w:tc>
        <w:tc>
          <w:tcPr>
            <w:tcW w:w="2360" w:type="dxa"/>
            <w:vAlign w:val="bottom"/>
            <w:gridSpan w:val="7"/>
          </w:tcPr>
          <w:p>
            <w:pPr>
              <w:spacing w:after="0"/>
              <w:rPr>
                <w:sz w:val="22"/>
                <w:szCs w:val="22"/>
                <w:color w:val="auto"/>
              </w:rPr>
            </w:pPr>
          </w:p>
        </w:tc>
        <w:tc>
          <w:tcPr>
            <w:tcW w:w="4740" w:type="dxa"/>
            <w:vAlign w:val="bottom"/>
            <w:gridSpan w:val="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100" w:type="dxa"/>
            <w:vAlign w:val="bottom"/>
            <w:gridSpan w:val="1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80" w:type="dxa"/>
            <w:vAlign w:val="bottom"/>
            <w:gridSpan w:val="1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880" w:type="dxa"/>
            <w:vAlign w:val="bottom"/>
            <w:gridSpan w:val="1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70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Nov 30, 2023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Nov 30, 2023</w:t>
            </w:r>
          </w:p>
        </w:tc>
        <w:tc>
          <w:tcPr>
            <w:tcW w:w="0" w:type="dxa"/>
            <w:vAlign w:val="bottom"/>
          </w:tcPr>
          <w:p>
            <w:pPr>
              <w:spacing w:after="0"/>
              <w:rPr>
                <w:sz w:val="1"/>
                <w:szCs w:val="1"/>
                <w:color w:val="auto"/>
              </w:rPr>
            </w:pPr>
          </w:p>
        </w:tc>
      </w:tr>
      <w:tr>
        <w:trPr>
          <w:trHeight w:val="22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157,752</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77,430</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80,322</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21,910</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benefit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196"/>
        </w:trPr>
        <w:tc>
          <w:tcPr>
            <w:tcW w:w="5340" w:type="dxa"/>
            <w:vAlign w:val="bottom"/>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(10,738)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(29,048)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(23,536)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16,836</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40,030</w:t>
            </w:r>
          </w:p>
        </w:tc>
        <w:tc>
          <w:tcPr>
            <w:tcW w:w="0" w:type="dxa"/>
            <w:vAlign w:val="bottom"/>
          </w:tcPr>
          <w:p>
            <w:pPr>
              <w:spacing w:after="0"/>
              <w:rPr>
                <w:sz w:val="1"/>
                <w:szCs w:val="1"/>
                <w:color w:val="auto"/>
              </w:rPr>
            </w:pPr>
          </w:p>
        </w:tc>
      </w:tr>
      <w:tr>
        <w:trPr>
          <w:trHeight w:val="234"/>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23"/>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9"/>
        </w:trPr>
        <w:tc>
          <w:tcPr>
            <w:tcW w:w="5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Nov 30, 2023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Nov 30, 2023</w:t>
            </w:r>
          </w:p>
        </w:tc>
      </w:tr>
      <w:tr>
        <w:trPr>
          <w:trHeight w:val="230"/>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16,836</w:t>
            </w:r>
          </w:p>
        </w:tc>
      </w:tr>
      <w:tr>
        <w:trPr>
          <w:trHeight w:val="229"/>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184"/>
        </w:trPr>
        <w:tc>
          <w:tcPr>
            <w:tcW w:w="536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Income tax expense related to items of other comprehensive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00" w:type="dxa"/>
            <w:vAlign w:val="bottom"/>
          </w:tcPr>
          <w:p>
            <w:pPr>
              <w:spacing w:after="0"/>
              <w:rPr>
                <w:sz w:val="16"/>
                <w:szCs w:val="16"/>
                <w:color w:val="auto"/>
              </w:rPr>
            </w:pPr>
          </w:p>
        </w:tc>
        <w:tc>
          <w:tcPr>
            <w:tcW w:w="12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2024</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$2,440 and $2,141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193,253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112,085</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41,449,556 and 40,801,597 shares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40,835,709 and 40,431,597 shares outstanding at November 30, 2024 and May 31, 2024,</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(395,204)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613,847 and 370,000 shares at November 30, 2024 and May 31, 2024,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23"/>
        </w:trPr>
        <w:tc>
          <w:tcPr>
            <w:tcW w:w="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89"/>
        </w:trPr>
        <w:tc>
          <w:tcPr>
            <w:tcW w:w="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Nov 30, 2023</w:t>
            </w:r>
          </w:p>
        </w:tc>
        <w:tc>
          <w:tcPr>
            <w:tcW w:w="60" w:type="dxa"/>
            <w:vAlign w:val="bottom"/>
          </w:tcPr>
          <w:p>
            <w:pPr>
              <w:spacing w:after="0"/>
              <w:rPr>
                <w:sz w:val="16"/>
                <w:szCs w:val="16"/>
                <w:color w:val="auto"/>
              </w:rPr>
            </w:pPr>
          </w:p>
        </w:tc>
      </w:tr>
      <w:tr>
        <w:trPr>
          <w:trHeight w:val="216"/>
        </w:trPr>
        <w:tc>
          <w:tcPr>
            <w:tcW w:w="6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(47,842)</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Transaction costs for disposition</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Fixed and intangible asset impairments and disposals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Write-off of other assets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96,649</w:t>
            </w:r>
          </w:p>
        </w:tc>
        <w:tc>
          <w:tcPr>
            <w:tcW w:w="6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acquisition related contingent consideration</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60" w:type="dxa"/>
            <w:vAlign w:val="bottom"/>
          </w:tcPr>
          <w:p>
            <w:pPr>
              <w:spacing w:after="0"/>
              <w:rPr>
                <w:sz w:val="19"/>
                <w:szCs w:val="19"/>
                <w:color w:val="auto"/>
              </w:rPr>
            </w:pPr>
          </w:p>
        </w:tc>
      </w:tr>
      <w:tr>
        <w:trPr>
          <w:trHeight w:val="248"/>
        </w:trPr>
        <w:tc>
          <w:tcPr>
            <w:tcW w:w="6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60,896</w:t>
            </w:r>
          </w:p>
        </w:tc>
        <w:tc>
          <w:tcPr>
            <w:tcW w:w="6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9"/>
                <w:szCs w:val="19"/>
                <w:color w:val="auto"/>
              </w:rPr>
            </w:pPr>
          </w:p>
        </w:tc>
      </w:tr>
      <w:tr>
        <w:trPr>
          <w:trHeight w:val="311"/>
        </w:trPr>
        <w:tc>
          <w:tcPr>
            <w:tcW w:w="60" w:type="dxa"/>
            <w:vAlign w:val="bottom"/>
          </w:tcPr>
          <w:p>
            <w:pPr>
              <w:spacing w:after="0"/>
              <w:rPr>
                <w:sz w:val="24"/>
                <w:szCs w:val="24"/>
                <w:color w:val="auto"/>
              </w:rPr>
            </w:pPr>
          </w:p>
        </w:tc>
        <w:tc>
          <w:tcPr>
            <w:tcW w:w="9820" w:type="dxa"/>
            <w:vAlign w:val="bottom"/>
            <w:gridSpan w:val="4"/>
          </w:tcPr>
          <w:p>
            <w:pPr>
              <w:jc w:val="center"/>
              <w:ind w:left="121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7"/>
        </w:trPr>
        <w:tc>
          <w:tcPr>
            <w:tcW w:w="838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8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40,801,597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610,484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41,446,390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613,730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196,582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35"/>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41,449,556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616,253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186,768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98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color w:val="auto"/>
              </w:rPr>
              <w:t>Common Stock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39,981,422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599,206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378,296</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45,884</w:t>
            </w: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386,031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0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40,586,641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603,759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(164,971)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427,804</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(29,048)</w:t>
            </w: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0" w:type="dxa"/>
            <w:vAlign w:val="bottom"/>
          </w:tcPr>
          <w:p>
            <w:pPr>
              <w:spacing w:after="0"/>
              <w:rPr>
                <w:sz w:val="1"/>
                <w:szCs w:val="1"/>
                <w:color w:val="auto"/>
              </w:rPr>
            </w:pPr>
          </w:p>
        </w:tc>
      </w:tr>
      <w:tr>
        <w:trPr>
          <w:trHeight w:val="20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40,594,406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605,284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(194,019)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401,226</w:t>
            </w: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5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Consolidated Statements of Operations and the Consolidated Statements of Comprehensive Income (Loss) for the three and six months ended November 30, 2024 and 2023, the Consolidated Balance Sheet as of November 30, 2024, the Consolidated Statements of Cash Flows for the six months ended November 30, 2024 and 2023, and the Consolidated Statements of Stockholders’ Equity for the six months ended November 30, 2024 and 2023 have been prepared by the Company and are unaudited. The Consolidated Balance Sheet as of May 31, 2024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2024 (and for all periods presented) have been made.</w:t>
      </w:r>
    </w:p>
    <w:p>
      <w:pPr>
        <w:spacing w:after="0" w:line="138"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and six months ended November 30, 2024 and 2023 include the accounts of AngioDynamics, Inc. and its wholly owned subsidiaries (collectively, the "Company", "we", "our" or "us"). All intercompany balances and transactions have been eliminated.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PICCs and Midlines</w:t>
      </w:r>
    </w:p>
    <w:p>
      <w:pPr>
        <w:spacing w:after="0" w:line="2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Pursuant to an asset purchase agreement dated February 15, 2024 (the "Asset Purchase Agreement"), the Company completed the sale of the PICC and Midline businesses (the "Divestiture") to Spectrum Vascular ("Spectrum"). Total consideration received by the Company for the Divestiture in the third quarter of fiscal year 2024 was $34.5 million in cash and resulted in a pre-tax book gain of $6.7 million. Included in the agreement is a $5.5 million earn-out related to the sales of divested products over a two-year period and a milestone payment of $5.0 million paid upon final transfer of the manufacturing to a third-party that Spectrum will pay to the Company upon achievement.</w:t>
      </w:r>
    </w:p>
    <w:p>
      <w:pPr>
        <w:spacing w:after="0" w:line="183"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The Company and Spectrum entered into various agreements to facilitate the transition of the divested businesses to Spectrum, including a Transition Services Agreement and Contract Manufacturing Agreement. The Company determined that the sale of the businesses did not constitute a strategic shift that had a major effect on the Company's operations or financial results and as a result, this transaction is not classified as discontinued operations.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As of February 15, 2024</w:t>
            </w:r>
          </w:p>
        </w:tc>
        <w:tc>
          <w:tcPr>
            <w:tcW w:w="0" w:type="dxa"/>
            <w:vAlign w:val="bottom"/>
          </w:tcPr>
          <w:p>
            <w:pPr>
              <w:spacing w:after="0"/>
              <w:rPr>
                <w:sz w:val="1"/>
                <w:szCs w:val="1"/>
                <w:color w:val="auto"/>
              </w:rPr>
            </w:pPr>
          </w:p>
        </w:tc>
      </w:tr>
      <w:tr>
        <w:trPr>
          <w:trHeight w:val="23"/>
        </w:trPr>
        <w:tc>
          <w:tcPr>
            <w:tcW w:w="9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48"/>
        </w:trPr>
        <w:tc>
          <w:tcPr>
            <w:tcW w:w="9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0" w:type="dxa"/>
            <w:vAlign w:val="bottom"/>
          </w:tcPr>
          <w:p>
            <w:pPr>
              <w:spacing w:after="0"/>
              <w:rPr>
                <w:sz w:val="1"/>
                <w:szCs w:val="1"/>
                <w:color w:val="auto"/>
              </w:rPr>
            </w:pPr>
          </w:p>
        </w:tc>
      </w:tr>
      <w:tr>
        <w:trPr>
          <w:trHeight w:val="230"/>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20,979</w:t>
            </w:r>
          </w:p>
        </w:tc>
        <w:tc>
          <w:tcPr>
            <w:tcW w:w="0" w:type="dxa"/>
            <w:vAlign w:val="bottom"/>
          </w:tcPr>
          <w:p>
            <w:pPr>
              <w:spacing w:after="0"/>
              <w:rPr>
                <w:sz w:val="1"/>
                <w:szCs w:val="1"/>
                <w:color w:val="auto"/>
              </w:rPr>
            </w:pPr>
          </w:p>
        </w:tc>
      </w:tr>
      <w:tr>
        <w:trPr>
          <w:trHeight w:val="21"/>
        </w:trPr>
        <w:tc>
          <w:tcPr>
            <w:tcW w:w="9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Dialysis and BioSentry</w:t>
      </w:r>
    </w:p>
    <w:p>
      <w:pPr>
        <w:spacing w:after="0" w:line="22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Pursuant to an asset purchase agreement dated June 8, 2023 (the "Asset Purchase Agreement"), the Company completed the sale of the dialysis and BioSentry tract sealant system biopsy businesses (the "Divestiture") to Merit Medical Systems, Inc. ("Merit"). Total consideration received by the Company for the Divestiture in the first quarter of fiscal year 2024 was $100.0 million in cash and resulted in a pre-tax book gain of $47.8 million.</w:t>
      </w:r>
    </w:p>
    <w:p>
      <w:pPr>
        <w:spacing w:after="0" w:line="17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and Merit entered into various agreements to facilitate the transition of the divested businesses to Merit, including a Transition Services Agreement and Contract Manufacturing Agreement. The Company determined that the sale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businesses did not constitute a strategic shift that had a major effect on the Company's operations or financial results and as a result, this transaction will not be classified as discontinued operations.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As of June 8, 2023</w:t>
            </w:r>
          </w:p>
        </w:tc>
      </w:tr>
      <w:tr>
        <w:trPr>
          <w:trHeight w:val="23"/>
        </w:trPr>
        <w:tc>
          <w:tcPr>
            <w:tcW w:w="9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9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29"/>
        </w:trPr>
        <w:tc>
          <w:tcPr>
            <w:tcW w:w="9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9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9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9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9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r>
      <w:tr>
        <w:trPr>
          <w:trHeight w:val="230"/>
        </w:trPr>
        <w:tc>
          <w:tcPr>
            <w:tcW w:w="9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48"/>
        </w:trPr>
        <w:tc>
          <w:tcPr>
            <w:tcW w:w="9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6660" w:firstLine="8"/>
        <w:spacing w:after="0" w:line="43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spacing w:after="0" w:line="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net sales by Med Tech, Med Device and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1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 November 30, 2024</w:t>
            </w:r>
          </w:p>
        </w:tc>
        <w:tc>
          <w:tcPr>
            <w:tcW w:w="120" w:type="dxa"/>
            <w:vAlign w:val="bottom"/>
          </w:tcPr>
          <w:p>
            <w:pPr>
              <w:spacing w:after="0"/>
              <w:rPr>
                <w:sz w:val="16"/>
                <w:szCs w:val="16"/>
                <w:color w:val="auto"/>
              </w:rPr>
            </w:pPr>
          </w:p>
        </w:tc>
        <w:tc>
          <w:tcPr>
            <w:tcW w:w="3360" w:type="dxa"/>
            <w:vAlign w:val="bottom"/>
            <w:gridSpan w:val="9"/>
          </w:tcPr>
          <w:p>
            <w:pPr>
              <w:jc w:val="center"/>
              <w:ind w:right="35"/>
              <w:spacing w:after="0"/>
              <w:rPr>
                <w:sz w:val="20"/>
                <w:szCs w:val="20"/>
                <w:color w:val="auto"/>
              </w:rPr>
            </w:pPr>
            <w:r>
              <w:rPr>
                <w:rFonts w:ascii="Times New Roman" w:cs="Times New Roman" w:eastAsia="Times New Roman" w:hAnsi="Times New Roman"/>
                <w:sz w:val="14"/>
                <w:szCs w:val="14"/>
                <w:color w:val="auto"/>
              </w:rPr>
              <w:t>Three Months Ended November 30, 2023</w:t>
            </w:r>
          </w:p>
        </w:tc>
        <w:tc>
          <w:tcPr>
            <w:tcW w:w="0" w:type="dxa"/>
            <w:vAlign w:val="bottom"/>
          </w:tcPr>
          <w:p>
            <w:pPr>
              <w:spacing w:after="0"/>
              <w:rPr>
                <w:sz w:val="1"/>
                <w:szCs w:val="1"/>
                <w:color w:val="auto"/>
              </w:rPr>
            </w:pPr>
          </w:p>
        </w:tc>
      </w:tr>
      <w:tr>
        <w:trPr>
          <w:trHeight w:val="23"/>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25,363</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53,710</w:t>
            </w:r>
          </w:p>
        </w:tc>
        <w:tc>
          <w:tcPr>
            <w:tcW w:w="0" w:type="dxa"/>
            <w:vAlign w:val="bottom"/>
          </w:tcPr>
          <w:p>
            <w:pPr>
              <w:spacing w:after="0"/>
              <w:rPr>
                <w:sz w:val="1"/>
                <w:szCs w:val="1"/>
                <w:color w:val="auto"/>
              </w:rPr>
            </w:pPr>
          </w:p>
        </w:tc>
      </w:tr>
      <w:tr>
        <w:trPr>
          <w:trHeight w:val="223"/>
        </w:trPr>
        <w:tc>
          <w:tcPr>
            <w:tcW w:w="4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color w:val="auto"/>
              </w:rPr>
              <w:t>Six Months Ended November 30, 2024</w:t>
            </w:r>
          </w:p>
        </w:tc>
        <w:tc>
          <w:tcPr>
            <w:tcW w:w="120" w:type="dxa"/>
            <w:vAlign w:val="bottom"/>
          </w:tcPr>
          <w:p>
            <w:pPr>
              <w:spacing w:after="0"/>
              <w:rPr>
                <w:sz w:val="24"/>
                <w:szCs w:val="24"/>
                <w:color w:val="auto"/>
              </w:rPr>
            </w:pPr>
          </w:p>
        </w:tc>
        <w:tc>
          <w:tcPr>
            <w:tcW w:w="3360" w:type="dxa"/>
            <w:vAlign w:val="bottom"/>
            <w:gridSpan w:val="9"/>
          </w:tcPr>
          <w:p>
            <w:pPr>
              <w:jc w:val="center"/>
              <w:ind w:right="55"/>
              <w:spacing w:after="0"/>
              <w:rPr>
                <w:sz w:val="20"/>
                <w:szCs w:val="20"/>
                <w:color w:val="auto"/>
              </w:rPr>
            </w:pPr>
            <w:r>
              <w:rPr>
                <w:rFonts w:ascii="Times New Roman" w:cs="Times New Roman" w:eastAsia="Times New Roman" w:hAnsi="Times New Roman"/>
                <w:sz w:val="14"/>
                <w:szCs w:val="14"/>
                <w:color w:val="auto"/>
              </w:rPr>
              <w:t>Six Months Ended November 30, 2023</w:t>
            </w:r>
          </w:p>
        </w:tc>
        <w:tc>
          <w:tcPr>
            <w:tcW w:w="0" w:type="dxa"/>
            <w:vAlign w:val="bottom"/>
          </w:tcPr>
          <w:p>
            <w:pPr>
              <w:spacing w:after="0"/>
              <w:rPr>
                <w:sz w:val="1"/>
                <w:szCs w:val="1"/>
                <w:color w:val="auto"/>
              </w:rPr>
            </w:pPr>
          </w:p>
        </w:tc>
      </w:tr>
      <w:tr>
        <w:trPr>
          <w:trHeight w:val="23"/>
        </w:trPr>
        <w:tc>
          <w:tcPr>
            <w:tcW w:w="4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106,528</w:t>
            </w:r>
          </w:p>
        </w:tc>
        <w:tc>
          <w:tcPr>
            <w:tcW w:w="0" w:type="dxa"/>
            <w:vAlign w:val="bottom"/>
          </w:tcPr>
          <w:p>
            <w:pPr>
              <w:spacing w:after="0"/>
              <w:rPr>
                <w:sz w:val="1"/>
                <w:szCs w:val="1"/>
                <w:color w:val="auto"/>
              </w:rPr>
            </w:pPr>
          </w:p>
        </w:tc>
      </w:tr>
      <w:tr>
        <w:trPr>
          <w:trHeight w:val="223"/>
        </w:trPr>
        <w:tc>
          <w:tcPr>
            <w:tcW w:w="4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157,752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7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0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2"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3"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six months ended November 30, 2024 and 2023, such product returns were not material.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bl>
    <w:p>
      <w:pPr>
        <w:spacing w:after="0" w:line="23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November 30, 2024, the Company had additions to contract liabilities of $0.2 million. This was offset by $0.2 million in revenue that was recognized during the six months ended November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6" w:lineRule="exact"/>
        <w:rPr>
          <w:sz w:val="20"/>
          <w:szCs w:val="20"/>
          <w:color w:val="auto"/>
        </w:rPr>
      </w:pPr>
    </w:p>
    <w:p>
      <w:pPr>
        <w:ind w:right="20" w:firstLine="405"/>
        <w:spacing w:after="0" w:line="289" w:lineRule="auto"/>
        <w:rPr>
          <w:sz w:val="20"/>
          <w:szCs w:val="20"/>
          <w:color w:val="auto"/>
        </w:rPr>
      </w:pPr>
      <w:r>
        <w:rPr>
          <w:rFonts w:ascii="Times New Roman" w:cs="Times New Roman" w:eastAsia="Times New Roman" w:hAnsi="Times New Roman"/>
          <w:sz w:val="17"/>
          <w:szCs w:val="17"/>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60,616</w:t>
            </w:r>
          </w:p>
        </w:tc>
      </w:tr>
      <w:tr>
        <w:trPr>
          <w:trHeight w:val="21"/>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November 30, 2024 and May 31, 2024 was $3.3 million.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Nov 30, 2024</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2024</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73,759</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November 30, 2024 and 2023 was $2.6 million and $3.6 million, respectively. Amortization expense for the six months ended November 30, 2024 and 2023 was $5.1 million and $7.2 million,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Pr>
          <w:p>
            <w:pPr>
              <w:spacing w:after="0"/>
              <w:rPr>
                <w:sz w:val="17"/>
                <w:szCs w:val="17"/>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2024</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warranties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TSA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1.7% as of the second quarter of fiscal year 2025, as compared to 23.7% for the same period in fiscal year 2024. In fiscal year 2025,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as of November 30, 2024.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right="300" w:firstLine="405"/>
        <w:spacing w:after="0" w:line="275" w:lineRule="auto"/>
        <w:rPr>
          <w:sz w:val="20"/>
          <w:szCs w:val="20"/>
          <w:color w:val="auto"/>
        </w:rPr>
      </w:pPr>
      <w:r>
        <w:rPr>
          <w:rFonts w:ascii="Times New Roman" w:cs="Times New Roman" w:eastAsia="Times New Roman" w:hAnsi="Times New Roman"/>
          <w:sz w:val="17"/>
          <w:szCs w:val="17"/>
          <w:color w:val="auto"/>
        </w:rPr>
        <w:t>On October 13, 2020, the Company's shareholders approved the 2020 Stock and Incentive Award Plan (the “2020 Plan”), and authorized an initial reserve of 2.4 million shares of common stock available for grants.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3, 2022 and November 14, 2023, the Company’s shareholders approved an amendment to the 2020 Plan to increase the reserve of shares of common stock available for grants by 1.95 million shares and 1.5 million shares,</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respectively. On November 12, 2024, the Company's shareholders approved an additional amendment to the 2020 Plan to increase the reserve of shares of common stock available for future grants by 3.2 million shares. As of November 30, 2024, there was a maximum of 4.1 million shares of common stock available for future grant under the 2020 Plan.</w:t>
      </w:r>
    </w:p>
    <w:p>
      <w:pPr>
        <w:spacing w:after="0" w:line="12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Company also has an employee stock purchase plan. As of November 30, 2024, there was a maximum of 2.7 million shares of common stock available for future grant under the employee stock purchase plan.</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2024 and 2023, share-based compensation expense was $2.5 million and $1.9 million, respectively. For the six months ended November 30, 2024 and 2023, share-based compensation expense was $5.7 million and $6.0 million, respectively.</w:t>
      </w:r>
    </w:p>
    <w:p>
      <w:pPr>
        <w:spacing w:after="0" w:line="108" w:lineRule="exact"/>
        <w:rPr>
          <w:sz w:val="20"/>
          <w:szCs w:val="20"/>
          <w:color w:val="auto"/>
        </w:rPr>
      </w:pPr>
    </w:p>
    <w:p>
      <w:pPr>
        <w:ind w:right="400" w:firstLine="405"/>
        <w:spacing w:after="0" w:line="256" w:lineRule="auto"/>
        <w:rPr>
          <w:sz w:val="20"/>
          <w:szCs w:val="20"/>
          <w:color w:val="auto"/>
        </w:rPr>
      </w:pPr>
      <w:r>
        <w:rPr>
          <w:rFonts w:ascii="Times New Roman" w:cs="Times New Roman" w:eastAsia="Times New Roman" w:hAnsi="Times New Roman"/>
          <w:sz w:val="18"/>
          <w:szCs w:val="18"/>
          <w:color w:val="auto"/>
        </w:rPr>
        <w:t>During the six months ended November 30, 2024 and 2023,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w:t>
      </w:r>
    </w:p>
    <w:p>
      <w:pPr>
        <w:spacing w:after="0" w:line="13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November 30, 2024 and 2023,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2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 of November 30, 2024, there was $20.0 million of unrecognized compensation expense related to share-based payment arrangements. These costs are expected to be recognized over a weighted-average period of approximately three years. The Company has sufficient shares to satisfy expected share-based payment arrangements.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175" w:lineRule="exact"/>
        <w:rPr>
          <w:sz w:val="20"/>
          <w:szCs w:val="20"/>
          <w:color w:val="auto"/>
        </w:rPr>
      </w:pPr>
    </w:p>
    <w:p>
      <w:pPr>
        <w:ind w:right="240" w:firstLine="405"/>
        <w:spacing w:after="0" w:line="255"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During the second quarter of fiscal year 2025, the Company repurchased 171,706 shares of common stock in the open market at an aggregate cost of $1.1 million under the Repurchase Program. During the first quarter of fiscal year 2025, the Company repurchased 72,141 shares of common stock in the open market at an aggregate cost of $0.5 million under the Repurchase Program. As of November 30, 2024, $13.3 million remained available for repurchase under the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3040" w:type="dxa"/>
            <w:vAlign w:val="bottom"/>
            <w:gridSpan w:val="4"/>
          </w:tcPr>
          <w:p>
            <w:pPr>
              <w:ind w:left="860"/>
              <w:spacing w:after="0"/>
              <w:rPr>
                <w:sz w:val="20"/>
                <w:szCs w:val="20"/>
                <w:color w:val="auto"/>
              </w:rPr>
            </w:pPr>
            <w:r>
              <w:rPr>
                <w:rFonts w:ascii="Times New Roman" w:cs="Times New Roman" w:eastAsia="Times New Roman" w:hAnsi="Times New Roman"/>
                <w:sz w:val="14"/>
                <w:szCs w:val="14"/>
                <w:color w:val="auto"/>
              </w:rPr>
              <w:t>Three Months Ended</w:t>
            </w:r>
          </w:p>
        </w:tc>
        <w:tc>
          <w:tcPr>
            <w:tcW w:w="292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15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Nov 30, 2024</w:t>
            </w:r>
          </w:p>
        </w:tc>
        <w:tc>
          <w:tcPr>
            <w:tcW w:w="14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Nov 30, 2023</w:t>
            </w:r>
          </w:p>
        </w:tc>
        <w:tc>
          <w:tcPr>
            <w:tcW w:w="100" w:type="dxa"/>
            <w:vAlign w:val="bottom"/>
          </w:tcPr>
          <w:p>
            <w:pPr>
              <w:spacing w:after="0"/>
              <w:rPr>
                <w:sz w:val="16"/>
                <w:szCs w:val="16"/>
                <w:color w:val="auto"/>
              </w:rPr>
            </w:pPr>
          </w:p>
        </w:tc>
        <w:tc>
          <w:tcPr>
            <w:tcW w:w="15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Nov 30, 2024</w:t>
            </w:r>
          </w:p>
        </w:tc>
        <w:tc>
          <w:tcPr>
            <w:tcW w:w="14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Nov 30, 2023</w:t>
            </w:r>
          </w:p>
        </w:tc>
        <w:tc>
          <w:tcPr>
            <w:tcW w:w="0" w:type="dxa"/>
            <w:vAlign w:val="bottom"/>
          </w:tcPr>
          <w:p>
            <w:pPr>
              <w:spacing w:after="0"/>
              <w:rPr>
                <w:sz w:val="1"/>
                <w:szCs w:val="1"/>
                <w:color w:val="auto"/>
              </w:rPr>
            </w:pPr>
          </w:p>
        </w:tc>
      </w:tr>
      <w:tr>
        <w:trPr>
          <w:trHeight w:val="229"/>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40,030</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20" w:firstLine="389"/>
        <w:spacing w:after="0" w:line="256"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the President and Chief Executive Officer ("CEO"), and management to evaluate performance and allocate resources. The Company manages its operations through two segments, Med Tech and Med Device. The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w:t>
      </w:r>
    </w:p>
    <w:p>
      <w:pPr>
        <w:spacing w:after="0" w:line="120" w:lineRule="exact"/>
        <w:rPr>
          <w:sz w:val="20"/>
          <w:szCs w:val="20"/>
          <w:color w:val="auto"/>
        </w:rPr>
      </w:pPr>
    </w:p>
    <w:p>
      <w:pPr>
        <w:ind w:right="240" w:firstLine="405"/>
        <w:spacing w:after="0" w:line="250"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 Total assets were $291.6 million as of November 30, 2024.</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net sales and gross margin by Med Tech and Med Device: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0"/>
        </w:trPr>
        <w:tc>
          <w:tcPr>
            <w:tcW w:w="980" w:type="dxa"/>
            <w:vAlign w:val="bottom"/>
            <w:tcBorders>
              <w:top w:val="single" w:sz="8" w:color="0000FF"/>
            </w:tcBorders>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24"/>
                <w:szCs w:val="24"/>
                <w:color w:val="auto"/>
              </w:rPr>
            </w:pPr>
          </w:p>
        </w:tc>
        <w:tc>
          <w:tcPr>
            <w:tcW w:w="292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Nov 30, 2023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Nov 30, 2024</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Nov 30, 2023</w:t>
            </w:r>
          </w:p>
        </w:tc>
        <w:tc>
          <w:tcPr>
            <w:tcW w:w="0" w:type="dxa"/>
            <w:vAlign w:val="bottom"/>
          </w:tcPr>
          <w:p>
            <w:pPr>
              <w:spacing w:after="0"/>
              <w:rPr>
                <w:sz w:val="1"/>
                <w:szCs w:val="1"/>
                <w:color w:val="auto"/>
              </w:rPr>
            </w:pPr>
          </w:p>
        </w:tc>
      </w:tr>
      <w:tr>
        <w:trPr>
          <w:trHeight w:val="243"/>
        </w:trPr>
        <w:tc>
          <w:tcPr>
            <w:tcW w:w="980" w:type="dxa"/>
            <w:vAlign w:val="bottom"/>
            <w:tcBorders>
              <w:top w:val="single" w:sz="8" w:color="CCEEFF"/>
            </w:tcBorders>
            <w:shd w:val="clear" w:color="auto" w:fill="CCEEFF"/>
          </w:tcPr>
          <w:p>
            <w:pPr>
              <w:spacing w:after="0"/>
              <w:rPr>
                <w:sz w:val="21"/>
                <w:szCs w:val="21"/>
                <w:color w:val="auto"/>
              </w:rPr>
            </w:pPr>
          </w:p>
        </w:tc>
        <w:tc>
          <w:tcPr>
            <w:tcW w:w="38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31,554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25,363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59,523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51,224</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37,810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32,543</w:t>
            </w: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Device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41,291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53,710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80,813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106,528</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19,793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38,820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47,779</w:t>
            </w: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72,845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79,073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140,336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157,752</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76,630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80,322</w:t>
            </w:r>
          </w:p>
        </w:tc>
        <w:tc>
          <w:tcPr>
            <w:tcW w:w="0" w:type="dxa"/>
            <w:vAlign w:val="bottom"/>
          </w:tcPr>
          <w:p>
            <w:pPr>
              <w:spacing w:after="0"/>
              <w:rPr>
                <w:sz w:val="1"/>
                <w:szCs w:val="1"/>
                <w:color w:val="auto"/>
              </w:rPr>
            </w:pPr>
          </w:p>
        </w:tc>
      </w:tr>
      <w:tr>
        <w:trPr>
          <w:trHeight w:val="236"/>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Nov 30, 2023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Nov 30, 2023</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62,678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10,167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72,845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157,752</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40" w:firstLine="445"/>
        <w:spacing w:after="0" w:line="245" w:lineRule="auto"/>
        <w:rPr>
          <w:sz w:val="20"/>
          <w:szCs w:val="20"/>
          <w:color w:val="auto"/>
        </w:rPr>
      </w:pPr>
      <w:r>
        <w:rPr>
          <w:rFonts w:ascii="Times New Roman" w:cs="Times New Roman" w:eastAsia="Times New Roman" w:hAnsi="Times New Roman"/>
          <w:sz w:val="18"/>
          <w:szCs w:val="18"/>
          <w:color w:val="auto"/>
        </w:rPr>
        <w:t>For the three months ended November 30, 2024 and 2023, international sales as a percentage of total net sales were 14.0% and 19.1%, respectively. For the six months ended November 30, 2024 and 2023, international sales as a percentage of total net sales were 13.0% and 18.6%, respectively. Sales to any one country outside the U.S., as determined by shipment destination, did not comprise a material portion of net sales in any of the last three fiscal years. In addition, no one customer represents more than 10% of consolidated net sales and 66% of long-lived assets are located within the United States.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0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significant unobservable inputs based on management’s best estimate of inputs market participants would use in pricing the asset or liability at the measurement date, including assumptions about risk.</w:t>
      </w:r>
    </w:p>
    <w:p>
      <w:pPr>
        <w:spacing w:after="0" w:line="10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6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 at Nov 30,</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4640" w:type="dxa"/>
            <w:vAlign w:val="bottom"/>
            <w:gridSpan w:val="4"/>
            <w:vMerge w:val="continue"/>
          </w:tcPr>
          <w:p>
            <w:pPr>
              <w:spacing w:after="0"/>
              <w:rPr>
                <w:sz w:val="16"/>
                <w:szCs w:val="16"/>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Level 1</w:t>
            </w: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5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98"/>
              </w:rPr>
              <w:t>4,960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8"/>
              </w:rPr>
              <w:t>4,960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gridSpan w:val="6"/>
            <w:vMerge w:val="restart"/>
          </w:tcPr>
          <w:p>
            <w:pPr>
              <w:ind w:left="44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1</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98"/>
              </w:rPr>
              <w:t>4,728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8"/>
              </w:rPr>
              <w:t>4,728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914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three and six months ended November 30, 2024 and 2023.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6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9"/>
              </w:rPr>
              <w:t>The table below presents the changes in fair value components of Level 3 instruments: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Three Months Ended Nov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36"/>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4"/>
                <w:szCs w:val="14"/>
                <w:color w:val="auto"/>
              </w:rPr>
              <w:t>Fair Value Measurements Using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tcPr>
          <w:p>
            <w:pPr>
              <w:jc w:val="center"/>
              <w:spacing w:after="0" w:line="139"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Six Months Ended November 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36"/>
              <w:spacing w:after="0"/>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5"/>
          </w:tcPr>
          <w:p>
            <w:pPr>
              <w:jc w:val="center"/>
              <w:spacing w:after="0" w:line="138" w:lineRule="exact"/>
              <w:rPr>
                <w:sz w:val="20"/>
                <w:szCs w:val="20"/>
                <w:color w:val="auto"/>
              </w:rPr>
            </w:pPr>
            <w:r>
              <w:rPr>
                <w:rFonts w:ascii="Times New Roman" w:cs="Times New Roman" w:eastAsia="Times New Roman" w:hAnsi="Times New Roman"/>
                <w:sz w:val="14"/>
                <w:szCs w:val="14"/>
                <w:color w:val="auto"/>
              </w:rPr>
              <w:t>Fair Value Measurements 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right="120" w:firstLine="8"/>
        <w:spacing w:after="0" w:line="280"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Liability for Acquisition Earn Outs</w:t>
      </w:r>
    </w:p>
    <w:p>
      <w:pPr>
        <w:spacing w:after="0" w:line="1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3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Valuation Technique</w:t>
            </w: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Unobservable Input</w:t>
            </w:r>
          </w:p>
        </w:tc>
        <w:tc>
          <w:tcPr>
            <w:tcW w:w="1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Range</w:t>
            </w: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based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29"/>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2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Projected fiscal year of payment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bl>
    <w:p>
      <w:pPr>
        <w:spacing w:after="0" w:line="238"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At November 30, 2024, the amount of undiscounted future contingent consideration that the Company expects to pay as a result of all completed acquisitions is approximately $5.0 million. The milestones, including revenue projections and technical milestones associated with the contingent consideration, must be reached in future periods ranging from fiscal years 2025 to 2029 in order for the associated consideration to be paid.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2024</w:t>
            </w:r>
          </w:p>
        </w:tc>
      </w:tr>
      <w:tr>
        <w:trPr>
          <w:trHeight w:val="23"/>
        </w:trPr>
        <w:tc>
          <w:tcPr>
            <w:tcW w:w="55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0"/>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Nov 30, 2024</w:t>
            </w:r>
          </w:p>
        </w:tc>
      </w:tr>
      <w:tr>
        <w:trPr>
          <w:trHeight w:val="23"/>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468"/>
        </w:trPr>
        <w:tc>
          <w:tcPr>
            <w:tcW w:w="9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Nov 30, 2024</w:t>
            </w:r>
          </w:p>
        </w:tc>
      </w:tr>
      <w:tr>
        <w:trPr>
          <w:trHeight w:val="23"/>
        </w:trPr>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1"/>
        </w:trPr>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November 30, 2024 and 2023, the Company recognized $0.7 million and $0.6 million of operating lease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which includes immaterial short-term leases. During the six months ended November 30, 2024 and 2023, the Company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million and $1.3 million of operating lease expense respective, which includes immaterial short-term leases. The expenses on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 were classified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Nov 30, 2023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Nov 30, 2023</w:t>
            </w:r>
          </w:p>
        </w:tc>
        <w:tc>
          <w:tcPr>
            <w:tcW w:w="0" w:type="dxa"/>
            <w:vAlign w:val="bottom"/>
          </w:tcPr>
          <w:p>
            <w:pPr>
              <w:spacing w:after="0"/>
              <w:rPr>
                <w:sz w:val="1"/>
                <w:szCs w:val="1"/>
                <w:color w:val="auto"/>
              </w:rPr>
            </w:pP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26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Nov 30, 2023</w:t>
            </w: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9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28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w:t>
      </w:r>
    </w:p>
    <w:p>
      <w:pPr>
        <w:spacing w:after="0" w:line="22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w:t>
      </w:r>
    </w:p>
    <w:p>
      <w:pPr>
        <w:spacing w:after="0" w:line="216" w:lineRule="exact"/>
        <w:rPr>
          <w:sz w:val="20"/>
          <w:szCs w:val="20"/>
          <w:color w:val="auto"/>
        </w:rPr>
      </w:pPr>
    </w:p>
    <w:p>
      <w:pPr>
        <w:jc w:val="both"/>
        <w:ind w:right="20" w:firstLine="405"/>
        <w:spacing w:after="0" w:line="250" w:lineRule="auto"/>
        <w:rPr>
          <w:sz w:val="20"/>
          <w:szCs w:val="20"/>
          <w:color w:val="auto"/>
        </w:rPr>
      </w:pPr>
      <w:r>
        <w:rPr>
          <w:rFonts w:ascii="Times New Roman" w:cs="Times New Roman" w:eastAsia="Times New Roman" w:hAnsi="Times New Roman"/>
          <w:sz w:val="18"/>
          <w:szCs w:val="18"/>
          <w:color w:val="auto"/>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spacing w:after="0" w:line="217" w:lineRule="exact"/>
        <w:rPr>
          <w:sz w:val="20"/>
          <w:szCs w:val="20"/>
          <w:color w:val="auto"/>
        </w:rPr>
      </w:pPr>
    </w:p>
    <w:p>
      <w:pPr>
        <w:ind w:right="220" w:firstLine="405"/>
        <w:spacing w:after="0" w:line="253" w:lineRule="auto"/>
        <w:rPr>
          <w:sz w:val="20"/>
          <w:szCs w:val="20"/>
          <w:color w:val="auto"/>
        </w:rPr>
      </w:pPr>
      <w:r>
        <w:rPr>
          <w:rFonts w:ascii="Times New Roman" w:cs="Times New Roman" w:eastAsia="Times New Roman" w:hAnsi="Times New Roman"/>
          <w:sz w:val="18"/>
          <w:szCs w:val="18"/>
          <w:color w:val="auto"/>
        </w:rPr>
        <w:t>On March 31, 2024, the Company and Bard’s parent company Becton, Dickinson and Company (collectively, “BD”) entered into a settlement agreement (the “Settlement Agreement”) to resolve the ongoing litigations. Under the terms of the Settlement Agreement, BD granted a license to the Company under certain of BD’s port patents and AngioDynamics granted BD a license under certain of the Company’s catheter patents. The Company made a one-time lump sum payment to BD in the amount of $7.0 million, $3.0 million which was paid within 5 business days of execution of the Settlement Agreement, and the remainder is payable in installments during 12 month period ending March 31, 2025. The Company will also make six minimum annual payments to BD of $2.5 million starting in fiscal year 2025, and potential additional payments if six percent (6%) of annual net sales of the Company’s port products exceed the minimum payment. The parties will participate in the pending appeal before the Federal Circuit of the case that was filed March 10, 2015 and a contingent payment of $3.0 million will be due from the Company to BD if the Federal Circuit reverses or vacates the District Court’s findings of invalidity with respect to the patent claims at issue in the case. Appellate briefing is closed, but an argument date has not yet been set. Neither party admitted any liability and the agreement contains mutual covenants not to sue and releases. As of November 30,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$7.0 million payable to BD recorded in other current liabilities and $8.8 million recorded in other long-term liabilities.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 Product Claims</w:t>
      </w:r>
    </w:p>
    <w:p>
      <w:pPr>
        <w:spacing w:after="0" w:line="243" w:lineRule="exact"/>
        <w:rPr>
          <w:sz w:val="20"/>
          <w:szCs w:val="20"/>
          <w:color w:val="auto"/>
        </w:rPr>
      </w:pPr>
    </w:p>
    <w:p>
      <w:pPr>
        <w:ind w:right="120" w:firstLine="405"/>
        <w:spacing w:after="0"/>
        <w:rPr>
          <w:sz w:val="20"/>
          <w:szCs w:val="20"/>
          <w:color w:val="auto"/>
        </w:rPr>
      </w:pPr>
      <w:r>
        <w:rPr>
          <w:rFonts w:ascii="Times New Roman" w:cs="Times New Roman" w:eastAsia="Times New Roman" w:hAnsi="Times New Roman"/>
          <w:sz w:val="18"/>
          <w:szCs w:val="18"/>
          <w:color w:val="auto"/>
        </w:rPr>
        <w:t>As of November 30, 2024, the Company is defending approximately 50 product liability claims involving the Company's port products (collectively, the “Port Product Claims”). Port Product Claims are pending in various state and federal court jurisdictions, and a motion to transfer the Port Product Claims pursuant to 28 USC § 1407 for coordinated or consolidated pretrial proceedings is pending before the United States Judicial Panel on Multidistrict Litigation. The Port Product Claims generally seek damages for personal injury allegedly resulting from use of the products. The Company has limited information regarding the nature and quantity of certain of the Port Product Claims. The Company continues to receive claims and lawsuits and may in future periods learn additional information regarding other unfiled or unknown claims, or other lawsuits, which could materially impact the Company’s estimate of the number of claims or lawsuits against the Company.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74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Nov 30, 2023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Nov 30, 2023</w:t>
            </w:r>
          </w:p>
        </w:tc>
        <w:tc>
          <w:tcPr>
            <w:tcW w:w="0" w:type="dxa"/>
            <w:vAlign w:val="bottom"/>
          </w:tcPr>
          <w:p>
            <w:pPr>
              <w:spacing w:after="0"/>
              <w:rPr>
                <w:sz w:val="1"/>
                <w:szCs w:val="1"/>
                <w:color w:val="auto"/>
              </w:rPr>
            </w:pPr>
          </w:p>
        </w:tc>
      </w:tr>
      <w:tr>
        <w:trPr>
          <w:trHeight w:val="230"/>
        </w:trPr>
        <w:tc>
          <w:tcPr>
            <w:tcW w:w="528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Mergers and acquisitions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Plant closure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relocation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Plant closure expenses, related to the restructuring of our manufacturing footprint which was announced on January 5, 2024.</w:t>
      </w:r>
    </w:p>
    <w:p>
      <w:pPr>
        <w:spacing w:after="0" w:line="1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agreements that were entered into with Merit and Spectrum.</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to relocate certain manufacturing lines out of Queensbury, NY.</w:t>
      </w:r>
    </w:p>
    <w:p>
      <w:pPr>
        <w:spacing w:after="0" w:line="8" w:lineRule="exact"/>
        <w:rPr>
          <w:rFonts w:ascii="Times New Roman" w:cs="Times New Roman" w:eastAsia="Times New Roman" w:hAnsi="Times New Roman"/>
          <w:sz w:val="16"/>
          <w:szCs w:val="16"/>
          <w:color w:val="auto"/>
        </w:rPr>
      </w:pPr>
    </w:p>
    <w:p>
      <w:pPr>
        <w:ind w:right="80" w:firstLine="8"/>
        <w:spacing w:after="0" w:line="270"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$1.1 million in other for the six months ended November 30, 2023 is $0.9 million of deferred financing fees that were written-off in conjunction with the sale of the Dialysis and BioSentry businesses and concurrent extinguishment of the debt.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of its manufacturing footprint and a shift to an outsourced model (the "Plan"). This Plan will transfer all product manufacturing processes to third-party manufacturers.</w:t>
      </w:r>
    </w:p>
    <w:p>
      <w:pPr>
        <w:spacing w:after="0" w:line="12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still expected to be completed in the third quarter of fiscal year 2026.</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our estimated costs associated with the original and modified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82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Type of cost (in thousands)</w:t>
            </w:r>
          </w:p>
        </w:tc>
        <w:tc>
          <w:tcPr>
            <w:tcW w:w="300" w:type="dxa"/>
            <w:vAlign w:val="bottom"/>
          </w:tcPr>
          <w:p>
            <w:pPr>
              <w:spacing w:after="0"/>
              <w:rPr>
                <w:sz w:val="24"/>
                <w:szCs w:val="24"/>
                <w:color w:val="auto"/>
              </w:rPr>
            </w:pPr>
          </w:p>
        </w:tc>
        <w:tc>
          <w:tcPr>
            <w:tcW w:w="40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color w:val="auto"/>
              </w:rPr>
              <w:t>Total original estimated amount expected to be incurred</w:t>
            </w:r>
          </w:p>
        </w:tc>
        <w:tc>
          <w:tcPr>
            <w:tcW w:w="300" w:type="dxa"/>
            <w:vAlign w:val="bottom"/>
          </w:tcPr>
          <w:p>
            <w:pPr>
              <w:spacing w:after="0"/>
              <w:rPr>
                <w:sz w:val="24"/>
                <w:szCs w:val="24"/>
                <w:color w:val="auto"/>
              </w:rPr>
            </w:pPr>
          </w:p>
        </w:tc>
        <w:tc>
          <w:tcPr>
            <w:tcW w:w="3940" w:type="dxa"/>
            <w:vAlign w:val="bottom"/>
            <w:gridSpan w:val="4"/>
          </w:tcPr>
          <w:p>
            <w:pPr>
              <w:jc w:val="center"/>
              <w:ind w:right="210"/>
              <w:spacing w:after="0"/>
              <w:rPr>
                <w:sz w:val="20"/>
                <w:szCs w:val="20"/>
                <w:color w:val="auto"/>
              </w:rPr>
            </w:pPr>
            <w:r>
              <w:rPr>
                <w:rFonts w:ascii="Times New Roman" w:cs="Times New Roman" w:eastAsia="Times New Roman" w:hAnsi="Times New Roman"/>
                <w:sz w:val="14"/>
                <w:szCs w:val="14"/>
                <w:color w:val="auto"/>
              </w:rPr>
              <w:t>Total modified estimated amount expected to be incurred</w:t>
            </w:r>
          </w:p>
        </w:tc>
      </w:tr>
      <w:tr>
        <w:trPr>
          <w:trHeight w:val="23"/>
        </w:trPr>
        <w:tc>
          <w:tcPr>
            <w:tcW w:w="2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6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Facilities closeout fees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Validation expenses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filings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8"/>
        </w:trPr>
        <w:tc>
          <w:tcPr>
            <w:tcW w:w="9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760" w:firstLine="8"/>
        <w:spacing w:after="0" w:line="280"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original and modified estimate is approximately $13.6 million and $13.3 million of non-cash charges for accelerated depreciation and building impairment, respectively.</w:t>
      </w:r>
    </w:p>
    <w:p>
      <w:pPr>
        <w:spacing w:after="0" w:line="1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Company recorded restructuring charges related to the plan during the three and six months ended November 30, 2024 of $5.1 million and</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$8.7 million, respectively. Total restructuring charges recorded to date are $18.2 million. Termination benefits are only earned if an employee stays until their termination date; therefore, the expenses related to termination benefits are being recorded ratably over the service period.</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table below presents the restructuring reserve for the three and six months ended </w:t>
      </w:r>
      <w:r>
        <w:rPr>
          <w:rFonts w:ascii="Times New Roman" w:cs="Times New Roman" w:eastAsia="Times New Roman" w:hAnsi="Times New Roman"/>
          <w:sz w:val="16"/>
          <w:szCs w:val="16"/>
          <w:color w:val="auto"/>
        </w:rPr>
        <w:t>November 30, 2024</w:t>
      </w:r>
      <w:r>
        <w:rPr>
          <w:rFonts w:ascii="Times New Roman" w:cs="Times New Roman" w:eastAsia="Times New Roman" w:hAnsi="Times New Roman"/>
          <w:sz w:val="18"/>
          <w:szCs w:val="18"/>
          <w:color w:val="auto"/>
        </w:rPr>
        <w: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color w:val="auto"/>
              </w:rPr>
              <w:t>Three Months Ended Nov 30, 2024</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4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3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Filings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color w:val="auto"/>
              </w:rPr>
              <w:t>Six Months Ended Nov 30, 2024</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Termination</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w w:val="98"/>
              </w:rPr>
              <w:t>Validation</w:t>
            </w:r>
          </w:p>
        </w:tc>
        <w:tc>
          <w:tcPr>
            <w:tcW w:w="14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Facilities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color w:val="auto"/>
              </w:rPr>
              <w:t>Regulatory</w:t>
            </w:r>
          </w:p>
        </w:tc>
        <w:tc>
          <w:tcPr>
            <w:tcW w:w="3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Filings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3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80" w:type="dxa"/>
            <w:vAlign w:val="bottom"/>
            <w:gridSpan w:val="13"/>
          </w:tcPr>
          <w:p>
            <w:pPr>
              <w:ind w:left="42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net of tax, are as follows: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 Nov 30,</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income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93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w:t>
            </w: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0"/>
        </w:trPr>
        <w:tc>
          <w:tcPr>
            <w:tcW w:w="980" w:type="dxa"/>
            <w:vAlign w:val="bottom"/>
            <w:tcBorders>
              <w:top w:val="single" w:sz="8" w:color="0000FF"/>
            </w:tcBorders>
          </w:tcPr>
          <w:p>
            <w:pPr>
              <w:spacing w:after="0"/>
              <w:rPr>
                <w:sz w:val="24"/>
                <w:szCs w:val="24"/>
                <w:color w:val="auto"/>
              </w:rPr>
            </w:pPr>
          </w:p>
        </w:tc>
        <w:tc>
          <w:tcPr>
            <w:tcW w:w="8320" w:type="dxa"/>
            <w:vAlign w:val="bottom"/>
          </w:tcPr>
          <w:p>
            <w:pPr>
              <w:spacing w:after="0"/>
              <w:rPr>
                <w:sz w:val="24"/>
                <w:szCs w:val="24"/>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Ended Nov 30, 2024</w:t>
            </w: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9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1"/>
                <w:szCs w:val="11"/>
                <w:color w:val="auto"/>
              </w:rPr>
            </w:pPr>
          </w:p>
        </w:tc>
        <w:tc>
          <w:tcPr>
            <w:tcW w:w="1800" w:type="dxa"/>
            <w:vAlign w:val="bottom"/>
          </w:tcPr>
          <w:p>
            <w:pPr>
              <w:jc w:val="right"/>
              <w:ind w:right="76"/>
              <w:spacing w:after="0" w:line="133"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0" w:type="dxa"/>
            <w:vAlign w:val="bottom"/>
          </w:tcPr>
          <w:p>
            <w:pPr>
              <w:spacing w:after="0"/>
              <w:rPr>
                <w:sz w:val="1"/>
                <w:szCs w:val="1"/>
                <w:color w:val="auto"/>
              </w:rPr>
            </w:pPr>
          </w:p>
        </w:tc>
      </w:tr>
      <w:tr>
        <w:trPr>
          <w:trHeight w:val="193"/>
        </w:trPr>
        <w:tc>
          <w:tcPr>
            <w:tcW w:w="930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color w:val="auto"/>
              </w:rPr>
              <w:t>income</w:t>
            </w:r>
          </w:p>
        </w:tc>
        <w:tc>
          <w:tcPr>
            <w:tcW w:w="0" w:type="dxa"/>
            <w:vAlign w:val="bottom"/>
          </w:tcPr>
          <w:p>
            <w:pPr>
              <w:spacing w:after="0"/>
              <w:rPr>
                <w:sz w:val="1"/>
                <w:szCs w:val="1"/>
                <w:color w:val="auto"/>
              </w:rPr>
            </w:pPr>
          </w:p>
        </w:tc>
      </w:tr>
      <w:tr>
        <w:trPr>
          <w:trHeight w:val="228"/>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30"/>
        </w:trPr>
        <w:tc>
          <w:tcPr>
            <w:tcW w:w="93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3"/>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3"/>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6140" w:firstLine="8"/>
        <w:spacing w:after="0" w:line="466" w:lineRule="auto"/>
        <w:tabs>
          <w:tab w:leader="none" w:pos="27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PRONOUNCEMENTS Recently Issued Accounting Pronouncements - Adopted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are no recently issued accounting pronouncements that have been adopted.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0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2023-07, </w:t>
            </w:r>
            <w:r>
              <w:rPr>
                <w:rFonts w:ascii="Times New Roman" w:cs="Times New Roman" w:eastAsia="Times New Roman" w:hAnsi="Times New Roman"/>
                <w:sz w:val="18"/>
                <w:szCs w:val="18"/>
                <w:i w:val="1"/>
                <w:iCs w:val="1"/>
                <w:color w:val="auto"/>
              </w:rPr>
              <w:t>Segment</w:t>
            </w:r>
          </w:p>
        </w:tc>
        <w:tc>
          <w:tcPr>
            <w:tcW w:w="3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This ASU improves the reportable segment</w:t>
            </w:r>
          </w:p>
        </w:tc>
        <w:tc>
          <w:tcPr>
            <w:tcW w:w="1260" w:type="dxa"/>
            <w:vAlign w:val="bottom"/>
            <w:tcBorders>
              <w:right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rPr>
              <w:t>June 1, 2024</w:t>
            </w:r>
          </w:p>
        </w:tc>
        <w:tc>
          <w:tcPr>
            <w:tcW w:w="37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Reporting (Topic 280):</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disclosure requirements, primarily through</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fiscal year 2025 and does not expect there to be a</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Improvements to Reportable</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enhanced disclosures about significant segment</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material impact to the consolidated financial</w:t>
            </w:r>
          </w:p>
        </w:tc>
        <w:tc>
          <w:tcPr>
            <w:tcW w:w="0" w:type="dxa"/>
            <w:vAlign w:val="bottom"/>
          </w:tcPr>
          <w:p>
            <w:pPr>
              <w:spacing w:after="0"/>
              <w:rPr>
                <w:sz w:val="1"/>
                <w:szCs w:val="1"/>
                <w:color w:val="auto"/>
              </w:rPr>
            </w:pPr>
          </w:p>
        </w:tc>
      </w:tr>
      <w:tr>
        <w:trPr>
          <w:trHeight w:val="243"/>
        </w:trPr>
        <w:tc>
          <w:tcPr>
            <w:tcW w:w="2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Segment Disclosures</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expenses.</w:t>
            </w:r>
          </w:p>
        </w:tc>
        <w:tc>
          <w:tcPr>
            <w:tcW w:w="1260" w:type="dxa"/>
            <w:vAlign w:val="bottom"/>
            <w:tcBorders>
              <w:right w:val="single" w:sz="8" w:color="auto"/>
            </w:tcBorders>
          </w:tcPr>
          <w:p>
            <w:pPr>
              <w:spacing w:after="0"/>
              <w:rPr>
                <w:sz w:val="21"/>
                <w:szCs w:val="21"/>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27"/>
        </w:trPr>
        <w:tc>
          <w:tcPr>
            <w:tcW w:w="24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Income Taxes</w:t>
            </w:r>
          </w:p>
        </w:tc>
        <w:tc>
          <w:tcPr>
            <w:tcW w:w="3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This ASU improves the income tax disclosure</w:t>
            </w:r>
          </w:p>
        </w:tc>
        <w:tc>
          <w:tcPr>
            <w:tcW w:w="1260" w:type="dxa"/>
            <w:vAlign w:val="bottom"/>
            <w:tcBorders>
              <w:right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rPr>
              <w:t>June 1, 2025</w:t>
            </w:r>
          </w:p>
        </w:tc>
        <w:tc>
          <w:tcPr>
            <w:tcW w:w="37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(Topic 740): Improvements to</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requirements on an annual basis by (1) disclose</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first quarter of fiscal year 2026 and does not</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Income Tax Disclosures</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specific categories in the rate reconciliation and (2)</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 there to be a material impact to the</w:t>
            </w:r>
          </w:p>
        </w:tc>
        <w:tc>
          <w:tcPr>
            <w:tcW w:w="0" w:type="dxa"/>
            <w:vAlign w:val="bottom"/>
          </w:tcPr>
          <w:p>
            <w:pPr>
              <w:spacing w:after="0"/>
              <w:rPr>
                <w:sz w:val="1"/>
                <w:szCs w:val="1"/>
                <w:color w:val="auto"/>
              </w:rPr>
            </w:pPr>
          </w:p>
        </w:tc>
      </w:tr>
      <w:tr>
        <w:trPr>
          <w:trHeight w:val="211"/>
        </w:trPr>
        <w:tc>
          <w:tcPr>
            <w:tcW w:w="2400" w:type="dxa"/>
            <w:vAlign w:val="bottom"/>
            <w:tcBorders>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provide additional information for reconciling items</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0" w:type="dxa"/>
            <w:vAlign w:val="bottom"/>
          </w:tcPr>
          <w:p>
            <w:pPr>
              <w:spacing w:after="0"/>
              <w:rPr>
                <w:sz w:val="1"/>
                <w:szCs w:val="1"/>
                <w:color w:val="auto"/>
              </w:rPr>
            </w:pPr>
          </w:p>
        </w:tc>
      </w:tr>
      <w:tr>
        <w:trPr>
          <w:trHeight w:val="241"/>
        </w:trPr>
        <w:tc>
          <w:tcPr>
            <w:tcW w:w="240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that meet a quantitative threshold.</w:t>
            </w:r>
          </w:p>
        </w:tc>
        <w:tc>
          <w:tcPr>
            <w:tcW w:w="126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4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ASU 2024-03, </w:t>
            </w:r>
            <w:r>
              <w:rPr>
                <w:rFonts w:ascii="Times New Roman" w:cs="Times New Roman" w:eastAsia="Times New Roman" w:hAnsi="Times New Roman"/>
                <w:sz w:val="18"/>
                <w:szCs w:val="18"/>
                <w:i w:val="1"/>
                <w:iCs w:val="1"/>
                <w:color w:val="auto"/>
              </w:rPr>
              <w:t>Income</w:t>
            </w:r>
          </w:p>
        </w:tc>
        <w:tc>
          <w:tcPr>
            <w:tcW w:w="3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This ASU improves the disclosures about a public</w:t>
            </w:r>
          </w:p>
        </w:tc>
        <w:tc>
          <w:tcPr>
            <w:tcW w:w="1260" w:type="dxa"/>
            <w:vAlign w:val="bottom"/>
            <w:tcBorders>
              <w:right w:val="single" w:sz="8" w:color="auto"/>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1, 2027</w:t>
            </w:r>
          </w:p>
        </w:tc>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Statement-Reporting</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business entity's costs and expenses by requiring</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fiscal year 2028 and is assessing the impact to</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Comprehensive Income-</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the Company to disclose more detailed information</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9"/>
        </w:trPr>
        <w:tc>
          <w:tcPr>
            <w:tcW w:w="24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Expense Disaggregation</w:t>
            </w:r>
          </w:p>
        </w:tc>
        <w:tc>
          <w:tcPr>
            <w:tcW w:w="3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about the types of expenses (including purchases of</w:t>
            </w:r>
          </w:p>
        </w:tc>
        <w:tc>
          <w:tcPr>
            <w:tcW w:w="1260" w:type="dxa"/>
            <w:vAlign w:val="bottom"/>
            <w:tcBorders>
              <w:right w:val="single" w:sz="8" w:color="auto"/>
            </w:tcBorders>
          </w:tcPr>
          <w:p>
            <w:pPr>
              <w:spacing w:after="0"/>
              <w:rPr>
                <w:sz w:val="16"/>
                <w:szCs w:val="16"/>
                <w:color w:val="auto"/>
              </w:rPr>
            </w:pP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Disclosures (Subtopic 220-04):</w:t>
            </w:r>
          </w:p>
        </w:tc>
        <w:tc>
          <w:tcPr>
            <w:tcW w:w="38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inventory, employee compensation, depreciation,</w:t>
            </w:r>
          </w:p>
        </w:tc>
        <w:tc>
          <w:tcPr>
            <w:tcW w:w="1260" w:type="dxa"/>
            <w:vAlign w:val="bottom"/>
            <w:tcBorders>
              <w:right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400" w:type="dxa"/>
            <w:vAlign w:val="bottom"/>
            <w:tcBorders>
              <w:right w:val="single" w:sz="8" w:color="auto"/>
            </w:tcBorders>
          </w:tcPr>
          <w:p>
            <w:pPr>
              <w:ind w:left="20"/>
              <w:spacing w:after="0" w:line="128" w:lineRule="exact"/>
              <w:rPr>
                <w:sz w:val="20"/>
                <w:szCs w:val="20"/>
                <w:color w:val="auto"/>
              </w:rPr>
            </w:pPr>
            <w:r>
              <w:rPr>
                <w:rFonts w:ascii="Times New Roman" w:cs="Times New Roman" w:eastAsia="Times New Roman" w:hAnsi="Times New Roman"/>
                <w:sz w:val="13"/>
                <w:szCs w:val="13"/>
                <w:i w:val="1"/>
                <w:iCs w:val="1"/>
                <w:color w:val="auto"/>
              </w:rPr>
              <w:t>Disaggregation of Income</w:t>
            </w:r>
          </w:p>
        </w:tc>
        <w:tc>
          <w:tcPr>
            <w:tcW w:w="3800" w:type="dxa"/>
            <w:vAlign w:val="bottom"/>
            <w:tcBorders>
              <w:right w:val="single" w:sz="8" w:color="auto"/>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amortization and depletion) included in each</w:t>
            </w:r>
          </w:p>
        </w:tc>
        <w:tc>
          <w:tcPr>
            <w:tcW w:w="1260" w:type="dxa"/>
            <w:vAlign w:val="bottom"/>
            <w:tcBorders>
              <w:right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4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 Expenses</w:t>
            </w:r>
          </w:p>
        </w:tc>
        <w:tc>
          <w:tcPr>
            <w:tcW w:w="3800" w:type="dxa"/>
            <w:vAlign w:val="bottom"/>
            <w:tcBorders>
              <w:right w:val="single" w:sz="8" w:color="auto"/>
            </w:tcBorders>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3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400" w:type="dxa"/>
            <w:vAlign w:val="bottom"/>
            <w:tcBorders>
              <w:right w:val="single" w:sz="8" w:color="auto"/>
            </w:tcBorders>
            <w:vMerge w:val="continue"/>
          </w:tcPr>
          <w:p>
            <w:pPr>
              <w:spacing w:after="0"/>
              <w:rPr>
                <w:sz w:val="14"/>
                <w:szCs w:val="14"/>
                <w:color w:val="auto"/>
              </w:rPr>
            </w:pPr>
          </w:p>
        </w:tc>
        <w:tc>
          <w:tcPr>
            <w:tcW w:w="3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relevant income statement caption.</w:t>
            </w:r>
          </w:p>
        </w:tc>
        <w:tc>
          <w:tcPr>
            <w:tcW w:w="1260" w:type="dxa"/>
            <w:vAlign w:val="bottom"/>
            <w:tcBorders>
              <w:right w:val="single" w:sz="8" w:color="auto"/>
            </w:tcBorders>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400" w:type="dxa"/>
            <w:vAlign w:val="bottom"/>
            <w:tcBorders>
              <w:right w:val="single" w:sz="8" w:color="auto"/>
            </w:tcBorders>
          </w:tcPr>
          <w:p>
            <w:pPr>
              <w:spacing w:after="0"/>
              <w:rPr>
                <w:sz w:val="5"/>
                <w:szCs w:val="5"/>
                <w:color w:val="auto"/>
              </w:rPr>
            </w:pPr>
          </w:p>
        </w:tc>
        <w:tc>
          <w:tcPr>
            <w:tcW w:w="3800" w:type="dxa"/>
            <w:vAlign w:val="bottom"/>
            <w:tcBorders>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4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since our Annual Report on Form 10-K for fiscal year ended May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7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On December 24, 2024, the Company entered into an agreement to sell and leaseback the manufacturing facilities in Queensbury, NY and Glens Falls, NY for a purchase price of $5.5 million and $1.2 million, respectively and net proceeds of $4.8 million and $1.1 million, respectively. The Company also entered into a lease agreement with future lease payments of $4.6 million over seven years for Queensbury, NY and $0.4 million over three years for Glens Falls, 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2024 Annual Report on Form 10-K, and the consolidated financial statements and notes thereto included elsewhere in the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3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5"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7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12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current macroeconomic environment continues to impact our business and may continue to pose future risks.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January 5, 2024, the Company announced a restructuring of its manufacturing footprint and a shift to an outsourced model (the "Plan"). This Plan will transfer all product manufacturing processes to third-party manufacturers. 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still expected to be completed in the third quarter of fiscal year 2026. The modified Plan is still expected to generate $15.0 million in annual cost savings in fiscal year 2027.</w:t>
      </w:r>
    </w:p>
    <w:p>
      <w:pPr>
        <w:spacing w:after="0" w:line="12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During the first quarter of fiscal year 2025, the Company repurchased 72,141 shares of common stock in the open market at an aggregate cost of $0.5 million under the Repurchase Program. During the second quarter of fiscal year 2025, the Company repurchased 171,706 shares of common stock in the open market at an aggregate cost of $1.1 million under the Repurchase Program. As of November 30, 2024, $13.3 million remained available for repurchase under the Repurchase Program.</w:t>
      </w:r>
    </w:p>
    <w:p>
      <w:pPr>
        <w:spacing w:after="0" w:line="18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company-wide and segment revenue and gross margin and company-wide operating income, earnings per share and cash flow from operations. A summary of these key financial metrics for the three and six months ended November 30, 2024 compared to the three and six months ended November 30, 2023 are as follows: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Three months ended November 30, 2024:</w:t>
      </w:r>
    </w:p>
    <w:p>
      <w:pPr>
        <w:spacing w:after="0" w:line="17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7.9% to $72.8 million</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24.4% and Med Device decrease of 23.1%</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390 bps to 54.8%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profit increased 130 bps to 63.7% and Med Device gross profit increased 240 bps to 47.9%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$18.3 million to $10.7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$0.46 to $0.26</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Six months ended November 30, 2024:</w:t>
      </w:r>
    </w:p>
    <w:p>
      <w:pPr>
        <w:spacing w:after="0" w:line="171"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11.0% to $140.3 million</w:t>
      </w:r>
    </w:p>
    <w:p>
      <w:pPr>
        <w:spacing w:after="0" w:line="1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16.2% and Med Device declined by 24.1%</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370 bps to 54.6%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profit remained consistent at 63.5% and Med Device gross profit increased 310 bps to 48.0%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$40.4 million to $23.5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$1.00 to $0.58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in operations decreased by $4.9 million to $15.8 million</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November 30, 2024, the decrease in revenue is partially due to the sale of the PICCs, Midline, dialysis and BioSentry businesses, along with the discontinuation of the RadioFrequency Ablation and Syntrax product lines, the total of which impacted sales by $12.4 million and $24.3 million compared to the same periods in the prior year, respectively. Our Med Tech revenue, comprised of Auryon, the thrombus management platform and NanoKnife, grew 24.4% in the second quarter of fiscal year 2025. Our Med Device revenue declined by 23.1% in the second quarter of fiscal year 2025 driven mainly by the sale of the PICCs, Midlines, dialysis and BioSentry businesses along with the discontinuation of the RadioFrequency Ablation product lines.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For the three months ended November 30, 2024, the Company reported net loss of $10.7 million, or diluted loss per share of $0.26, on net sales of $72.8 million, compared with a net loss of $29.0 million, or diluted loss per share of $0.72, on net sales of $79.1 million during the same quarter of the prior year. For the six months ended November 30, 2024, the Company reported net loss of $23.5 million, or diluted loss per share of $0.58, on net sales of $140.3 million, compared with a net income of $16.8 million, or diluted earnings per share of $0.42, on net sales of $157.8 million during the same quarter of the prior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rebates and returns.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Six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20" w:type="dxa"/>
            <w:vAlign w:val="bottom"/>
            <w:gridSpan w:val="2"/>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Nov 30, 2023</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Nov 30, 2023</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Med Tech</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Med Device</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(25,715)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Six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Nov 30, 2023</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Nov 30, 2024</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Nov 30, 2023</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128,401</w:t>
            </w:r>
          </w:p>
        </w:tc>
        <w:tc>
          <w:tcPr>
            <w:tcW w:w="2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2024, net sales decreased $6.2 million to $72.8 million compared to the same period in the prior year. For the six months ended November 30, 2024, net sales decreased $17.4 million to $140.3 million compared to the same period in the prior year. At November 30, 2024, the Company had a sales order backlog of $0.7 million.</w:t>
      </w:r>
    </w:p>
    <w:p>
      <w:pPr>
        <w:spacing w:after="0" w:line="12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Med Tech segment net sales increased $6.2 million and $8.3 million for the three and six months ended November 30, 2024 compared to the same period in the prior year, respectively. The change in sales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Auryon sales of $2.5 million and $5.2 million compared to the same period in the prior year, respectively;</w:t>
      </w:r>
    </w:p>
    <w:p>
      <w:pPr>
        <w:spacing w:after="0" w:line="2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Syntrax of $0.1 million and $0.3 million, respectively, due to the discontinuation of this product line as of February 29, 2024;</w:t>
      </w:r>
    </w:p>
    <w:p>
      <w:pPr>
        <w:spacing w:after="0" w:line="9" w:lineRule="exact"/>
        <w:rPr>
          <w:rFonts w:ascii="Times New Roman" w:cs="Times New Roman" w:eastAsia="Times New Roman" w:hAnsi="Times New Roman"/>
          <w:sz w:val="18"/>
          <w:szCs w:val="18"/>
          <w:color w:val="auto"/>
        </w:rPr>
      </w:pPr>
    </w:p>
    <w:p>
      <w:pPr>
        <w:ind w:left="660" w:right="40" w:hanging="328"/>
        <w:spacing w:after="0" w:line="265" w:lineRule="auto"/>
        <w:tabs>
          <w:tab w:leader="none" w:pos="655"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Increased sales of the thrombus management platform of $3.6 million and $3.5 million compared to the same period in the prior year, respectively. This was driven by an increase in AngioVac and AlphaVac sales of $3.3 million and $3.2 million compared to the same periods in the prior year, respectively, and an increase in thrombolytic sales of $0.2 million for both periods compared to the same periods in the prior year; and</w:t>
      </w:r>
    </w:p>
    <w:p>
      <w:pPr>
        <w:ind w:left="660" w:right="200" w:hanging="328"/>
        <w:spacing w:after="0" w:line="253" w:lineRule="auto"/>
        <w:tabs>
          <w:tab w:leader="none" w:pos="6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NanoKnife sales of $0.3 million for the three months ended November 30, 2024, compared to the same period in the prior year, which was driven by increased disposable sales offset by decreased capital sales. Decreased NanoKnife sales of $0.1 million for the six months ended November 30, 2024, compared to the same period in the prior year, which was driven by decreased capital sales partially offset by increased disposable sales.</w:t>
      </w:r>
    </w:p>
    <w:p>
      <w:pPr>
        <w:spacing w:after="0" w:line="13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Med Device segment net sales decreased $12.4 million and $25.7 million for the three and six months ended November 30, 2024 compared to the same period in the prior year, respectively. The backlog, which primarily impacted sales of Core products, was $0.7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sales for the three months ended November 30, 2024 compared to the same period in the prior year, was primarily driven by:</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PICCs and Midline products of $11.4 million, which was due to the divestiture of these businesses on February 15,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RadioFrequency Ablation of $0.9 million due to the discontinuation of this product line as of February 29, 2024; and</w:t>
      </w:r>
    </w:p>
    <w:p>
      <w:pPr>
        <w:spacing w:after="0" w:line="9" w:lineRule="exact"/>
        <w:rPr>
          <w:rFonts w:ascii="Times New Roman" w:cs="Times New Roman" w:eastAsia="Times New Roman" w:hAnsi="Times New Roman"/>
          <w:sz w:val="18"/>
          <w:szCs w:val="18"/>
          <w:color w:val="auto"/>
        </w:rPr>
      </w:pPr>
    </w:p>
    <w:p>
      <w:pPr>
        <w:ind w:left="660" w:right="48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Core and Ports of $0.2 million and $0.2 million, respectively, which was partially offset by increased sales of Venous and Microwave products of $0.1 million and $0.1 million, respectively.</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sales for the six months ended November 30, 2024 compared to the same period in the prior year, was primarily driven by:</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PICCs and Midline products of $21.6 million, which was due to the divestiture of these businesses on February 15,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dialysis and BioSentry products of $0.7 million, which was due to the divestiture of these businesses on June 8,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RadioFrequency Ablation of $1.8 million due to the discontinuation of this product line as of February 29, 2024;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Microwave, Core and Oncology products of $1.4 million, $0.4 million and $0.3 million, respectively, which was partially offset by increased sales of Venous and Ports of $0.2 million and $0.2 million, respectively.</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2023</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Nov 30, 2023</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15,816</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37,810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32,543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8"/>
              </w:rPr>
              <w:t>5,267</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19,793</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24,446</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47,779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(8,959)</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40,262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3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Total Company gross profit decreased by $0.4 million and $3.7 million for the three and six months ended November 30, 2024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PICCs, Midline, dialysis and BioSentry businesses contributed $3.6 million and $7.0 million of gross profit,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profit by $6.7 million and $9.1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other incentives and other costs, which negatively impacted gross profit by $1.6 million and $1.7 million, respectively;</w:t>
      </w:r>
    </w:p>
    <w:p>
      <w:pPr>
        <w:ind w:left="660" w:right="880" w:hanging="328"/>
        <w:spacing w:after="0" w:line="226" w:lineRule="auto"/>
        <w:tabs>
          <w:tab w:leader="none" w:pos="65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costs on raw materials, labor shortages and freight costs negatively impacted gross profit by $1.2 million and $2.7 million, respectively; and</w:t>
      </w:r>
    </w:p>
    <w:p>
      <w:pPr>
        <w:spacing w:after="0" w:line="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and other expense on placement units of $0.7 million and $1.3 million, respectively.</w:t>
      </w:r>
    </w:p>
    <w:p>
      <w:pPr>
        <w:spacing w:after="0" w:line="2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Med Tech segment gross profit increased by $4.3 million and $5.3 million for the three and six months ended November 30, 2024 compared to the same period in the prior year, respectively. The change for both periods was primarily driven by: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profit by $5.9 million and $7.6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other incentives and other costs, which negatively impacted gross profit by $0.7 million and $0.4 million, respectively;</w:t>
      </w:r>
    </w:p>
    <w:p>
      <w:pPr>
        <w:spacing w:after="0" w:line="9" w:lineRule="exact"/>
        <w:rPr>
          <w:rFonts w:ascii="Times New Roman" w:cs="Times New Roman" w:eastAsia="Times New Roman" w:hAnsi="Times New Roman"/>
          <w:sz w:val="18"/>
          <w:szCs w:val="18"/>
          <w:color w:val="auto"/>
        </w:rPr>
      </w:pPr>
    </w:p>
    <w:p>
      <w:pPr>
        <w:ind w:left="660" w:right="840" w:hanging="328"/>
        <w:spacing w:after="0" w:line="243" w:lineRule="auto"/>
        <w:tabs>
          <w:tab w:leader="none" w:pos="65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costs on raw materials, labor shortages and freight costs negatively impacted gross profit by $0.2 million and $0.7 million, respectively; and</w:t>
      </w:r>
    </w:p>
    <w:p>
      <w:pPr>
        <w:spacing w:after="0" w:line="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and other expense on placement units of $0.6 million and $1.2 million, respectively.</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Med Device segment gross profit decreased by $4.7 million and $9.0 million for the three and six months ended November 30, 2024 compared to the same period in the prior year, respectively. The change for both periods was primarily driven by:</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PICCs, Midline, dialysis and BioSentry businesses contributed $3.6 million and $7.0 million of gross profit,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mix, which positively impacted gross profit by $1.4 million and $2.9 million, respectively;</w:t>
      </w:r>
    </w:p>
    <w:p>
      <w:pPr>
        <w:spacing w:after="0" w:line="9"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production volume, other incentives and other costs, which negatively impacted gross profit by $1.4 million and $2.9 million, respectively;</w:t>
      </w:r>
    </w:p>
    <w:p>
      <w:pPr>
        <w:ind w:left="660" w:right="840" w:hanging="328"/>
        <w:spacing w:after="0" w:line="243" w:lineRule="auto"/>
        <w:tabs>
          <w:tab w:leader="none" w:pos="6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Inflationary costs on raw materials, labor shortages and freight costs negatively impacted gross profit by $1.0 million and $2.0 million, respectively; and</w:t>
      </w:r>
    </w:p>
    <w:p>
      <w:pPr>
        <w:spacing w:after="0" w:line="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and other expense on placement units of $0.1 million and $0.1 million, respectively.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 Months Ended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2023</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Nov 30, 2023</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6,434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16,599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25,589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52,832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20,145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8"/>
              </w:rPr>
              <w:t>1,221</w:t>
            </w:r>
          </w:p>
        </w:tc>
        <w:tc>
          <w:tcPr>
            <w:tcW w:w="0" w:type="dxa"/>
            <w:vAlign w:val="bottom"/>
          </w:tcPr>
          <w:p>
            <w:pPr>
              <w:spacing w:after="0"/>
              <w:rPr>
                <w:sz w:val="1"/>
                <w:szCs w:val="1"/>
                <w:color w:val="auto"/>
              </w:rPr>
            </w:pPr>
          </w:p>
        </w:tc>
      </w:tr>
      <w:tr>
        <w:trPr>
          <w:trHeight w:val="23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Research and development (“R&amp;D”) expense includes internal and external costs to develop new products, enhance existing products, validate new and enhanced products, and manage clinical, regulatory and medical affairs.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R&amp;D expense decreased $2.2 million and $3.9 million for the three and six months ended November 30, 2024 compared to the same period in the prior year, respectively. The change for both periods was primarily driven by:</w:t>
      </w:r>
    </w:p>
    <w:p>
      <w:pPr>
        <w:spacing w:after="0" w:line="108" w:lineRule="exact"/>
        <w:rPr>
          <w:sz w:val="20"/>
          <w:szCs w:val="20"/>
          <w:color w:val="auto"/>
        </w:rPr>
      </w:pPr>
    </w:p>
    <w:p>
      <w:pPr>
        <w:ind w:left="660" w:right="24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and clinical spend associated with the ongoing clinical trials, which decreased R&amp;D expense by $2.8 million and $4.2 million, respectively;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$0.5 million and $0.2 million, respectively.</w:t>
      </w:r>
    </w:p>
    <w:p>
      <w:pPr>
        <w:spacing w:after="0" w:line="2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S&amp;M expense increased $0.1 million and decreased $1.6 million for the three and six months ending November 30, 2024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decreased by $0.8 million and $2.5 million, respectively; and</w:t>
      </w:r>
    </w:p>
    <w:p>
      <w:pPr>
        <w:spacing w:after="0" w:line="27" w:lineRule="exact"/>
        <w:rPr>
          <w:rFonts w:ascii="Times New Roman" w:cs="Times New Roman" w:eastAsia="Times New Roman" w:hAnsi="Times New Roman"/>
          <w:sz w:val="18"/>
          <w:szCs w:val="18"/>
          <w:color w:val="auto"/>
        </w:rPr>
      </w:pPr>
    </w:p>
    <w:p>
      <w:pPr>
        <w:ind w:left="660" w:right="30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other selling expenses, which increased $0.6 million and $0.3 million, respectively, and trade show expenses, which increased $0.2 million and $0.4 million, respectively.</w:t>
      </w:r>
    </w:p>
    <w:p>
      <w:pPr>
        <w:spacing w:after="0" w:line="2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G&amp;A expense increased $1.1 million and $1.2 million for the three and six months ended November 30, 2024 compared to the same period in the prior year, respectively. The change for both periods was primarily driven by: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increased $1.8 million and $1.0 million, respectively; and</w:t>
      </w:r>
    </w:p>
    <w:p>
      <w:pPr>
        <w:spacing w:after="0" w:line="27" w:lineRule="exact"/>
        <w:rPr>
          <w:rFonts w:ascii="Times New Roman" w:cs="Times New Roman" w:eastAsia="Times New Roman" w:hAnsi="Times New Roman"/>
          <w:sz w:val="18"/>
          <w:szCs w:val="18"/>
          <w:color w:val="auto"/>
        </w:rPr>
      </w:pPr>
    </w:p>
    <w:p>
      <w:pPr>
        <w:ind w:left="660" w:right="5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for legal and IT, which increased $0.4 million and $1.3 million, respectively, which was partially offset by a decrease in depreciation and other corporate expenses of $1.1 million for both periods.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1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Nov 30, 2024</w:t>
            </w:r>
          </w:p>
        </w:tc>
        <w:tc>
          <w:tcPr>
            <w:tcW w:w="18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Nov 30, 2023</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5"/>
                <w:szCs w:val="15"/>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Nov 30, 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 30, 2023</w:t>
            </w:r>
          </w:p>
        </w:tc>
        <w:tc>
          <w:tcPr>
            <w:tcW w:w="1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7" w:lineRule="exact"/>
        <w:rPr>
          <w:sz w:val="20"/>
          <w:szCs w:val="20"/>
          <w:color w:val="auto"/>
        </w:rPr>
      </w:pPr>
    </w:p>
    <w:p>
      <w:pPr>
        <w:ind w:left="20" w:right="380"/>
        <w:spacing w:after="0" w:line="234" w:lineRule="auto"/>
        <w:rPr>
          <w:sz w:val="20"/>
          <w:szCs w:val="20"/>
          <w:color w:val="auto"/>
        </w:rPr>
      </w:pPr>
      <w:r>
        <w:rPr>
          <w:rFonts w:ascii="Times New Roman" w:cs="Times New Roman" w:eastAsia="Times New Roman" w:hAnsi="Times New Roman"/>
          <w:sz w:val="18"/>
          <w:szCs w:val="18"/>
          <w:color w:val="auto"/>
        </w:rPr>
        <w:t>Change in fair value of contingent consideration</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Acquisition, restructuring and other items, net</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2,562</w:t>
            </w: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40" w:type="dxa"/>
            <w:vAlign w:val="bottom"/>
          </w:tcPr>
          <w:p>
            <w:pPr>
              <w:spacing w:after="0"/>
              <w:rPr>
                <w:sz w:val="21"/>
                <w:szCs w:val="21"/>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31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418"/>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5,868</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4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32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246</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-410845</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80" w:space="40"/>
            <w:col w:w="200" w:space="720"/>
            <w:col w:w="8100"/>
          </w:cols>
          <w:pgMar w:left="320" w:top="118"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intangibles assets held by the Company.</w:t>
      </w:r>
    </w:p>
    <w:p>
      <w:pPr>
        <w:spacing w:after="0" w:line="171" w:lineRule="exact"/>
        <w:rPr>
          <w:sz w:val="20"/>
          <w:szCs w:val="20"/>
          <w:color w:val="auto"/>
        </w:rPr>
      </w:pPr>
    </w:p>
    <w:p>
      <w:pPr>
        <w:ind w:left="660" w:right="400" w:hanging="328"/>
        <w:spacing w:after="0" w:line="266" w:lineRule="auto"/>
        <w:tabs>
          <w:tab w:leader="none" w:pos="65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expense decreased $1.0 million and $2.1 million for the three and six months ended November 30, 2024 compared to the same period in the prior year, respectively, due to the intangible assets that were included in the sale of the dialysis, BioSentry, PICCs and Midlines businesses and the abandonment of the Syntrax product line.</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0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three and six months ended November 30, 2024 is related to the Eximo contingent consideration.</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-296545</wp:posOffset>
            </wp:positionV>
            <wp:extent cx="47320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8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Acquisition, restructuring and other items, net, decreased by $0.3 million and increased $0.8 million for the three and six months ended November 30, 2024, compared to the same period in the prior year, respectively.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decreased $5.3 million and $6.7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 expense, which increased $0.5 million for both periods;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closure expense, related to the restructuring of our manufacturing footprint which was announced on January 5, 2024, which increased $5.1 million and $8.7 million, respectively;</w:t>
      </w:r>
    </w:p>
    <w:p>
      <w:pPr>
        <w:ind w:left="660" w:right="58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 agreements that were entered into as a result of the sale of the PICCs, Midline, dialysis and BioSentry businesses. The increase in the fees invoiced was $0.3 million and $0.6 million, respectively; and</w:t>
      </w:r>
    </w:p>
    <w:p>
      <w:pPr>
        <w:ind w:left="660" w:right="74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relocation expense related to the move of certain manufacturing lines from Queensbury, New York to a third party, which decreased $0.7 million and $1.3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net</w:t>
      </w:r>
      <w:r>
        <w:rPr>
          <w:rFonts w:ascii="Times New Roman" w:cs="Times New Roman" w:eastAsia="Times New Roman" w:hAnsi="Times New Roman"/>
          <w:sz w:val="18"/>
          <w:szCs w:val="18"/>
          <w:color w:val="auto"/>
        </w:rPr>
        <w:t xml:space="preserve"> - Other expenses include interest expense, foreign currency impacts and bank fees.</w:t>
      </w:r>
    </w:p>
    <w:p>
      <w:pPr>
        <w:spacing w:after="0" w:line="171" w:lineRule="exact"/>
        <w:rPr>
          <w:sz w:val="20"/>
          <w:szCs w:val="20"/>
          <w:color w:val="auto"/>
        </w:rPr>
      </w:pPr>
    </w:p>
    <w:p>
      <w:pPr>
        <w:ind w:left="660" w:right="40" w:hanging="328"/>
        <w:spacing w:after="0" w:line="261" w:lineRule="auto"/>
        <w:tabs>
          <w:tab w:leader="none" w:pos="65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income, net decreased by $0.3 million for the three months ended November 30, 2024, compared to the same period in the prior year, which is primarily due to decreased interest income. Other income, net increased by $0.3 million for the six months ended November 30, 2024, compared to the same period in the prior year, which is primarily due to increased interest income of $0.2 million and unrealized foreign currency fluctuations of $0.1 million.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88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8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Nov 30, 2023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Nov 30, 2023</w:t>
            </w:r>
          </w:p>
        </w:tc>
        <w:tc>
          <w:tcPr>
            <w:tcW w:w="0" w:type="dxa"/>
            <w:vAlign w:val="bottom"/>
          </w:tcPr>
          <w:p>
            <w:pPr>
              <w:spacing w:after="0"/>
              <w:rPr>
                <w:sz w:val="1"/>
                <w:szCs w:val="1"/>
                <w:color w:val="auto"/>
              </w:rPr>
            </w:pPr>
          </w:p>
        </w:tc>
      </w:tr>
      <w:tr>
        <w:trPr>
          <w:trHeight w:val="23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months ended November 30, 2024 and 2023 was 1.0% and (130.2)%, respectively. Our effective tax rate including discrete items for the six months ended November 30, 2024 and 2023 was (0.1)% and 24.3%, respectively. In fiscal year 2025, the Company’s effective tax rate differs from the U.S. statutory rate primarily due to the impact of the valuation allowance, foreign taxes, and other non-deductible permanent items (such as non-deductible meals and entertainment, Section 162(m) excess compensation and non-deductible stock-based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and we believe that our current cash on hand provides sufficient liquidity to meet our anticipated needs for capital for at least the next 12 months.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totaled $54.1 million as of November 30, 2024, compared with $76.1 million as of May 31, 2024. As of November 30, 2024 and May 31, 2024 the Company did not have any outstanding debt. The fair value of contingent consideration liability as of November 30, 2024 and May 31, 2024, was $5.0 million and $4.7 million, respectively.</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2024</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Nov 30, 2023</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November 30, 2024 and 2023, cash flows consisted of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November 30, 2024 and 2023:</w:t>
      </w:r>
    </w:p>
    <w:p>
      <w:pPr>
        <w:spacing w:after="0" w:line="171" w:lineRule="exact"/>
        <w:rPr>
          <w:sz w:val="20"/>
          <w:szCs w:val="20"/>
          <w:color w:val="auto"/>
        </w:rPr>
      </w:pPr>
    </w:p>
    <w:p>
      <w:pPr>
        <w:ind w:left="660" w:right="420" w:hanging="328"/>
        <w:spacing w:after="0" w:line="25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$23.5 million and a net income of $16.8 million, respectively, plus the non-cash items, primarily driven by depreciation and amortization and stock based compensation, along with the changes in working capital below, contributed to cash used in operations of $15.8 million and $20.6 million, respectively, for these periods.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November 30, 2024, working capital was unfavorably impacted by decreased accounts payable, accrued liabilities and other liabilities of $7.5 million, along with increased inventory and prepaid expenses of $5.3 million and $0.1 million, respectively. This was partially offset by decreased accounts receivable of $0.1 million.</w:t>
      </w:r>
    </w:p>
    <w:p>
      <w:pPr>
        <w:spacing w:after="0" w:line="1" w:lineRule="exact"/>
        <w:rPr>
          <w:rFonts w:ascii="Times New Roman" w:cs="Times New Roman" w:eastAsia="Times New Roman" w:hAnsi="Times New Roman"/>
          <w:sz w:val="18"/>
          <w:szCs w:val="18"/>
          <w:color w:val="auto"/>
        </w:rPr>
      </w:pPr>
    </w:p>
    <w:p>
      <w:pPr>
        <w:ind w:left="660" w:right="160" w:hanging="328"/>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November 30, 2023, working capital was unfavorably impacted by accounts payable, accrued liabilities and other liabilities of $1.0 million, along with increased inventory and prepaid expenses of $8.8 million and $5.0 million, respectively. This was partially offset by decreased accounts receivable of $0.7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provided by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November 30, 2024 and 2023:</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and $1.3 million, respectively, of cash was used for fixed asset additions;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and $2.0 million, respectively, of cash was used for Auryon placement and evaluation unit additions;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of cash was received for the divestiture of the dialysis and BioSentry businesses in the first quarter of fiscal year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November 30, 2024 and 2023:</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cash was used for the repurchase of commons shares in the first quarter of fiscal year 2025;</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repayment of the Credit Agreement in connection with the completion of the dialysis and BioSentry divestiture in the first quarter of fiscal year 2024;</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of contingent consideration payments made in the first quarter of fiscal year 2024;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of proceeds from stock option and ESPP activity in the first quarter of fiscal year 2024.</w:t>
      </w:r>
    </w:p>
    <w:p>
      <w:pPr>
        <w:spacing w:after="0" w:line="15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June 8, 2023 and in connection with the completion of the dialysis and BioSentry divestiture, the Company repaid all amounts outstanding under its existing Credit Agreement, and as a result, the Credit Agreement was extinguished. Pursuant to the terms of the Credit Agreement, AngioDynamics had the option to repay this facility prior to the maturity date without penalty.</w:t>
      </w:r>
    </w:p>
    <w:p>
      <w:pPr>
        <w:spacing w:after="0" w:line="12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we may require external financing.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17 to our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exposed to market risk from changes in currency exchange rates and investments that could impact our results of operations and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There have been no material changes to our market risks as disclosed in our Annual Report on Form 10-K, for the fiscal year ended May 31, 2024.</w:t>
      </w:r>
    </w:p>
    <w:p>
      <w:pPr>
        <w:spacing w:after="0" w:line="153"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For the six months ended November 30, 2024, approximately 3.4%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and trade accounts receivable.</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November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40" w:firstLine="389"/>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set forth in the notes to our consolidated financial statements included in Part I, Item I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2024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w:t>
      </w:r>
    </w:p>
    <w:p>
      <w:pPr>
        <w:spacing w:after="0" w:line="166" w:lineRule="exact"/>
        <w:rPr>
          <w:sz w:val="20"/>
          <w:szCs w:val="20"/>
          <w:color w:val="auto"/>
        </w:rPr>
      </w:pPr>
    </w:p>
    <w:p>
      <w:pPr>
        <w:ind w:right="40" w:firstLine="405"/>
        <w:spacing w:after="0"/>
        <w:rPr>
          <w:sz w:val="20"/>
          <w:szCs w:val="20"/>
          <w:color w:val="auto"/>
        </w:rPr>
      </w:pPr>
      <w:r>
        <w:rPr>
          <w:rFonts w:ascii="Times New Roman" w:cs="Times New Roman" w:eastAsia="Times New Roman" w:hAnsi="Times New Roman"/>
          <w:sz w:val="18"/>
          <w:szCs w:val="18"/>
          <w:color w:val="auto"/>
        </w:rPr>
        <w:t>On June 8, 2023, the Company completed the sale of the dialysis and BioSentry businesses to Merit Medical Systems, Inc. In connection with the completion of the sale, the Company repaid all amounts outstanding under its then existing Credit Agreement, and as a result, the Credit Agreement was extinguished. We believe that our current cash balance, together with cash generated from operations will provide sufficient liquidity to meet our anticipated needs for capital for at least the next 12 months. If we seek to make acquisitions of other businesses or technologies in the future for cash or if circumstances materially change, we may require additional financing for liquidity, capital requirements or growth initiatives. We may not be able to obtain financing on terms and at interest rates that are favorable to us or at all. Any inability by us to obtain financing in the future could have a material adverse effect on our business, financial position, results of operations and cash flows</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60" w:type="dxa"/>
            <w:vAlign w:val="bottom"/>
          </w:tcPr>
          <w:p>
            <w:pPr>
              <w:spacing w:after="0"/>
              <w:rPr>
                <w:sz w:val="11"/>
                <w:szCs w:val="11"/>
                <w:color w:val="auto"/>
              </w:rPr>
            </w:pPr>
          </w:p>
        </w:tc>
        <w:tc>
          <w:tcPr>
            <w:tcW w:w="1160" w:type="dxa"/>
            <w:vAlign w:val="bottom"/>
          </w:tcPr>
          <w:p>
            <w:pPr>
              <w:jc w:val="center"/>
              <w:ind w:right="82"/>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1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39"/>
        </w:trPr>
        <w:tc>
          <w:tcPr>
            <w:tcW w:w="64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160" w:type="dxa"/>
            <w:vAlign w:val="bottom"/>
          </w:tcPr>
          <w:p>
            <w:pPr>
              <w:jc w:val="center"/>
              <w:ind w:right="82"/>
              <w:spacing w:after="0" w:line="139"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Price Paid</w:t>
            </w:r>
          </w:p>
        </w:tc>
        <w:tc>
          <w:tcPr>
            <w:tcW w:w="11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 Share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Programs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or Programs (2)</w:t>
            </w:r>
          </w:p>
        </w:tc>
        <w:tc>
          <w:tcPr>
            <w:tcW w:w="0" w:type="dxa"/>
            <w:vAlign w:val="bottom"/>
          </w:tcPr>
          <w:p>
            <w:pPr>
              <w:spacing w:after="0"/>
              <w:rPr>
                <w:sz w:val="1"/>
                <w:szCs w:val="1"/>
                <w:color w:val="auto"/>
              </w:rPr>
            </w:pPr>
          </w:p>
        </w:tc>
      </w:tr>
      <w:tr>
        <w:trPr>
          <w:trHeight w:val="22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13,331,054</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171,706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13,331,054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80" w:hanging="329"/>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purchased from employees to satisfy tax withholding requirements on the vesting of restricted shares/units from equity-based awards.</w:t>
      </w:r>
    </w:p>
    <w:p>
      <w:pPr>
        <w:spacing w:after="0" w:line="26" w:lineRule="exact"/>
        <w:rPr>
          <w:rFonts w:ascii="Times New Roman" w:cs="Times New Roman" w:eastAsia="Times New Roman" w:hAnsi="Times New Roman"/>
          <w:sz w:val="16"/>
          <w:szCs w:val="16"/>
          <w:color w:val="auto"/>
        </w:rPr>
      </w:pPr>
    </w:p>
    <w:p>
      <w:pPr>
        <w:ind w:left="580" w:right="160" w:hanging="329"/>
        <w:spacing w:after="0" w:line="258"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Repurchase Program that was approved by the Board of Directors and announced on July 16, 2024 permits the Company to repurchase up to $15.0 million of its outstanding common stock. The timing and amount of any share repurchases under the authorization will be determined by management within certain parameters and based on market conditions and other considerations.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Arrangements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During the quarter ended November 30, 2024,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1060" w:type="dxa"/>
            <w:vAlign w:val="bottom"/>
          </w:tcPr>
          <w:p>
            <w:pPr>
              <w:spacing w:after="0"/>
              <w:rPr>
                <w:sz w:val="22"/>
                <w:szCs w:val="22"/>
                <w:color w:val="auto"/>
              </w:rPr>
            </w:pPr>
          </w:p>
        </w:tc>
        <w:tc>
          <w:tcPr>
            <w:tcW w:w="4600" w:type="dxa"/>
            <w:vAlign w:val="bottom"/>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580" w:type="dxa"/>
            <w:vAlign w:val="bottom"/>
            <w:tcBorders>
              <w:bottom w:val="single" w:sz="8" w:color="auto"/>
            </w:tcBorders>
          </w:tcPr>
          <w:p>
            <w:pPr>
              <w:spacing w:after="0"/>
              <w:rPr>
                <w:sz w:val="22"/>
                <w:szCs w:val="22"/>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4600" w:type="dxa"/>
            <w:vAlign w:val="bottom"/>
            <w:tcBorders>
              <w:bottom w:val="single" w:sz="8" w:color="auto"/>
            </w:tcBorders>
            <w:gridSpan w:val="7"/>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Form</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Exhibit</w:t>
            </w:r>
          </w:p>
        </w:tc>
        <w:tc>
          <w:tcPr>
            <w:tcW w:w="1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Filing Date</w:t>
            </w:r>
          </w:p>
        </w:tc>
      </w:tr>
      <w:tr>
        <w:trPr>
          <w:trHeight w:val="43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8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80" w:type="dxa"/>
            <w:vAlign w:val="bottom"/>
            <w:gridSpan w:val="4"/>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4"/>
        </w:trPr>
        <w:tc>
          <w:tcPr>
            <w:tcW w:w="1060" w:type="dxa"/>
            <w:vAlign w:val="bottom"/>
          </w:tcPr>
          <w:p>
            <w:pPr>
              <w:spacing w:after="0"/>
              <w:rPr>
                <w:sz w:val="16"/>
                <w:szCs w:val="16"/>
                <w:color w:val="auto"/>
              </w:rPr>
            </w:pPr>
          </w:p>
        </w:tc>
        <w:tc>
          <w:tcPr>
            <w:tcW w:w="46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8, 2025</w:t>
            </w:r>
          </w:p>
        </w:tc>
        <w:tc>
          <w:tcPr>
            <w:tcW w:w="79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James C. Clemmer,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8, 2025</w:t>
            </w:r>
          </w:p>
        </w:tc>
        <w:tc>
          <w:tcPr>
            <w:tcW w:w="7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Stephen A. Trowbridge, Executive Vice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118" w:right="4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40" w:right="220" w:hanging="494"/>
        <w:spacing w:after="0" w:line="229"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40" w:right="200" w:hanging="494"/>
        <w:spacing w:after="0" w:line="23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40" w:right="220" w:hanging="494"/>
        <w:spacing w:after="0" w:line="23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9"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180" w:hanging="494"/>
        <w:spacing w:after="0" w:line="229"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40" w:right="960" w:hanging="494"/>
        <w:spacing w:after="0" w:line="234"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40" w:right="80" w:hanging="494"/>
        <w:spacing w:after="0" w:line="23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34"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40" w:right="380" w:hanging="494"/>
        <w:spacing w:after="0" w:line="237"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40" w:right="360" w:hanging="494"/>
        <w:spacing w:after="0" w:line="237"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8, 2025</w:t>
      </w:r>
    </w:p>
    <w:p>
      <w:pPr>
        <w:spacing w:after="0" w:line="252" w:lineRule="exact"/>
        <w:rPr>
          <w:sz w:val="20"/>
          <w:szCs w:val="20"/>
          <w:color w:val="auto"/>
        </w:rPr>
      </w:pPr>
    </w:p>
    <w:p>
      <w:pPr>
        <w:ind w:right="9080" w:firstLine="8"/>
        <w:spacing w:after="0" w:line="289" w:lineRule="auto"/>
        <w:tabs>
          <w:tab w:leader="none" w:pos="95" w:val="left"/>
        </w:tabs>
        <w:numPr>
          <w:ilvl w:val="0"/>
          <w:numId w:val="3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 xml:space="preserve">S / JAMES C. CLEMMER </w:t>
      </w:r>
      <w:r>
        <w:rPr>
          <w:rFonts w:ascii="Times New Roman" w:cs="Times New Roman" w:eastAsia="Times New Roman" w:hAnsi="Times New Roman"/>
          <w:sz w:val="17"/>
          <w:szCs w:val="17"/>
          <w:color w:val="auto"/>
        </w:rPr>
        <w:t>James C. Clemmer, President, Chief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20" w:right="240" w:hanging="494"/>
        <w:spacing w:after="0" w:line="229"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220" w:hanging="494"/>
        <w:spacing w:after="0" w:line="234"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20" w:right="240" w:hanging="494"/>
        <w:spacing w:after="0" w:line="23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20" w:right="440" w:hanging="494"/>
        <w:spacing w:after="0" w:line="229"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20" w:right="200" w:hanging="494"/>
        <w:spacing w:after="0" w:line="229"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20" w:right="980" w:hanging="494"/>
        <w:spacing w:after="0" w:line="234"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20" w:right="100" w:hanging="494"/>
        <w:spacing w:after="0" w:line="23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20" w:right="160" w:hanging="494"/>
        <w:spacing w:after="0" w:line="234"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20" w:right="400" w:hanging="494"/>
        <w:spacing w:after="0" w:line="237"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20" w:right="380" w:hanging="494"/>
        <w:spacing w:after="0" w:line="237"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8,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ind w:left="340" w:right="256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780" w:hanging="494"/>
        <w:spacing w:after="0" w:line="237"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November 30, 2024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8, 2025</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James C. Clemmer, President,</w:t>
      </w:r>
    </w:p>
    <w:p>
      <w:pPr>
        <w:ind w:left="1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ind w:left="340" w:right="25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780" w:hanging="494"/>
        <w:spacing w:after="0" w:line="237"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November 30, 2024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8, 2025</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ind w:left="1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7"/>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decimal"/>
      <w:start w:val="5"/>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2025-01-08T13:16:26Z</dcterms:created>
  <dcterms:modified xsi:type="dcterms:W3CDTF">2025-01-08T13:16:26Z</dcterms:modified>
</cp:coreProperties>
</file>