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January 2, 2026</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41,217,386</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2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(23,536)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2024</w:t>
            </w:r>
          </w:p>
        </w:tc>
      </w:tr>
      <w:tr>
        <w:trPr>
          <w:trHeight w:val="23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(6,350)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w:t>
            </w: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184"/>
        </w:trPr>
        <w:tc>
          <w:tcPr>
            <w:tcW w:w="53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$1,807 and $2,215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42,188,059 and 41,607,877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41,574,212 and 40,994,030 shares outstanding at November 30, 2025 and May 31,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621,186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613,847 shares, at cost at November 30, 2025 and May 31, 2025,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Nov 30, 2024</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Fixed and intangible asset disposals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arrangement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6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19"/>
                <w:szCs w:val="19"/>
                <w:color w:val="auto"/>
              </w:rPr>
            </w:pPr>
          </w:p>
        </w:tc>
      </w:tr>
      <w:tr>
        <w:trPr>
          <w:trHeight w:val="311"/>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41,607,877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621,186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42,060,629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625,889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178,855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42,188,059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628,780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176,333</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720" w:type="dxa"/>
            <w:vAlign w:val="bottom"/>
          </w:tcPr>
          <w:p>
            <w:pPr>
              <w:spacing w:after="0"/>
              <w:rPr>
                <w:sz w:val="24"/>
                <w:szCs w:val="24"/>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41,449,556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616,253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and six months ended November 30, 2025 and 2024, the Consolidated Balance Sheet as of November 30, 2025, the Consolidated Statements of Cash Flows for the six months ended November 30, 2025 and 2024, and the Consolidated Statements of Stockholders’ Equity for the six months ended November 30, 2025 and 2024 have been prepared by the Company and are unaudited. The Consolidated Balance Sheet as of May 31, 2025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2025 (and for all periods presented) have been made.</w:t>
      </w:r>
    </w:p>
    <w:p>
      <w:pPr>
        <w:spacing w:after="0" w:line="138"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six months ended November 30, 2025 and 2024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November 30, 2025</w:t>
            </w:r>
          </w:p>
        </w:tc>
        <w:tc>
          <w:tcPr>
            <w:tcW w:w="120" w:type="dxa"/>
            <w:vAlign w:val="bottom"/>
          </w:tcPr>
          <w:p>
            <w:pPr>
              <w:spacing w:after="0"/>
              <w:rPr>
                <w:sz w:val="16"/>
                <w:szCs w:val="16"/>
                <w:color w:val="auto"/>
              </w:rPr>
            </w:pPr>
          </w:p>
        </w:tc>
        <w:tc>
          <w:tcPr>
            <w:tcW w:w="3360" w:type="dxa"/>
            <w:vAlign w:val="bottom"/>
            <w:gridSpan w:val="9"/>
          </w:tcPr>
          <w:p>
            <w:pPr>
              <w:jc w:val="center"/>
              <w:ind w:right="35"/>
              <w:spacing w:after="0"/>
              <w:rPr>
                <w:sz w:val="20"/>
                <w:szCs w:val="20"/>
                <w:color w:val="auto"/>
              </w:rPr>
            </w:pPr>
            <w:r>
              <w:rPr>
                <w:rFonts w:ascii="Times New Roman" w:cs="Times New Roman" w:eastAsia="Times New Roman" w:hAnsi="Times New Roman"/>
                <w:sz w:val="14"/>
                <w:szCs w:val="14"/>
                <w:color w:val="auto"/>
              </w:rPr>
              <w:t>Three Months Ended November 30, 2024</w:t>
            </w:r>
          </w:p>
        </w:tc>
        <w:tc>
          <w:tcPr>
            <w:tcW w:w="0" w:type="dxa"/>
            <w:vAlign w:val="bottom"/>
          </w:tcPr>
          <w:p>
            <w:pPr>
              <w:spacing w:after="0"/>
              <w:rPr>
                <w:sz w:val="1"/>
                <w:szCs w:val="1"/>
                <w:color w:val="auto"/>
              </w:rPr>
            </w:pPr>
          </w:p>
        </w:tc>
      </w:tr>
      <w:tr>
        <w:trPr>
          <w:trHeight w:val="23"/>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23"/>
        </w:trPr>
        <w:tc>
          <w:tcPr>
            <w:tcW w:w="4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rPr>
              <w:t>Six Months Ended November 30, 2025</w:t>
            </w:r>
          </w:p>
        </w:tc>
        <w:tc>
          <w:tcPr>
            <w:tcW w:w="120" w:type="dxa"/>
            <w:vAlign w:val="bottom"/>
          </w:tcPr>
          <w:p>
            <w:pPr>
              <w:spacing w:after="0"/>
              <w:rPr>
                <w:sz w:val="24"/>
                <w:szCs w:val="24"/>
                <w:color w:val="auto"/>
              </w:rPr>
            </w:pPr>
          </w:p>
        </w:tc>
        <w:tc>
          <w:tcPr>
            <w:tcW w:w="3360" w:type="dxa"/>
            <w:vAlign w:val="bottom"/>
            <w:gridSpan w:val="9"/>
          </w:tcPr>
          <w:p>
            <w:pPr>
              <w:jc w:val="center"/>
              <w:ind w:right="55"/>
              <w:spacing w:after="0"/>
              <w:rPr>
                <w:sz w:val="20"/>
                <w:szCs w:val="20"/>
                <w:color w:val="auto"/>
              </w:rPr>
            </w:pPr>
            <w:r>
              <w:rPr>
                <w:rFonts w:ascii="Times New Roman" w:cs="Times New Roman" w:eastAsia="Times New Roman" w:hAnsi="Times New Roman"/>
                <w:sz w:val="14"/>
                <w:szCs w:val="14"/>
                <w:color w:val="auto"/>
              </w:rPr>
              <w:t>Six Months Ended November 30, 2024</w:t>
            </w:r>
          </w:p>
        </w:tc>
        <w:tc>
          <w:tcPr>
            <w:tcW w:w="0" w:type="dxa"/>
            <w:vAlign w:val="bottom"/>
          </w:tcPr>
          <w:p>
            <w:pPr>
              <w:spacing w:after="0"/>
              <w:rPr>
                <w:sz w:val="1"/>
                <w:szCs w:val="1"/>
                <w:color w:val="auto"/>
              </w:rPr>
            </w:pPr>
          </w:p>
        </w:tc>
      </w:tr>
      <w:tr>
        <w:trPr>
          <w:trHeight w:val="23"/>
        </w:trPr>
        <w:tc>
          <w:tcPr>
            <w:tcW w:w="4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80,813</w:t>
            </w:r>
          </w:p>
        </w:tc>
        <w:tc>
          <w:tcPr>
            <w:tcW w:w="0" w:type="dxa"/>
            <w:vAlign w:val="bottom"/>
          </w:tcPr>
          <w:p>
            <w:pPr>
              <w:spacing w:after="0"/>
              <w:rPr>
                <w:sz w:val="1"/>
                <w:szCs w:val="1"/>
                <w:color w:val="auto"/>
              </w:rPr>
            </w:pPr>
          </w:p>
        </w:tc>
      </w:tr>
      <w:tr>
        <w:trPr>
          <w:trHeight w:val="223"/>
        </w:trPr>
        <w:tc>
          <w:tcPr>
            <w:tcW w:w="4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4" w:lineRule="exact"/>
        <w:rPr>
          <w:sz w:val="20"/>
          <w:szCs w:val="20"/>
          <w:color w:val="auto"/>
        </w:rPr>
      </w:pPr>
    </w:p>
    <w:p>
      <w:pPr>
        <w:ind w:right="100" w:firstLine="405"/>
        <w:spacing w:after="0" w:line="242"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three months ended November 30, 2025 and 2024,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"Accrued liabilities"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3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2025, the Company had additions to contract liabilities of $0.4 million. This was offset by $0.1 million in revenue that was recognized during the six months ended November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62,006</w:t>
            </w: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November 30, 2025 and May 31, 2025 was $5.0 million and $4.4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Nov 30, 2025</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2025</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November 30, 2025 and 2024 was $2.6 million and $2.6 million, respectively. Amortization expense for the six months ended November 30, 2025 and 2024 was $5.3 million and $5.1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service agreement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tariffs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7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spacing w:after="0" w:line="122"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at the closing date was set at $2,000,000. The proceeds of the Revolving Facility may be used for working capital and for general corporate needs of AngioDynamics and its subsidiaries.</w:t>
      </w:r>
    </w:p>
    <w:p>
      <w:pPr>
        <w:spacing w:after="0" w:line="1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w:t>
      </w:r>
    </w:p>
    <w:p>
      <w:pPr>
        <w:spacing w:after="0" w:line="129" w:lineRule="exact"/>
        <w:rPr>
          <w:sz w:val="20"/>
          <w:szCs w:val="20"/>
          <w:color w:val="auto"/>
        </w:rPr>
      </w:pPr>
    </w:p>
    <w:p>
      <w:pPr>
        <w:jc w:val="both"/>
        <w:ind w:right="220" w:firstLine="389"/>
        <w:spacing w:after="0" w:line="289" w:lineRule="auto"/>
        <w:rPr>
          <w:sz w:val="20"/>
          <w:szCs w:val="20"/>
          <w:color w:val="auto"/>
        </w:rPr>
      </w:pPr>
      <w:r>
        <w:rPr>
          <w:rFonts w:ascii="Times New Roman" w:cs="Times New Roman" w:eastAsia="Times New Roman" w:hAnsi="Times New Roman"/>
          <w:sz w:val="17"/>
          <w:szCs w:val="17"/>
          <w:color w:val="auto"/>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spacing w:after="0" w:line="104" w:lineRule="exact"/>
        <w:rPr>
          <w:sz w:val="20"/>
          <w:szCs w:val="20"/>
          <w:color w:val="auto"/>
        </w:rPr>
      </w:pPr>
    </w:p>
    <w:p>
      <w:pPr>
        <w:ind w:right="200" w:firstLine="389"/>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spacing w:after="0" w:line="126" w:lineRule="exact"/>
        <w:rPr>
          <w:sz w:val="20"/>
          <w:szCs w:val="20"/>
          <w:color w:val="auto"/>
        </w:rPr>
      </w:pPr>
    </w:p>
    <w:p>
      <w:pPr>
        <w:ind w:right="10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total indebtedness, EBITDA, capital expenditures and interest expense are specifically defined in the Credit Agreement included as an exhibit to Form 8-K filed on May 28, 2025.</w:t>
      </w:r>
    </w:p>
    <w:p>
      <w:pPr>
        <w:spacing w:after="0" w:line="108" w:lineRule="exact"/>
        <w:rPr>
          <w:sz w:val="20"/>
          <w:szCs w:val="20"/>
          <w:color w:val="auto"/>
        </w:rPr>
      </w:pPr>
    </w:p>
    <w:p>
      <w:pPr>
        <w:ind w:right="240" w:firstLine="389"/>
        <w:spacing w:after="0" w:line="282" w:lineRule="auto"/>
        <w:rPr>
          <w:sz w:val="20"/>
          <w:szCs w:val="20"/>
          <w:color w:val="auto"/>
        </w:rPr>
      </w:pPr>
      <w:r>
        <w:rPr>
          <w:rFonts w:ascii="Times New Roman" w:cs="Times New Roman" w:eastAsia="Times New Roman" w:hAnsi="Times New Roman"/>
          <w:sz w:val="18"/>
          <w:szCs w:val="18"/>
          <w:color w:val="auto"/>
        </w:rPr>
        <w:t>As of November 30, 2025 there were no amounts outstanding on the Revolving Facility. As of November 30, 2025, the carrying value of long-term debt approximated its fair market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(0.3)% as of the second quarter of fiscal year 2026, as compared to 1.7% for the same period in fiscal year 2025.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Research and Development ("R&amp;D") credit carryforwards and other net deferred tax assets as of November 30, 2025.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5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 for the quarter ended November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12, 2024 the Company's shareholders approved an amendment to the 2020 Plan to increase the reserve of shares of common stock available for future grants by 3.2 million shares. As of November 30, 2025, there was a maximum of 2.6 million shares of common stock available for future grant under the 2020 Plan.</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November 30, 2025, there was a maximum of 2.5 million shares of common stock available for future grant under the employee stock purchase plan.</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2025 and 2024, share-based compensation expense was $2.9 million and $2.5 million, respectively. For the six months ended November 30, 2025 and 2024, share-based compensation expense was $7.4 million and $5.7 million, respectively.</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November 30, 2025 and 2024, the Company granted restricted stock units under the 2020 Plan to certain employees and members of the Board of Directors.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 In the event that the Company grants stock option awards, they are valued using the Black-Scholes option-pricing model and then amortized on a straight-line basis over the requisite service period of the award.</w:t>
      </w:r>
    </w:p>
    <w:p>
      <w:pPr>
        <w:spacing w:after="0" w:line="13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2025 and 2024,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November 30, 2025, there was $24.3 million of unrecognized compensation expense related to share-based payment arrangements. These costs are expected to be recognized over a weighted-average period of approximately two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six months ended November 30, 2025. During fiscal year 2025, the Company repurchased 243,847 shares of common stock in the open market at an aggregate cost of $1.7 million under the Repurchase Program. As of November 30, 2025, $13.3 million remained available for repurchase under the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304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2025</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Nov 30, 2024</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2025</w:t>
            </w:r>
          </w:p>
        </w:tc>
        <w:tc>
          <w:tcPr>
            <w:tcW w:w="1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10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w:t>
      </w:r>
    </w:p>
    <w:p>
      <w:pPr>
        <w:spacing w:after="0" w:line="133" w:lineRule="exact"/>
        <w:rPr>
          <w:sz w:val="20"/>
          <w:szCs w:val="20"/>
          <w:color w:val="auto"/>
        </w:rPr>
      </w:pPr>
    </w:p>
    <w:p>
      <w:pPr>
        <w:ind w:right="320" w:firstLine="389"/>
        <w:spacing w:after="0" w:line="282" w:lineRule="auto"/>
        <w:rPr>
          <w:sz w:val="20"/>
          <w:szCs w:val="20"/>
          <w:color w:val="auto"/>
        </w:rPr>
      </w:pPr>
      <w:r>
        <w:rPr>
          <w:rFonts w:ascii="Times New Roman" w:cs="Times New Roman" w:eastAsia="Times New Roman" w:hAnsi="Times New Roman"/>
          <w:sz w:val="18"/>
          <w:szCs w:val="18"/>
          <w:color w:val="auto"/>
        </w:rPr>
        <w:t>The Med Tech segment is comprised of our technology portfolio including Auryon, the thrombus management platform and NanoKnife. The Med Device segment is comprised of our Core, Venous, Ports and other Oncology products.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cost of sales and gross margin by Med Tech and Med Device: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90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2025</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Nov 30,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35,653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70,914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59,523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Tech Cost of Sales (exclusive of intangible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21,713</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80,813</w:t>
            </w:r>
          </w:p>
        </w:tc>
        <w:tc>
          <w:tcPr>
            <w:tcW w:w="0" w:type="dxa"/>
            <w:vAlign w:val="bottom"/>
          </w:tcPr>
          <w:p>
            <w:pPr>
              <w:spacing w:after="0"/>
              <w:rPr>
                <w:sz w:val="1"/>
                <w:szCs w:val="1"/>
                <w:color w:val="auto"/>
              </w:rPr>
            </w:pPr>
          </w:p>
        </w:tc>
      </w:tr>
      <w:tr>
        <w:trPr>
          <w:trHeight w:val="175"/>
        </w:trPr>
        <w:tc>
          <w:tcPr>
            <w:tcW w:w="4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Med Device Cost of Sales (exclusive of intangible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41,993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38,820</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72,845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140,336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Sales (exclusive of intangible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63,706</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76,630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100,822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8"/>
        <w:spacing w:after="0" w:line="26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include Research and development, Sales and marketing, General and administrative, Amortization of intangibles, Change in fair value of contingent consideration and Acquisition, restructuring and other items, net.</w:t>
      </w: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includes interest income, interest expense, foreign currency impacts and bank fees.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67,594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79,433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445"/>
        <w:spacing w:after="0" w:line="242" w:lineRule="auto"/>
        <w:rPr>
          <w:sz w:val="20"/>
          <w:szCs w:val="20"/>
          <w:color w:val="auto"/>
        </w:rPr>
      </w:pPr>
      <w:r>
        <w:rPr>
          <w:rFonts w:ascii="Times New Roman" w:cs="Times New Roman" w:eastAsia="Times New Roman" w:hAnsi="Times New Roman"/>
          <w:sz w:val="18"/>
          <w:szCs w:val="18"/>
          <w:color w:val="auto"/>
        </w:rPr>
        <w:t>For the three months ended November 30, 2025 and 2024, international sales as a percentage of total net sales were 14.9% and 14.0%, respectively. For the six months ended November 30, 2025 and 2024, international sales as a percentage of total net sales were 13.6% and 13.0%, respectively. Sales to any one country outside the U.S., as determined by shipment destination, did not comprise a material portion of net sales in any of the last three fiscal years. In addition, no one customer represents more than 10% of consolidated net sales and 63% of long-lived assets are located within the United States and 36% are located within Israel.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and accounts payable. The carrying amount of cash and cash equivalents, accounts receivable, and accounts payable approximates fair value due to their immediate or short-term maturities. The Company does not have assets or liabilities that require recurring fair value measurement using significant unobservable inputs (Level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 The Company has financing arrangement for manufacturing and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and interest expense, using the effective interest rate method. No gain or loss was recognized related to the financing arrangement for the three and six months ended November 30, 2025.</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November 30, 2025, the carrying value of the financing arrangement was $6.0 million, of which $0.4 million was classified as "Other current liabilities" and $5.6 million was classified as "Other long-term liabilities" on the Consolidated Balance Sheets. Interest expense associated with the financing arrangement was $0.1 million and $0.2 million for the three and six months ending November 30, 2025,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Remaining future cash payments related to the financing arrangement as of November 30, 2025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Nov 30, 2025</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liability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extended the lease for the corporate headquarters in Latham, NY through June 2031 and the Company increased its footprint for its research and development facility in Marlborough, MA through September 2030.</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Nov 30, 2025</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Nov 30, 2025</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1"/>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November 30, 2025 and 2024, the Company recognized $0.6 million and $0.7 million of operating lease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which includes immaterial short-term leases. During the six months ended November 30, 2025 and 2024, the Company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and $1.3 million of operating lease expense, respectively, which includes immaterial short-term leases. The expenses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 were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6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8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Neither party admitted any liability and the Settlement Agreement contains mutual covenants not to sue and releases.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which started in fiscal year 2025, and potential additional payments if six percent (6%) of annual net sales of the Company’s port products exceed the minimum payment. The Company made payments of $2.5 million related to the minimum annual payments to BD during the quarter ended August 31, 2025. The parties participated in the appeal before the Federal Circuit of the case that was filed March 10, 2015 and on December 15, 2025, the Federal Circuit affirmed the District Court's finding of patent invalidity and entered judgement in favor of AngioDynamics. While the Company will continue to make annual payments to BD pursuant to the Settlement agreement, no additional contingent payments are due as a result of the Federal Circuit's affirmance. As of November 30, 2025, there was $2.4 million payable to BD recorded in other current liabilities and $6.7 million recorded in other long-term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As of November 30, 2025, the Company is defending approximately 268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w:t>
      </w:r>
    </w:p>
    <w:p>
      <w:pPr>
        <w:spacing w:after="0" w:line="1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expected to be completed by the end of fiscal year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42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Total estimated amount expected to be incurred</w:t>
            </w:r>
          </w:p>
        </w:tc>
        <w:tc>
          <w:tcPr>
            <w:tcW w:w="640" w:type="dxa"/>
            <w:vAlign w:val="bottom"/>
          </w:tcPr>
          <w:p>
            <w:pPr>
              <w:spacing w:after="0"/>
              <w:rPr>
                <w:sz w:val="16"/>
                <w:szCs w:val="16"/>
                <w:color w:val="auto"/>
              </w:rPr>
            </w:pPr>
          </w:p>
        </w:tc>
      </w:tr>
      <w:tr>
        <w:trPr>
          <w:trHeight w:val="23"/>
        </w:trPr>
        <w:tc>
          <w:tcPr>
            <w:tcW w:w="6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8"/>
        </w:trPr>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right="760" w:firstLine="8"/>
        <w:spacing w:after="0" w:line="28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original and modified estimate is approximately $13.6 million and $13.3 million of non-cash charges for accelerated depreciation and building impairment.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and six months ended November 30, 2025 of $2.4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million, respectively. Total restructuring charges recorded to date are $28.0 million. Termination benefits are only earned if an employee stays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termination date; therefore, the expenses related to termination benefits are being recorded ratably over the service period.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restructuring reserve: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 Nov 30, 2025</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Six Months Ended Nov 30, 2025</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140" w:firstLine="8"/>
        <w:spacing w:after="0" w:line="466" w:lineRule="auto"/>
        <w:tabs>
          <w:tab w:leader="none" w:pos="27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recently issued accounting pronouncements that have been adopted.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2026 Annual Report on Form 10-K</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is assessing the impact to the consolidated</w:t>
            </w:r>
          </w:p>
        </w:tc>
        <w:tc>
          <w:tcPr>
            <w:tcW w:w="0" w:type="dxa"/>
            <w:vAlign w:val="bottom"/>
          </w:tcPr>
          <w:p>
            <w:pPr>
              <w:spacing w:after="0"/>
              <w:rPr>
                <w:sz w:val="1"/>
                <w:szCs w:val="1"/>
                <w:color w:val="auto"/>
              </w:rPr>
            </w:pPr>
          </w:p>
        </w:tc>
      </w:tr>
      <w:tr>
        <w:trPr>
          <w:trHeight w:val="198"/>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2027</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business entity's costs and expenses by requiring</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the Company to disclose more detailed information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Disaggregation of Income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2025-05, </w:t>
            </w:r>
            <w:r>
              <w:rPr>
                <w:rFonts w:ascii="Times New Roman" w:cs="Times New Roman" w:eastAsia="Times New Roman" w:hAnsi="Times New Roman"/>
                <w:sz w:val="18"/>
                <w:szCs w:val="18"/>
                <w:i w:val="1"/>
                <w:iCs w:val="1"/>
                <w:color w:val="auto"/>
              </w:rPr>
              <w:t>Financial</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addresses challenges encountered when</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2026</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Instruments-Credit Losses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applying the guidance to current account receivable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2027 and is assessing the impact to</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(Topic 326): Measurement of</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and current contract assets arising from transactions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Credit Losses for Accounts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accounted for under Topic 606, Revenue from</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Receivable and Contract Assets</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2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2025-11, </w:t>
            </w:r>
            <w:r>
              <w:rPr>
                <w:rFonts w:ascii="Times New Roman" w:cs="Times New Roman" w:eastAsia="Times New Roman" w:hAnsi="Times New Roman"/>
                <w:sz w:val="18"/>
                <w:szCs w:val="18"/>
                <w:i w:val="1"/>
                <w:iCs w:val="1"/>
                <w:color w:val="auto"/>
              </w:rPr>
              <w:t>Interim</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guidance in Topic 270 by</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2028</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Reporting (Topic 270): Narrow-</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improving the navigability of the required interim</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2029 and is assessing the impact to</w:t>
            </w:r>
          </w:p>
        </w:tc>
        <w:tc>
          <w:tcPr>
            <w:tcW w:w="0" w:type="dxa"/>
            <w:vAlign w:val="bottom"/>
          </w:tcPr>
          <w:p>
            <w:pPr>
              <w:spacing w:after="0"/>
              <w:rPr>
                <w:sz w:val="1"/>
                <w:szCs w:val="1"/>
                <w:color w:val="auto"/>
              </w:rPr>
            </w:pPr>
          </w:p>
        </w:tc>
      </w:tr>
      <w:tr>
        <w:trPr>
          <w:trHeight w:val="211"/>
        </w:trPr>
        <w:tc>
          <w:tcPr>
            <w:tcW w:w="2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Scope Improvements</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disclosures and clarifying when that guidance is</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applicable. The amendments also provide additional</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guidance on what disclosures should be provided in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interim reporting periods and adds to Topic 270 a</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principle that requires entities to disclose events</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since the end of the last annual reporting period that</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have a material impact on the entity.</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by the Company, subsequent to the close of the Company’s fiscal second quarter, on January 2, 2026 James C. Clemmer notified the Board of Directors of the Company of his intention to retire from his position as President and Chief Executive Officer of the Company and its subsidiaries, currently contemplated to be November 30, 2026 or upon such other date as the appointment of a successor occurs (the “Retirement”). In connection with the Retirement, the Board of Directors has established a search committee to conduct a comprehensive search, which will be assisted by a leading executive search firm, to identify the Company’s next Chief Executive Officer and to oversee the CEO transition process.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2025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320" w:firstLine="405"/>
        <w:spacing w:after="0" w:line="281" w:lineRule="auto"/>
        <w:rPr>
          <w:sz w:val="20"/>
          <w:szCs w:val="20"/>
          <w:color w:val="auto"/>
        </w:rPr>
      </w:pPr>
      <w:r>
        <w:rPr>
          <w:rFonts w:ascii="Times New Roman" w:cs="Times New Roman" w:eastAsia="Times New Roman" w:hAnsi="Times New Roman"/>
          <w:sz w:val="17"/>
          <w:szCs w:val="17"/>
          <w:color w:val="auto"/>
        </w:rPr>
        <w:t>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6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and six months ended November 30, 2025 compared to the three and six months ended November 30, 2024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November 30, 2025:</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9.0% to $79.4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and Med Device growth of 13.0% and 6.0%, respectively</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160 bps to 56.4%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margin increased 160 bps to 65.3% and Med Device gross margin increased 120 bps to 49.1%</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$4.4 million to a loss of $6.4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$0.11 to $0.15</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Six months ended November 30, 2025:</w:t>
      </w:r>
    </w:p>
    <w:p>
      <w:pPr>
        <w:spacing w:after="0" w:line="17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10.6% to $155.1 million</w:t>
      </w:r>
    </w:p>
    <w:p>
      <w:pPr>
        <w:spacing w:after="0" w:line="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and Med Device growth of 19.1% and 4.2%, respectively</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120 bps to 55.8%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margin increased 20 bps to 63.7% and Med Device gross margin increased 120 bps to 49.2%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$6.3 million to a loss of $17.3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$0.16 to $0.42</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Med Tech revenue, comprised of Auryon, the thrombus management platform and NanoKnife, grew 13.0% in the second quarter of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driven by Auryon, NanoKnife and the thrombus management products. Our Med Device revenue grew by 6.0% in the second quarter of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driven by growth in the Core, Ports and Venous product lines which was partially offset by softness in the Oncology product lines.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2025, the Company reported net loss of $6.4 million, or diluted loss per share of $0.15, on net sales of $79.4 million, compared with a net loss of $10.7 million, or diluted loss per share of $0.26, on net sales of $72.8 million during the same quarter of the prior year. For the six months ended November 30, 2025, the Company reported net loss of $17.3 million, or diluted loss per share of $0.42, on net sales of $155.1 million, compared with a net loss of $23.5 million, or diluted loss per share of $0.58, on net sales of $140.3 million during the same quarter of the prior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Nov 30, 2024</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Nov 30, 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59,523</w:t>
            </w:r>
          </w:p>
        </w:tc>
        <w:tc>
          <w:tcPr>
            <w:tcW w:w="4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2025</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Nov 30, 2024</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Nov 30, 2025</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Nov 30, 2024</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67,594</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134,050</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4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International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2025, net sales increased $6.6 million to $79.4 million compared to the same period in the prior year. For the six months ended November 30, 2025, net sales increased $14.8 million to $155.1 million compared to the same period in the prior year. At November 30, 2025, the Company had a backlog of $0.4 million.</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$4.1 million and $11.4 million for the three and six months ended November 30, 2025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$2.6 million and $5.3 million, respectively;</w:t>
      </w:r>
    </w:p>
    <w:p>
      <w:pPr>
        <w:spacing w:after="0" w:line="27" w:lineRule="exact"/>
        <w:rPr>
          <w:rFonts w:ascii="Times New Roman" w:cs="Times New Roman" w:eastAsia="Times New Roman" w:hAnsi="Times New Roman"/>
          <w:sz w:val="18"/>
          <w:szCs w:val="18"/>
          <w:b w:val="1"/>
          <w:bCs w:val="1"/>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of the thrombus management platform of $0.2 million and $3.4 million, respectively. For the three months ended November 30, 2025, this was driven by an increase in AlphaVac sales of $1.0 million and was partially offset by a decrease in AngioVac sales of $0.6 million and thrombolytic sales of $0.2 million. For the six months ended November 30, 2025, this was driven by an increase in AngioVac and AlphaVac sales of $3.7 million and was partially offset by a decrease in thrombolytic sales of $0.3 million; and</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NanoKnife sales of $1.3 million and $2.7 million, respectively, which was driven by increased disposable and capital sales.</w:t>
      </w:r>
    </w:p>
    <w:p>
      <w:pPr>
        <w:spacing w:after="0" w:line="153"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Med Device segment net sales increased $2.5 million and $3.4 million for the three and six months ended November 30, 2025 compared to the same period in the prior year, respectively. The backlog, which primarily impacted sales of Core products, was $0.4 million. The change for both periods was primarily driven by:</w:t>
      </w:r>
    </w:p>
    <w:p>
      <w:pPr>
        <w:spacing w:after="0" w:line="122" w:lineRule="exact"/>
        <w:rPr>
          <w:sz w:val="20"/>
          <w:szCs w:val="20"/>
          <w:color w:val="auto"/>
        </w:rPr>
      </w:pPr>
    </w:p>
    <w:p>
      <w:pPr>
        <w:ind w:left="660" w:right="5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Venous and Port products of $1.0 million, $0.9 million and $0.6 million, respectively, which was partially offset by decreased sales of Oncology products of $0.1 million for the three months ended November 30, 2025.</w:t>
      </w:r>
    </w:p>
    <w:p>
      <w:pPr>
        <w:ind w:left="660" w:right="14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and Venous products of $1.9 million and $1.5 million, respectively, which was partially offset by decreased sales of Ports and Microwave products of $0.1 million and $0.2 million, respectively, for the six months ended November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Nov 30, 2024</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20,113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45,207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19,793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41,433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39,906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Company gross margin increased by $4.9 million and $10.0 million for the three and six months ended November 30, 2025 compared to the same period in the prior year, respectively. The change for both periods was primarily driven by:</w:t>
      </w:r>
    </w:p>
    <w:p>
      <w:pPr>
        <w:spacing w:after="0" w:line="108" w:lineRule="exact"/>
        <w:rPr>
          <w:sz w:val="20"/>
          <w:szCs w:val="20"/>
          <w:color w:val="auto"/>
        </w:rPr>
      </w:pPr>
    </w:p>
    <w:p>
      <w:pPr>
        <w:ind w:left="660" w:right="40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margin by $5.4 million and $12.0 million, respectively, which includes sales to a new distributor which positively impacted gross margin by $1.5 million for both periods;</w:t>
      </w:r>
    </w:p>
    <w:p>
      <w:pPr>
        <w:ind w:left="660" w:right="10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along with other incentives, which positively impacted gross margin by $1.4 million and $2.8 million, respectively;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$1.3 million and $3.0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negatively impacted gross margin by $0.5 million and $0.9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$0.2 million and $0.8 million, respectively.</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Med Tech segment gross margin increased by $3.2 million and $7.4 million for the three and six months ended November 30, 2025 compared to the same period in the prior year, respectively. The change for both periods was primarily driven by:</w:t>
      </w:r>
    </w:p>
    <w:p>
      <w:pPr>
        <w:spacing w:after="0" w:line="108" w:lineRule="exact"/>
        <w:rPr>
          <w:sz w:val="20"/>
          <w:szCs w:val="20"/>
          <w:color w:val="auto"/>
        </w:rPr>
      </w:pPr>
    </w:p>
    <w:p>
      <w:pPr>
        <w:ind w:left="660" w:right="40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which positively impacted gross margin by $3.6 million and $9.7 million, respectively, which includes sales to a new distributor which positively impacted gross margin by $1.0 million for both periods;</w:t>
      </w:r>
    </w:p>
    <w:p>
      <w:pPr>
        <w:ind w:left="660" w:right="1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along with other incentives, which positively impacted gross margin by $0.4 million and $0.2 million, respectively;</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positively impacted gross margin by $0.4 million for the six months ended November 30,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$0.4 million for the six months ended November 30,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 which negatively impacted gross margin by $0.3 million and $1.3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$0.6 million and $1.3 million, respectively.</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Med Device segment gross margin increased by $1.7 million and $2.6 million for the three and six months ended November 30, 2025 compared to the same period in the prior year, respectively. The change for both periods was primarily driven by:</w:t>
      </w:r>
    </w:p>
    <w:p>
      <w:pPr>
        <w:spacing w:after="0" w:line="176" w:lineRule="exact"/>
        <w:rPr>
          <w:sz w:val="20"/>
          <w:szCs w:val="20"/>
          <w:color w:val="auto"/>
        </w:rPr>
      </w:pPr>
    </w:p>
    <w:p>
      <w:pPr>
        <w:ind w:left="660" w:right="8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margin by $2.2 million and $3.6 million, respectively, which includes sales to a new distributor which positively impacted gross margin by $0.5 million for both periods;</w:t>
      </w:r>
    </w:p>
    <w:p>
      <w:pPr>
        <w:ind w:left="660" w:right="260" w:hanging="328"/>
        <w:spacing w:after="0" w:line="24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which positively impacted gross margin by $1.0 million and $2.6 million, respectively;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$1.4 million and $2.6 million, respectively;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margin by $0.3 million for the six months ended November 30, 2025;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negatively impacted gross margin by $0.4 million and $1.1 million, respectively;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incremental depreciation on placement units of $0.4 million and $0.5 million,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Nov 30, 2024</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12,719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10,391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R&amp;D expense increased $1.3 million and $1.5 million for the three and six months ended November 30, 2025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ongoing clinical trials, which increased by $1.4 million for both periods;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$0.1 million for the six months ended November 30, 2025.</w:t>
      </w:r>
    </w:p>
    <w:p>
      <w:pPr>
        <w:spacing w:after="0" w:line="23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S&amp;M expense increased $1.1 million and $3.6 million for the three and six months ending November 30, 2025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by $0.3 million and $2.1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selling expenses, which increased $0.4 million and $1.0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subscriptions and other marketing expenses, which increased $0.4 million and $0.5 million, respectively.</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G&amp;A expense decreased $0.2 million and increased $1.3 million for the three and six months ended November 30, 2025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$0.9 million and $3.2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decreased $1.0 million and $1.4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corporate expenses, which decreased $0.2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9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00" w:type="dxa"/>
            <w:vAlign w:val="bottom"/>
            <w:gridSpan w:val="2"/>
            <w:vMerge w:val="continue"/>
          </w:tcPr>
          <w:p>
            <w:pPr>
              <w:spacing w:after="0"/>
              <w:rPr>
                <w:sz w:val="15"/>
                <w:szCs w:val="15"/>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2025</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Nov 30, 2024</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 30, 2024</w:t>
            </w:r>
          </w:p>
        </w:tc>
        <w:tc>
          <w:tcPr>
            <w:tcW w:w="1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7"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Acquisition, restructuring and other items,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2,643</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40" w:type="dxa"/>
            <w:vAlign w:val="bottom"/>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4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3,635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r>
      <w:tr>
        <w:trPr>
          <w:trHeight w:val="324"/>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-410845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80" w:space="40"/>
            <w:col w:w="200" w:space="720"/>
            <w:col w:w="8100"/>
          </w:cols>
          <w:pgMar w:left="320" w:top="114"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remained consistent for the three and six months ended November 30, 2025 compared to the same period in the prior year.</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jc w:val="both"/>
        <w:ind w:left="660" w:right="3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six months ended November 30, 2025 is related to the Eximo contingent consideration. The final milestone associated with the contingent consideration was reached during the third quarter of fiscal year 2025 and was paid during the fourth quarter of fiscal year 2025.</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$2.2 million and $3.8 million for the three and six months ended November 30, 2025, compared to the same period in the prior year.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$1.4 million and $1.3 million, respectively;</w:t>
      </w:r>
    </w:p>
    <w:p>
      <w:pPr>
        <w:spacing w:after="0" w:line="2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decreased $2.7 million and $4.0 million, respectively;</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 expense, which decreased $0.7 million for both periods;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divestiture of the PICCs, Midline, dialysis and BioSentry businesses. The increase in the fees invoiced was $0.2 million for the three months ended November 30, 2025. The fees invoiced remained consistent for the six months ended November 30, 2025;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remained consistent for the three months ended November 30, 2025 and decreased $0.3 million for the six months ended November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left="660" w:right="80" w:hanging="328"/>
        <w:spacing w:after="0" w:line="261" w:lineRule="auto"/>
        <w:tabs>
          <w:tab w:leader="none" w:pos="6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other expense of $0.5 million and $1.1 million for the three and six months ended November 30, 2025, compared to the same period in the prior year, respectively, is primarily due to decreased interest income of $0.2 million and $0.6 million and increased interest expense of $0.2 million and $0.4 million, respectively. This was partially offset by unrealized foreign currency fluctuations of $0.1 million for both periods.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90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Nov 30,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2025</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3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November 30, 2025 and November 30, 2024 was 0.1% and 1.0%, respectively. Our effective tax rate including discrete items for the six months ended November 30, 2025 and November 30, 2024 was (0.3)% and (0.1)%, respectively.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Our cash and cash equivalents totaled $41.6 million as of November 30, 2025, compared with $55.9 million as of May 31, 2025. As of November 30, 2025 and May 31, 2025 the Company did not have any outstanding debt.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2025</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Nov 30,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November 30, 2025 and 2024,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2025 and 2024:</w:t>
      </w:r>
    </w:p>
    <w:p>
      <w:pPr>
        <w:spacing w:after="0" w:line="171" w:lineRule="exact"/>
        <w:rPr>
          <w:sz w:val="20"/>
          <w:szCs w:val="20"/>
          <w:color w:val="auto"/>
        </w:rPr>
      </w:pPr>
    </w:p>
    <w:p>
      <w:pPr>
        <w:ind w:left="660" w:right="180" w:hanging="328"/>
        <w:spacing w:after="0" w:line="25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$17.3 million and $23.5 million, respectively, plus the non-cash items, primarily driven by depreciation and amortization and stock based compensation, along with the changes in working capital below, contributed to cash used in operations of $11.3 million and $15.8 million, respectively, for these periods.</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2025, working capital was unfavorably impacted by decreased accounts payable, accrued liabilities and other liabilities of $7.5 million, along with increased accounts receivable, inventory and prepaid expenses of $1.4 million, $3.5 million and $2.3 million, respectively.</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2024, working capital was unfavorably impacted by decreased accounts payable, accrued liabilities and other liabilities of $7.5 million, along with increased inventory and prepaid expenses of $5.3 million and $0.1 million, respectively. This was partially offset by decreased accounts receivable of $0.1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2025 and 2024:</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and $1.9 million, respectively, of cash was used for fixed asset additions;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and $2.5 million, respectively, of cash was used for Auryon placement and evaluation unit additions.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2025 and 2024:</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principal payments on the financing arrangements during fiscal year 2026;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proceeds from stock option and ESPP activity during fiscal year 2026;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cash was used for the repurchase of commons shares in the first quarter of fiscal year 2025.</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and the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16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 position.</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six months ended November 30, 2025, approximately 4.6% of our sales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risk associated with fluctuating interest rates is primarily limited to indebtedness. As of November 30, 2025, the Company did not have any outstanding debt (see Note 6, "Long-Term Debt" set forth in the Notes in the consolidated financial statements included in this Annual Report on Form 10-K).</w:t>
      </w:r>
    </w:p>
    <w:p>
      <w:pPr>
        <w:spacing w:after="0" w:line="122"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7"/>
          <w:szCs w:val="17"/>
          <w:color w:val="auto"/>
        </w:rPr>
        <w:t>The Credit Agreement provides for a $25.0 million secured revolving credit facility. Interest on the Revolving Facility will be based, at the Company's option, on a rate equal to (i) the Secured Overnight Financing Rate ("SOFR") plus 0.1% (subject to a floor of 0%) ("Adjusted Term SOFR"), or</w:t>
      </w:r>
    </w:p>
    <w:p>
      <w:pPr>
        <w:spacing w:after="0" w:line="1" w:lineRule="exact"/>
        <w:rPr>
          <w:sz w:val="20"/>
          <w:szCs w:val="20"/>
          <w:color w:val="auto"/>
        </w:rPr>
      </w:pPr>
    </w:p>
    <w:p>
      <w:pPr>
        <w:ind w:right="20" w:firstLine="8"/>
        <w:spacing w:after="0" w:line="255"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base rate (subject to a floor of 0%) ("ABR"), and in each case with a margin for Adjusted Term SOFR loans of 2.0% and for ABR loans of 1.0%. The Revolving Facility will also carry a commitment fee of 0.2% per annum. As of November 30, 2025 there were no amounts outstanding on the Revolving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November 30,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right="160" w:hanging="329"/>
        <w:spacing w:after="0" w:line="260"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pacing w:after="0" w:line="11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November 30, 2025,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65" w:lineRule="exact"/>
        <w:rPr>
          <w:sz w:val="20"/>
          <w:szCs w:val="20"/>
          <w:color w:val="auto"/>
        </w:rPr>
      </w:pPr>
    </w:p>
    <w:p>
      <w:pPr>
        <w:ind w:left="1060" w:right="5840" w:hanging="1034"/>
        <w:spacing w:after="0" w:line="237"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6, 2026</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6, 2026</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118" w:right="4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80" w:hanging="494"/>
        <w:spacing w:after="0" w:line="229"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2026</w:t>
      </w:r>
    </w:p>
    <w:p>
      <w:pPr>
        <w:spacing w:after="0" w:line="252" w:lineRule="exact"/>
        <w:rPr>
          <w:sz w:val="20"/>
          <w:szCs w:val="20"/>
          <w:color w:val="auto"/>
        </w:rPr>
      </w:pPr>
    </w:p>
    <w:p>
      <w:pPr>
        <w:ind w:right="9080" w:firstLine="8"/>
        <w:spacing w:after="0" w:line="289" w:lineRule="auto"/>
        <w:tabs>
          <w:tab w:leader="none" w:pos="95" w:val="left"/>
        </w:tabs>
        <w:numPr>
          <w:ilvl w:val="0"/>
          <w:numId w:val="3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500" w:hanging="494"/>
        <w:spacing w:after="0" w:line="229"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2026</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2026</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6"/>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2"/>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04"/>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5"/>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2026-01-06T15:20:55Z</dcterms:created>
  <dcterms:modified xsi:type="dcterms:W3CDTF">2026-01-06T15:20:55Z</dcterms:modified>
</cp:coreProperties>
</file>