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Piccinini Laura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 PLAZA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LATHAM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12110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ANGIODYNAMICS INC</w:t>
              </w:r>
            </w:hyperlink>
            <w:r>
              <w:rPr/>
              <w:t xml:space="preserve"> [ </w:t>
            </w:r>
            <w:r>
              <w:rPr>
                <w:rFonts w:ascii="Times;serif" w:hAnsi="Times;serif"/>
                <w:color w:val="0000FF"/>
                <w:sz w:val="24"/>
                <w:shd w:fill="FFFFFF" w:val="clear"/>
              </w:rPr>
              <w:t>ANGO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International</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90"/>
        <w:gridCol w:w="456"/>
        <w:gridCol w:w="756"/>
        <w:gridCol w:w="1165"/>
        <w:gridCol w:w="999"/>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07/22/2026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8,047</w:t>
            </w:r>
            <w:r>
              <w:rPr>
                <w:rFonts w:ascii="Times;serif" w:hAnsi="Times;serif"/>
                <w:color w:val="008000"/>
                <w:position w:val="7"/>
                <w:sz w:val="16"/>
                <w:sz w:val="20"/>
                <w:shd w:fill="FFFFFF" w:val="clear"/>
              </w:rPr>
              <w:t>(1)</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86,435</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07/22/2026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4,506</w:t>
            </w:r>
            <w:r>
              <w:rPr>
                <w:rFonts w:ascii="Times;serif" w:hAnsi="Times;serif"/>
                <w:color w:val="008000"/>
                <w:position w:val="7"/>
                <w:sz w:val="16"/>
                <w:sz w:val="20"/>
                <w:shd w:fill="FFFFFF" w:val="clear"/>
              </w:rPr>
              <w:t>(2)</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13.82</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81,929</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374"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37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Right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28,336</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28,336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acquisition of 8,047 shares of Common Stock ("Common Stock") of AngioDynamics, Inc. ("AngioDynamics") represents shares acquired through the vesting and settlement of performance share units granted to the reporting person on July 19, 2023.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exempt disposition of 4,506 shares of Common Stock of AngioDynamics was made to satisfy tax withholding obligations in connection with the pre-determined vesting of shares underlying performance share units granted to the reporting person on July 19, 2023.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July 19, 2023, the reporting person received a target grant of 28,336 performance share units. Between 0% and 200% of the target number was to be earned based on achievement of pre-determined performance metrics for fiscal years 2024, 2025 and 2026 as determined by the compensation committee. In addition, 20% of the total shares earned could be awarded (or cancelled) based on total shareholder return relative to a peer group of companies over a three-year performance period in accordance with performance metrics. Based on performance over the period, 8,047 shares of Common Stock were issued to the reporting person under this grant and the remaining shares were forfeited.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Lawrence T. Weiss, Attorney in 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75140" TargetMode="External"/><Relationship Id="rId5" Type="http://schemas.openxmlformats.org/officeDocument/2006/relationships/hyperlink" Target="http://www.sec.gov/cgi-bin/browse-edgar?action=getcompany&amp;CIK=000127518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771</Words>
  <Characters>4175</Characters>
  <CharactersWithSpaces>4857</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