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Campbell Chad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 PLAZA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ANGIODYNAMICS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SVP/GM, Vascular Access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14.14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89,930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88,818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88,459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exempt disposition of 2,367 shares of common stock of AngioDynamics, Inc. ("AngioDynamics") was made to satisfy tax withholding obligations in connection with the pre-determined vesting of shares underlying restricted stock units granted to the reporting person on July 16,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exempt disposition of 1,112 shares of common stock of AngioDynamics was made to satisfy tax withholding obligations in connection with the pre-determined vesting of shares underlying restricted stock units granted to the reporting person on July 17,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exempt disposition of 359 shares of common stock of AngioDynamics was made to satisfy tax withholding obligations in connection with the pre-determined vesting of shares underlying restricted stock units granted to the reporting person on July 20,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Lawrence T. Weiss,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6852" TargetMode="External"/><Relationship Id="rId5" Type="http://schemas.openxmlformats.org/officeDocument/2006/relationships/hyperlink" Target="http://www.sec.gov/cgi-bin/browse-edgar?action=getcompany&amp;CIK=0001275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704</Words>
  <Characters>3843</Characters>
  <CharactersWithSpaces>4462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