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Campbell Chad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PLAZA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ANGIODYNAMICS INC</w:t>
              </w:r>
            </w:hyperlink>
            <w:r>
              <w:rPr/>
              <w:t xml:space="preserve"> [ </w:t>
            </w:r>
            <w:r>
              <w:rPr>
                <w:rFonts w:ascii="Times;serif" w:hAnsi="Times;serif"/>
                <w:color w:val="0000FF"/>
                <w:sz w:val="24"/>
                <w:shd w:fill="FFFFFF" w:val="clear"/>
              </w:rPr>
              <w:t>ANGO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SVP/GM, Vascular Access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16,081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104,540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16,081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acquisition of 16,081 shares of common stock ("Common Stock") of AngioDynamics, Inc. represents 16,081 restricted stock units, each of which represents a contingent right to receive one share of Common Stock. These restricted stock units vest in four equal annual installments beginning on July 15, 2027, such that 25% of the restricted stock units will vest on each of July 15, 2027, 2028, 2029 and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right represents a contingent right to receive one share of Common Stock. The target number of shares of Common Stock is set forth in columns 5 and 7 of Table II. Between 0% and 200% of the target number will be earned based on total shareholder return relative to a peer group of companies over a three-year performance period (with a potential upward or downward 20% adjustment on the calculated achievement based on total shareholder return relative to a peer group of companies over a three-year performance period (for a total potential payout of up to 240% of the target number in the aggregate)) in accordance with performance metrics as determined by the compensation committee. Any shares that do not vest at the end of the performance period will be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Lawrence T. Weiss,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6852" TargetMode="External"/><Relationship Id="rId5" Type="http://schemas.openxmlformats.org/officeDocument/2006/relationships/hyperlink" Target="http://www.sec.gov/cgi-bin/browse-edgar?action=getcompany&amp;CIK=0001275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780</Words>
  <Characters>4136</Characters>
  <CharactersWithSpaces>4836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