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683895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649605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53975</wp:posOffset>
            </wp:positionV>
            <wp:extent cx="38233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82550</wp:posOffset>
            </wp:positionV>
            <wp:extent cx="3823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680" w:right="40" w:hanging="654"/>
        <w:spacing w:after="0" w:line="262"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August 31, 2020</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0" w:lineRule="exact"/>
        <w:rPr>
          <w:sz w:val="24"/>
          <w:szCs w:val="24"/>
          <w:color w:val="auto"/>
        </w:rPr>
      </w:pPr>
    </w:p>
    <w:p>
      <w:pPr>
        <w:ind w:left="680" w:hanging="641"/>
        <w:spacing w:after="0" w:line="262"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86" w:lineRule="exact"/>
        <w:rPr>
          <w:sz w:val="24"/>
          <w:szCs w:val="24"/>
          <w:color w:val="auto"/>
        </w:rPr>
      </w:pPr>
    </w:p>
    <w:p>
      <w:pPr>
        <w:ind w:left="360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-5080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280035</wp:posOffset>
            </wp:positionV>
            <wp:extent cx="3823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AngioDynamics,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4445</wp:posOffset>
            </wp:positionV>
            <wp:extent cx="3823335" cy="6083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23335"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tbl>
      <w:tblPr>
        <w:tblLayout w:type="fixed"/>
        <w:tblInd w:w="1840" w:type="dxa"/>
        <w:tblCellMar>
          <w:top w:w="0" w:type="dxa"/>
          <w:left w:w="0" w:type="dxa"/>
          <w:bottom w:w="0" w:type="dxa"/>
          <w:right w:w="0" w:type="dxa"/>
        </w:tblCellMar>
      </w:tblPr>
      <w:tr>
        <w:trPr>
          <w:trHeight w:val="238"/>
        </w:trPr>
        <w:tc>
          <w:tcPr>
            <w:tcW w:w="4000" w:type="dxa"/>
            <w:vAlign w:val="bottom"/>
          </w:tcPr>
          <w:p>
            <w:pPr>
              <w:jc w:val="center"/>
              <w:ind w:right="20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center"/>
              <w:ind w:left="2062"/>
              <w:spacing w:after="0"/>
              <w:rPr>
                <w:sz w:val="20"/>
                <w:szCs w:val="20"/>
                <w:color w:val="auto"/>
              </w:rPr>
            </w:pPr>
            <w:r>
              <w:rPr>
                <w:rFonts w:ascii="Times New Roman" w:cs="Times New Roman" w:eastAsia="Times New Roman" w:hAnsi="Times New Roman"/>
                <w:sz w:val="18"/>
                <w:szCs w:val="18"/>
                <w:b w:val="1"/>
                <w:bCs w:val="1"/>
                <w:color w:val="auto"/>
                <w:w w:val="98"/>
              </w:rPr>
              <w:t>11-3146460</w:t>
            </w:r>
          </w:p>
        </w:tc>
      </w:tr>
      <w:tr>
        <w:trPr>
          <w:trHeight w:val="189"/>
        </w:trPr>
        <w:tc>
          <w:tcPr>
            <w:tcW w:w="4000" w:type="dxa"/>
            <w:vAlign w:val="bottom"/>
          </w:tcPr>
          <w:p>
            <w:pPr>
              <w:jc w:val="center"/>
              <w:ind w:right="204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80" w:type="dxa"/>
            <w:vAlign w:val="bottom"/>
          </w:tcPr>
          <w:p>
            <w:pPr>
              <w:jc w:val="center"/>
              <w:ind w:left="204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0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80" w:type="dxa"/>
            <w:vAlign w:val="bottom"/>
          </w:tcPr>
          <w:p>
            <w:pPr>
              <w:jc w:val="center"/>
              <w:ind w:left="20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32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14 Plaza Drive, Latham, New York 12110</w:t>
      </w:r>
    </w:p>
    <w:p>
      <w:pPr>
        <w:spacing w:after="0" w:line="2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(518) 795-1400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1040" w:type="dxa"/>
        <w:tblCellMar>
          <w:top w:w="0" w:type="dxa"/>
          <w:left w:w="0" w:type="dxa"/>
          <w:bottom w:w="0" w:type="dxa"/>
          <w:right w:w="0" w:type="dxa"/>
        </w:tblCellMar>
      </w:tblPr>
      <w:tr>
        <w:trPr>
          <w:trHeight w:val="190"/>
        </w:trPr>
        <w:tc>
          <w:tcPr>
            <w:tcW w:w="3300" w:type="dxa"/>
            <w:vAlign w:val="bottom"/>
          </w:tcPr>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420" w:type="dxa"/>
            <w:vAlign w:val="bottom"/>
          </w:tcPr>
          <w:p>
            <w:pPr>
              <w:jc w:val="center"/>
              <w:ind w:left="656"/>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53"/>
        </w:trPr>
        <w:tc>
          <w:tcPr>
            <w:tcW w:w="3300" w:type="dxa"/>
            <w:vAlign w:val="bottom"/>
          </w:tcPr>
          <w:p>
            <w:pPr>
              <w:jc w:val="center"/>
              <w:ind w:right="716"/>
              <w:spacing w:after="0"/>
              <w:rPr>
                <w:sz w:val="20"/>
                <w:szCs w:val="20"/>
                <w:color w:val="auto"/>
              </w:rPr>
            </w:pPr>
            <w:r>
              <w:rPr>
                <w:rFonts w:ascii="Times New Roman" w:cs="Times New Roman" w:eastAsia="Times New Roman" w:hAnsi="Times New Roman"/>
                <w:sz w:val="18"/>
                <w:szCs w:val="18"/>
                <w:b w:val="1"/>
                <w:bCs w:val="1"/>
                <w:color w:val="auto"/>
              </w:rPr>
              <w:t>Common stock, par value $.01</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ANGO</w:t>
            </w:r>
          </w:p>
        </w:tc>
        <w:tc>
          <w:tcPr>
            <w:tcW w:w="3420" w:type="dxa"/>
            <w:vAlign w:val="bottom"/>
          </w:tcPr>
          <w:p>
            <w:pPr>
              <w:jc w:val="center"/>
              <w:ind w:left="656"/>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70"/>
        </w:trPr>
        <w:tc>
          <w:tcPr>
            <w:tcW w:w="3300" w:type="dxa"/>
            <w:vAlign w:val="bottom"/>
          </w:tcPr>
          <w:p>
            <w:pPr>
              <w:jc w:val="center"/>
              <w:ind w:right="716"/>
              <w:spacing w:after="0"/>
              <w:rPr>
                <w:sz w:val="20"/>
                <w:szCs w:val="20"/>
                <w:color w:val="auto"/>
              </w:rPr>
            </w:pPr>
            <w:r>
              <w:rPr>
                <w:rFonts w:ascii="Times New Roman" w:cs="Times New Roman" w:eastAsia="Times New Roman" w:hAnsi="Times New Roman"/>
                <w:sz w:val="18"/>
                <w:szCs w:val="18"/>
                <w:b w:val="1"/>
                <w:bCs w:val="1"/>
                <w:color w:val="auto"/>
                <w:w w:val="99"/>
              </w:rPr>
              <w:t>Preferred Stock Purchase Rights</w:t>
            </w:r>
          </w:p>
        </w:tc>
        <w:tc>
          <w:tcPr>
            <w:tcW w:w="2500" w:type="dxa"/>
            <w:vAlign w:val="bottom"/>
          </w:tcPr>
          <w:p>
            <w:pPr>
              <w:spacing w:after="0"/>
              <w:rPr>
                <w:sz w:val="23"/>
                <w:szCs w:val="23"/>
                <w:color w:val="auto"/>
              </w:rPr>
            </w:pPr>
          </w:p>
        </w:tc>
        <w:tc>
          <w:tcPr>
            <w:tcW w:w="3420" w:type="dxa"/>
            <w:vAlign w:val="bottom"/>
          </w:tcPr>
          <w:p>
            <w:pPr>
              <w:jc w:val="center"/>
              <w:ind w:left="656"/>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200" w:lineRule="exact"/>
        <w:rPr>
          <w:sz w:val="24"/>
          <w:szCs w:val="24"/>
          <w:color w:val="auto"/>
        </w:rPr>
      </w:pPr>
    </w:p>
    <w:p>
      <w:pPr>
        <w:spacing w:after="0" w:line="37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8"/>
        </w:trPr>
        <w:tc>
          <w:tcPr>
            <w:tcW w:w="8960" w:type="dxa"/>
            <w:vAlign w:val="bottom"/>
            <w:gridSpan w:val="3"/>
          </w:tcPr>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0"/>
        </w:trPr>
        <w:tc>
          <w:tcPr>
            <w:tcW w:w="2620" w:type="dxa"/>
            <w:vAlign w:val="bottom"/>
          </w:tcPr>
          <w:p>
            <w:pPr>
              <w:spacing w:after="0"/>
              <w:rPr>
                <w:sz w:val="24"/>
                <w:szCs w:val="24"/>
                <w:color w:val="auto"/>
              </w:rPr>
            </w:pPr>
          </w:p>
        </w:tc>
        <w:tc>
          <w:tcPr>
            <w:tcW w:w="6340" w:type="dxa"/>
            <w:vAlign w:val="bottom"/>
            <w:gridSpan w:val="2"/>
          </w:tcPr>
          <w:p>
            <w:pPr>
              <w:ind w:left="256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2620" w:type="dxa"/>
            <w:vAlign w:val="bottom"/>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620" w:type="dxa"/>
            <w:vAlign w:val="bottom"/>
            <w:vMerge w:val="restart"/>
          </w:tcPr>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46"/>
        </w:trPr>
        <w:tc>
          <w:tcPr>
            <w:tcW w:w="89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5"/>
              </w:rPr>
              <w:t>Yes</w:t>
            </w:r>
          </w:p>
        </w:tc>
        <w:tc>
          <w:tcPr>
            <w:tcW w:w="28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9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15(d) of the Act.  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6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0"/>
          <w:szCs w:val="20"/>
          <w:color w:val="auto"/>
        </w:rPr>
      </w:pPr>
    </w:p>
    <w:p>
      <w:pPr>
        <w:ind w:right="6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0"/>
          <w:szCs w:val="20"/>
          <w:color w:val="auto"/>
        </w:rPr>
      </w:pPr>
    </w:p>
    <w:p>
      <w:pPr>
        <w:ind w:right="100" w:firstLine="445"/>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 (Check one):</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338"/>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6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6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62" w:lineRule="exact"/>
        <w:rPr>
          <w:sz w:val="20"/>
          <w:szCs w:val="20"/>
          <w:color w:val="auto"/>
        </w:rPr>
      </w:pPr>
    </w:p>
    <w:p>
      <w:pPr>
        <w:ind w:left="460"/>
        <w:spacing w:after="0" w:line="207" w:lineRule="exact"/>
        <w:tabs>
          <w:tab w:leader="none" w:pos="8780" w:val="left"/>
          <w:tab w:leader="none" w:pos="94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780" w:type="dxa"/>
            <w:vAlign w:val="bottom"/>
          </w:tcPr>
          <w:p>
            <w:pPr>
              <w:spacing w:after="0"/>
              <w:rPr>
                <w:sz w:val="13"/>
                <w:szCs w:val="13"/>
                <w:color w:val="auto"/>
              </w:rPr>
            </w:pPr>
          </w:p>
        </w:tc>
        <w:tc>
          <w:tcPr>
            <w:tcW w:w="5520" w:type="dxa"/>
            <w:vAlign w:val="bottom"/>
            <w:gridSpan w:val="4"/>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Outstanding as of October 5, 2020</w:t>
            </w: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7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$.01</w:t>
            </w:r>
          </w:p>
        </w:tc>
        <w:tc>
          <w:tcPr>
            <w:tcW w:w="38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37,953,078</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04"/>
        </w:trPr>
        <w:tc>
          <w:tcPr>
            <w:tcW w:w="20" w:type="dxa"/>
            <w:vAlign w:val="bottom"/>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742"/>
        </w:trPr>
        <w:tc>
          <w:tcPr>
            <w:tcW w:w="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1380"/>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09" w:lineRule="exact"/>
        <w:rPr>
          <w:sz w:val="20"/>
          <w:szCs w:val="20"/>
          <w:color w:val="auto"/>
        </w:rPr>
      </w:pPr>
    </w:p>
    <w:p>
      <w:pPr>
        <w:ind w:left="4500"/>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Part I: Financial Information</w:t>
        </w:r>
      </w:hyperlink>
    </w:p>
    <w:p>
      <w:pPr>
        <w:spacing w:after="0" w:line="77" w:lineRule="exact"/>
        <w:rPr>
          <w:sz w:val="20"/>
          <w:szCs w:val="20"/>
          <w:color w:val="auto"/>
        </w:rPr>
      </w:pPr>
    </w:p>
    <w:p>
      <w:pPr>
        <w:ind w:left="20"/>
        <w:spacing w:after="0"/>
        <w:tabs>
          <w:tab w:leader="none" w:pos="960" w:val="left"/>
        </w:tabs>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color w:val="auto"/>
        </w:rPr>
        <w:t>Item 1.</w:t>
      </w:r>
      <w:r>
        <w:rPr>
          <w:sz w:val="20"/>
          <w:szCs w:val="20"/>
          <w:color w:val="auto"/>
        </w:rPr>
        <w:tab/>
      </w:r>
      <w:hyperlink w:anchor="page4">
        <w:r>
          <w:rPr>
            <w:rFonts w:ascii="Times New Roman" w:cs="Times New Roman" w:eastAsia="Times New Roman" w:hAnsi="Times New Roman"/>
            <w:sz w:val="18"/>
            <w:szCs w:val="18"/>
            <w:b w:val="1"/>
            <w:bCs w:val="1"/>
            <w:u w:val="single" w:color="auto"/>
            <w:color w:val="0000FF"/>
          </w:rPr>
          <w:t>Financial Statements</w:t>
        </w:r>
      </w:hyperlink>
    </w:p>
    <w:p>
      <w:pPr>
        <w:spacing w:after="0" w:line="121"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Consolidated Statements of Operations (unaudited)</w:t>
        </w:r>
      </w:hyperlink>
    </w:p>
    <w:p>
      <w:pPr>
        <w:spacing w:after="0" w:line="77"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Consolidated Statements of Comprehensive Loss (unaudited)</w:t>
        </w:r>
      </w:hyperlink>
    </w:p>
    <w:p>
      <w:pPr>
        <w:spacing w:after="0" w:line="77"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Consolidated Balance Sheets (unaudited)</w:t>
        </w:r>
      </w:hyperlink>
    </w:p>
    <w:p>
      <w:pPr>
        <w:spacing w:after="0" w:line="77"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Consolidated Statements of Cash Flows (unaudited)</w:t>
        </w:r>
      </w:hyperlink>
    </w:p>
    <w:p>
      <w:pPr>
        <w:spacing w:after="0" w:line="77"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Consolidated Statements of Stockholders’ Equity (unaudited)</w:t>
        </w:r>
      </w:hyperlink>
    </w:p>
    <w:p>
      <w:pPr>
        <w:spacing w:after="0" w:line="77"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Notes to Consolidated Financial Statements (unaudited)</w:t>
        </w:r>
      </w:hyperlink>
    </w:p>
    <w:p>
      <w:pPr>
        <w:spacing w:after="0" w:line="73" w:lineRule="exact"/>
        <w:rPr>
          <w:sz w:val="20"/>
          <w:szCs w:val="20"/>
          <w:color w:val="auto"/>
        </w:rPr>
      </w:pPr>
    </w:p>
    <w:p>
      <w:pPr>
        <w:ind w:left="20"/>
        <w:spacing w:after="0"/>
        <w:tabs>
          <w:tab w:leader="none" w:pos="960" w:val="left"/>
        </w:tabs>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8"/>
          <w:szCs w:val="18"/>
          <w:b w:val="1"/>
          <w:bCs w:val="1"/>
          <w:color w:val="auto"/>
        </w:rPr>
        <w:t>Item 2.</w:t>
      </w:r>
      <w:r>
        <w:rPr>
          <w:sz w:val="20"/>
          <w:szCs w:val="20"/>
          <w:color w:val="auto"/>
        </w:rPr>
        <w:tab/>
      </w:r>
      <w:hyperlink w:anchor="page22">
        <w:r>
          <w:rPr>
            <w:rFonts w:ascii="Times New Roman" w:cs="Times New Roman" w:eastAsia="Times New Roman" w:hAnsi="Times New Roman"/>
            <w:sz w:val="17"/>
            <w:szCs w:val="17"/>
            <w:b w:val="1"/>
            <w:bCs w:val="1"/>
            <w:u w:val="single" w:color="auto"/>
            <w:color w:val="0000FF"/>
          </w:rPr>
          <w:t>Management’s Discussion and Analysis of Financial Condition and Results of Operations</w:t>
        </w:r>
      </w:hyperlink>
    </w:p>
    <w:p>
      <w:pPr>
        <w:spacing w:after="0" w:line="117" w:lineRule="exact"/>
        <w:rPr>
          <w:sz w:val="20"/>
          <w:szCs w:val="20"/>
          <w:color w:val="auto"/>
        </w:rPr>
      </w:pPr>
    </w:p>
    <w:p>
      <w:pPr>
        <w:ind w:left="20"/>
        <w:spacing w:after="0"/>
        <w:tabs>
          <w:tab w:leader="none" w:pos="960" w:val="left"/>
        </w:tabs>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8"/>
          <w:szCs w:val="18"/>
          <w:b w:val="1"/>
          <w:bCs w:val="1"/>
          <w:color w:val="auto"/>
        </w:rPr>
        <w:t>Item 3.</w:t>
      </w:r>
      <w:r>
        <w:rPr>
          <w:sz w:val="20"/>
          <w:szCs w:val="20"/>
          <w:color w:val="auto"/>
        </w:rPr>
        <w:tab/>
      </w:r>
      <w:hyperlink w:anchor="page29">
        <w:r>
          <w:rPr>
            <w:rFonts w:ascii="Times New Roman" w:cs="Times New Roman" w:eastAsia="Times New Roman" w:hAnsi="Times New Roman"/>
            <w:sz w:val="17"/>
            <w:szCs w:val="17"/>
            <w:b w:val="1"/>
            <w:bCs w:val="1"/>
            <w:u w:val="single" w:color="auto"/>
            <w:color w:val="0000FF"/>
          </w:rPr>
          <w:t>Quantitative and Qualitative Disclosures About Market Risk</w:t>
        </w:r>
      </w:hyperlink>
    </w:p>
    <w:p>
      <w:pPr>
        <w:spacing w:after="0" w:line="117" w:lineRule="exact"/>
        <w:rPr>
          <w:sz w:val="20"/>
          <w:szCs w:val="20"/>
          <w:color w:val="auto"/>
        </w:rPr>
      </w:pPr>
    </w:p>
    <w:p>
      <w:pPr>
        <w:ind w:left="20"/>
        <w:spacing w:after="0"/>
        <w:tabs>
          <w:tab w:leader="none" w:pos="960" w:val="left"/>
        </w:tabs>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8"/>
          <w:szCs w:val="18"/>
          <w:b w:val="1"/>
          <w:bCs w:val="1"/>
          <w:color w:val="auto"/>
        </w:rPr>
        <w:t>Item 4.</w:t>
      </w:r>
      <w:r>
        <w:rPr>
          <w:sz w:val="20"/>
          <w:szCs w:val="20"/>
          <w:color w:val="auto"/>
        </w:rPr>
        <w:tab/>
      </w:r>
      <w:hyperlink w:anchor="page30">
        <w:r>
          <w:rPr>
            <w:rFonts w:ascii="Times New Roman" w:cs="Times New Roman" w:eastAsia="Times New Roman" w:hAnsi="Times New Roman"/>
            <w:sz w:val="17"/>
            <w:szCs w:val="17"/>
            <w:b w:val="1"/>
            <w:bCs w:val="1"/>
            <w:u w:val="single" w:color="auto"/>
            <w:color w:val="0000FF"/>
          </w:rPr>
          <w:t>Controls and Procedures</w:t>
        </w:r>
      </w:hyperlink>
    </w:p>
    <w:p>
      <w:pPr>
        <w:spacing w:after="0" w:line="117" w:lineRule="exact"/>
        <w:rPr>
          <w:sz w:val="20"/>
          <w:szCs w:val="20"/>
          <w:color w:val="auto"/>
        </w:rPr>
      </w:pPr>
    </w:p>
    <w:p>
      <w:pPr>
        <w:ind w:left="4600"/>
        <w:spacing w:after="0"/>
        <w:rPr>
          <w:rFonts w:ascii="Times New Roman" w:cs="Times New Roman" w:eastAsia="Times New Roman" w:hAnsi="Times New Roman"/>
          <w:sz w:val="18"/>
          <w:szCs w:val="18"/>
          <w:b w:val="1"/>
          <w:bCs w:val="1"/>
          <w:u w:val="single" w:color="auto"/>
          <w:color w:val="0000FF"/>
        </w:rPr>
      </w:pPr>
      <w:hyperlink w:anchor="page31">
        <w:r>
          <w:rPr>
            <w:rFonts w:ascii="Times New Roman" w:cs="Times New Roman" w:eastAsia="Times New Roman" w:hAnsi="Times New Roman"/>
            <w:sz w:val="18"/>
            <w:szCs w:val="18"/>
            <w:b w:val="1"/>
            <w:bCs w:val="1"/>
            <w:u w:val="single" w:color="auto"/>
            <w:color w:val="0000FF"/>
          </w:rPr>
          <w:t>Part II: Other Information</w:t>
        </w:r>
      </w:hyperlink>
    </w:p>
    <w:p>
      <w:pPr>
        <w:spacing w:after="0" w:line="77" w:lineRule="exact"/>
        <w:rPr>
          <w:sz w:val="20"/>
          <w:szCs w:val="20"/>
          <w:color w:val="auto"/>
        </w:rPr>
      </w:pPr>
    </w:p>
    <w:p>
      <w:pPr>
        <w:ind w:left="20"/>
        <w:spacing w:after="0"/>
        <w:tabs>
          <w:tab w:leader="none" w:pos="960" w:val="left"/>
        </w:tabs>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8"/>
          <w:szCs w:val="18"/>
          <w:b w:val="1"/>
          <w:bCs w:val="1"/>
          <w:color w:val="auto"/>
        </w:rPr>
        <w:t>Item 1.</w:t>
      </w:r>
      <w:r>
        <w:rPr>
          <w:sz w:val="20"/>
          <w:szCs w:val="20"/>
          <w:color w:val="auto"/>
        </w:rPr>
        <w:tab/>
      </w:r>
      <w:hyperlink w:anchor="page32">
        <w:r>
          <w:rPr>
            <w:rFonts w:ascii="Times New Roman" w:cs="Times New Roman" w:eastAsia="Times New Roman" w:hAnsi="Times New Roman"/>
            <w:sz w:val="17"/>
            <w:szCs w:val="17"/>
            <w:b w:val="1"/>
            <w:bCs w:val="1"/>
            <w:u w:val="single" w:color="auto"/>
            <w:color w:val="0000FF"/>
          </w:rPr>
          <w:t>Legal Proceedings</w:t>
        </w:r>
      </w:hyperlink>
    </w:p>
    <w:p>
      <w:pPr>
        <w:spacing w:after="0" w:line="117" w:lineRule="exact"/>
        <w:rPr>
          <w:sz w:val="20"/>
          <w:szCs w:val="20"/>
          <w:color w:val="auto"/>
        </w:rPr>
      </w:pPr>
    </w:p>
    <w:p>
      <w:pPr>
        <w:ind w:left="20"/>
        <w:spacing w:after="0"/>
        <w:tabs>
          <w:tab w:leader="none" w:pos="960" w:val="left"/>
        </w:tabs>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color w:val="auto"/>
        </w:rPr>
        <w:t>Item 1A.</w:t>
      </w:r>
      <w:r>
        <w:rPr>
          <w:sz w:val="20"/>
          <w:szCs w:val="20"/>
          <w:color w:val="auto"/>
        </w:rPr>
        <w:tab/>
      </w:r>
      <w:hyperlink w:anchor="page33">
        <w:r>
          <w:rPr>
            <w:rFonts w:ascii="Times New Roman" w:cs="Times New Roman" w:eastAsia="Times New Roman" w:hAnsi="Times New Roman"/>
            <w:sz w:val="18"/>
            <w:szCs w:val="18"/>
            <w:b w:val="1"/>
            <w:bCs w:val="1"/>
            <w:u w:val="single" w:color="auto"/>
            <w:color w:val="0000FF"/>
          </w:rPr>
          <w:t>Risk Factors</w:t>
        </w:r>
      </w:hyperlink>
    </w:p>
    <w:p>
      <w:pPr>
        <w:spacing w:after="0" w:line="117" w:lineRule="exact"/>
        <w:rPr>
          <w:sz w:val="20"/>
          <w:szCs w:val="20"/>
          <w:color w:val="auto"/>
        </w:rPr>
      </w:pPr>
    </w:p>
    <w:p>
      <w:pPr>
        <w:ind w:left="20"/>
        <w:spacing w:after="0"/>
        <w:tabs>
          <w:tab w:leader="none" w:pos="960" w:val="left"/>
        </w:tabs>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8"/>
          <w:szCs w:val="18"/>
          <w:b w:val="1"/>
          <w:bCs w:val="1"/>
          <w:color w:val="auto"/>
        </w:rPr>
        <w:t>Item 2.</w:t>
      </w:r>
      <w:r>
        <w:rPr>
          <w:sz w:val="20"/>
          <w:szCs w:val="20"/>
          <w:color w:val="auto"/>
        </w:rPr>
        <w:tab/>
      </w:r>
      <w:hyperlink w:anchor="page34">
        <w:r>
          <w:rPr>
            <w:rFonts w:ascii="Times New Roman" w:cs="Times New Roman" w:eastAsia="Times New Roman" w:hAnsi="Times New Roman"/>
            <w:sz w:val="17"/>
            <w:szCs w:val="17"/>
            <w:b w:val="1"/>
            <w:bCs w:val="1"/>
            <w:u w:val="single" w:color="auto"/>
            <w:color w:val="0000FF"/>
          </w:rPr>
          <w:t>Unregistered Sales of Equity Securities and Use of Proceeds</w:t>
        </w:r>
      </w:hyperlink>
    </w:p>
    <w:p>
      <w:pPr>
        <w:spacing w:after="0" w:line="117" w:lineRule="exact"/>
        <w:rPr>
          <w:sz w:val="20"/>
          <w:szCs w:val="20"/>
          <w:color w:val="auto"/>
        </w:rPr>
      </w:pPr>
    </w:p>
    <w:p>
      <w:pPr>
        <w:ind w:left="20"/>
        <w:spacing w:after="0"/>
        <w:tabs>
          <w:tab w:leader="none" w:pos="960" w:val="left"/>
        </w:tabs>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color w:val="auto"/>
        </w:rPr>
        <w:t>Item 3.</w:t>
      </w:r>
      <w:r>
        <w:rPr>
          <w:sz w:val="20"/>
          <w:szCs w:val="20"/>
          <w:color w:val="auto"/>
        </w:rPr>
        <w:tab/>
      </w:r>
      <w:hyperlink w:anchor="page35">
        <w:r>
          <w:rPr>
            <w:rFonts w:ascii="Times New Roman" w:cs="Times New Roman" w:eastAsia="Times New Roman" w:hAnsi="Times New Roman"/>
            <w:sz w:val="18"/>
            <w:szCs w:val="18"/>
            <w:b w:val="1"/>
            <w:bCs w:val="1"/>
            <w:u w:val="single" w:color="auto"/>
            <w:color w:val="0000FF"/>
          </w:rPr>
          <w:t>Defaults on Senior Securities</w:t>
        </w:r>
      </w:hyperlink>
    </w:p>
    <w:p>
      <w:pPr>
        <w:spacing w:after="0" w:line="117" w:lineRule="exact"/>
        <w:rPr>
          <w:sz w:val="20"/>
          <w:szCs w:val="20"/>
          <w:color w:val="auto"/>
        </w:rPr>
      </w:pPr>
    </w:p>
    <w:p>
      <w:pPr>
        <w:ind w:left="20"/>
        <w:spacing w:after="0"/>
        <w:tabs>
          <w:tab w:leader="none" w:pos="960" w:val="left"/>
        </w:tabs>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8"/>
          <w:szCs w:val="18"/>
          <w:b w:val="1"/>
          <w:bCs w:val="1"/>
          <w:color w:val="auto"/>
        </w:rPr>
        <w:t>Item 4.</w:t>
      </w:r>
      <w:r>
        <w:rPr>
          <w:sz w:val="20"/>
          <w:szCs w:val="20"/>
          <w:color w:val="auto"/>
        </w:rPr>
        <w:tab/>
      </w:r>
      <w:hyperlink w:anchor="page35">
        <w:r>
          <w:rPr>
            <w:rFonts w:ascii="Times New Roman" w:cs="Times New Roman" w:eastAsia="Times New Roman" w:hAnsi="Times New Roman"/>
            <w:sz w:val="17"/>
            <w:szCs w:val="17"/>
            <w:b w:val="1"/>
            <w:bCs w:val="1"/>
            <w:u w:val="single" w:color="auto"/>
            <w:color w:val="0000FF"/>
          </w:rPr>
          <w:t>Mine Safety Disclosures</w:t>
        </w:r>
      </w:hyperlink>
    </w:p>
    <w:p>
      <w:pPr>
        <w:spacing w:after="0" w:line="117" w:lineRule="exact"/>
        <w:rPr>
          <w:sz w:val="20"/>
          <w:szCs w:val="20"/>
          <w:color w:val="auto"/>
        </w:rPr>
      </w:pPr>
    </w:p>
    <w:p>
      <w:pPr>
        <w:ind w:left="20"/>
        <w:spacing w:after="0"/>
        <w:tabs>
          <w:tab w:leader="none" w:pos="960" w:val="left"/>
        </w:tabs>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8"/>
          <w:szCs w:val="18"/>
          <w:b w:val="1"/>
          <w:bCs w:val="1"/>
          <w:color w:val="auto"/>
        </w:rPr>
        <w:t>Item 5.</w:t>
      </w:r>
      <w:r>
        <w:rPr>
          <w:sz w:val="20"/>
          <w:szCs w:val="20"/>
          <w:color w:val="auto"/>
        </w:rPr>
        <w:tab/>
      </w:r>
      <w:hyperlink w:anchor="page35">
        <w:r>
          <w:rPr>
            <w:rFonts w:ascii="Times New Roman" w:cs="Times New Roman" w:eastAsia="Times New Roman" w:hAnsi="Times New Roman"/>
            <w:sz w:val="17"/>
            <w:szCs w:val="17"/>
            <w:b w:val="1"/>
            <w:bCs w:val="1"/>
            <w:u w:val="single" w:color="auto"/>
            <w:color w:val="0000FF"/>
          </w:rPr>
          <w:t>Other Information</w:t>
        </w:r>
      </w:hyperlink>
    </w:p>
    <w:p>
      <w:pPr>
        <w:spacing w:after="0" w:line="117" w:lineRule="exact"/>
        <w:rPr>
          <w:sz w:val="20"/>
          <w:szCs w:val="20"/>
          <w:color w:val="auto"/>
        </w:rPr>
      </w:pPr>
    </w:p>
    <w:p>
      <w:pPr>
        <w:ind w:left="20"/>
        <w:spacing w:after="0"/>
        <w:tabs>
          <w:tab w:leader="none" w:pos="960" w:val="left"/>
        </w:tabs>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8"/>
          <w:szCs w:val="18"/>
          <w:b w:val="1"/>
          <w:bCs w:val="1"/>
          <w:color w:val="auto"/>
        </w:rPr>
        <w:t>Item 6.</w:t>
      </w:r>
      <w:r>
        <w:rPr>
          <w:sz w:val="20"/>
          <w:szCs w:val="20"/>
          <w:color w:val="auto"/>
        </w:rPr>
        <w:tab/>
      </w:r>
      <w:hyperlink w:anchor="page35">
        <w:r>
          <w:rPr>
            <w:rFonts w:ascii="Times New Roman" w:cs="Times New Roman" w:eastAsia="Times New Roman" w:hAnsi="Times New Roman"/>
            <w:sz w:val="17"/>
            <w:szCs w:val="17"/>
            <w:b w:val="1"/>
            <w:bCs w:val="1"/>
            <w:u w:val="single" w:color="auto"/>
            <w:color w:val="0000FF"/>
          </w:rPr>
          <w:t>Exhibits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24765</wp:posOffset>
            </wp:positionV>
            <wp:extent cx="5829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3</w:t>
        </w:r>
      </w:hyperlink>
    </w:p>
    <w:p>
      <w:pPr>
        <w:spacing w:after="0" w:line="77" w:lineRule="exact"/>
        <w:rPr>
          <w:sz w:val="20"/>
          <w:szCs w:val="20"/>
          <w:color w:val="auto"/>
        </w:rPr>
      </w:pPr>
    </w:p>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4</w:t>
        </w:r>
      </w:hyperlink>
    </w:p>
    <w:p>
      <w:pPr>
        <w:spacing w:after="0" w:line="77" w:lineRule="exact"/>
        <w:rPr>
          <w:sz w:val="20"/>
          <w:szCs w:val="20"/>
          <w:color w:val="auto"/>
        </w:rPr>
      </w:pPr>
    </w:p>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5</w:t>
        </w:r>
      </w:hyperlink>
    </w:p>
    <w:p>
      <w:pPr>
        <w:spacing w:after="0" w:line="77" w:lineRule="exact"/>
        <w:rPr>
          <w:sz w:val="20"/>
          <w:szCs w:val="20"/>
          <w:color w:val="auto"/>
        </w:rPr>
      </w:pPr>
    </w:p>
    <w:p>
      <w:pPr>
        <w:jc w:val="right"/>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6</w:t>
        </w:r>
      </w:hyperlink>
    </w:p>
    <w:p>
      <w:pPr>
        <w:spacing w:after="0" w:line="77" w:lineRule="exact"/>
        <w:rPr>
          <w:sz w:val="20"/>
          <w:szCs w:val="20"/>
          <w:color w:val="auto"/>
        </w:rPr>
      </w:pPr>
    </w:p>
    <w:p>
      <w:pPr>
        <w:jc w:val="right"/>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7</w:t>
        </w:r>
      </w:hyperlink>
    </w:p>
    <w:p>
      <w:pPr>
        <w:spacing w:after="0" w:line="77" w:lineRule="exact"/>
        <w:rPr>
          <w:sz w:val="20"/>
          <w:szCs w:val="20"/>
          <w:color w:val="auto"/>
        </w:rPr>
      </w:pPr>
    </w:p>
    <w:p>
      <w:pPr>
        <w:jc w:val="right"/>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8</w:t>
        </w:r>
      </w:hyperlink>
    </w:p>
    <w:p>
      <w:pPr>
        <w:spacing w:after="0" w:line="117" w:lineRule="exact"/>
        <w:rPr>
          <w:sz w:val="20"/>
          <w:szCs w:val="20"/>
          <w:color w:val="auto"/>
        </w:rPr>
      </w:pPr>
    </w:p>
    <w:p>
      <w:pPr>
        <w:jc w:val="right"/>
        <w:spacing w:after="0"/>
        <w:rPr>
          <w:rFonts w:ascii="Times New Roman" w:cs="Times New Roman" w:eastAsia="Times New Roman" w:hAnsi="Times New Roman"/>
          <w:sz w:val="18"/>
          <w:szCs w:val="18"/>
          <w:u w:val="single" w:color="auto"/>
          <w:color w:val="0000FF"/>
        </w:rPr>
      </w:pPr>
      <w:hyperlink w:anchor="page22">
        <w:r>
          <w:rPr>
            <w:rFonts w:ascii="Times New Roman" w:cs="Times New Roman" w:eastAsia="Times New Roman" w:hAnsi="Times New Roman"/>
            <w:sz w:val="18"/>
            <w:szCs w:val="18"/>
            <w:u w:val="single" w:color="auto"/>
            <w:color w:val="0000FF"/>
          </w:rPr>
          <w:t>22</w:t>
        </w:r>
      </w:hyperlink>
    </w:p>
    <w:p>
      <w:pPr>
        <w:spacing w:after="0" w:line="117" w:lineRule="exact"/>
        <w:rPr>
          <w:sz w:val="20"/>
          <w:szCs w:val="20"/>
          <w:color w:val="auto"/>
        </w:rPr>
      </w:pPr>
    </w:p>
    <w:p>
      <w:pPr>
        <w:ind w:left="420"/>
        <w:spacing w:after="0"/>
        <w:rPr>
          <w:rFonts w:ascii="Times New Roman" w:cs="Times New Roman" w:eastAsia="Times New Roman" w:hAnsi="Times New Roman"/>
          <w:sz w:val="17"/>
          <w:szCs w:val="17"/>
          <w:u w:val="single" w:color="auto"/>
          <w:color w:val="0000FF"/>
        </w:rPr>
      </w:pPr>
      <w:hyperlink w:anchor="page29">
        <w:r>
          <w:rPr>
            <w:rFonts w:ascii="Times New Roman" w:cs="Times New Roman" w:eastAsia="Times New Roman" w:hAnsi="Times New Roman"/>
            <w:sz w:val="17"/>
            <w:szCs w:val="17"/>
            <w:u w:val="single" w:color="auto"/>
            <w:color w:val="0000FF"/>
          </w:rPr>
          <w:t>29</w:t>
        </w:r>
      </w:hyperlink>
    </w:p>
    <w:p>
      <w:pPr>
        <w:spacing w:after="0" w:line="129" w:lineRule="exact"/>
        <w:rPr>
          <w:sz w:val="20"/>
          <w:szCs w:val="20"/>
          <w:color w:val="auto"/>
        </w:rPr>
      </w:pPr>
    </w:p>
    <w:p>
      <w:pPr>
        <w:ind w:left="420"/>
        <w:spacing w:after="0"/>
        <w:rPr>
          <w:rFonts w:ascii="Times New Roman" w:cs="Times New Roman" w:eastAsia="Times New Roman" w:hAnsi="Times New Roman"/>
          <w:sz w:val="17"/>
          <w:szCs w:val="17"/>
          <w:u w:val="single" w:color="auto"/>
          <w:color w:val="0000FF"/>
        </w:rPr>
      </w:pPr>
      <w:hyperlink w:anchor="page30">
        <w:r>
          <w:rPr>
            <w:rFonts w:ascii="Times New Roman" w:cs="Times New Roman" w:eastAsia="Times New Roman" w:hAnsi="Times New Roman"/>
            <w:sz w:val="17"/>
            <w:szCs w:val="17"/>
            <w:u w:val="single" w:color="auto"/>
            <w:color w:val="0000FF"/>
          </w:rPr>
          <w:t>30</w:t>
        </w:r>
      </w:hyperlink>
    </w:p>
    <w:p>
      <w:pPr>
        <w:spacing w:after="0" w:line="200" w:lineRule="exact"/>
        <w:rPr>
          <w:sz w:val="20"/>
          <w:szCs w:val="20"/>
          <w:color w:val="auto"/>
        </w:rPr>
      </w:pPr>
    </w:p>
    <w:p>
      <w:pPr>
        <w:spacing w:after="0" w:line="212" w:lineRule="exact"/>
        <w:rPr>
          <w:sz w:val="20"/>
          <w:szCs w:val="20"/>
          <w:color w:val="auto"/>
        </w:rPr>
      </w:pPr>
    </w:p>
    <w:p>
      <w:pPr>
        <w:ind w:left="420"/>
        <w:spacing w:after="0"/>
        <w:rPr>
          <w:rFonts w:ascii="Times New Roman" w:cs="Times New Roman" w:eastAsia="Times New Roman" w:hAnsi="Times New Roman"/>
          <w:sz w:val="17"/>
          <w:szCs w:val="17"/>
          <w:u w:val="single" w:color="auto"/>
          <w:color w:val="0000FF"/>
        </w:rPr>
      </w:pPr>
      <w:hyperlink w:anchor="page32">
        <w:r>
          <w:rPr>
            <w:rFonts w:ascii="Times New Roman" w:cs="Times New Roman" w:eastAsia="Times New Roman" w:hAnsi="Times New Roman"/>
            <w:sz w:val="17"/>
            <w:szCs w:val="17"/>
            <w:u w:val="single" w:color="auto"/>
            <w:color w:val="0000FF"/>
          </w:rPr>
          <w:t>31</w:t>
        </w:r>
      </w:hyperlink>
    </w:p>
    <w:p>
      <w:pPr>
        <w:spacing w:after="0" w:line="129" w:lineRule="exact"/>
        <w:rPr>
          <w:sz w:val="20"/>
          <w:szCs w:val="20"/>
          <w:color w:val="auto"/>
        </w:rPr>
      </w:pPr>
    </w:p>
    <w:p>
      <w:pPr>
        <w:ind w:left="420"/>
        <w:spacing w:after="0"/>
        <w:rPr>
          <w:rFonts w:ascii="Times New Roman" w:cs="Times New Roman" w:eastAsia="Times New Roman" w:hAnsi="Times New Roman"/>
          <w:sz w:val="17"/>
          <w:szCs w:val="17"/>
          <w:u w:val="single" w:color="auto"/>
          <w:color w:val="0000FF"/>
        </w:rPr>
      </w:pPr>
      <w:hyperlink w:anchor="page33">
        <w:r>
          <w:rPr>
            <w:rFonts w:ascii="Times New Roman" w:cs="Times New Roman" w:eastAsia="Times New Roman" w:hAnsi="Times New Roman"/>
            <w:sz w:val="17"/>
            <w:szCs w:val="17"/>
            <w:u w:val="single" w:color="auto"/>
            <w:color w:val="0000FF"/>
          </w:rPr>
          <w:t>33</w:t>
        </w:r>
      </w:hyperlink>
    </w:p>
    <w:p>
      <w:pPr>
        <w:spacing w:after="0" w:line="129" w:lineRule="exact"/>
        <w:rPr>
          <w:sz w:val="20"/>
          <w:szCs w:val="20"/>
          <w:color w:val="auto"/>
        </w:rPr>
      </w:pPr>
    </w:p>
    <w:p>
      <w:pPr>
        <w:ind w:left="420"/>
        <w:spacing w:after="0"/>
        <w:rPr>
          <w:rFonts w:ascii="Times New Roman" w:cs="Times New Roman" w:eastAsia="Times New Roman" w:hAnsi="Times New Roman"/>
          <w:sz w:val="17"/>
          <w:szCs w:val="17"/>
          <w:u w:val="single" w:color="auto"/>
          <w:color w:val="0000FF"/>
        </w:rPr>
      </w:pPr>
      <w:hyperlink w:anchor="page34">
        <w:r>
          <w:rPr>
            <w:rFonts w:ascii="Times New Roman" w:cs="Times New Roman" w:eastAsia="Times New Roman" w:hAnsi="Times New Roman"/>
            <w:sz w:val="17"/>
            <w:szCs w:val="17"/>
            <w:u w:val="single" w:color="auto"/>
            <w:color w:val="0000FF"/>
          </w:rPr>
          <w:t>34</w:t>
        </w:r>
      </w:hyperlink>
    </w:p>
    <w:p>
      <w:pPr>
        <w:spacing w:after="0" w:line="129" w:lineRule="exact"/>
        <w:rPr>
          <w:sz w:val="20"/>
          <w:szCs w:val="20"/>
          <w:color w:val="auto"/>
        </w:rPr>
      </w:pPr>
    </w:p>
    <w:p>
      <w:pPr>
        <w:ind w:left="420"/>
        <w:spacing w:after="0"/>
        <w:rPr>
          <w:rFonts w:ascii="Times New Roman" w:cs="Times New Roman" w:eastAsia="Times New Roman" w:hAnsi="Times New Roman"/>
          <w:sz w:val="17"/>
          <w:szCs w:val="17"/>
          <w:u w:val="single" w:color="auto"/>
          <w:color w:val="0000FF"/>
        </w:rPr>
      </w:pPr>
      <w:hyperlink w:anchor="page35">
        <w:r>
          <w:rPr>
            <w:rFonts w:ascii="Times New Roman" w:cs="Times New Roman" w:eastAsia="Times New Roman" w:hAnsi="Times New Roman"/>
            <w:sz w:val="17"/>
            <w:szCs w:val="17"/>
            <w:u w:val="single" w:color="auto"/>
            <w:color w:val="0000FF"/>
          </w:rPr>
          <w:t>34</w:t>
        </w:r>
      </w:hyperlink>
    </w:p>
    <w:p>
      <w:pPr>
        <w:spacing w:after="0" w:line="129" w:lineRule="exact"/>
        <w:rPr>
          <w:sz w:val="20"/>
          <w:szCs w:val="20"/>
          <w:color w:val="auto"/>
        </w:rPr>
      </w:pPr>
    </w:p>
    <w:p>
      <w:pPr>
        <w:ind w:left="420"/>
        <w:spacing w:after="0"/>
        <w:rPr>
          <w:rFonts w:ascii="Times New Roman" w:cs="Times New Roman" w:eastAsia="Times New Roman" w:hAnsi="Times New Roman"/>
          <w:sz w:val="17"/>
          <w:szCs w:val="17"/>
          <w:u w:val="single" w:color="auto"/>
          <w:color w:val="0000FF"/>
        </w:rPr>
      </w:pPr>
      <w:hyperlink w:anchor="page35">
        <w:r>
          <w:rPr>
            <w:rFonts w:ascii="Times New Roman" w:cs="Times New Roman" w:eastAsia="Times New Roman" w:hAnsi="Times New Roman"/>
            <w:sz w:val="17"/>
            <w:szCs w:val="17"/>
            <w:u w:val="single" w:color="auto"/>
            <w:color w:val="0000FF"/>
          </w:rPr>
          <w:t>34</w:t>
        </w:r>
      </w:hyperlink>
    </w:p>
    <w:p>
      <w:pPr>
        <w:spacing w:after="0" w:line="129" w:lineRule="exact"/>
        <w:rPr>
          <w:sz w:val="20"/>
          <w:szCs w:val="20"/>
          <w:color w:val="auto"/>
        </w:rPr>
      </w:pPr>
    </w:p>
    <w:p>
      <w:pPr>
        <w:ind w:left="420"/>
        <w:spacing w:after="0"/>
        <w:rPr>
          <w:rFonts w:ascii="Times New Roman" w:cs="Times New Roman" w:eastAsia="Times New Roman" w:hAnsi="Times New Roman"/>
          <w:sz w:val="17"/>
          <w:szCs w:val="17"/>
          <w:u w:val="single" w:color="auto"/>
          <w:color w:val="0000FF"/>
        </w:rPr>
      </w:pPr>
      <w:hyperlink w:anchor="page35">
        <w:r>
          <w:rPr>
            <w:rFonts w:ascii="Times New Roman" w:cs="Times New Roman" w:eastAsia="Times New Roman" w:hAnsi="Times New Roman"/>
            <w:sz w:val="17"/>
            <w:szCs w:val="17"/>
            <w:u w:val="single" w:color="auto"/>
            <w:color w:val="0000FF"/>
          </w:rPr>
          <w:t>34</w:t>
        </w:r>
      </w:hyperlink>
    </w:p>
    <w:p>
      <w:pPr>
        <w:spacing w:after="0" w:line="129" w:lineRule="exact"/>
        <w:rPr>
          <w:sz w:val="20"/>
          <w:szCs w:val="20"/>
          <w:color w:val="auto"/>
        </w:rPr>
      </w:pPr>
    </w:p>
    <w:p>
      <w:pPr>
        <w:ind w:left="420"/>
        <w:spacing w:after="0"/>
        <w:rPr>
          <w:rFonts w:ascii="Times New Roman" w:cs="Times New Roman" w:eastAsia="Times New Roman" w:hAnsi="Times New Roman"/>
          <w:sz w:val="17"/>
          <w:szCs w:val="17"/>
          <w:u w:val="single" w:color="auto"/>
          <w:color w:val="0000FF"/>
        </w:rPr>
      </w:pPr>
      <w:hyperlink w:anchor="page35">
        <w:r>
          <w:rPr>
            <w:rFonts w:ascii="Times New Roman" w:cs="Times New Roman" w:eastAsia="Times New Roman" w:hAnsi="Times New Roman"/>
            <w:sz w:val="17"/>
            <w:szCs w:val="17"/>
            <w:u w:val="single" w:color="auto"/>
            <w:color w:val="0000FF"/>
          </w:rPr>
          <w:t>35</w:t>
        </w:r>
      </w:hyperlink>
    </w:p>
    <w:p>
      <w:pPr>
        <w:sectPr>
          <w:pgSz w:w="11900" w:h="16838" w:orient="portrait"/>
          <w:cols w:equalWidth="0" w:num="2">
            <w:col w:w="9880" w:space="720"/>
            <w:col w:w="600"/>
          </w:cols>
          <w:pgMar w:left="320" w:top="118" w:right="37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91"/>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2020</w:t>
            </w:r>
          </w:p>
        </w:tc>
        <w:tc>
          <w:tcPr>
            <w:tcW w:w="220" w:type="dxa"/>
            <w:vAlign w:val="bottom"/>
          </w:tcPr>
          <w:p>
            <w:pPr>
              <w:spacing w:after="0"/>
              <w:rPr>
                <w:sz w:val="17"/>
                <w:szCs w:val="17"/>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Aug 31, 2019</w:t>
            </w:r>
          </w:p>
        </w:tc>
        <w:tc>
          <w:tcPr>
            <w:tcW w:w="0" w:type="dxa"/>
            <w:vAlign w:val="bottom"/>
          </w:tcPr>
          <w:p>
            <w:pPr>
              <w:spacing w:after="0"/>
              <w:rPr>
                <w:sz w:val="1"/>
                <w:szCs w:val="1"/>
                <w:color w:val="auto"/>
              </w:rPr>
            </w:pPr>
          </w:p>
        </w:tc>
      </w:tr>
      <w:tr>
        <w:trPr>
          <w:trHeight w:val="248"/>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66,042</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 (exclusive of intangible amortization)</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27,825</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38,217</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w:t>
            </w:r>
          </w:p>
        </w:tc>
        <w:tc>
          <w:tcPr>
            <w:tcW w:w="0" w:type="dxa"/>
            <w:vAlign w:val="bottom"/>
          </w:tcPr>
          <w:p>
            <w:pPr>
              <w:spacing w:after="0"/>
              <w:rPr>
                <w:sz w:val="1"/>
                <w:szCs w:val="1"/>
                <w:color w:val="auto"/>
              </w:rPr>
            </w:pPr>
          </w:p>
        </w:tc>
      </w:tr>
      <w:tr>
        <w:trPr>
          <w:trHeight w:val="243"/>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19,380</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0" w:type="dxa"/>
            <w:vAlign w:val="bottom"/>
          </w:tcPr>
          <w:p>
            <w:pPr>
              <w:spacing w:after="0"/>
              <w:rPr>
                <w:sz w:val="1"/>
                <w:szCs w:val="1"/>
                <w:color w:val="auto"/>
              </w:rPr>
            </w:pPr>
          </w:p>
        </w:tc>
      </w:tr>
      <w:tr>
        <w:trPr>
          <w:trHeight w:val="243"/>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43"/>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39,045</w:t>
            </w:r>
          </w:p>
        </w:tc>
        <w:tc>
          <w:tcPr>
            <w:tcW w:w="0" w:type="dxa"/>
            <w:vAlign w:val="bottom"/>
          </w:tcPr>
          <w:p>
            <w:pPr>
              <w:spacing w:after="0"/>
              <w:rPr>
                <w:sz w:val="1"/>
                <w:szCs w:val="1"/>
                <w:color w:val="auto"/>
              </w:rPr>
            </w:pPr>
          </w:p>
        </w:tc>
      </w:tr>
      <w:tr>
        <w:trPr>
          <w:trHeight w:val="237"/>
        </w:trPr>
        <w:tc>
          <w:tcPr>
            <w:tcW w:w="8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6"/>
        </w:trPr>
        <w:tc>
          <w:tcPr>
            <w:tcW w:w="8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 benefit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82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60" w:type="dxa"/>
            <w:vAlign w:val="bottom"/>
            <w:vMerge w:val="continue"/>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37,783</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37,783</w:t>
            </w:r>
          </w:p>
        </w:tc>
        <w:tc>
          <w:tcPr>
            <w:tcW w:w="0" w:type="dxa"/>
            <w:vAlign w:val="bottom"/>
          </w:tcPr>
          <w:p>
            <w:pPr>
              <w:spacing w:after="0"/>
              <w:rPr>
                <w:sz w:val="1"/>
                <w:szCs w:val="1"/>
                <w:color w:val="auto"/>
              </w:rPr>
            </w:pPr>
          </w:p>
        </w:tc>
      </w:tr>
      <w:tr>
        <w:trPr>
          <w:trHeight w:val="27"/>
        </w:trPr>
        <w:tc>
          <w:tcPr>
            <w:tcW w:w="8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93"/>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96"/>
        </w:trPr>
        <w:tc>
          <w:tcPr>
            <w:tcW w:w="8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2020</w:t>
            </w:r>
          </w:p>
        </w:tc>
        <w:tc>
          <w:tcPr>
            <w:tcW w:w="220" w:type="dxa"/>
            <w:vAlign w:val="bottom"/>
          </w:tcPr>
          <w:p>
            <w:pPr>
              <w:spacing w:after="0"/>
              <w:rPr>
                <w:sz w:val="17"/>
                <w:szCs w:val="17"/>
                <w:color w:val="auto"/>
              </w:rPr>
            </w:pP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Aug 31, 2019</w:t>
            </w:r>
          </w:p>
        </w:tc>
      </w:tr>
      <w:tr>
        <w:trPr>
          <w:trHeight w:val="248"/>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r>
      <w:tr>
        <w:trPr>
          <w:trHeight w:val="243"/>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7"/>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tax expense related to items of other comprehensive income (loss)</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7"/>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share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2020</w:t>
            </w:r>
          </w:p>
        </w:tc>
        <w:tc>
          <w:tcPr>
            <w:tcW w:w="220" w:type="dxa"/>
            <w:vAlign w:val="bottom"/>
          </w:tcPr>
          <w:p>
            <w:pPr>
              <w:spacing w:after="0"/>
              <w:rPr>
                <w:sz w:val="16"/>
                <w:szCs w:val="16"/>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May 31, 2020</w:t>
            </w:r>
          </w:p>
        </w:tc>
        <w:tc>
          <w:tcPr>
            <w:tcW w:w="0" w:type="dxa"/>
            <w:vAlign w:val="bottom"/>
          </w:tcPr>
          <w:p>
            <w:pPr>
              <w:spacing w:after="0"/>
              <w:rPr>
                <w:sz w:val="1"/>
                <w:szCs w:val="1"/>
                <w:color w:val="auto"/>
              </w:rPr>
            </w:pPr>
          </w:p>
        </w:tc>
      </w:tr>
      <w:tr>
        <w:trPr>
          <w:trHeight w:val="235"/>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54,435</w:t>
            </w:r>
          </w:p>
        </w:tc>
        <w:tc>
          <w:tcPr>
            <w:tcW w:w="0" w:type="dxa"/>
            <w:vAlign w:val="bottom"/>
          </w:tcPr>
          <w:p>
            <w:pPr>
              <w:spacing w:after="0"/>
              <w:rPr>
                <w:sz w:val="1"/>
                <w:szCs w:val="1"/>
                <w:color w:val="auto"/>
              </w:rPr>
            </w:pPr>
          </w:p>
        </w:tc>
      </w:tr>
      <w:tr>
        <w:trPr>
          <w:trHeight w:val="24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of $2,373 and $2,150 respectively</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31,263</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59,905</w:t>
            </w:r>
          </w:p>
        </w:tc>
        <w:tc>
          <w:tcPr>
            <w:tcW w:w="0" w:type="dxa"/>
            <w:vAlign w:val="bottom"/>
          </w:tcPr>
          <w:p>
            <w:pPr>
              <w:spacing w:after="0"/>
              <w:rPr>
                <w:sz w:val="1"/>
                <w:szCs w:val="1"/>
                <w:color w:val="auto"/>
              </w:rPr>
            </w:pPr>
          </w:p>
        </w:tc>
      </w:tr>
      <w:tr>
        <w:trPr>
          <w:trHeight w:val="243"/>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7,310</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152,913</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28,312</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15,338</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197,136</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200,515</w:t>
            </w:r>
          </w:p>
        </w:tc>
        <w:tc>
          <w:tcPr>
            <w:tcW w:w="0" w:type="dxa"/>
            <w:vAlign w:val="bottom"/>
          </w:tcPr>
          <w:p>
            <w:pPr>
              <w:spacing w:after="0"/>
              <w:rPr>
                <w:sz w:val="1"/>
                <w:szCs w:val="1"/>
                <w:color w:val="auto"/>
              </w:rPr>
            </w:pPr>
          </w:p>
        </w:tc>
      </w:tr>
      <w:tr>
        <w:trPr>
          <w:trHeight w:val="237"/>
        </w:trPr>
        <w:tc>
          <w:tcPr>
            <w:tcW w:w="8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583,759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594,214</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19,096</w:t>
            </w:r>
          </w:p>
        </w:tc>
        <w:tc>
          <w:tcPr>
            <w:tcW w:w="0" w:type="dxa"/>
            <w:vAlign w:val="bottom"/>
          </w:tcPr>
          <w:p>
            <w:pPr>
              <w:spacing w:after="0"/>
              <w:rPr>
                <w:sz w:val="1"/>
                <w:szCs w:val="1"/>
                <w:color w:val="auto"/>
              </w:rPr>
            </w:pPr>
          </w:p>
        </w:tc>
      </w:tr>
      <w:tr>
        <w:trPr>
          <w:trHeight w:val="243"/>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29,380</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contingent consideration</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43"/>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51,445</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24,057</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net of current portion</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14,811</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0" w:type="dxa"/>
            <w:vAlign w:val="bottom"/>
          </w:tcPr>
          <w:p>
            <w:pPr>
              <w:spacing w:after="0"/>
              <w:rPr>
                <w:sz w:val="1"/>
                <w:szCs w:val="1"/>
                <w:color w:val="auto"/>
              </w:rPr>
            </w:pPr>
          </w:p>
        </w:tc>
      </w:tr>
      <w:tr>
        <w:trPr>
          <w:trHeight w:val="237"/>
        </w:trPr>
        <w:tc>
          <w:tcPr>
            <w:tcW w:w="8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139,342</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par value $0.01 per share, 5,000,000 shares authorized; no shares issued and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82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par value $0.01 per share, 75,000,000 shares authorized; 38,693,078 and 38,448,536 shares</w:t>
            </w: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 and 38,323,078 and 38,078,536 shares outstanding at August 31, 2020 and May 31, 2020, respectively</w:t>
            </w: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561,871</w:t>
            </w:r>
          </w:p>
        </w:tc>
        <w:tc>
          <w:tcPr>
            <w:tcW w:w="0" w:type="dxa"/>
            <w:vAlign w:val="bottom"/>
          </w:tcPr>
          <w:p>
            <w:pPr>
              <w:spacing w:after="0"/>
              <w:rPr>
                <w:sz w:val="1"/>
                <w:szCs w:val="1"/>
                <w:color w:val="auto"/>
              </w:rPr>
            </w:pPr>
          </w:p>
        </w:tc>
      </w:tr>
      <w:tr>
        <w:trPr>
          <w:trHeight w:val="243"/>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(100,318)</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370,000 shares at August 31, 2020 and May 31, 2020,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0" w:type="dxa"/>
            <w:vAlign w:val="bottom"/>
          </w:tcPr>
          <w:p>
            <w:pPr>
              <w:spacing w:after="0"/>
              <w:rPr>
                <w:sz w:val="1"/>
                <w:szCs w:val="1"/>
                <w:color w:val="auto"/>
              </w:rPr>
            </w:pPr>
          </w:p>
        </w:tc>
      </w:tr>
      <w:tr>
        <w:trPr>
          <w:trHeight w:val="243"/>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454,872</w:t>
            </w:r>
          </w:p>
        </w:tc>
        <w:tc>
          <w:tcPr>
            <w:tcW w:w="0" w:type="dxa"/>
            <w:vAlign w:val="bottom"/>
          </w:tcPr>
          <w:p>
            <w:pPr>
              <w:spacing w:after="0"/>
              <w:rPr>
                <w:sz w:val="1"/>
                <w:szCs w:val="1"/>
                <w:color w:val="auto"/>
              </w:rPr>
            </w:pPr>
          </w:p>
        </w:tc>
      </w:tr>
      <w:tr>
        <w:trPr>
          <w:trHeight w:val="237"/>
        </w:trPr>
        <w:tc>
          <w:tcPr>
            <w:tcW w:w="8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583,759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594,214</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91"/>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96"/>
        </w:trPr>
        <w:tc>
          <w:tcPr>
            <w:tcW w:w="8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2020</w:t>
            </w:r>
          </w:p>
        </w:tc>
        <w:tc>
          <w:tcPr>
            <w:tcW w:w="220" w:type="dxa"/>
            <w:vAlign w:val="bottom"/>
          </w:tcPr>
          <w:p>
            <w:pPr>
              <w:spacing w:after="0"/>
              <w:rPr>
                <w:sz w:val="17"/>
                <w:szCs w:val="17"/>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Aug 31, 2019</w:t>
            </w:r>
          </w:p>
        </w:tc>
      </w:tr>
      <w:tr>
        <w:trPr>
          <w:trHeight w:val="235"/>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w:t>
            </w: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Non-cash lease expense</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43"/>
        </w:trPr>
        <w:tc>
          <w:tcPr>
            <w:tcW w:w="8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 in accounts receivable allowances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43"/>
        </w:trPr>
        <w:tc>
          <w:tcPr>
            <w:tcW w:w="8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Fixed and intangible asset impairments and disposals</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Write-off of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43"/>
        </w:trPr>
        <w:tc>
          <w:tcPr>
            <w:tcW w:w="8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11,474</w:t>
            </w: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w:t>
            </w:r>
          </w:p>
        </w:tc>
      </w:tr>
      <w:tr>
        <w:trPr>
          <w:trHeight w:val="243"/>
        </w:trPr>
        <w:tc>
          <w:tcPr>
            <w:tcW w:w="8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Accounts payable, accrued and 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(17,633)</w:t>
            </w:r>
          </w:p>
        </w:tc>
      </w:tr>
      <w:tr>
        <w:trPr>
          <w:trHeight w:val="237"/>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(6,534)</w:t>
            </w:r>
          </w:p>
        </w:tc>
      </w:tr>
      <w:tr>
        <w:trPr>
          <w:trHeight w:val="27"/>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of intangibles</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7"/>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w:t>
            </w:r>
          </w:p>
        </w:tc>
      </w:tr>
      <w:tr>
        <w:trPr>
          <w:trHeight w:val="27"/>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(132,500)</w:t>
            </w: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financing costs on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43"/>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of acquisition related contingent consideration</w:t>
            </w:r>
          </w:p>
        </w:tc>
        <w:tc>
          <w:tcPr>
            <w:tcW w:w="2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(outlays) from exercise of stock options and employee stock purchase plan</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7"/>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(135,749)</w:t>
            </w:r>
          </w:p>
        </w:tc>
      </w:tr>
      <w:tr>
        <w:trPr>
          <w:trHeight w:val="27"/>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26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7"/>
        </w:trPr>
        <w:tc>
          <w:tcPr>
            <w:tcW w:w="8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(143,992)</w:t>
            </w: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227,641</w:t>
            </w:r>
          </w:p>
        </w:tc>
      </w:tr>
      <w:tr>
        <w:trPr>
          <w:trHeight w:val="237"/>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83,649</w:t>
            </w:r>
          </w:p>
        </w:tc>
      </w:tr>
      <w:tr>
        <w:trPr>
          <w:trHeight w:val="27"/>
        </w:trPr>
        <w:tc>
          <w:tcPr>
            <w:tcW w:w="8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8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3"/>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Accrual for capital expenditures incurred during the period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share data)</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right="680"/>
        <w:spacing w:after="0" w:line="344" w:lineRule="auto"/>
        <w:rPr>
          <w:sz w:val="20"/>
          <w:szCs w:val="20"/>
          <w:color w:val="auto"/>
        </w:rPr>
      </w:pPr>
      <w:r>
        <w:rPr>
          <w:rFonts w:ascii="Times New Roman" w:cs="Times New Roman" w:eastAsia="Times New Roman" w:hAnsi="Times New Roman"/>
          <w:sz w:val="16"/>
          <w:szCs w:val="16"/>
          <w:b w:val="1"/>
          <w:bCs w:val="1"/>
          <w:color w:val="auto"/>
        </w:rPr>
        <w:t xml:space="preserve">Balance at May 31, 2020 </w:t>
      </w:r>
      <w:r>
        <w:rPr>
          <w:rFonts w:ascii="Times New Roman" w:cs="Times New Roman" w:eastAsia="Times New Roman" w:hAnsi="Times New Roman"/>
          <w:sz w:val="16"/>
          <w:szCs w:val="16"/>
          <w:color w:val="auto"/>
        </w:rPr>
        <w:t>Net loss</w:t>
      </w:r>
    </w:p>
    <w:p>
      <w:pPr>
        <w:spacing w:after="0" w:line="1" w:lineRule="exact"/>
        <w:rPr>
          <w:sz w:val="20"/>
          <w:szCs w:val="20"/>
          <w:color w:val="auto"/>
        </w:rPr>
      </w:pPr>
    </w:p>
    <w:p>
      <w:pPr>
        <w:ind w:left="20" w:right="140"/>
        <w:spacing w:after="0" w:line="298" w:lineRule="auto"/>
        <w:rPr>
          <w:sz w:val="20"/>
          <w:szCs w:val="20"/>
          <w:color w:val="auto"/>
        </w:rPr>
      </w:pPr>
      <w:r>
        <w:rPr>
          <w:rFonts w:ascii="Times New Roman" w:cs="Times New Roman" w:eastAsia="Times New Roman" w:hAnsi="Times New Roman"/>
          <w:sz w:val="16"/>
          <w:szCs w:val="16"/>
          <w:color w:val="auto"/>
        </w:rPr>
        <w:t>Issuance/Cancellation of restricted stock units</w:t>
      </w:r>
    </w:p>
    <w:p>
      <w:pPr>
        <w:spacing w:after="0" w:line="2" w:lineRule="exact"/>
        <w:rPr>
          <w:sz w:val="20"/>
          <w:szCs w:val="20"/>
          <w:color w:val="auto"/>
        </w:rPr>
      </w:pPr>
    </w:p>
    <w:p>
      <w:pPr>
        <w:ind w:left="20" w:right="160"/>
        <w:spacing w:after="0" w:line="298" w:lineRule="auto"/>
        <w:rPr>
          <w:sz w:val="20"/>
          <w:szCs w:val="20"/>
          <w:color w:val="auto"/>
        </w:rPr>
      </w:pPr>
      <w:r>
        <w:rPr>
          <w:rFonts w:ascii="Times New Roman" w:cs="Times New Roman" w:eastAsia="Times New Roman" w:hAnsi="Times New Roman"/>
          <w:sz w:val="16"/>
          <w:szCs w:val="16"/>
          <w:color w:val="auto"/>
        </w:rPr>
        <w:t>Purchases of common stock under ESPP</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73" w:lineRule="exact"/>
        <w:rPr>
          <w:sz w:val="20"/>
          <w:szCs w:val="20"/>
          <w:color w:val="auto"/>
        </w:rPr>
      </w:pPr>
    </w:p>
    <w:p>
      <w:pPr>
        <w:ind w:left="20" w:right="20"/>
        <w:spacing w:after="0" w:line="289" w:lineRule="auto"/>
        <w:rPr>
          <w:sz w:val="20"/>
          <w:szCs w:val="20"/>
          <w:color w:val="auto"/>
        </w:rPr>
      </w:pPr>
      <w:r>
        <w:rPr>
          <w:rFonts w:ascii="Times New Roman" w:cs="Times New Roman" w:eastAsia="Times New Roman" w:hAnsi="Times New Roman"/>
          <w:sz w:val="16"/>
          <w:szCs w:val="16"/>
          <w:color w:val="auto"/>
        </w:rPr>
        <w:t>Other comprehensive income, net of tax</w:t>
      </w:r>
    </w:p>
    <w:p>
      <w:pPr>
        <w:ind w:left="20"/>
        <w:spacing w:after="0"/>
        <w:rPr>
          <w:sz w:val="20"/>
          <w:szCs w:val="20"/>
          <w:color w:val="auto"/>
        </w:rPr>
      </w:pPr>
      <w:r>
        <w:rPr>
          <w:rFonts w:ascii="Times New Roman" w:cs="Times New Roman" w:eastAsia="Times New Roman" w:hAnsi="Times New Roman"/>
          <w:sz w:val="16"/>
          <w:szCs w:val="16"/>
          <w:b w:val="1"/>
          <w:bCs w:val="1"/>
          <w:color w:val="auto"/>
        </w:rPr>
        <w:t>Balance at August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Balance at May 31, 2019</w:t>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loss</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p>
      <w:pPr>
        <w:spacing w:after="0" w:line="73" w:lineRule="exact"/>
        <w:rPr>
          <w:sz w:val="20"/>
          <w:szCs w:val="20"/>
          <w:color w:val="auto"/>
        </w:rPr>
      </w:pPr>
    </w:p>
    <w:p>
      <w:pPr>
        <w:ind w:left="20" w:right="140"/>
        <w:spacing w:after="0" w:line="298" w:lineRule="auto"/>
        <w:rPr>
          <w:sz w:val="20"/>
          <w:szCs w:val="20"/>
          <w:color w:val="auto"/>
        </w:rPr>
      </w:pPr>
      <w:r>
        <w:rPr>
          <w:rFonts w:ascii="Times New Roman" w:cs="Times New Roman" w:eastAsia="Times New Roman" w:hAnsi="Times New Roman"/>
          <w:sz w:val="16"/>
          <w:szCs w:val="16"/>
          <w:color w:val="auto"/>
        </w:rPr>
        <w:t>Issuance/Cancellation of restricted stock units</w:t>
      </w:r>
    </w:p>
    <w:p>
      <w:pPr>
        <w:spacing w:after="0" w:line="2" w:lineRule="exact"/>
        <w:rPr>
          <w:sz w:val="20"/>
          <w:szCs w:val="20"/>
          <w:color w:val="auto"/>
        </w:rPr>
      </w:pPr>
    </w:p>
    <w:p>
      <w:pPr>
        <w:ind w:left="20" w:right="160"/>
        <w:spacing w:after="0" w:line="298" w:lineRule="auto"/>
        <w:rPr>
          <w:sz w:val="20"/>
          <w:szCs w:val="20"/>
          <w:color w:val="auto"/>
        </w:rPr>
      </w:pPr>
      <w:r>
        <w:rPr>
          <w:rFonts w:ascii="Times New Roman" w:cs="Times New Roman" w:eastAsia="Times New Roman" w:hAnsi="Times New Roman"/>
          <w:sz w:val="16"/>
          <w:szCs w:val="16"/>
          <w:color w:val="auto"/>
        </w:rPr>
        <w:t>Purchases of common stock under ESPP</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Balance at August 31,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40" w:type="dxa"/>
            <w:vAlign w:val="bottom"/>
            <w:gridSpan w:val="4"/>
            <w:vMerge w:val="restart"/>
          </w:tcPr>
          <w:p>
            <w:pPr>
              <w:jc w:val="right"/>
              <w:ind w:right="441"/>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65"/>
              <w:spacing w:after="0"/>
              <w:rPr>
                <w:sz w:val="20"/>
                <w:szCs w:val="20"/>
                <w:color w:val="auto"/>
              </w:rPr>
            </w:pPr>
            <w:r>
              <w:rPr>
                <w:rFonts w:ascii="Times New Roman" w:cs="Times New Roman" w:eastAsia="Times New Roman" w:hAnsi="Times New Roman"/>
                <w:sz w:val="14"/>
                <w:szCs w:val="14"/>
                <w:color w:val="auto"/>
              </w:rPr>
              <w:t>Accumulated</w:t>
            </w:r>
          </w:p>
        </w:tc>
        <w:tc>
          <w:tcPr>
            <w:tcW w:w="0" w:type="dxa"/>
            <w:vAlign w:val="bottom"/>
          </w:tcPr>
          <w:p>
            <w:pPr>
              <w:spacing w:after="0"/>
              <w:rPr>
                <w:sz w:val="1"/>
                <w:szCs w:val="1"/>
                <w:color w:val="auto"/>
              </w:rPr>
            </w:pPr>
          </w:p>
        </w:tc>
      </w:tr>
      <w:tr>
        <w:trPr>
          <w:trHeight w:val="163"/>
        </w:trPr>
        <w:tc>
          <w:tcPr>
            <w:tcW w:w="194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65"/>
              <w:spacing w:after="0" w:line="158" w:lineRule="exact"/>
              <w:rPr>
                <w:sz w:val="20"/>
                <w:szCs w:val="20"/>
                <w:color w:val="auto"/>
              </w:rPr>
            </w:pPr>
            <w:r>
              <w:rPr>
                <w:rFonts w:ascii="Times New Roman" w:cs="Times New Roman" w:eastAsia="Times New Roman" w:hAnsi="Times New Roman"/>
                <w:sz w:val="14"/>
                <w:szCs w:val="14"/>
                <w:color w:val="auto"/>
                <w:w w:val="97"/>
              </w:rPr>
              <w:t>other</w:t>
            </w:r>
          </w:p>
        </w:tc>
        <w:tc>
          <w:tcPr>
            <w:tcW w:w="0" w:type="dxa"/>
            <w:vAlign w:val="bottom"/>
          </w:tcPr>
          <w:p>
            <w:pPr>
              <w:spacing w:after="0"/>
              <w:rPr>
                <w:sz w:val="1"/>
                <w:szCs w:val="1"/>
                <w:color w:val="auto"/>
              </w:rPr>
            </w:pPr>
          </w:p>
        </w:tc>
      </w:tr>
      <w:tr>
        <w:trPr>
          <w:trHeight w:val="119"/>
        </w:trPr>
        <w:tc>
          <w:tcPr>
            <w:tcW w:w="12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19" w:lineRule="exact"/>
              <w:rPr>
                <w:sz w:val="20"/>
                <w:szCs w:val="20"/>
                <w:color w:val="auto"/>
              </w:rPr>
            </w:pPr>
            <w:r>
              <w:rPr>
                <w:rFonts w:ascii="Times New Roman" w:cs="Times New Roman" w:eastAsia="Times New Roman" w:hAnsi="Times New Roman"/>
                <w:sz w:val="13"/>
                <w:szCs w:val="13"/>
                <w:color w:val="auto"/>
              </w:rPr>
              <w:t>paid in</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3"/>
                <w:szCs w:val="13"/>
                <w:color w:val="auto"/>
              </w:rPr>
              <w:t>Accumulated</w:t>
            </w:r>
          </w:p>
        </w:tc>
        <w:tc>
          <w:tcPr>
            <w:tcW w:w="140" w:type="dxa"/>
            <w:vAlign w:val="bottom"/>
          </w:tcPr>
          <w:p>
            <w:pPr>
              <w:spacing w:after="0"/>
              <w:rPr>
                <w:sz w:val="10"/>
                <w:szCs w:val="10"/>
                <w:color w:val="auto"/>
              </w:rPr>
            </w:pPr>
          </w:p>
        </w:tc>
        <w:tc>
          <w:tcPr>
            <w:tcW w:w="1060" w:type="dxa"/>
            <w:vAlign w:val="bottom"/>
          </w:tcPr>
          <w:p>
            <w:pPr>
              <w:jc w:val="center"/>
              <w:ind w:right="65"/>
              <w:spacing w:after="0" w:line="119" w:lineRule="exact"/>
              <w:rPr>
                <w:sz w:val="20"/>
                <w:szCs w:val="20"/>
                <w:color w:val="auto"/>
              </w:rPr>
            </w:pPr>
            <w:r>
              <w:rPr>
                <w:rFonts w:ascii="Times New Roman" w:cs="Times New Roman" w:eastAsia="Times New Roman" w:hAnsi="Times New Roman"/>
                <w:sz w:val="13"/>
                <w:szCs w:val="13"/>
                <w:color w:val="auto"/>
              </w:rPr>
              <w:t>comprehensive</w:t>
            </w:r>
          </w:p>
        </w:tc>
        <w:tc>
          <w:tcPr>
            <w:tcW w:w="0" w:type="dxa"/>
            <w:vAlign w:val="bottom"/>
          </w:tcPr>
          <w:p>
            <w:pPr>
              <w:spacing w:after="0"/>
              <w:rPr>
                <w:sz w:val="1"/>
                <w:szCs w:val="1"/>
                <w:color w:val="auto"/>
              </w:rPr>
            </w:pPr>
          </w:p>
        </w:tc>
      </w:tr>
      <w:tr>
        <w:trPr>
          <w:trHeight w:val="193"/>
        </w:trPr>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deficit</w:t>
            </w:r>
          </w:p>
        </w:tc>
        <w:tc>
          <w:tcPr>
            <w:tcW w:w="140" w:type="dxa"/>
            <w:vAlign w:val="bottom"/>
          </w:tcPr>
          <w:p>
            <w:pPr>
              <w:spacing w:after="0"/>
              <w:rPr>
                <w:sz w:val="16"/>
                <w:szCs w:val="16"/>
                <w:color w:val="auto"/>
              </w:rPr>
            </w:pPr>
          </w:p>
        </w:tc>
        <w:tc>
          <w:tcPr>
            <w:tcW w:w="1060" w:type="dxa"/>
            <w:vAlign w:val="bottom"/>
          </w:tcPr>
          <w:p>
            <w:pPr>
              <w:jc w:val="center"/>
              <w:ind w:right="45"/>
              <w:spacing w:after="0"/>
              <w:rPr>
                <w:sz w:val="20"/>
                <w:szCs w:val="20"/>
                <w:color w:val="auto"/>
              </w:rPr>
            </w:pPr>
            <w:r>
              <w:rPr>
                <w:rFonts w:ascii="Times New Roman" w:cs="Times New Roman" w:eastAsia="Times New Roman" w:hAnsi="Times New Roman"/>
                <w:sz w:val="14"/>
                <w:szCs w:val="14"/>
                <w:color w:val="auto"/>
              </w:rPr>
              <w:t>income (loss)</w:t>
            </w:r>
          </w:p>
        </w:tc>
        <w:tc>
          <w:tcPr>
            <w:tcW w:w="0" w:type="dxa"/>
            <w:vAlign w:val="bottom"/>
          </w:tcPr>
          <w:p>
            <w:pPr>
              <w:spacing w:after="0"/>
              <w:rPr>
                <w:sz w:val="1"/>
                <w:szCs w:val="1"/>
                <w:color w:val="auto"/>
              </w:rPr>
            </w:pPr>
          </w:p>
        </w:tc>
      </w:tr>
      <w:tr>
        <w:trPr>
          <w:trHeight w:val="222"/>
        </w:trPr>
        <w:tc>
          <w:tcPr>
            <w:tcW w:w="11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38,448,536</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374</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561,871</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(100,318)</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164,946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79,596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1,864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2,095</w:t>
            </w:r>
          </w:p>
        </w:tc>
        <w:tc>
          <w:tcPr>
            <w:tcW w:w="0" w:type="dxa"/>
            <w:vAlign w:val="bottom"/>
          </w:tcPr>
          <w:p>
            <w:pPr>
              <w:spacing w:after="0"/>
              <w:rPr>
                <w:sz w:val="1"/>
                <w:szCs w:val="1"/>
                <w:color w:val="auto"/>
              </w:rPr>
            </w:pPr>
          </w:p>
        </w:tc>
      </w:tr>
      <w:tr>
        <w:trPr>
          <w:trHeight w:val="33"/>
        </w:trPr>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38,693,078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564,225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(104,586)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754</w:t>
            </w:r>
          </w:p>
        </w:tc>
        <w:tc>
          <w:tcPr>
            <w:tcW w:w="0" w:type="dxa"/>
            <w:vAlign w:val="bottom"/>
          </w:tcPr>
          <w:p>
            <w:pPr>
              <w:spacing w:after="0"/>
              <w:rPr>
                <w:sz w:val="1"/>
                <w:szCs w:val="1"/>
                <w:color w:val="auto"/>
              </w:rPr>
            </w:pPr>
          </w:p>
        </w:tc>
      </w:tr>
      <w:tr>
        <w:trPr>
          <w:trHeight w:val="33"/>
        </w:trPr>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-1550670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-1216660</wp:posOffset>
            </wp:positionV>
            <wp:extent cx="7132320"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-633730</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-179070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gridSpan w:val="4"/>
            <w:vMerge w:val="restart"/>
          </w:tcPr>
          <w:p>
            <w:pPr>
              <w:jc w:val="right"/>
              <w:ind w:right="461"/>
              <w:spacing w:after="0"/>
              <w:rPr>
                <w:sz w:val="20"/>
                <w:szCs w:val="20"/>
                <w:color w:val="auto"/>
              </w:rPr>
            </w:pPr>
            <w:r>
              <w:rPr>
                <w:rFonts w:ascii="Times New Roman" w:cs="Times New Roman" w:eastAsia="Times New Roman" w:hAnsi="Times New Roman"/>
                <w:sz w:val="14"/>
                <w:szCs w:val="14"/>
                <w:color w:val="auto"/>
              </w:rPr>
              <w:t>Common Stock</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Additional</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65"/>
              <w:spacing w:after="0"/>
              <w:rPr>
                <w:sz w:val="20"/>
                <w:szCs w:val="20"/>
                <w:color w:val="auto"/>
              </w:rPr>
            </w:pPr>
            <w:r>
              <w:rPr>
                <w:rFonts w:ascii="Times New Roman" w:cs="Times New Roman" w:eastAsia="Times New Roman" w:hAnsi="Times New Roman"/>
                <w:sz w:val="14"/>
                <w:szCs w:val="14"/>
                <w:color w:val="auto"/>
              </w:rPr>
              <w:t>Accumulated</w:t>
            </w:r>
          </w:p>
        </w:tc>
        <w:tc>
          <w:tcPr>
            <w:tcW w:w="0" w:type="dxa"/>
            <w:vAlign w:val="bottom"/>
          </w:tcPr>
          <w:p>
            <w:pPr>
              <w:spacing w:after="0"/>
              <w:rPr>
                <w:sz w:val="1"/>
                <w:szCs w:val="1"/>
                <w:color w:val="auto"/>
              </w:rPr>
            </w:pPr>
          </w:p>
        </w:tc>
      </w:tr>
      <w:tr>
        <w:trPr>
          <w:trHeight w:val="163"/>
        </w:trPr>
        <w:tc>
          <w:tcPr>
            <w:tcW w:w="196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65"/>
              <w:spacing w:after="0" w:line="158" w:lineRule="exact"/>
              <w:rPr>
                <w:sz w:val="20"/>
                <w:szCs w:val="20"/>
                <w:color w:val="auto"/>
              </w:rPr>
            </w:pPr>
            <w:r>
              <w:rPr>
                <w:rFonts w:ascii="Times New Roman" w:cs="Times New Roman" w:eastAsia="Times New Roman" w:hAnsi="Times New Roman"/>
                <w:sz w:val="14"/>
                <w:szCs w:val="14"/>
                <w:color w:val="auto"/>
                <w:w w:val="97"/>
              </w:rPr>
              <w:t>other</w:t>
            </w:r>
          </w:p>
        </w:tc>
        <w:tc>
          <w:tcPr>
            <w:tcW w:w="0" w:type="dxa"/>
            <w:vAlign w:val="bottom"/>
          </w:tcPr>
          <w:p>
            <w:pPr>
              <w:spacing w:after="0"/>
              <w:rPr>
                <w:sz w:val="1"/>
                <w:szCs w:val="1"/>
                <w:color w:val="auto"/>
              </w:rPr>
            </w:pPr>
          </w:p>
        </w:tc>
      </w:tr>
      <w:tr>
        <w:trPr>
          <w:trHeight w:val="119"/>
        </w:trPr>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0"/>
                <w:szCs w:val="10"/>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0"/>
                <w:szCs w:val="10"/>
                <w:color w:val="auto"/>
              </w:rPr>
            </w:pPr>
          </w:p>
        </w:tc>
        <w:tc>
          <w:tcPr>
            <w:tcW w:w="920" w:type="dxa"/>
            <w:vAlign w:val="bottom"/>
            <w:gridSpan w:val="2"/>
          </w:tcPr>
          <w:p>
            <w:pPr>
              <w:jc w:val="center"/>
              <w:ind w:right="240"/>
              <w:spacing w:after="0" w:line="119" w:lineRule="exact"/>
              <w:rPr>
                <w:sz w:val="20"/>
                <w:szCs w:val="20"/>
                <w:color w:val="auto"/>
              </w:rPr>
            </w:pPr>
            <w:r>
              <w:rPr>
                <w:rFonts w:ascii="Times New Roman" w:cs="Times New Roman" w:eastAsia="Times New Roman" w:hAnsi="Times New Roman"/>
                <w:sz w:val="13"/>
                <w:szCs w:val="13"/>
                <w:color w:val="auto"/>
              </w:rPr>
              <w:t>paid in</w:t>
            </w:r>
          </w:p>
        </w:tc>
        <w:tc>
          <w:tcPr>
            <w:tcW w:w="180" w:type="dxa"/>
            <w:vAlign w:val="bottom"/>
          </w:tcPr>
          <w:p>
            <w:pPr>
              <w:spacing w:after="0"/>
              <w:rPr>
                <w:sz w:val="10"/>
                <w:szCs w:val="10"/>
                <w:color w:val="auto"/>
              </w:rPr>
            </w:pPr>
          </w:p>
        </w:tc>
        <w:tc>
          <w:tcPr>
            <w:tcW w:w="980" w:type="dxa"/>
            <w:vAlign w:val="bottom"/>
            <w:gridSpan w:val="2"/>
          </w:tcPr>
          <w:p>
            <w:pPr>
              <w:ind w:left="80"/>
              <w:spacing w:after="0" w:line="119" w:lineRule="exact"/>
              <w:rPr>
                <w:sz w:val="20"/>
                <w:szCs w:val="20"/>
                <w:color w:val="auto"/>
              </w:rPr>
            </w:pPr>
            <w:r>
              <w:rPr>
                <w:rFonts w:ascii="Times New Roman" w:cs="Times New Roman" w:eastAsia="Times New Roman" w:hAnsi="Times New Roman"/>
                <w:sz w:val="13"/>
                <w:szCs w:val="13"/>
                <w:color w:val="auto"/>
              </w:rPr>
              <w:t>Retained</w:t>
            </w:r>
          </w:p>
        </w:tc>
        <w:tc>
          <w:tcPr>
            <w:tcW w:w="140" w:type="dxa"/>
            <w:vAlign w:val="bottom"/>
          </w:tcPr>
          <w:p>
            <w:pPr>
              <w:spacing w:after="0"/>
              <w:rPr>
                <w:sz w:val="10"/>
                <w:szCs w:val="10"/>
                <w:color w:val="auto"/>
              </w:rPr>
            </w:pPr>
          </w:p>
        </w:tc>
        <w:tc>
          <w:tcPr>
            <w:tcW w:w="1060" w:type="dxa"/>
            <w:vAlign w:val="bottom"/>
          </w:tcPr>
          <w:p>
            <w:pPr>
              <w:jc w:val="center"/>
              <w:ind w:right="65"/>
              <w:spacing w:after="0" w:line="119" w:lineRule="exact"/>
              <w:rPr>
                <w:sz w:val="20"/>
                <w:szCs w:val="20"/>
                <w:color w:val="auto"/>
              </w:rPr>
            </w:pPr>
            <w:r>
              <w:rPr>
                <w:rFonts w:ascii="Times New Roman" w:cs="Times New Roman" w:eastAsia="Times New Roman" w:hAnsi="Times New Roman"/>
                <w:sz w:val="13"/>
                <w:szCs w:val="13"/>
                <w:color w:val="auto"/>
              </w:rPr>
              <w:t>comprehensive</w:t>
            </w:r>
          </w:p>
        </w:tc>
        <w:tc>
          <w:tcPr>
            <w:tcW w:w="0" w:type="dxa"/>
            <w:vAlign w:val="bottom"/>
          </w:tcPr>
          <w:p>
            <w:pPr>
              <w:spacing w:after="0"/>
              <w:rPr>
                <w:sz w:val="1"/>
                <w:szCs w:val="1"/>
                <w:color w:val="auto"/>
              </w:rPr>
            </w:pPr>
          </w:p>
        </w:tc>
      </w:tr>
      <w:tr>
        <w:trPr>
          <w:trHeight w:val="193"/>
        </w:trPr>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capital</w:t>
            </w:r>
          </w:p>
        </w:tc>
        <w:tc>
          <w:tcPr>
            <w:tcW w:w="18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Pr>
          <w:p>
            <w:pPr>
              <w:spacing w:after="0"/>
              <w:rPr>
                <w:sz w:val="16"/>
                <w:szCs w:val="16"/>
                <w:color w:val="auto"/>
              </w:rPr>
            </w:pPr>
          </w:p>
        </w:tc>
        <w:tc>
          <w:tcPr>
            <w:tcW w:w="1060" w:type="dxa"/>
            <w:vAlign w:val="bottom"/>
          </w:tcPr>
          <w:p>
            <w:pPr>
              <w:jc w:val="center"/>
              <w:ind w:right="65"/>
              <w:spacing w:after="0"/>
              <w:rPr>
                <w:sz w:val="20"/>
                <w:szCs w:val="20"/>
                <w:color w:val="auto"/>
              </w:rPr>
            </w:pPr>
            <w:r>
              <w:rPr>
                <w:rFonts w:ascii="Times New Roman" w:cs="Times New Roman" w:eastAsia="Times New Roman" w:hAnsi="Times New Roman"/>
                <w:sz w:val="14"/>
                <w:szCs w:val="14"/>
                <w:color w:val="auto"/>
              </w:rPr>
              <w:t>loss</w:t>
            </w:r>
          </w:p>
        </w:tc>
        <w:tc>
          <w:tcPr>
            <w:tcW w:w="0" w:type="dxa"/>
            <w:vAlign w:val="bottom"/>
          </w:tcPr>
          <w:p>
            <w:pPr>
              <w:spacing w:after="0"/>
              <w:rPr>
                <w:sz w:val="1"/>
                <w:szCs w:val="1"/>
                <w:color w:val="auto"/>
              </w:rPr>
            </w:pPr>
          </w:p>
        </w:tc>
      </w:tr>
      <w:tr>
        <w:trPr>
          <w:trHeight w:val="222"/>
        </w:trPr>
        <w:tc>
          <w:tcPr>
            <w:tcW w:w="11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37,984,382</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555,040</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66,469</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0" w:type="dxa"/>
            <w:vAlign w:val="bottom"/>
          </w:tcPr>
          <w:p>
            <w:pPr>
              <w:spacing w:after="0"/>
              <w:rPr>
                <w:sz w:val="1"/>
                <w:szCs w:val="1"/>
                <w:color w:val="auto"/>
              </w:rPr>
            </w:pPr>
          </w:p>
        </w:tc>
      </w:tr>
      <w:tr>
        <w:trPr>
          <w:trHeight w:val="256"/>
        </w:trPr>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(1,275)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48,136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287,087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40,270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33"/>
        </w:trPr>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38,359,875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555,723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65,194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0" w:type="dxa"/>
            <w:vAlign w:val="bottom"/>
          </w:tcPr>
          <w:p>
            <w:pPr>
              <w:spacing w:after="0"/>
              <w:rPr>
                <w:sz w:val="1"/>
                <w:szCs w:val="1"/>
                <w:color w:val="auto"/>
              </w:rPr>
            </w:pPr>
          </w:p>
        </w:tc>
      </w:tr>
      <w:tr>
        <w:trPr>
          <w:trHeight w:val="33"/>
        </w:trPr>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-1585595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-1250950</wp:posOffset>
            </wp:positionV>
            <wp:extent cx="713232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-796290</wp:posOffset>
            </wp:positionV>
            <wp:extent cx="7132320"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-342265</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1200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240" w:type="dxa"/>
            <w:vAlign w:val="bottom"/>
          </w:tcPr>
          <w:p>
            <w:pPr>
              <w:spacing w:after="0"/>
              <w:rPr>
                <w:sz w:val="16"/>
                <w:szCs w:val="16"/>
                <w:color w:val="auto"/>
              </w:rPr>
            </w:pPr>
          </w:p>
        </w:tc>
        <w:tc>
          <w:tcPr>
            <w:tcW w:w="780" w:type="dxa"/>
            <w:vAlign w:val="bottom"/>
          </w:tcPr>
          <w:p>
            <w:pPr>
              <w:jc w:val="right"/>
              <w:ind w:right="280"/>
              <w:spacing w:after="0"/>
              <w:rPr>
                <w:sz w:val="20"/>
                <w:szCs w:val="20"/>
                <w:color w:val="auto"/>
              </w:rPr>
            </w:pPr>
            <w:r>
              <w:rPr>
                <w:rFonts w:ascii="Times New Roman" w:cs="Times New Roman" w:eastAsia="Times New Roman" w:hAnsi="Times New Roman"/>
                <w:sz w:val="14"/>
                <w:szCs w:val="14"/>
                <w:color w:val="auto"/>
              </w:rPr>
              <w:t>Total</w:t>
            </w:r>
          </w:p>
        </w:tc>
      </w:tr>
      <w:tr>
        <w:trPr>
          <w:trHeight w:val="222"/>
        </w:trPr>
        <w:tc>
          <w:tcPr>
            <w:tcW w:w="98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(370,000)</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454,872</w:t>
            </w:r>
          </w:p>
        </w:tc>
      </w:tr>
      <w:tr>
        <w:trPr>
          <w:trHeight w:val="257"/>
        </w:trPr>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(4,268)</w:t>
            </w:r>
          </w:p>
        </w:tc>
      </w:tr>
      <w:tr>
        <w:trPr>
          <w:trHeight w:val="459"/>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459"/>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r>
      <w:tr>
        <w:trPr>
          <w:trHeight w:val="257"/>
        </w:trPr>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w:t>
            </w:r>
          </w:p>
        </w:tc>
      </w:tr>
      <w:tr>
        <w:trPr>
          <w:trHeight w:val="459"/>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w:t>
            </w:r>
          </w:p>
        </w:tc>
      </w:tr>
      <w:tr>
        <w:trPr>
          <w:trHeight w:val="33"/>
        </w:trPr>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(370,000)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455,054</w:t>
            </w:r>
          </w:p>
        </w:tc>
      </w:tr>
      <w:tr>
        <w:trPr>
          <w:trHeight w:val="33"/>
        </w:trPr>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12001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240" w:type="dxa"/>
            <w:vAlign w:val="bottom"/>
          </w:tcPr>
          <w:p>
            <w:pPr>
              <w:spacing w:after="0"/>
              <w:rPr>
                <w:sz w:val="16"/>
                <w:szCs w:val="16"/>
                <w:color w:val="auto"/>
              </w:rPr>
            </w:pPr>
          </w:p>
        </w:tc>
        <w:tc>
          <w:tcPr>
            <w:tcW w:w="780" w:type="dxa"/>
            <w:vAlign w:val="bottom"/>
          </w:tcPr>
          <w:p>
            <w:pPr>
              <w:jc w:val="right"/>
              <w:ind w:right="280"/>
              <w:spacing w:after="0"/>
              <w:rPr>
                <w:sz w:val="20"/>
                <w:szCs w:val="20"/>
                <w:color w:val="auto"/>
              </w:rPr>
            </w:pPr>
            <w:r>
              <w:rPr>
                <w:rFonts w:ascii="Times New Roman" w:cs="Times New Roman" w:eastAsia="Times New Roman" w:hAnsi="Times New Roman"/>
                <w:sz w:val="14"/>
                <w:szCs w:val="14"/>
                <w:color w:val="auto"/>
              </w:rPr>
              <w:t>Total</w:t>
            </w:r>
          </w:p>
        </w:tc>
      </w:tr>
      <w:tr>
        <w:trPr>
          <w:trHeight w:val="222"/>
        </w:trPr>
        <w:tc>
          <w:tcPr>
            <w:tcW w:w="98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(370,000)</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614,815</w:t>
            </w:r>
          </w:p>
        </w:tc>
      </w:tr>
      <w:tr>
        <w:trPr>
          <w:trHeight w:val="256"/>
        </w:trPr>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w:t>
            </w:r>
          </w:p>
        </w:tc>
      </w:tr>
      <w:tr>
        <w:trPr>
          <w:trHeight w:val="257"/>
        </w:trPr>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r>
      <w:tr>
        <w:trPr>
          <w:trHeight w:val="459"/>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(2,459)</w:t>
            </w:r>
          </w:p>
        </w:tc>
      </w:tr>
      <w:tr>
        <w:trPr>
          <w:trHeight w:val="459"/>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r>
      <w:tr>
        <w:trPr>
          <w:trHeight w:val="256"/>
        </w:trPr>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w:t>
            </w:r>
          </w:p>
        </w:tc>
      </w:tr>
      <w:tr>
        <w:trPr>
          <w:trHeight w:val="257"/>
        </w:trPr>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33"/>
        </w:trPr>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(370,000)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614,073</w:t>
            </w:r>
          </w:p>
        </w:tc>
      </w:tr>
      <w:tr>
        <w:trPr>
          <w:trHeight w:val="33"/>
        </w:trPr>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3">
            <w:col w:w="2400" w:space="240"/>
            <w:col w:w="5480" w:space="100"/>
            <w:col w:w="3020"/>
          </w:cols>
          <w:pgMar w:left="320" w:top="118" w:right="339" w:bottom="1440" w:gutter="0" w:footer="0" w:header="0"/>
          <w:type w:val="continuous"/>
        </w:sect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 w:name="page9"/>
    <w:bookmarkEnd w:id="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153"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The Consolidated Balance Sheet as of August 31, 2020, the Consolidated Statements of Operations and the Consolidated Statements of Comprehensive Loss for the three months ended August 31, 2020 and August 31, 2019, the Consolidated Statements of Stockholders’ Equity for the three months ended August 31, 2020 and August 31, 2019 and the Consolidated Statements of Cash Flows for the three months ended August 31, 2020 and August 31, 2019 have been prepared by the Company and are unaudited. The Consolidated Balance Sheet as of May 31, 2020 was derived from audited consolidated financial statements but does not include all disclosures required by accounting principles generally accepted in the United States of America. In the opinion of management, all adjustments (consisting of normal recurring adjustments) necessary to state fairly the financial position, changes in stockholders’ equity and comprehensive income, results of operations and cash flows as of and for the period ended August 31, 2020 (and for all periods presented) have been made.</w:t>
      </w:r>
    </w:p>
    <w:p>
      <w:pPr>
        <w:spacing w:after="0" w:line="138" w:lineRule="exact"/>
        <w:rPr>
          <w:sz w:val="20"/>
          <w:szCs w:val="20"/>
          <w:color w:val="auto"/>
        </w:rPr>
      </w:pPr>
    </w:p>
    <w:p>
      <w:pPr>
        <w:ind w:right="200" w:firstLine="405"/>
        <w:spacing w:after="0" w:line="312" w:lineRule="auto"/>
        <w:rPr>
          <w:sz w:val="20"/>
          <w:szCs w:val="20"/>
          <w:color w:val="auto"/>
        </w:rPr>
      </w:pPr>
      <w:r>
        <w:rPr>
          <w:rFonts w:ascii="Times New Roman" w:cs="Times New Roman" w:eastAsia="Times New Roman" w:hAnsi="Times New Roman"/>
          <w:sz w:val="17"/>
          <w:szCs w:val="17"/>
          <w:color w:val="auto"/>
        </w:rPr>
        <w:t>The unaudited interim consolidated financial statements for the three months ended August 31, 2020 and August 31, 2019 include the accounts of AngioDynamics, Inc. and its wholly owned subsidiaries, collectively, the “Company”. All intercompany balances and transactions have been eliminated.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C3 Wave Tip Location Acquisition</w:t>
      </w:r>
    </w:p>
    <w:p>
      <w:pPr>
        <w:spacing w:after="0" w:line="175"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On December 17, 2019, the Company acquired the C3 Wave tip location asset from Medical Components Inc. for an aggregate purchase price of $10.0 million with $5.0 million of potential future contingent consideration related to technical milestones. This acquisition fills a gap in the Vascular Access portfolio and supports the Company's strategic plan. The Company accounted for this acquisition as an asset purchase. The Company recorded the amount paid at closing as inventory of $0.6 million and intangible assets of a trademark of $0.9 million and product technology of $8.5 million. The intangible assets will be amortized over 15 years. The contingent consideration is comprised of technical milestones and will be accounted for when the contingency is resolved or becomes probable and reasonably estimable.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Eximo Acquisition</w:t>
      </w:r>
    </w:p>
    <w:p>
      <w:pPr>
        <w:spacing w:after="0" w:line="175"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On October 2, 2019, the Company entered into a share purchase agreement to acquire Eximo Medical, Ltd., a pre-commercial stage medical device company and its proprietary 355nm B Laser Atherectomy technology. The aggregate purchase price of $60.7 million included an upfront payment of $45.8 million and contingent consideration with an estimated fair value of $14.9 million. This acquisition expands and complements the Company’s Vascular Interventions and Therapies product portfolio by adding the 355nm B Laser Atherectomy technology which treats Peripheral Artery Disease.</w:t>
      </w:r>
    </w:p>
    <w:p>
      <w:pPr>
        <w:spacing w:after="0" w:line="126"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Company accounted for the Eximo acquisition under the acquisition method of accounting for business combinations. Accordingly, the cost to acquire the assets was allocated to the underlying net assets in proportion to estimates of their respective fair values. The excess of the purchase price over the estimated fair value of the net assets acquired was recorded as goodwill. Goodwill is non-deductible for income tax purposes.</w:t>
      </w:r>
    </w:p>
    <w:p>
      <w:pPr>
        <w:spacing w:after="0" w:line="12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Company has not disclosed the amount of revenue and earnings for sales of Eximo products since acquisition, nor proforma information, because these amounts are not significant to the Company's financial statements. Acquisition-related costs associated with the Eximo acquisition, which are included in "acquisition, restructuring and other items, net" in the accompanying Consolidated Statements of Operations, were approximately $0.6 million in fiscal year 2020. The following table summarizes the final aggregate purchase price allocated to the net assets acquired: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Final allocation</w:t>
            </w:r>
          </w:p>
        </w:tc>
      </w:tr>
      <w:tr>
        <w:trPr>
          <w:trHeight w:val="248"/>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7"/>
        </w:trPr>
        <w:tc>
          <w:tcPr>
            <w:tcW w:w="9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deposits</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9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4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9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60,300</w:t>
            </w:r>
          </w:p>
        </w:tc>
      </w:tr>
      <w:tr>
        <w:trPr>
          <w:trHeight w:val="24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11,427</w:t>
            </w:r>
          </w:p>
        </w:tc>
      </w:tr>
      <w:tr>
        <w:trPr>
          <w:trHeight w:val="27"/>
        </w:trPr>
        <w:tc>
          <w:tcPr>
            <w:tcW w:w="9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72,429</w:t>
            </w:r>
          </w:p>
        </w:tc>
      </w:tr>
      <w:tr>
        <w:trPr>
          <w:trHeight w:val="24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9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4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7"/>
        </w:trPr>
        <w:tc>
          <w:tcPr>
            <w:tcW w:w="9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w:t>
            </w:r>
          </w:p>
        </w:tc>
      </w:tr>
      <w:tr>
        <w:trPr>
          <w:trHeight w:val="237"/>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11,769</w:t>
            </w:r>
          </w:p>
        </w:tc>
      </w:tr>
      <w:tr>
        <w:trPr>
          <w:trHeight w:val="27"/>
        </w:trPr>
        <w:tc>
          <w:tcPr>
            <w:tcW w:w="9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88"/>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60,660</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finalized the allocation of the purchase price to the assets acquired and liabilities assumed in the fourth quarter of fiscal year 2020.</w:t>
      </w:r>
    </w:p>
    <w:p>
      <w:pPr>
        <w:spacing w:after="0" w:line="171"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value assigned to the product technology was derived using the multi-period excess earnings method under the income approach. This approach estimates the excess earnings generated over the lives of the customers that existed as of the acquisition date and discounts such earnings to present value. The product technology is deemed to have a useful life of fifteen years and will be amortized on a straight-line basis over the useful life.</w:t>
      </w:r>
    </w:p>
    <w:p>
      <w:pPr>
        <w:spacing w:after="0" w:line="122"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goodwill arising from the acquisition consists largely of synergies and economies of scale the Company hopes to achieve from combining the acquired assets with the Company's current operations.</w:t>
      </w:r>
    </w:p>
    <w:p>
      <w:pPr>
        <w:spacing w:after="0" w:line="158" w:lineRule="exact"/>
        <w:rPr>
          <w:sz w:val="20"/>
          <w:szCs w:val="20"/>
          <w:color w:val="auto"/>
        </w:rPr>
      </w:pPr>
    </w:p>
    <w:p>
      <w:pPr>
        <w:ind w:right="6660" w:firstLine="8"/>
        <w:spacing w:after="0" w:line="534"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Revenue Recognition</w:t>
      </w:r>
    </w:p>
    <w:p>
      <w:pPr>
        <w:spacing w:after="0" w:line="1"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has one primary revenue stream which is the sales of its products.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summarize net product revenue by Global Business Unit ("GBU") and geography: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center"/>
              <w:ind w:left="496"/>
              <w:spacing w:after="0"/>
              <w:rPr>
                <w:sz w:val="20"/>
                <w:szCs w:val="20"/>
                <w:color w:val="auto"/>
              </w:rPr>
            </w:pPr>
            <w:r>
              <w:rPr>
                <w:rFonts w:ascii="Times New Roman" w:cs="Times New Roman" w:eastAsia="Times New Roman" w:hAnsi="Times New Roman"/>
                <w:sz w:val="14"/>
                <w:szCs w:val="14"/>
                <w:color w:val="auto"/>
              </w:rPr>
              <w:t>Three Months Ended Aug 31, 2020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center"/>
              <w:ind w:left="516"/>
              <w:spacing w:after="0"/>
              <w:rPr>
                <w:sz w:val="20"/>
                <w:szCs w:val="20"/>
                <w:color w:val="auto"/>
              </w:rPr>
            </w:pPr>
            <w:r>
              <w:rPr>
                <w:rFonts w:ascii="Times New Roman" w:cs="Times New Roman" w:eastAsia="Times New Roman" w:hAnsi="Times New Roman"/>
                <w:sz w:val="14"/>
                <w:szCs w:val="14"/>
                <w:color w:val="auto"/>
              </w:rPr>
              <w:t>Three Months Ended Aug 31, 2019</w:t>
            </w:r>
          </w:p>
        </w:tc>
        <w:tc>
          <w:tcPr>
            <w:tcW w:w="740" w:type="dxa"/>
            <w:vAlign w:val="bottom"/>
            <w:tcBorders>
              <w:bottom w:val="single" w:sz="8" w:color="auto"/>
            </w:tcBorders>
          </w:tcPr>
          <w:p>
            <w:pPr>
              <w:spacing w:after="0"/>
              <w:rPr>
                <w:sz w:val="16"/>
                <w:szCs w:val="16"/>
                <w:color w:val="auto"/>
              </w:rPr>
            </w:pPr>
          </w:p>
        </w:tc>
      </w:tr>
      <w:tr>
        <w:trPr>
          <w:trHeight w:val="198"/>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International</w:t>
            </w:r>
          </w:p>
        </w:tc>
        <w:tc>
          <w:tcPr>
            <w:tcW w:w="38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International</w:t>
            </w:r>
          </w:p>
        </w:tc>
        <w:tc>
          <w:tcPr>
            <w:tcW w:w="380" w:type="dxa"/>
            <w:vAlign w:val="bottom"/>
          </w:tcPr>
          <w:p>
            <w:pPr>
              <w:spacing w:after="0"/>
              <w:rPr>
                <w:sz w:val="17"/>
                <w:szCs w:val="17"/>
                <w:color w:val="auto"/>
              </w:rPr>
            </w:pPr>
          </w:p>
        </w:tc>
        <w:tc>
          <w:tcPr>
            <w:tcW w:w="740" w:type="dxa"/>
            <w:vAlign w:val="bottom"/>
          </w:tcPr>
          <w:p>
            <w:pPr>
              <w:jc w:val="right"/>
              <w:ind w:right="334"/>
              <w:spacing w:after="0"/>
              <w:rPr>
                <w:sz w:val="20"/>
                <w:szCs w:val="20"/>
                <w:color w:val="auto"/>
              </w:rPr>
            </w:pPr>
            <w:r>
              <w:rPr>
                <w:rFonts w:ascii="Times New Roman" w:cs="Times New Roman" w:eastAsia="Times New Roman" w:hAnsi="Times New Roman"/>
                <w:sz w:val="14"/>
                <w:szCs w:val="14"/>
                <w:color w:val="auto"/>
              </w:rPr>
              <w:t>Total</w:t>
            </w:r>
          </w:p>
        </w:tc>
      </w:tr>
      <w:tr>
        <w:trPr>
          <w:trHeight w:val="235"/>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Vascular Interventions &amp; Therapies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26,981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28,913</w:t>
            </w:r>
          </w:p>
        </w:tc>
      </w:tr>
      <w:tr>
        <w:trPr>
          <w:trHeight w:val="27"/>
        </w:trPr>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Vascular Access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19,222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23,159</w:t>
            </w:r>
          </w:p>
        </w:tc>
      </w:tr>
      <w:tr>
        <w:trPr>
          <w:trHeight w:val="243"/>
        </w:trPr>
        <w:tc>
          <w:tcPr>
            <w:tcW w:w="4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Oncology</w:t>
            </w:r>
          </w:p>
        </w:tc>
        <w:tc>
          <w:tcPr>
            <w:tcW w:w="14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7,905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5,993</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13,970</w:t>
            </w:r>
          </w:p>
        </w:tc>
      </w:tr>
      <w:tr>
        <w:trPr>
          <w:trHeight w:val="27"/>
        </w:trPr>
        <w:tc>
          <w:tcPr>
            <w:tcW w:w="4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89"/>
        </w:trPr>
        <w:tc>
          <w:tcPr>
            <w:tcW w:w="40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54,108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16,108</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13,105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66,042</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 w:name="page11"/>
    <w:bookmarkEnd w:id="1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Product Revenue</w:t>
      </w:r>
    </w:p>
    <w:p>
      <w:pPr>
        <w:spacing w:after="0" w:line="162"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Company's products consist of a wide range of medical, surgical and diagnostic devices used by professional healthcare providers for vascular access, for the treatment of peripheral vascular disease and for use in oncology and surgical settings. The Company's devices are generally used in minimally invasive, image-guided procedures. Most of the Company's products are intended to be used once and then discarded, or they may be implanted for short or long term use. The Company sells its products to its distribution partners and to end users, such as interventional radiologists, interventional cardiologists, vascular surgeons, urologists, interventional and surgical oncologists and critical care nurses.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and Performance Obligations</w:t>
      </w:r>
    </w:p>
    <w:p>
      <w:pPr>
        <w:spacing w:after="0" w:line="173"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and Allocation to Performance Obligations</w:t>
      </w:r>
    </w:p>
    <w:p>
      <w:pPr>
        <w:spacing w:after="0" w:line="173" w:lineRule="exact"/>
        <w:rPr>
          <w:sz w:val="20"/>
          <w:szCs w:val="20"/>
          <w:color w:val="auto"/>
        </w:rPr>
      </w:pPr>
    </w:p>
    <w:p>
      <w:pPr>
        <w:jc w:val="both"/>
        <w:ind w:right="320" w:firstLine="405"/>
        <w:spacing w:after="0" w:line="261" w:lineRule="auto"/>
        <w:rPr>
          <w:sz w:val="20"/>
          <w:szCs w:val="20"/>
          <w:color w:val="auto"/>
        </w:rPr>
      </w:pPr>
      <w:r>
        <w:rPr>
          <w:rFonts w:ascii="Times New Roman" w:cs="Times New Roman" w:eastAsia="Times New Roman" w:hAnsi="Times New Roman"/>
          <w:sz w:val="18"/>
          <w:szCs w:val="18"/>
          <w:color w:val="auto"/>
        </w:rPr>
        <w:t>Transaction prices of products are typically based on contracted rates. Product revenue is measured as the amount of consideration the Company expects to receive in exchange for transferring products to a customer. To the extent the transaction price includes variable consideration, the Company estimates the amount of variable consideration that should be included in the transaction price utilizing the expected value method. As such, revenue is recorded net of rebates, returns and other deductions.</w:t>
      </w:r>
    </w:p>
    <w:p>
      <w:pPr>
        <w:spacing w:after="0" w:line="126"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contractual shipping terms of a contract.</w:t>
      </w:r>
    </w:p>
    <w:p>
      <w:pPr>
        <w:spacing w:after="0" w:line="122"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In determining whether control has transferred, the Company considers if there is a present right to payment from the customer and when physical possession, legal title and risks and rewards of ownership have transferred to the customer.</w:t>
      </w:r>
    </w:p>
    <w:p>
      <w:pPr>
        <w:spacing w:after="0" w:line="1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Sales, value add, and other taxes collected on behalf of third parties are excluded from revenue.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173" w:lineRule="exact"/>
        <w:rPr>
          <w:sz w:val="20"/>
          <w:szCs w:val="20"/>
          <w:color w:val="auto"/>
        </w:rPr>
      </w:pPr>
    </w:p>
    <w:p>
      <w:pPr>
        <w:jc w:val="both"/>
        <w:ind w:right="360" w:firstLine="405"/>
        <w:spacing w:after="0" w:line="266"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contra asset.</w:t>
      </w:r>
    </w:p>
    <w:p>
      <w:pPr>
        <w:spacing w:after="0" w:line="122"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Rebates and Allowances: The Company provides certain customers with rebates and allowances that are explicitly stated in the Company’s contracts and are recorded as a reduction of revenue in the period the related product revenue is recognized. The Company establishes a liability for such amounts, which is included in accrued expenses in the accompanying Consolidated Balance Sheets. These rebates and allowances result from performance-based offers that are primarily based on attaining contractually specified sales volumes and administrative fees the Company is required to pay to group purchasing organizations.</w:t>
      </w:r>
    </w:p>
    <w:p>
      <w:pPr>
        <w:spacing w:after="0" w:line="129"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Product Returns: The Company generally offers customers a limited right of return. Product returns after 30 days must be pre-approved by the Company and customers may be subject to a 20% restocking charge. To be accepted, a returned product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During the three months ended August 31, 2020, such product returns were not material.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 with Customers</w:t>
      </w:r>
    </w:p>
    <w:p>
      <w:pPr>
        <w:spacing w:after="0" w:line="162" w:lineRule="exact"/>
        <w:rPr>
          <w:sz w:val="20"/>
          <w:szCs w:val="20"/>
          <w:color w:val="auto"/>
        </w:rPr>
      </w:pPr>
    </w:p>
    <w:p>
      <w:pPr>
        <w:ind w:right="340" w:firstLine="405"/>
        <w:spacing w:after="0" w:line="258" w:lineRule="auto"/>
        <w:rPr>
          <w:sz w:val="20"/>
          <w:szCs w:val="20"/>
          <w:color w:val="auto"/>
        </w:rPr>
      </w:pPr>
      <w:r>
        <w:rPr>
          <w:rFonts w:ascii="Times New Roman" w:cs="Times New Roman" w:eastAsia="Times New Roman" w:hAnsi="Times New Roman"/>
          <w:sz w:val="18"/>
          <w:szCs w:val="18"/>
          <w:color w:val="auto"/>
        </w:rPr>
        <w:t>A receivable is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the accompanying Consolidated Balance Sheets.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changes in the Company’s receivables, contract assets and contract liabilities with customers: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2020</w:t>
            </w:r>
          </w:p>
        </w:tc>
        <w:tc>
          <w:tcPr>
            <w:tcW w:w="220" w:type="dxa"/>
            <w:vAlign w:val="bottom"/>
          </w:tcPr>
          <w:p>
            <w:pPr>
              <w:spacing w:after="0"/>
              <w:rPr>
                <w:sz w:val="16"/>
                <w:szCs w:val="16"/>
                <w:color w:val="auto"/>
              </w:rPr>
            </w:pPr>
          </w:p>
        </w:tc>
        <w:tc>
          <w:tcPr>
            <w:tcW w:w="124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May 31, 2020</w:t>
            </w:r>
          </w:p>
        </w:tc>
      </w:tr>
      <w:tr>
        <w:trPr>
          <w:trHeight w:val="248"/>
        </w:trPr>
        <w:tc>
          <w:tcPr>
            <w:tcW w:w="8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33,590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31,263</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7"/>
        </w:trPr>
        <w:tc>
          <w:tcPr>
            <w:tcW w:w="8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August 31, 2020, the Company had additions to contract liabilities of $0.4 million. This was offset by $0.4 million in revenue that was recognized during the three months ended August 31, 2020.</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to Obtain or Fulfill a Customer Contract</w:t>
      </w:r>
    </w:p>
    <w:p>
      <w:pPr>
        <w:spacing w:after="0" w:line="162"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Under ASC 606, the Company recognizes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spacing w:after="0" w:line="126"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Company accounts for shipping and handling activities related to contracts with customers as costs to fulfill the promise to transfer the associated products. Shipping and handling costs, associated with the distribution of finished products to customers, are recorded in costs of goods sold and are recognized when the related finished product is shipped to the customer. Amounts charged to customers for shipping are recorded in net sales.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Inventories are stated at lower of cost and net realizable value (using the first-in, first-out method). Inventories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2020</w:t>
            </w:r>
          </w:p>
        </w:tc>
        <w:tc>
          <w:tcPr>
            <w:tcW w:w="220" w:type="dxa"/>
            <w:vAlign w:val="bottom"/>
          </w:tcPr>
          <w:p>
            <w:pPr>
              <w:spacing w:after="0"/>
              <w:rPr>
                <w:sz w:val="16"/>
                <w:szCs w:val="16"/>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4"/>
                <w:szCs w:val="14"/>
                <w:color w:val="auto"/>
              </w:rPr>
              <w:t>May 31, 2020</w:t>
            </w:r>
          </w:p>
        </w:tc>
      </w:tr>
      <w:tr>
        <w:trPr>
          <w:trHeight w:val="248"/>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22,858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23,308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8,133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8,318</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21,771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28,279</w:t>
            </w:r>
          </w:p>
        </w:tc>
      </w:tr>
      <w:tr>
        <w:trPr>
          <w:trHeight w:val="237"/>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52,762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59,905</w:t>
            </w:r>
          </w:p>
        </w:tc>
      </w:tr>
      <w:tr>
        <w:trPr>
          <w:trHeight w:val="27"/>
        </w:trPr>
        <w:tc>
          <w:tcPr>
            <w:tcW w:w="8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Company periodically reviews for both obsolescence and loss of value. The Company makes assumptions about the future demand for and market value of the inventory. Based on these assumptions, the Company estimates the amount of obsolete, expiring and slow moving inventory. The total inventory reserve at August 31, 2020 and May 31, 2020 was $4.4 million and $4.7 million,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175"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Intangible assets other than goodwill are amortized over their estimated useful lives on either a straight-line basis or proportionately to the benefit being realized. Useful lives range from two to eighteen years. The Company periodically reviews the estimated useful lives of its intangible assets and reviews such assets or asset groups for impairment whenever events or changes in circumstances indicate that the carrying value of the assets or asset groups may not be recoverable. If an intangible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or asset group is considered to be impaired, the amount of the impairment will equal the excess of the carrying value over the fair value of the asset.</w:t>
      </w:r>
    </w:p>
    <w:p>
      <w:pPr>
        <w:spacing w:after="0" w:line="171"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Goodwill is not amortized, but rather, is tested for impairment annually or more frequently if impairment indicators arise. Goodwill represents the excess of the purchase price over the fair value of the net tangible and identifiable intangible assets acquired in each business combination.</w:t>
      </w:r>
    </w:p>
    <w:p>
      <w:pPr>
        <w:spacing w:after="0" w:line="108"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Company's annual testing for impairment of goodwill was completed as of December 31, 2019. The Company operates as a single operating segment with one reporting unit and consequently evaluates goodwill for impairment based on an evaluation of the fair value of the Company as a whole. The Company determines the fair value of the reporting unit based on the market valuation approach and concluded that it was not more-likely-than-not that the fair value of the Company's reporting unit was less than its carrying value as of December 31, 2019. In the fourth quarter of fiscal year 2020, the Company concluded that the sustained decline in its market capitalization represented an impairment indicator that required the Company to perform an interim test for goodwill impairment as of May 31, 2020 and the Company recorded a goodwill impairment charge of $158.6 million as of May 31, 2020 to write down the carrying value of the reporting unit to fair value.</w:t>
      </w:r>
    </w:p>
    <w:p>
      <w:pPr>
        <w:spacing w:after="0" w:line="135"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The future occurrence of another potential indicator of impairment, such as a significant adverse change in legal, regulatory, business or economic conditions or a more-likely-than-not expectation that the reporting unit or a significant portion of the reporting unit will be sold or disposed of, would require another interim assessment for the reporting unit prior to the next required annual assessment as of December 31, 2020.</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adjustments to goodwill for the three months ended August 31, 2020 other than foreign currency translation adjustments.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Intangible assets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Aug 31, 2020</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3"/>
                <w:szCs w:val="13"/>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Gross carrying value</w:t>
            </w:r>
          </w:p>
        </w:tc>
        <w:tc>
          <w:tcPr>
            <w:tcW w:w="220" w:type="dxa"/>
            <w:vAlign w:val="bottom"/>
          </w:tcPr>
          <w:p>
            <w:pPr>
              <w:spacing w:after="0"/>
              <w:rPr>
                <w:sz w:val="13"/>
                <w:szCs w:val="13"/>
                <w:color w:val="auto"/>
              </w:rPr>
            </w:pPr>
          </w:p>
        </w:tc>
        <w:tc>
          <w:tcPr>
            <w:tcW w:w="1340" w:type="dxa"/>
            <w:vAlign w:val="bottom"/>
            <w:gridSpan w:val="2"/>
          </w:tcPr>
          <w:p>
            <w:pPr>
              <w:jc w:val="center"/>
              <w:ind w:right="340"/>
              <w:spacing w:after="0" w:line="151" w:lineRule="exact"/>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3"/>
                <w:szCs w:val="13"/>
                <w:color w:val="auto"/>
              </w:rPr>
            </w:pPr>
          </w:p>
        </w:tc>
        <w:tc>
          <w:tcPr>
            <w:tcW w:w="13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color w:val="auto"/>
              </w:rPr>
              <w:t>Net carrying value</w:t>
            </w:r>
          </w:p>
        </w:tc>
        <w:tc>
          <w:tcPr>
            <w:tcW w:w="0" w:type="dxa"/>
            <w:vAlign w:val="bottom"/>
          </w:tcPr>
          <w:p>
            <w:pPr>
              <w:spacing w:after="0"/>
              <w:rPr>
                <w:sz w:val="1"/>
                <w:szCs w:val="1"/>
                <w:color w:val="auto"/>
              </w:rPr>
            </w:pPr>
          </w:p>
        </w:tc>
      </w:tr>
      <w:tr>
        <w:trPr>
          <w:trHeight w:val="193"/>
        </w:trPr>
        <w:tc>
          <w:tcPr>
            <w:tcW w:w="6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technologies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161,408</w:t>
            </w: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29,138</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6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330,327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(136,009)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194,318</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6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May 31, 2020</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3"/>
                <w:szCs w:val="13"/>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Gross carrying value</w:t>
            </w:r>
          </w:p>
        </w:tc>
        <w:tc>
          <w:tcPr>
            <w:tcW w:w="220" w:type="dxa"/>
            <w:vAlign w:val="bottom"/>
          </w:tcPr>
          <w:p>
            <w:pPr>
              <w:spacing w:after="0"/>
              <w:rPr>
                <w:sz w:val="13"/>
                <w:szCs w:val="13"/>
                <w:color w:val="auto"/>
              </w:rPr>
            </w:pPr>
          </w:p>
        </w:tc>
        <w:tc>
          <w:tcPr>
            <w:tcW w:w="1340" w:type="dxa"/>
            <w:vAlign w:val="bottom"/>
            <w:gridSpan w:val="2"/>
          </w:tcPr>
          <w:p>
            <w:pPr>
              <w:jc w:val="center"/>
              <w:ind w:right="340"/>
              <w:spacing w:after="0" w:line="151" w:lineRule="exact"/>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3"/>
                <w:szCs w:val="13"/>
                <w:color w:val="auto"/>
              </w:rPr>
            </w:pPr>
          </w:p>
        </w:tc>
        <w:tc>
          <w:tcPr>
            <w:tcW w:w="13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color w:val="auto"/>
              </w:rPr>
              <w:t>Net carrying value</w:t>
            </w:r>
          </w:p>
        </w:tc>
        <w:tc>
          <w:tcPr>
            <w:tcW w:w="0" w:type="dxa"/>
            <w:vAlign w:val="bottom"/>
          </w:tcPr>
          <w:p>
            <w:pPr>
              <w:spacing w:after="0"/>
              <w:rPr>
                <w:sz w:val="1"/>
                <w:szCs w:val="1"/>
                <w:color w:val="auto"/>
              </w:rPr>
            </w:pPr>
          </w:p>
        </w:tc>
      </w:tr>
      <w:tr>
        <w:trPr>
          <w:trHeight w:val="193"/>
        </w:trPr>
        <w:tc>
          <w:tcPr>
            <w:tcW w:w="6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technologies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163,022</w:t>
            </w: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30,142</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6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327,966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(130,830)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197,136</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Amortization expense for the three months ended August 31, 2020 and August 31, 2019 was $5.0 million and $3.9 million, respectively.</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Expected future amortization expense related to the intangible assets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6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2021</w:t>
            </w:r>
          </w:p>
        </w:tc>
        <w:tc>
          <w:tcPr>
            <w:tcW w:w="67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13,753</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6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17,588</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6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17,488</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15,870</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6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6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112,994</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63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480" w:type="dxa"/>
            <w:vAlign w:val="bottom"/>
            <w:tcBorders>
              <w:bottom w:val="single" w:sz="8" w:color="CCEEFF"/>
            </w:tcBorders>
            <w:shd w:val="clear" w:color="auto" w:fill="CCEEFF"/>
          </w:tcPr>
          <w:p>
            <w:pPr>
              <w:spacing w:after="0"/>
              <w:rPr>
                <w:sz w:val="24"/>
                <w:szCs w:val="24"/>
                <w:color w:val="auto"/>
              </w:rPr>
            </w:pPr>
          </w:p>
        </w:tc>
        <w:tc>
          <w:tcPr>
            <w:tcW w:w="67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194,318</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bottom w:val="single" w:sz="8" w:color="CCEEFF"/>
            </w:tcBorders>
            <w:vMerge w:val="restart"/>
          </w:tcPr>
          <w:p>
            <w:pPr>
              <w:jc w:val="right"/>
              <w:ind w:right="3970"/>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480" w:type="dxa"/>
            <w:vAlign w:val="bottom"/>
          </w:tcPr>
          <w:p>
            <w:pPr>
              <w:spacing w:after="0"/>
              <w:rPr>
                <w:sz w:val="24"/>
                <w:szCs w:val="24"/>
                <w:color w:val="auto"/>
              </w:rPr>
            </w:pPr>
          </w:p>
        </w:tc>
        <w:tc>
          <w:tcPr>
            <w:tcW w:w="63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63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LIABILITIES</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2020</w:t>
            </w:r>
          </w:p>
        </w:tc>
        <w:tc>
          <w:tcPr>
            <w:tcW w:w="220" w:type="dxa"/>
            <w:vAlign w:val="bottom"/>
          </w:tcPr>
          <w:p>
            <w:pPr>
              <w:spacing w:after="0"/>
              <w:rPr>
                <w:sz w:val="16"/>
                <w:szCs w:val="16"/>
                <w:color w:val="auto"/>
              </w:rPr>
            </w:pP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May 31, 2020</w:t>
            </w:r>
          </w:p>
        </w:tc>
      </w:tr>
      <w:tr>
        <w:trPr>
          <w:trHeight w:val="249"/>
        </w:trPr>
        <w:tc>
          <w:tcPr>
            <w:tcW w:w="8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13,059</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severance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franchise taxes</w:t>
            </w: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Outside services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Indemnification holdback</w:t>
            </w: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w:t>
            </w:r>
          </w:p>
        </w:tc>
      </w:tr>
      <w:tr>
        <w:trPr>
          <w:trHeight w:val="237"/>
        </w:trPr>
        <w:tc>
          <w:tcPr>
            <w:tcW w:w="82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23,587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29,380</w:t>
            </w:r>
          </w:p>
        </w:tc>
      </w:tr>
      <w:tr>
        <w:trPr>
          <w:trHeight w:val="27"/>
        </w:trPr>
        <w:tc>
          <w:tcPr>
            <w:tcW w:w="8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 TERM DEBT</w:t>
      </w:r>
    </w:p>
    <w:p>
      <w:pPr>
        <w:spacing w:after="0" w:line="175"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On June 3, 2019 and in connection with the completion of the Fluid Management divestiture, the Company repaid all amounts outstanding under its existing Credit Agreement and entered into a new Credit Agreement with the lenders party thereto, JPMorgan Chase Bank, N.A., as administrative agent, and Bank of America, N.A. and KeyBank National Association, as co-syndication agents.</w:t>
      </w:r>
    </w:p>
    <w:p>
      <w:pPr>
        <w:spacing w:after="0" w:line="122"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Credit Agreement provides for a $125.0 million secured revolving credit facility (the “Revolving Facility”), which includes an uncommitted expansion feature that allows the Company to increase the total revolving commitments and/or add new tranches of term loans in an aggregate amount not to exceed $75.0 million. The proceeds may be used to refinance certain existing indebtedness of the Company and its subsidiaries, to finance the working capital needs, and for general corporate purposes (including permitted acquisitions), of the Company and its subsidiaries.</w:t>
      </w:r>
    </w:p>
    <w:p>
      <w:pPr>
        <w:spacing w:after="0" w:line="126" w:lineRule="exact"/>
        <w:rPr>
          <w:sz w:val="20"/>
          <w:szCs w:val="20"/>
          <w:color w:val="auto"/>
        </w:rPr>
      </w:pPr>
    </w:p>
    <w:p>
      <w:pPr>
        <w:ind w:right="480" w:firstLine="405"/>
        <w:spacing w:after="0" w:line="276" w:lineRule="auto"/>
        <w:rPr>
          <w:sz w:val="20"/>
          <w:szCs w:val="20"/>
          <w:color w:val="auto"/>
        </w:rPr>
      </w:pPr>
      <w:r>
        <w:rPr>
          <w:rFonts w:ascii="Times New Roman" w:cs="Times New Roman" w:eastAsia="Times New Roman" w:hAnsi="Times New Roman"/>
          <w:sz w:val="17"/>
          <w:szCs w:val="17"/>
          <w:color w:val="auto"/>
        </w:rPr>
        <w:t>The Credit Agreement has a five year maturity. Interest on the facility will be based, at the Company’s option, on a base rate of LIBOR plus an applicable margin tied to the Company’s total leverage ratio and having ranges between 0.25% and 0.75% for base rate loans and between 1.25% and</w:t>
      </w:r>
    </w:p>
    <w:p>
      <w:pPr>
        <w:spacing w:after="0" w:line="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1.75% for LIBOR loans. After default, the interest rate may be increased by 2.0%. The facility will also carry a commitment fee of 0.20% to 0.25% per annum on the unused portion.</w:t>
      </w:r>
    </w:p>
    <w:p>
      <w:pPr>
        <w:spacing w:after="0" w:line="127"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Revolving Facility are unconditionally guaranteed, jointly and severally, by the Company's material direct and indirect domestic subsidiaries (the “Guarantors”). All obligations of the Company and the Guarantors under the Revolving Facility are secured by first priority security interests in substantially all of the assets of the Company and the Guarantors.</w:t>
      </w:r>
    </w:p>
    <w:p>
      <w:pPr>
        <w:spacing w:after="0" w:line="122"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The Credit Agreement includes customary representations, warranties and covenants, and acceleration, indemnity and events of default provisions, including, among other things, two quarterly financial covenants as follows:</w:t>
      </w:r>
    </w:p>
    <w:p>
      <w:pPr>
        <w:spacing w:after="0" w:line="162" w:lineRule="exact"/>
        <w:rPr>
          <w:sz w:val="20"/>
          <w:szCs w:val="20"/>
          <w:color w:val="auto"/>
        </w:rPr>
      </w:pPr>
    </w:p>
    <w:p>
      <w:pPr>
        <w:ind w:left="660" w:right="360" w:hanging="247"/>
        <w:spacing w:after="0" w:line="261" w:lineRule="auto"/>
        <w:tabs>
          <w:tab w:leader="none" w:pos="65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leverage ratio of consolidated total indebtedness* to consolidated EBITDA* of not greater than 3.00 to 1.00 (during certain periods following material acquisitions the ratio shall be increased to 3.50 to 1.00).</w:t>
      </w:r>
    </w:p>
    <w:p>
      <w:pPr>
        <w:ind w:left="660" w:right="160" w:hanging="247"/>
        <w:spacing w:after="0" w:line="260" w:lineRule="auto"/>
        <w:tabs>
          <w:tab w:leader="none" w:pos="65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charge coverage ratio of consolidated EBITDA minus consolidated capital expenditures to consolidated interest expense paid or payable in cash plus scheduled principal payments in respect of indebtedness under the Credit Agreement of not less than 1.25 to 1.00.</w:t>
      </w:r>
    </w:p>
    <w:p>
      <w:pPr>
        <w:spacing w:after="0" w:line="12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The definitions of consolidated total indebtedness and consolidated EBITDA are maintained in the credit agreement included as an exhibit to Form 8-k filed on June 6, 2019.</w:t>
      </w:r>
    </w:p>
    <w:p>
      <w:pPr>
        <w:spacing w:after="0" w:line="167"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August 31, 2020, there was $40.0 million outstanding balance on the Revolving Facility. As of August 31, 2020 and May 31, 2020, the carrying value of long-term debt approximated its fair market value.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interest rate on the Revolving Facility at August 31, 2020 was 1.41%.</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was in compliance with the Credit Agreement covenants as of August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75"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Company provides for income taxes at the end of each interim period based on the estimated effective tax rate for the full fiscal year adjusted for any discrete events, which are recorded in the period that they occur. The estimated annual effective tax rate prior to discrete items was 14.2% as of the first quarter of fiscal year 2021, as compared to 8.3% for the same period in fiscal year 2020. In fiscal year 2021, the Company’s effective tax rate differs from the U.S. statutory rate primarily due to the impact of the valuation allowance, foreign taxes, and other non-deductible permanent items (such as non-deductible meals and entertainment, Section 162(m) excess compensation and non-deductible share based compensation).</w:t>
      </w:r>
    </w:p>
    <w:p>
      <w:pPr>
        <w:spacing w:after="0" w:line="12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 Evidence that the Company considered included its history of net operating losses, which resulted in the Company recording a full valuation allowance for its deferred tax assets in fiscal year 2016, except the naked credit deferred tax liability.</w:t>
      </w:r>
    </w:p>
    <w:p>
      <w:pPr>
        <w:spacing w:after="0" w:line="12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that have a limited life and are not supportable by the naked credit deferred tax liability sourced income as of August 31, 2020.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COMPENSATION</w:t>
      </w:r>
    </w:p>
    <w:p>
      <w:pPr>
        <w:spacing w:after="0" w:line="175"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Company has two stock-based compensation plans that provide for the issuance of up to approximately 11.3 million shares of common stock. The 2004 Stock and Incentive Award Plan (the "2004 Plan") provides for the grant of incentive options to the Company's employees and for the grant of non-statutory stock options, restricted stock, stock appreciation rights, performance units, performance shares and other incentive awards to the Company's employees, directors and other service providers. The Company also has an employee stock purchase plan.</w:t>
      </w:r>
    </w:p>
    <w:p>
      <w:pPr>
        <w:spacing w:after="0" w:line="126" w:lineRule="exact"/>
        <w:rPr>
          <w:sz w:val="20"/>
          <w:szCs w:val="20"/>
          <w:color w:val="auto"/>
        </w:rPr>
      </w:pPr>
    </w:p>
    <w:p>
      <w:pPr>
        <w:ind w:right="940"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August 31, 2020 and August 31, 2019, share-based compensation expense was $1.9 million and $2.0 million, respectively.</w:t>
      </w:r>
    </w:p>
    <w:p>
      <w:pPr>
        <w:spacing w:after="0" w:line="108" w:lineRule="exact"/>
        <w:rPr>
          <w:sz w:val="20"/>
          <w:szCs w:val="20"/>
          <w:color w:val="auto"/>
        </w:rPr>
      </w:pPr>
    </w:p>
    <w:p>
      <w:pPr>
        <w:jc w:val="both"/>
        <w:ind w:right="140" w:firstLine="405"/>
        <w:spacing w:after="0" w:line="261" w:lineRule="auto"/>
        <w:rPr>
          <w:sz w:val="20"/>
          <w:szCs w:val="20"/>
          <w:color w:val="auto"/>
        </w:rPr>
      </w:pPr>
      <w:r>
        <w:rPr>
          <w:rFonts w:ascii="Times New Roman" w:cs="Times New Roman" w:eastAsia="Times New Roman" w:hAnsi="Times New Roman"/>
          <w:sz w:val="18"/>
          <w:szCs w:val="18"/>
          <w:color w:val="auto"/>
        </w:rPr>
        <w:t>During the three months ended August 31, 2020 and August 31, 2019, the Company granted stock options and restricted stock units under the 2004 Plan to certain employees and members of the Board of Directors. Stock option awards are valued using the Black-Scholes option-pricing model and then amortized on a straight-line basis over the requisite service period of the award. Restricted stock unit awards are valued based on the closing trading value of the Company's shares on the date of grant and then amortized on a straight-line basis over the requisite service period of the award.</w:t>
      </w:r>
    </w:p>
    <w:p>
      <w:pPr>
        <w:spacing w:after="0" w:line="126"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As of August 31, 2020, there was $15.3 million of unrecognized compensation expense related to share-based payment arrangements. These costs are expected to be recognized over a weighted-average period of approximately four years. The Company has sufficient shares to satisfy expected share-based payment arrangements.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75"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Basic earnings per share is based on the weighted average number of common shares outstanding without consideration of potential common stock. Diluted earnings per share includes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reconciles basic to diluted weighted-average shares outstanding: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814"/>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98"/>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5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Aug 31, 2020</w:t>
            </w:r>
          </w:p>
        </w:tc>
        <w:tc>
          <w:tcPr>
            <w:tcW w:w="144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Aug 31, 2019</w:t>
            </w:r>
          </w:p>
        </w:tc>
      </w:tr>
      <w:tr>
        <w:trPr>
          <w:trHeight w:val="248"/>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37,783</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38,157</w:t>
            </w: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8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95"/>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excluded as their inclusion would be anti-dilutive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AND GEOGRAPHIC INFORMATION</w:t>
      </w:r>
    </w:p>
    <w:p>
      <w:pPr>
        <w:spacing w:after="0" w:line="17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Company considers the business to be a single operating segment engaged in the development, manufacture and sale of medical devices for vascular access, peripheral vascular disease and oncology on a global basis. The Company's chief operating decision maker, the President and Chief Executive Officer (CEO), evaluates the various global product portfolios on a net sales basis. Executives reporting to the CEO include those responsible for commercial operations, manufacturing operations, regulatory and quality and certain corporate functions. The CEO evaluates profitability, investment and cash flow metrics on a consolidated worldwide basis due to shared infrastructure and resources.</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summarizes net sales by Global Business Unit: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14"/>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98"/>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2020</w:t>
            </w:r>
          </w:p>
        </w:tc>
        <w:tc>
          <w:tcPr>
            <w:tcW w:w="220" w:type="dxa"/>
            <w:vAlign w:val="bottom"/>
          </w:tcPr>
          <w:p>
            <w:pPr>
              <w:spacing w:after="0"/>
              <w:rPr>
                <w:sz w:val="17"/>
                <w:szCs w:val="17"/>
                <w:color w:val="auto"/>
              </w:rPr>
            </w:pPr>
          </w:p>
        </w:tc>
        <w:tc>
          <w:tcPr>
            <w:tcW w:w="1240" w:type="dxa"/>
            <w:vAlign w:val="bottom"/>
          </w:tcPr>
          <w:p>
            <w:pPr>
              <w:jc w:val="right"/>
              <w:ind w:right="254"/>
              <w:spacing w:after="0"/>
              <w:rPr>
                <w:sz w:val="20"/>
                <w:szCs w:val="20"/>
                <w:color w:val="auto"/>
              </w:rPr>
            </w:pPr>
            <w:r>
              <w:rPr>
                <w:rFonts w:ascii="Times New Roman" w:cs="Times New Roman" w:eastAsia="Times New Roman" w:hAnsi="Times New Roman"/>
                <w:sz w:val="14"/>
                <w:szCs w:val="14"/>
                <w:color w:val="auto"/>
              </w:rPr>
              <w:t>Aug 31, 2019</w:t>
            </w:r>
          </w:p>
        </w:tc>
        <w:tc>
          <w:tcPr>
            <w:tcW w:w="0" w:type="dxa"/>
            <w:vAlign w:val="bottom"/>
          </w:tcPr>
          <w:p>
            <w:pPr>
              <w:spacing w:after="0"/>
              <w:rPr>
                <w:sz w:val="1"/>
                <w:szCs w:val="1"/>
                <w:color w:val="auto"/>
              </w:rPr>
            </w:pPr>
          </w:p>
        </w:tc>
      </w:tr>
      <w:tr>
        <w:trPr>
          <w:trHeight w:val="235"/>
        </w:trPr>
        <w:tc>
          <w:tcPr>
            <w:tcW w:w="8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Vascular Interventions &amp; Therapies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29,857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28,913</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Vascular Access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28,105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23,159</w:t>
            </w:r>
          </w:p>
        </w:tc>
        <w:tc>
          <w:tcPr>
            <w:tcW w:w="0" w:type="dxa"/>
            <w:vAlign w:val="bottom"/>
          </w:tcPr>
          <w:p>
            <w:pPr>
              <w:spacing w:after="0"/>
              <w:rPr>
                <w:sz w:val="1"/>
                <w:szCs w:val="1"/>
                <w:color w:val="auto"/>
              </w:rPr>
            </w:pPr>
          </w:p>
        </w:tc>
      </w:tr>
      <w:tr>
        <w:trPr>
          <w:trHeight w:val="243"/>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Oncology</w:t>
            </w:r>
          </w:p>
        </w:tc>
        <w:tc>
          <w:tcPr>
            <w:tcW w:w="2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12,254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13,970</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70,216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8"/>
                <w:szCs w:val="18"/>
                <w:color w:val="auto"/>
              </w:rPr>
              <w:t>The table below presents net sales by geographic area based on external customer location: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814"/>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98"/>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2020</w:t>
            </w:r>
          </w:p>
        </w:tc>
        <w:tc>
          <w:tcPr>
            <w:tcW w:w="220" w:type="dxa"/>
            <w:vAlign w:val="bottom"/>
          </w:tcPr>
          <w:p>
            <w:pPr>
              <w:spacing w:after="0"/>
              <w:rPr>
                <w:sz w:val="17"/>
                <w:szCs w:val="17"/>
                <w:color w:val="auto"/>
              </w:rPr>
            </w:pPr>
          </w:p>
        </w:tc>
        <w:tc>
          <w:tcPr>
            <w:tcW w:w="1240" w:type="dxa"/>
            <w:vAlign w:val="bottom"/>
          </w:tcPr>
          <w:p>
            <w:pPr>
              <w:jc w:val="right"/>
              <w:ind w:right="254"/>
              <w:spacing w:after="0"/>
              <w:rPr>
                <w:sz w:val="20"/>
                <w:szCs w:val="20"/>
                <w:color w:val="auto"/>
              </w:rPr>
            </w:pPr>
            <w:r>
              <w:rPr>
                <w:rFonts w:ascii="Times New Roman" w:cs="Times New Roman" w:eastAsia="Times New Roman" w:hAnsi="Times New Roman"/>
                <w:sz w:val="14"/>
                <w:szCs w:val="14"/>
                <w:color w:val="auto"/>
              </w:rPr>
              <w:t>Aug 31, 2019</w:t>
            </w:r>
          </w:p>
        </w:tc>
        <w:tc>
          <w:tcPr>
            <w:tcW w:w="0" w:type="dxa"/>
            <w:vAlign w:val="bottom"/>
          </w:tcPr>
          <w:p>
            <w:pPr>
              <w:spacing w:after="0"/>
              <w:rPr>
                <w:sz w:val="1"/>
                <w:szCs w:val="1"/>
                <w:color w:val="auto"/>
              </w:rPr>
            </w:pPr>
          </w:p>
        </w:tc>
      </w:tr>
      <w:tr>
        <w:trPr>
          <w:trHeight w:val="235"/>
        </w:trPr>
        <w:tc>
          <w:tcPr>
            <w:tcW w:w="8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54,108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52,937</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16,108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0" w:type="dxa"/>
            <w:vAlign w:val="bottom"/>
          </w:tcPr>
          <w:p>
            <w:pPr>
              <w:spacing w:after="0"/>
              <w:rPr>
                <w:sz w:val="1"/>
                <w:szCs w:val="1"/>
                <w:color w:val="auto"/>
              </w:rPr>
            </w:pPr>
          </w:p>
        </w:tc>
      </w:tr>
      <w:tr>
        <w:trPr>
          <w:trHeight w:val="237"/>
        </w:trPr>
        <w:tc>
          <w:tcPr>
            <w:tcW w:w="8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70,216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66,042</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w:t>
      </w:r>
    </w:p>
    <w:p>
      <w:pPr>
        <w:spacing w:after="0" w:line="175"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2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market prices for identical assets or liabilities.</w:t>
      </w:r>
    </w:p>
    <w:p>
      <w:pPr>
        <w:spacing w:after="0" w:line="252"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are other observable inputs, including quoted market prices for similar assets or liabilities and market-corroborated inputs.</w:t>
      </w:r>
    </w:p>
    <w:p>
      <w:pPr>
        <w:spacing w:after="0" w:line="18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 w:name="page17"/>
    <w:bookmarkEnd w:id="1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include cash and cash equivalents, accounts receivable, accounts payable and contingent consideration. The carrying amount of cash and cash equivalents, accounts receivable, and accounts payable approximates fair value due to the immediate or short-term maturities. The Company's recurring fair value measurements using significant unobservable inputs (Level 3) relate to contingent consideration liabilities.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provide information by level for assets and liabilities that are measured at fair value on a recurring basis: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60" w:type="dxa"/>
            <w:vAlign w:val="bottom"/>
            <w:gridSpan w:val="8"/>
            <w:vMerge w:val="restart"/>
          </w:tcPr>
          <w:p>
            <w:pPr>
              <w:jc w:val="center"/>
              <w:ind w:right="248"/>
              <w:spacing w:after="0"/>
              <w:rPr>
                <w:sz w:val="20"/>
                <w:szCs w:val="20"/>
                <w:color w:val="auto"/>
              </w:rPr>
            </w:pPr>
            <w:r>
              <w:rPr>
                <w:rFonts w:ascii="Times New Roman" w:cs="Times New Roman" w:eastAsia="Times New Roman" w:hAnsi="Times New Roman"/>
                <w:sz w:val="14"/>
                <w:szCs w:val="14"/>
                <w:color w:val="auto"/>
              </w:rPr>
              <w:t>Fair Value Measurements using inputs considered as:</w:t>
            </w:r>
          </w:p>
        </w:tc>
        <w:tc>
          <w:tcPr>
            <w:tcW w:w="120" w:type="dxa"/>
            <w:vAlign w:val="bottom"/>
            <w:vMerge w:val="restart"/>
          </w:tcPr>
          <w:p>
            <w:pPr>
              <w:spacing w:after="0"/>
              <w:rPr>
                <w:sz w:val="13"/>
                <w:szCs w:val="13"/>
                <w:color w:val="auto"/>
              </w:rPr>
            </w:pPr>
          </w:p>
        </w:tc>
        <w:tc>
          <w:tcPr>
            <w:tcW w:w="14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Fair Value at Aug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gridSpan w:val="8"/>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color w:val="auto"/>
                <w:w w:val="99"/>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Level 1</w:t>
            </w:r>
          </w:p>
        </w:tc>
        <w:tc>
          <w:tcPr>
            <w:tcW w:w="320" w:type="dxa"/>
            <w:vAlign w:val="bottom"/>
          </w:tcPr>
          <w:p>
            <w:pPr>
              <w:spacing w:after="0"/>
              <w:rPr>
                <w:sz w:val="16"/>
                <w:szCs w:val="16"/>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8"/>
              </w:rPr>
              <w:t>Level 2</w:t>
            </w:r>
          </w:p>
        </w:tc>
        <w:tc>
          <w:tcPr>
            <w:tcW w:w="320" w:type="dxa"/>
            <w:vAlign w:val="bottom"/>
          </w:tcPr>
          <w:p>
            <w:pPr>
              <w:spacing w:after="0"/>
              <w:rPr>
                <w:sz w:val="16"/>
                <w:szCs w:val="16"/>
                <w:color w:val="auto"/>
              </w:rPr>
            </w:pPr>
          </w:p>
        </w:tc>
        <w:tc>
          <w:tcPr>
            <w:tcW w:w="126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Level 3</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Financial Liabilities</w:t>
            </w:r>
          </w:p>
        </w:tc>
        <w:tc>
          <w:tcPr>
            <w:tcW w:w="36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consideration for acquisition earn outs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center"/>
              <w:ind w:left="395"/>
              <w:spacing w:after="0"/>
              <w:rPr>
                <w:sz w:val="20"/>
                <w:szCs w:val="20"/>
                <w:color w:val="auto"/>
              </w:rPr>
            </w:pPr>
            <w:r>
              <w:rPr>
                <w:rFonts w:ascii="Times New Roman" w:cs="Times New Roman" w:eastAsia="Times New Roman" w:hAnsi="Times New Roman"/>
                <w:sz w:val="18"/>
                <w:szCs w:val="18"/>
                <w:color w:val="auto"/>
              </w:rPr>
              <w:t>14,994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0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rPr>
              <w:t>14,994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60" w:type="dxa"/>
            <w:vAlign w:val="bottom"/>
            <w:gridSpan w:val="8"/>
            <w:vMerge w:val="restart"/>
          </w:tcPr>
          <w:p>
            <w:pPr>
              <w:jc w:val="center"/>
              <w:ind w:right="248"/>
              <w:spacing w:after="0"/>
              <w:rPr>
                <w:sz w:val="20"/>
                <w:szCs w:val="20"/>
                <w:color w:val="auto"/>
              </w:rPr>
            </w:pPr>
            <w:r>
              <w:rPr>
                <w:rFonts w:ascii="Times New Roman" w:cs="Times New Roman" w:eastAsia="Times New Roman" w:hAnsi="Times New Roman"/>
                <w:sz w:val="14"/>
                <w:szCs w:val="14"/>
                <w:color w:val="auto"/>
              </w:rPr>
              <w:t>Fair Value Measurements using inputs considered as:</w:t>
            </w:r>
          </w:p>
        </w:tc>
        <w:tc>
          <w:tcPr>
            <w:tcW w:w="120" w:type="dxa"/>
            <w:vAlign w:val="bottom"/>
            <w:vMerge w:val="restart"/>
          </w:tcPr>
          <w:p>
            <w:pPr>
              <w:spacing w:after="0"/>
              <w:rPr>
                <w:sz w:val="24"/>
                <w:szCs w:val="24"/>
                <w:color w:val="auto"/>
              </w:rPr>
            </w:pPr>
          </w:p>
        </w:tc>
        <w:tc>
          <w:tcPr>
            <w:tcW w:w="14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Fair Value at May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gridSpan w:val="8"/>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color w:val="auto"/>
                <w:w w:val="99"/>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Level 1</w:t>
            </w:r>
          </w:p>
        </w:tc>
        <w:tc>
          <w:tcPr>
            <w:tcW w:w="320" w:type="dxa"/>
            <w:vAlign w:val="bottom"/>
          </w:tcPr>
          <w:p>
            <w:pPr>
              <w:spacing w:after="0"/>
              <w:rPr>
                <w:sz w:val="17"/>
                <w:szCs w:val="17"/>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8"/>
              </w:rPr>
              <w:t>Level 2</w:t>
            </w:r>
          </w:p>
        </w:tc>
        <w:tc>
          <w:tcPr>
            <w:tcW w:w="320" w:type="dxa"/>
            <w:vAlign w:val="bottom"/>
          </w:tcPr>
          <w:p>
            <w:pPr>
              <w:spacing w:after="0"/>
              <w:rPr>
                <w:sz w:val="17"/>
                <w:szCs w:val="17"/>
                <w:color w:val="auto"/>
              </w:rPr>
            </w:pPr>
          </w:p>
        </w:tc>
        <w:tc>
          <w:tcPr>
            <w:tcW w:w="126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Level 3</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Financial Liabilities</w:t>
            </w:r>
          </w:p>
        </w:tc>
        <w:tc>
          <w:tcPr>
            <w:tcW w:w="36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consideration for acquisition earn outs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center"/>
              <w:ind w:left="395"/>
              <w:spacing w:after="0"/>
              <w:rPr>
                <w:sz w:val="20"/>
                <w:szCs w:val="20"/>
                <w:color w:val="auto"/>
              </w:rPr>
            </w:pPr>
            <w:r>
              <w:rPr>
                <w:rFonts w:ascii="Times New Roman" w:cs="Times New Roman" w:eastAsia="Times New Roman" w:hAnsi="Times New Roman"/>
                <w:sz w:val="18"/>
                <w:szCs w:val="18"/>
                <w:color w:val="auto"/>
              </w:rPr>
              <w:t>15,647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0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rPr>
              <w:t>15,647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20" w:type="dxa"/>
            <w:vAlign w:val="bottom"/>
          </w:tcPr>
          <w:p>
            <w:pPr>
              <w:spacing w:after="0"/>
              <w:rPr>
                <w:sz w:val="24"/>
                <w:szCs w:val="24"/>
                <w:color w:val="auto"/>
              </w:rPr>
            </w:pPr>
          </w:p>
        </w:tc>
        <w:tc>
          <w:tcPr>
            <w:tcW w:w="8160" w:type="dxa"/>
            <w:vAlign w:val="bottom"/>
            <w:gridSpan w:val="8"/>
          </w:tcPr>
          <w:p>
            <w:pPr>
              <w:ind w:left="400"/>
              <w:spacing w:after="0"/>
              <w:rPr>
                <w:sz w:val="20"/>
                <w:szCs w:val="20"/>
                <w:color w:val="auto"/>
              </w:rPr>
            </w:pPr>
            <w:r>
              <w:rPr>
                <w:rFonts w:ascii="Times New Roman" w:cs="Times New Roman" w:eastAsia="Times New Roman" w:hAnsi="Times New Roman"/>
                <w:sz w:val="18"/>
                <w:szCs w:val="18"/>
                <w:color w:val="auto"/>
              </w:rPr>
              <w:t>There were no transfers between Level 1, 2 and 3 for the three months ended August 31, 2020.</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92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The table below presents the changes in fair value components of Level 3 instruments: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Three Months Ended Aug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556"/>
              <w:spacing w:after="0"/>
              <w:rPr>
                <w:sz w:val="20"/>
                <w:szCs w:val="20"/>
                <w:color w:val="auto"/>
              </w:rPr>
            </w:pPr>
            <w:r>
              <w:rPr>
                <w:rFonts w:ascii="Times New Roman" w:cs="Times New Roman" w:eastAsia="Times New Roman" w:hAnsi="Times New Roman"/>
                <w:sz w:val="14"/>
                <w:szCs w:val="14"/>
                <w:color w:val="auto"/>
                <w:w w:val="99"/>
              </w:rPr>
              <w:t>2020</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0" w:type="dxa"/>
            <w:vAlign w:val="bottom"/>
            <w:gridSpan w:val="5"/>
          </w:tcPr>
          <w:p>
            <w:pPr>
              <w:jc w:val="center"/>
              <w:spacing w:after="0" w:line="147" w:lineRule="exact"/>
              <w:rPr>
                <w:sz w:val="20"/>
                <w:szCs w:val="20"/>
                <w:color w:val="auto"/>
              </w:rPr>
            </w:pPr>
            <w:r>
              <w:rPr>
                <w:rFonts w:ascii="Times New Roman" w:cs="Times New Roman" w:eastAsia="Times New Roman" w:hAnsi="Times New Roman"/>
                <w:sz w:val="14"/>
                <w:szCs w:val="14"/>
                <w:color w:val="auto"/>
              </w:rPr>
              <w:t>Fair Value Measurements Using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color w:val="auto"/>
              </w:rPr>
              <w:t>Significant Unobservable Inputs</w:t>
            </w:r>
          </w:p>
        </w:tc>
        <w:tc>
          <w:tcPr>
            <w:tcW w:w="0" w:type="dxa"/>
            <w:vAlign w:val="bottom"/>
          </w:tcPr>
          <w:p>
            <w:pPr>
              <w:spacing w:after="0"/>
              <w:rPr>
                <w:sz w:val="1"/>
                <w:szCs w:val="1"/>
                <w:color w:val="auto"/>
              </w:rPr>
            </w:pPr>
          </w:p>
        </w:tc>
      </w:tr>
      <w:tr>
        <w:trPr>
          <w:trHeight w:val="193"/>
        </w:trPr>
        <w:tc>
          <w:tcPr>
            <w:tcW w:w="20" w:type="dxa"/>
            <w:vAlign w:val="bottom"/>
            <w:tcBorders>
              <w:bottom w:val="single" w:sz="8" w:color="CCEEFF"/>
            </w:tcBorders>
          </w:tcPr>
          <w:p>
            <w:pPr>
              <w:spacing w:after="0"/>
              <w:rPr>
                <w:sz w:val="16"/>
                <w:szCs w:val="16"/>
                <w:color w:val="auto"/>
              </w:rPr>
            </w:pPr>
          </w:p>
        </w:tc>
        <w:tc>
          <w:tcPr>
            <w:tcW w:w="5060" w:type="dxa"/>
            <w:vAlign w:val="bottom"/>
            <w:tcBorders>
              <w:bottom w:val="single" w:sz="8" w:color="CCEEFF"/>
            </w:tcBorders>
            <w:gridSpan w:val="2"/>
            <w:vMerge w:val="continue"/>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2020</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15,647</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gains or losses (realized/unrealized):</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 in present value of contingent consideration (1)</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Currency gain from remeasurement</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0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August 31, 2020</w:t>
            </w:r>
          </w:p>
        </w:tc>
        <w:tc>
          <w:tcPr>
            <w:tcW w:w="3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firstLine="8"/>
        <w:spacing w:after="0" w:line="280" w:lineRule="auto"/>
        <w:tabs>
          <w:tab w:leader="none" w:pos="22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 for Acquisition Earn Outs</w:t>
      </w:r>
    </w:p>
    <w:p>
      <w:pPr>
        <w:spacing w:after="0" w:line="175"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Some of the Company's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Operations.</w:t>
      </w:r>
    </w:p>
    <w:p>
      <w:pPr>
        <w:spacing w:after="0" w:line="133"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Company measures the initial liability and remeasures the liability on a recurring basis using Level 3 inputs as defined under authoritative guidance for fair value measurements. The fair value is determined using a discounted cash flow model applied to projected net sales, using probabilities of achieving projected net sales and projected payment dates. Projected net sales are based on the Company's internal projections and extensive analysis of the target market and the sales potential. Increases or decreases in any valuation inputs in isolation may result in a significantly lower or higher fair value measurement in the future.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recurring Level 3 fair value measurements of the contingent consideration liabilities include the following significant unobservable inputs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31,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Valuation Technique</w:t>
            </w:r>
          </w:p>
        </w:tc>
        <w:tc>
          <w:tcPr>
            <w:tcW w:w="100" w:type="dxa"/>
            <w:vAlign w:val="bottom"/>
            <w:tcBorders>
              <w:bottom w:val="single" w:sz="8" w:color="CCEEFF"/>
            </w:tcBorders>
          </w:tcPr>
          <w:p>
            <w:pPr>
              <w:spacing w:after="0"/>
              <w:rPr>
                <w:sz w:val="16"/>
                <w:szCs w:val="16"/>
                <w:color w:val="auto"/>
              </w:rPr>
            </w:pPr>
          </w:p>
        </w:tc>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Unobservable Input</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Range</w:t>
            </w: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based payments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3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Discount rate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43"/>
        </w:trPr>
        <w:tc>
          <w:tcPr>
            <w:tcW w:w="2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Probability of payment</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 - 100%</w:t>
            </w:r>
          </w:p>
        </w:tc>
      </w:tr>
      <w:tr>
        <w:trPr>
          <w:trHeight w:val="270"/>
        </w:trPr>
        <w:tc>
          <w:tcPr>
            <w:tcW w:w="2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Projected fiscal year of payment</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2024 - 2025</w:t>
            </w:r>
          </w:p>
        </w:tc>
      </w:tr>
    </w:tbl>
    <w:p>
      <w:pPr>
        <w:spacing w:after="0" w:line="360"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At August 31, 2020, the range of estimated potential undiscounted future contingent consideration that the Company expects to pay as a result of all completed acquisitions is $20.0 million. The revenue projections milestones associated with the contingent consideration must be reached in future periods ranging from fiscal years 2021 to 2029 in order for the associated consideration to be paid.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175"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of the contract. The Company has operating leases for buildings, primarily for office space, R&amp;D, manufacturing and warehousing.</w:t>
      </w:r>
    </w:p>
    <w:p>
      <w:pPr>
        <w:spacing w:after="0" w:line="10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Operating lease right-of-use (“ROU”) assets and operating lease liabilities are recognized based on the present value of the future minimum lease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supplemental balance sheet information related to leases: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Balance Sheet Location</w:t>
            </w:r>
          </w:p>
        </w:tc>
        <w:tc>
          <w:tcPr>
            <w:tcW w:w="22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2020</w:t>
            </w:r>
          </w:p>
        </w:tc>
        <w:tc>
          <w:tcPr>
            <w:tcW w:w="220" w:type="dxa"/>
            <w:vAlign w:val="bottom"/>
          </w:tcPr>
          <w:p>
            <w:pPr>
              <w:spacing w:after="0"/>
              <w:rPr>
                <w:sz w:val="16"/>
                <w:szCs w:val="16"/>
                <w:color w:val="auto"/>
              </w:rPr>
            </w:pPr>
          </w:p>
        </w:tc>
        <w:tc>
          <w:tcPr>
            <w:tcW w:w="124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May 31, 2020</w:t>
            </w:r>
          </w:p>
        </w:tc>
      </w:tr>
      <w:tr>
        <w:trPr>
          <w:trHeight w:val="235"/>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58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ROU asset</w:t>
            </w: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9,990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w:t>
            </w:r>
          </w:p>
        </w:tc>
      </w:tr>
      <w:tr>
        <w:trPr>
          <w:trHeight w:val="27"/>
        </w:trPr>
        <w:tc>
          <w:tcPr>
            <w:tcW w:w="55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r>
      <w:tr>
        <w:trPr>
          <w:trHeight w:val="27"/>
        </w:trPr>
        <w:tc>
          <w:tcPr>
            <w:tcW w:w="55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8,178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w:t>
            </w:r>
          </w:p>
        </w:tc>
      </w:tr>
      <w:tr>
        <w:trPr>
          <w:trHeight w:val="23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10,352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10,422</w:t>
            </w:r>
          </w:p>
        </w:tc>
      </w:tr>
      <w:tr>
        <w:trPr>
          <w:trHeight w:val="27"/>
        </w:trPr>
        <w:tc>
          <w:tcPr>
            <w:tcW w:w="55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
        </w:trPr>
        <w:tc>
          <w:tcPr>
            <w:tcW w:w="5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 collateralized basis, considering factors such as length of lease term. The following table presents the weighted average remaining lease term and discount rate: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66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color w:val="auto"/>
              </w:rPr>
              <w:t>Aug 31, 2020</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term (in years)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maturities of the lease liabilities: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rPr>
              <w:t>Aug 31, 2020</w:t>
            </w: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r>
      <w:tr>
        <w:trPr>
          <w:trHeight w:val="27"/>
        </w:trPr>
        <w:tc>
          <w:tcPr>
            <w:tcW w:w="9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r>
      <w:tr>
        <w:trPr>
          <w:trHeight w:val="27"/>
        </w:trPr>
        <w:tc>
          <w:tcPr>
            <w:tcW w:w="9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7"/>
        </w:trPr>
        <w:tc>
          <w:tcPr>
            <w:tcW w:w="9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11,374</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r>
      <w:tr>
        <w:trPr>
          <w:trHeight w:val="27"/>
        </w:trPr>
        <w:tc>
          <w:tcPr>
            <w:tcW w:w="9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obligations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10,352</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lease obligations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r>
      <w:tr>
        <w:trPr>
          <w:trHeight w:val="27"/>
        </w:trPr>
        <w:tc>
          <w:tcPr>
            <w:tcW w:w="9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620" w:firstLine="405"/>
        <w:spacing w:after="0" w:line="312" w:lineRule="auto"/>
        <w:rPr>
          <w:sz w:val="20"/>
          <w:szCs w:val="20"/>
          <w:color w:val="auto"/>
        </w:rPr>
      </w:pPr>
      <w:r>
        <w:rPr>
          <w:rFonts w:ascii="Times New Roman" w:cs="Times New Roman" w:eastAsia="Times New Roman" w:hAnsi="Times New Roman"/>
          <w:sz w:val="17"/>
          <w:szCs w:val="17"/>
          <w:color w:val="auto"/>
        </w:rPr>
        <w:t>During the three months ended August 31, 2020 and 2019, the Company recognized $0.9 million and $0.6 million of operating lease expense, respectively, which includes immaterial short-term leases. The expenses on the Consolidated Statement of Operations were classified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2020</w:t>
            </w:r>
          </w:p>
        </w:tc>
        <w:tc>
          <w:tcPr>
            <w:tcW w:w="220" w:type="dxa"/>
            <w:vAlign w:val="bottom"/>
          </w:tcPr>
          <w:p>
            <w:pPr>
              <w:spacing w:after="0"/>
              <w:rPr>
                <w:sz w:val="16"/>
                <w:szCs w:val="16"/>
                <w:color w:val="auto"/>
              </w:rPr>
            </w:pPr>
          </w:p>
        </w:tc>
        <w:tc>
          <w:tcPr>
            <w:tcW w:w="1240" w:type="dxa"/>
            <w:vAlign w:val="bottom"/>
          </w:tcPr>
          <w:p>
            <w:pPr>
              <w:jc w:val="right"/>
              <w:ind w:right="253"/>
              <w:spacing w:after="0"/>
              <w:rPr>
                <w:sz w:val="20"/>
                <w:szCs w:val="20"/>
                <w:color w:val="auto"/>
              </w:rPr>
            </w:pPr>
            <w:r>
              <w:rPr>
                <w:rFonts w:ascii="Times New Roman" w:cs="Times New Roman" w:eastAsia="Times New Roman" w:hAnsi="Times New Roman"/>
                <w:sz w:val="14"/>
                <w:szCs w:val="14"/>
                <w:color w:val="auto"/>
              </w:rPr>
              <w:t>Aug 31, 2019</w:t>
            </w:r>
          </w:p>
        </w:tc>
      </w:tr>
      <w:tr>
        <w:trPr>
          <w:trHeight w:val="248"/>
        </w:trPr>
        <w:tc>
          <w:tcPr>
            <w:tcW w:w="8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7"/>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supplemental cash flow and other information related to leases for the three months ended: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2020</w:t>
            </w:r>
          </w:p>
        </w:tc>
        <w:tc>
          <w:tcPr>
            <w:tcW w:w="2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Times New Roman" w:cs="Times New Roman" w:eastAsia="Times New Roman" w:hAnsi="Times New Roman"/>
                <w:sz w:val="14"/>
                <w:szCs w:val="14"/>
                <w:color w:val="auto"/>
              </w:rPr>
              <w:t>Aug 31, 2019</w:t>
            </w:r>
          </w:p>
        </w:tc>
      </w:tr>
      <w:tr>
        <w:trPr>
          <w:trHeight w:val="235"/>
        </w:trPr>
        <w:tc>
          <w:tcPr>
            <w:tcW w:w="8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 Bard, Inc. v. AngioDynamics, Inc.</w:t>
      </w:r>
    </w:p>
    <w:p>
      <w:pPr>
        <w:spacing w:after="0" w:line="175"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On January 11, 2012, C.R. Bard, Inc. (“Bard”) filed a suit in the United States District Court of Utah claiming certain of the Company's implantable port products infringe on three U.S. patents held by Bard (the "Utah Action"). Bard’s complaint sought unspecified damages and other relief. The Company filed petitions for reexamination in the US Patent and Trademark Office ("USPTO") seeking to invalidate all three patents asserted by Bard in the litigation. The Company's petitions were granted and 40 of Bard's 41 patent claims were rejected and, following further proceedings, the Patent Office issued a Final Rejection of all 40 claims subject to reexamination. Thereafter, Bard filed appeals to the USPTO Board of Appeals and Interferences for all three reexaminations which were decided as follows: For US Patent No. 7,785,302, the rejections of six of the ten claims under reexamination were affirmed, but were reversed on four of the ten claims. For U.S. Patent No. 7,959,615</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 w:name="page20"/>
    <w:bookmarkEnd w:id="1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rejections of eight of the ten claims under reexamination were affirmed but the rejections of the other two of the ten claims were reversed. In the third, for U.S. Patent No. 7,947,022 the rejections of all twenty claims under reexamination were affirmed. Thereafter, Bard sought Rehearing in all three appeals and the Company sought Rehearing in the ‘302 and ‘615 appeals. The USPTO denied all three Rehearing Requests, but modified its characterization of one prior art reference for the ‘302 and ‘022 decisions.</w:t>
      </w:r>
    </w:p>
    <w:p>
      <w:pPr>
        <w:spacing w:after="0" w:line="126"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Bard filed appeals to the Federal Circuit Court of Appeals in all three reexams and the Company Cross-Appealed for the ‘302 and the ‘615 reexams. MedComp also filed an Amicus Brief in support of the Company on November 22, 2017. Meanwhile, on July 12, 2017 Bard assigned the asserted patents to Bard Peripheral Vascular, Inc. (“BPV”) which was added as co-Appellant before the Federal Circuit and as a co-Plaintiff in the Utah action. An oral hearing was held on September 5, 2018 and the Court rendered its decision on September 28, 2018, affirming that claims 1-5 and 10 of the ‘615 patent were invalid, but that claims 6-7 of the 615 patent and claims 1-4 of the 302 patent were valid over the prior art references considered in the Reexamination proceedings. The Federal Circuit also reversed the PTAB’s claim construction ruling and remanded for consideration of obviousness for the remaining claims under the new claim construction ruling and for further findings with respect to whether one of the asserted references qualified as a printed publication. On January 28, 2019, on remand, the USPTO reversed the rejections of the ‘302 claims 1-10, ‘022 claims 1-20 and ‘615 claims 8-9. The USPTO has since issued Inter Partes Reexamination Certificates for the ‘302 Patent for the ‘022 patent and for the ‘615 patent. The Company thereafter filed a Motion to Unstay the Utah Case and that motion was granted. On November 4, 2019 the Court held a joint Status Conference among the Company’s Utah Action and two other cases filed by Bard on the same patents against MedComp and Smiths. The Court set a schedule for defendant's Motions to Dismiss or Transfer. The Company filed its motion on November 25, 2019; and Bard filed a responsive brief and a motion for venue discovery on December 9, 2019. The Company filed a responsive brief on December 16, 2019 and Bard filed a reply on December 23, 2019. On February 27, 2020, the Court referred all non-dispositive motions to the presiding Magistrate and on March 3, 2020 the Court granted Bard’s Motion for Venue Discovery and denied the Company’s transfer motion without prejudice to re-filing after completion of the venue discovery, but no later than June 30, 2020. The parties have since engaged in venue discovery and AngioDynamics re-filed its Motion to Dismiss or Transfer on June 30, 2020. Bard filed an opposition brief on July 28, 2020, and the Company filed a subsequent reply.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137"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On March 10, 2015, Bard and BPV filed suit in the United States District Court for the District of Delaware (the “Delaware Action") claiming certain of the Company's implantable port products infringe on three other U.S. patents held by Bard, which are different from those asserted in the Utah action. Bard's complaint seeks unspecified damages and other relief. On June 1, 2015, the Company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w:t>
      </w:r>
    </w:p>
    <w:p>
      <w:pPr>
        <w:spacing w:after="0" w:line="133"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On January 12, 2016, the Court issued a decision denying both motions. A Markman hearing was held on March 10, 2017 and the Court issued its Claim Construction Order on May 19, 2017. On May 19, 2017, Bard served its Final Infringement Contentions and on June 2, 2017, the Company served its Final Invalidity Contentions.</w:t>
      </w:r>
    </w:p>
    <w:p>
      <w:pPr>
        <w:spacing w:after="0" w:line="122"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On October 20, 2017, the scheduling order for the case was amended to, among other things, set a trial date commencing July 23, 2018. The parties completed Expert Discovery in January 2018 and completed briefing on their respective case dispositive motions on April 27, 2018. On June 26, 2018, the Court denied all case dispositive motions, ruling that issues of material fact remained in dispute. On July 9, 2018, the Court continued the trial until March 2019. On January 9, 2019 the Court held a further claim construction hearing to resolve two outstanding claim construction issues prior to trial. A Report and Recommendation (by Magistrate-Judge Fallon) was issued on February 11, 2019 and entered by the Court on February 28, 2019. Jury selection was held on Friday March 1, 2019 and trial began on March 4, 2019. On day four of the jury trial, at the close of C.R. Bard’s case, the Court granted the Company's oral motion for judgment as a matter of law under rule 50(a) as well as its motions for summary judgement on the grounds that the asserted patents are invalid, ineligible, not infringed and not willfully infringed. On April 5, 2019, Bard filed a precautionary Notice of Appeal to the Federal Circuit. On April 26, 2019, the District Court issued a Memorandum and Order confirming the grant of judgment in the Company’s favor of patent ineligibility, non-infringement, patent invalidity and no willful infringement. Meanwhile, on May 10, 2019, the Company filed a Motion for Attorney fees and non-taxable expenses under 35 USC Sec. 285. On May 21, 2019, the Court issued a Memorandum and Order which, inter alia, stayed proceedings on the Company’s fee Motion and the Company’s equitable claims pending appeal; and entered Final Judgment on May 21, 2019 as well. Bard filed a second Notice of Appeal on May 23, 2019. Both appeals have since been consolidated and Bard’s opening brief was filed on September 27, 2019; the Company's answering brief was filed on January 15, 2020; and Bard’s reply brief was filed on March 4, 2020. A hearing was held on June 1, 2020, and the Company is currently awaiting a decision from the Federal Circuit . The Company maintains its belief that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Bard’s claims are without merit. The Company has not recorded an expense related to the outcome of this litigation because it is not yet possible to determine if a potential loss is probable nor reasonably estimable.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AngioDynamics, Inc. v. C.R. Bard, Inc.</w:t>
      </w:r>
    </w:p>
    <w:p>
      <w:pPr>
        <w:spacing w:after="0" w:line="175"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On May 30, 2017, the Company commenced an action in the United States District Court for the Northern District of New York entitled AngioDynamics, Inc. v. C.R. Bard, Inc. and Bard Access Systems, Inc. (“Bard”). In this action, the Company alleges that Bard has illegally tied the sales of its tip location systems to the sales of its PICCs. The Company alleges that this practice violates the federal antitrust laws and has had, and continues to have, an anti-competitive effect in the market for PICCs. The Company seeks both monetary damages and injunctive relief. Bard moved to dismiss on September 8, 2017. On August 6, 2018 the court denied Bard’s motion in its entirety. Discovery is largely complete, summary judgment, including all reply briefs, were fully briefed in October 2020, and the case will subsequently proceed to trial thereafter.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Merz North America Settlement</w:t>
      </w:r>
    </w:p>
    <w:p>
      <w:pPr>
        <w:spacing w:after="0" w:line="17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On May 16, 2019, Merz North America, Inc. (“Merz”) commenced an action in the United States District Court for the Southern District of New York entitled Merz North America, Inc. v. AngioDynamics, Inc. In this action, Merz alleged breach of contract against AngioDynamics based on a March 1, 2016 Distribution Agreement. On June 28, 2019, AngioDynamics reached a settlement with Merz. AngioDynamics made a lump-sum payment of $2.5 million to Merz in return for dismissal of the case with prejudice during the first quarter of fiscal year 2020. The case was subsequently dismissed.</w:t>
      </w:r>
    </w:p>
    <w:p>
      <w:pPr>
        <w:sectPr>
          <w:pgSz w:w="11900" w:h="16838" w:orient="portrait"/>
          <w:cols w:equalWidth="0" w:num="1">
            <w:col w:w="11240"/>
          </w:cols>
          <w:pgMar w:left="320" w:top="118" w:right="339" w:bottom="1440" w:gutter="0" w:footer="0" w:header="0"/>
        </w:sect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ACQUISITION, RESTRUCTURING, AND OTHER ITEMS, NET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Restructuring and Other Items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Acquisition, restructuring and other items, net consisted of:</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Legal </w:t>
      </w:r>
      <w:r>
        <w:rPr>
          <w:rFonts w:ascii="Times New Roman" w:cs="Times New Roman" w:eastAsia="Times New Roman" w:hAnsi="Times New Roman"/>
          <w:sz w:val="23"/>
          <w:szCs w:val="23"/>
          <w:color w:val="auto"/>
          <w:vertAlign w:val="superscript"/>
        </w:rPr>
        <w:t>(1)</w:t>
      </w:r>
    </w:p>
    <w:p>
      <w:pPr>
        <w:ind w:left="20"/>
        <w:spacing w:after="0"/>
        <w:rPr>
          <w:sz w:val="20"/>
          <w:szCs w:val="20"/>
          <w:color w:val="auto"/>
        </w:rPr>
      </w:pPr>
      <w:r>
        <w:rPr>
          <w:rFonts w:ascii="Times New Roman" w:cs="Times New Roman" w:eastAsia="Times New Roman" w:hAnsi="Times New Roman"/>
          <w:sz w:val="18"/>
          <w:szCs w:val="18"/>
          <w:color w:val="auto"/>
        </w:rPr>
        <w:t xml:space="preserve">Mergers and acquisitions </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 xml:space="preserve">Transition service agreement </w:t>
      </w:r>
      <w:r>
        <w:rPr>
          <w:rFonts w:ascii="Times New Roman" w:cs="Times New Roman" w:eastAsia="Times New Roman" w:hAnsi="Times New Roman"/>
          <w:sz w:val="23"/>
          <w:szCs w:val="23"/>
          <w:color w:val="auto"/>
          <w:vertAlign w:val="superscript"/>
        </w:rPr>
        <w:t>(3)</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Divestiture </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Restructuring</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9030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2020</w:t>
            </w:r>
          </w:p>
        </w:tc>
        <w:tc>
          <w:tcPr>
            <w:tcW w:w="220" w:type="dxa"/>
            <w:vAlign w:val="bottom"/>
          </w:tcPr>
          <w:p>
            <w:pPr>
              <w:spacing w:after="0"/>
              <w:rPr>
                <w:sz w:val="16"/>
                <w:szCs w:val="16"/>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Aug 31, 2019</w:t>
            </w:r>
          </w:p>
        </w:tc>
      </w:tr>
      <w:tr>
        <w:trPr>
          <w:trHeight w:val="241"/>
        </w:trPr>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70"/>
        </w:trPr>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70"/>
        </w:trPr>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70"/>
        </w:trPr>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70"/>
        </w:trPr>
        <w:tc>
          <w:tcPr>
            <w:tcW w:w="2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0"/>
        </w:trPr>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7"/>
        </w:trPr>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7"/>
        </w:trPr>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2">
            <w:col w:w="7520" w:space="720"/>
            <w:col w:w="3000"/>
          </w:cols>
          <w:pgMar w:left="320" w:top="118" w:right="339" w:bottom="1440" w:gutter="0" w:footer="0" w:header="0"/>
          <w:type w:val="continuous"/>
        </w:sectPr>
      </w:pPr>
    </w:p>
    <w:p>
      <w:pPr>
        <w:ind w:left="240" w:hanging="232"/>
        <w:spacing w:after="0"/>
        <w:tabs>
          <w:tab w:leader="none" w:pos="2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expenses related to litigation that is outside the normal course of business.</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Mergers and acquisitions expenses related to investment banking, legal and due diligence.</w:t>
      </w:r>
    </w:p>
    <w:p>
      <w:pPr>
        <w:spacing w:after="0" w:line="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Transition services agreement that was entered into as a result of the sale of the Fluid Management business.</w:t>
      </w:r>
    </w:p>
    <w:p>
      <w:pPr>
        <w:spacing w:after="0" w:line="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Divestiture expenses incurred to transition manufacturing from Glens Falls, NY to Queensbury, NY.</w:t>
      </w:r>
    </w:p>
    <w:p>
      <w:pPr>
        <w:spacing w:after="0" w:line="226"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Included in the $0.7 million in legal for the three months ended August 31, 2019 is a $0.4 million settlement received for the Biolitec bankruptcy litigation. The settlement received offsets legal expenses paid related to the settlement proceedings.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ACCUMULATED OTHER COMPREHENSIVE INCOME (LOSS)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Changes in each component of accumulated other comprehensive income (loss), net of tax,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jc w:val="center"/>
              <w:ind w:right="38"/>
              <w:spacing w:after="0"/>
              <w:rPr>
                <w:sz w:val="20"/>
                <w:szCs w:val="20"/>
                <w:color w:val="auto"/>
              </w:rPr>
            </w:pPr>
            <w:r>
              <w:rPr>
                <w:rFonts w:ascii="Times New Roman" w:cs="Times New Roman" w:eastAsia="Times New Roman" w:hAnsi="Times New Roman"/>
                <w:sz w:val="14"/>
                <w:szCs w:val="14"/>
                <w:color w:val="auto"/>
              </w:rPr>
              <w:t>Three Months Ended Aug 31,</w:t>
            </w:r>
          </w:p>
        </w:tc>
        <w:tc>
          <w:tcPr>
            <w:tcW w:w="0" w:type="dxa"/>
            <w:vAlign w:val="bottom"/>
          </w:tcPr>
          <w:p>
            <w:pPr>
              <w:spacing w:after="0"/>
              <w:rPr>
                <w:sz w:val="1"/>
                <w:szCs w:val="1"/>
                <w:color w:val="auto"/>
              </w:rPr>
            </w:pPr>
          </w:p>
        </w:tc>
      </w:tr>
      <w:tr>
        <w:trPr>
          <w:trHeight w:val="189"/>
        </w:trPr>
        <w:tc>
          <w:tcPr>
            <w:tcW w:w="9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color w:val="auto"/>
                <w:w w:val="99"/>
              </w:rPr>
              <w:t>2020</w:t>
            </w:r>
          </w:p>
        </w:tc>
        <w:tc>
          <w:tcPr>
            <w:tcW w:w="0" w:type="dxa"/>
            <w:vAlign w:val="bottom"/>
          </w:tcPr>
          <w:p>
            <w:pPr>
              <w:spacing w:after="0"/>
              <w:rPr>
                <w:sz w:val="1"/>
                <w:szCs w:val="1"/>
                <w:color w:val="auto"/>
              </w:rPr>
            </w:pPr>
          </w:p>
        </w:tc>
      </w:tr>
      <w:tr>
        <w:trPr>
          <w:trHeight w:val="147"/>
        </w:trPr>
        <w:tc>
          <w:tcPr>
            <w:tcW w:w="9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2"/>
                <w:szCs w:val="12"/>
                <w:color w:val="auto"/>
              </w:rPr>
            </w:pPr>
          </w:p>
        </w:tc>
        <w:tc>
          <w:tcPr>
            <w:tcW w:w="1840" w:type="dxa"/>
            <w:vAlign w:val="bottom"/>
          </w:tcPr>
          <w:p>
            <w:pPr>
              <w:jc w:val="center"/>
              <w:ind w:right="38"/>
              <w:spacing w:after="0" w:line="147"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0" w:type="dxa"/>
            <w:vAlign w:val="bottom"/>
          </w:tcPr>
          <w:p>
            <w:pPr>
              <w:spacing w:after="0"/>
              <w:rPr>
                <w:sz w:val="1"/>
                <w:szCs w:val="1"/>
                <w:color w:val="auto"/>
              </w:rPr>
            </w:pPr>
          </w:p>
        </w:tc>
      </w:tr>
      <w:tr>
        <w:trPr>
          <w:trHeight w:val="193"/>
        </w:trPr>
        <w:tc>
          <w:tcPr>
            <w:tcW w:w="92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color w:val="auto"/>
              </w:rPr>
              <w:t>income(loss)</w:t>
            </w:r>
          </w:p>
        </w:tc>
        <w:tc>
          <w:tcPr>
            <w:tcW w:w="0" w:type="dxa"/>
            <w:vAlign w:val="bottom"/>
          </w:tcPr>
          <w:p>
            <w:pPr>
              <w:spacing w:after="0"/>
              <w:rPr>
                <w:sz w:val="1"/>
                <w:szCs w:val="1"/>
                <w:color w:val="auto"/>
              </w:rPr>
            </w:pPr>
          </w:p>
        </w:tc>
      </w:tr>
      <w:tr>
        <w:trPr>
          <w:trHeight w:val="269"/>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31, 2020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0" w:type="dxa"/>
            <w:vAlign w:val="bottom"/>
          </w:tcPr>
          <w:p>
            <w:pPr>
              <w:spacing w:after="0"/>
              <w:rPr>
                <w:sz w:val="1"/>
                <w:szCs w:val="1"/>
                <w:color w:val="auto"/>
              </w:rPr>
            </w:pPr>
          </w:p>
        </w:tc>
      </w:tr>
      <w:tr>
        <w:trPr>
          <w:trHeight w:val="243"/>
        </w:trPr>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before reclassifications, net of tax</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0" w:type="dxa"/>
            <w:vAlign w:val="bottom"/>
          </w:tcPr>
          <w:p>
            <w:pPr>
              <w:spacing w:after="0"/>
              <w:rPr>
                <w:sz w:val="1"/>
                <w:szCs w:val="1"/>
                <w:color w:val="auto"/>
              </w:rPr>
            </w:pPr>
          </w:p>
        </w:tc>
      </w:tr>
      <w:tr>
        <w:trPr>
          <w:trHeight w:val="27"/>
        </w:trPr>
        <w:tc>
          <w:tcPr>
            <w:tcW w:w="9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0" w:type="dxa"/>
            <w:vAlign w:val="bottom"/>
          </w:tcPr>
          <w:p>
            <w:pPr>
              <w:spacing w:after="0"/>
              <w:rPr>
                <w:sz w:val="1"/>
                <w:szCs w:val="1"/>
                <w:color w:val="auto"/>
              </w:rPr>
            </w:pPr>
          </w:p>
        </w:tc>
      </w:tr>
      <w:tr>
        <w:trPr>
          <w:trHeight w:val="27"/>
        </w:trPr>
        <w:tc>
          <w:tcPr>
            <w:tcW w:w="9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31,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1" w:name="page22"/>
    <w:bookmarkEnd w:id="2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RECENTLY ISSUED ACCOUNTING PRONOUNCEMENTS</w:t>
      </w:r>
    </w:p>
    <w:p>
      <w:pPr>
        <w:spacing w:after="0" w:line="175"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a description of recent accounting pronouncements that may have a material effect on the Company's consolidated financial statements: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 Adopted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82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 Adopted</w:t>
            </w:r>
          </w:p>
        </w:tc>
        <w:tc>
          <w:tcPr>
            <w:tcW w:w="37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Effect on the Consolidated Financial Statements</w:t>
            </w:r>
          </w:p>
        </w:tc>
        <w:tc>
          <w:tcPr>
            <w:tcW w:w="0" w:type="dxa"/>
            <w:vAlign w:val="bottom"/>
          </w:tcPr>
          <w:p>
            <w:pPr>
              <w:spacing w:after="0"/>
              <w:rPr>
                <w:sz w:val="1"/>
                <w:szCs w:val="1"/>
                <w:color w:val="auto"/>
              </w:rPr>
            </w:pPr>
          </w:p>
        </w:tc>
      </w:tr>
      <w:tr>
        <w:trPr>
          <w:trHeight w:val="188"/>
        </w:trPr>
        <w:tc>
          <w:tcPr>
            <w:tcW w:w="2440" w:type="dxa"/>
            <w:vAlign w:val="bottom"/>
            <w:tcBorders>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 xml:space="preserve">ASU 2018-13, </w:t>
            </w:r>
            <w:r>
              <w:rPr>
                <w:rFonts w:ascii="Times New Roman" w:cs="Times New Roman" w:eastAsia="Times New Roman" w:hAnsi="Times New Roman"/>
                <w:sz w:val="18"/>
                <w:szCs w:val="18"/>
                <w:i w:val="1"/>
                <w:iCs w:val="1"/>
                <w:color w:val="auto"/>
              </w:rPr>
              <w:t>Fair Value</w:t>
            </w:r>
          </w:p>
        </w:tc>
        <w:tc>
          <w:tcPr>
            <w:tcW w:w="3820" w:type="dxa"/>
            <w:vAlign w:val="bottom"/>
            <w:tcBorders>
              <w:right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This ASU removes, modifies and adds various</w:t>
            </w:r>
          </w:p>
        </w:tc>
        <w:tc>
          <w:tcPr>
            <w:tcW w:w="124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rPr>
              <w:t>June 1, 2020</w:t>
            </w:r>
          </w:p>
        </w:tc>
        <w:tc>
          <w:tcPr>
            <w:tcW w:w="37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The Company adopted the new standard in the</w:t>
            </w:r>
          </w:p>
        </w:tc>
        <w:tc>
          <w:tcPr>
            <w:tcW w:w="0" w:type="dxa"/>
            <w:vAlign w:val="bottom"/>
          </w:tcPr>
          <w:p>
            <w:pPr>
              <w:spacing w:after="0"/>
              <w:rPr>
                <w:sz w:val="1"/>
                <w:szCs w:val="1"/>
                <w:color w:val="auto"/>
              </w:rPr>
            </w:pPr>
          </w:p>
        </w:tc>
      </w:tr>
      <w:tr>
        <w:trPr>
          <w:trHeight w:val="252"/>
        </w:trPr>
        <w:tc>
          <w:tcPr>
            <w:tcW w:w="24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Measurement (Topic 820)</w:t>
            </w:r>
          </w:p>
        </w:tc>
        <w:tc>
          <w:tcPr>
            <w:tcW w:w="3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disclosure requirements related to fair value</w:t>
            </w:r>
          </w:p>
        </w:tc>
        <w:tc>
          <w:tcPr>
            <w:tcW w:w="1240" w:type="dxa"/>
            <w:vAlign w:val="bottom"/>
            <w:tcBorders>
              <w:right w:val="single" w:sz="8" w:color="auto"/>
            </w:tcBorders>
          </w:tcPr>
          <w:p>
            <w:pPr>
              <w:spacing w:after="0"/>
              <w:rPr>
                <w:sz w:val="21"/>
                <w:szCs w:val="21"/>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quarter of fiscal year 2021 and it did not have</w:t>
            </w:r>
          </w:p>
        </w:tc>
        <w:tc>
          <w:tcPr>
            <w:tcW w:w="0" w:type="dxa"/>
            <w:vAlign w:val="bottom"/>
          </w:tcPr>
          <w:p>
            <w:pPr>
              <w:spacing w:after="0"/>
              <w:rPr>
                <w:sz w:val="1"/>
                <w:szCs w:val="1"/>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disclosures. Disclosures related to transfers between</w:t>
            </w:r>
          </w:p>
        </w:tc>
        <w:tc>
          <w:tcPr>
            <w:tcW w:w="124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 impact on the Company's consolidated financial</w:t>
            </w:r>
          </w:p>
        </w:tc>
        <w:tc>
          <w:tcPr>
            <w:tcW w:w="0" w:type="dxa"/>
            <w:vAlign w:val="bottom"/>
          </w:tcPr>
          <w:p>
            <w:pPr>
              <w:spacing w:after="0"/>
              <w:rPr>
                <w:sz w:val="1"/>
                <w:szCs w:val="1"/>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fair value hierarchy levels will be removed and</w:t>
            </w:r>
          </w:p>
        </w:tc>
        <w:tc>
          <w:tcPr>
            <w:tcW w:w="124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statements.</w:t>
            </w:r>
          </w:p>
        </w:tc>
        <w:tc>
          <w:tcPr>
            <w:tcW w:w="0" w:type="dxa"/>
            <w:vAlign w:val="bottom"/>
          </w:tcPr>
          <w:p>
            <w:pPr>
              <w:spacing w:after="0"/>
              <w:rPr>
                <w:sz w:val="1"/>
                <w:szCs w:val="1"/>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further detail around changes in unrealized gains</w:t>
            </w:r>
          </w:p>
        </w:tc>
        <w:tc>
          <w:tcPr>
            <w:tcW w:w="1240" w:type="dxa"/>
            <w:vAlign w:val="bottom"/>
            <w:tcBorders>
              <w:right w:val="single" w:sz="8" w:color="auto"/>
            </w:tcBorders>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and losses for the period and unobservable inputs</w:t>
            </w:r>
          </w:p>
        </w:tc>
        <w:tc>
          <w:tcPr>
            <w:tcW w:w="1240" w:type="dxa"/>
            <w:vAlign w:val="bottom"/>
            <w:tcBorders>
              <w:right w:val="single" w:sz="8" w:color="auto"/>
            </w:tcBorders>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used in determining level 3 fair value measurements</w:t>
            </w:r>
          </w:p>
        </w:tc>
        <w:tc>
          <w:tcPr>
            <w:tcW w:w="1240" w:type="dxa"/>
            <w:vAlign w:val="bottom"/>
            <w:tcBorders>
              <w:right w:val="single" w:sz="8" w:color="auto"/>
            </w:tcBorders>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40" w:type="dxa"/>
            <w:vAlign w:val="bottom"/>
            <w:tcBorders>
              <w:right w:val="single" w:sz="8" w:color="auto"/>
            </w:tcBorders>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will be added, among other changes.</w:t>
            </w:r>
          </w:p>
        </w:tc>
        <w:tc>
          <w:tcPr>
            <w:tcW w:w="1240" w:type="dxa"/>
            <w:vAlign w:val="bottom"/>
            <w:tcBorders>
              <w:right w:val="single" w:sz="8" w:color="auto"/>
            </w:tcBorders>
          </w:tcPr>
          <w:p>
            <w:pPr>
              <w:spacing w:after="0"/>
              <w:rPr>
                <w:sz w:val="20"/>
                <w:szCs w:val="20"/>
                <w:color w:val="auto"/>
              </w:rPr>
            </w:pP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4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44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 xml:space="preserve">ASU 2016-13, </w:t>
            </w:r>
            <w:r>
              <w:rPr>
                <w:rFonts w:ascii="Times New Roman" w:cs="Times New Roman" w:eastAsia="Times New Roman" w:hAnsi="Times New Roman"/>
                <w:sz w:val="18"/>
                <w:szCs w:val="18"/>
                <w:i w:val="1"/>
                <w:iCs w:val="1"/>
                <w:color w:val="auto"/>
              </w:rPr>
              <w:t>Financial</w:t>
            </w:r>
          </w:p>
        </w:tc>
        <w:tc>
          <w:tcPr>
            <w:tcW w:w="382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This ASU replaces the current incurred loss</w:t>
            </w:r>
          </w:p>
        </w:tc>
        <w:tc>
          <w:tcPr>
            <w:tcW w:w="12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June 1, 2020</w:t>
            </w:r>
          </w:p>
        </w:tc>
        <w:tc>
          <w:tcPr>
            <w:tcW w:w="37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The Company adopted the new standard in the</w:t>
            </w:r>
          </w:p>
        </w:tc>
        <w:tc>
          <w:tcPr>
            <w:tcW w:w="0" w:type="dxa"/>
            <w:vAlign w:val="bottom"/>
          </w:tcPr>
          <w:p>
            <w:pPr>
              <w:spacing w:after="0"/>
              <w:rPr>
                <w:sz w:val="1"/>
                <w:szCs w:val="1"/>
                <w:color w:val="auto"/>
              </w:rPr>
            </w:pPr>
          </w:p>
        </w:tc>
      </w:tr>
      <w:tr>
        <w:trPr>
          <w:trHeight w:val="216"/>
        </w:trPr>
        <w:tc>
          <w:tcPr>
            <w:tcW w:w="24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Instruments - Credit</w:t>
            </w:r>
          </w:p>
        </w:tc>
        <w:tc>
          <w:tcPr>
            <w:tcW w:w="3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impairment methodology for financial assets</w:t>
            </w:r>
          </w:p>
        </w:tc>
        <w:tc>
          <w:tcPr>
            <w:tcW w:w="124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quarter of fiscal year 2021 and it did not have</w:t>
            </w:r>
          </w:p>
        </w:tc>
        <w:tc>
          <w:tcPr>
            <w:tcW w:w="0" w:type="dxa"/>
            <w:vAlign w:val="bottom"/>
          </w:tcPr>
          <w:p>
            <w:pPr>
              <w:spacing w:after="0"/>
              <w:rPr>
                <w:sz w:val="1"/>
                <w:szCs w:val="1"/>
                <w:color w:val="auto"/>
              </w:rPr>
            </w:pPr>
          </w:p>
        </w:tc>
      </w:tr>
      <w:tr>
        <w:trPr>
          <w:trHeight w:val="122"/>
        </w:trPr>
        <w:tc>
          <w:tcPr>
            <w:tcW w:w="2440" w:type="dxa"/>
            <w:vAlign w:val="bottom"/>
            <w:tcBorders>
              <w:right w:val="single" w:sz="8" w:color="auto"/>
            </w:tcBorders>
          </w:tcPr>
          <w:p>
            <w:pPr>
              <w:ind w:left="20"/>
              <w:spacing w:after="0" w:line="122" w:lineRule="exact"/>
              <w:rPr>
                <w:sz w:val="20"/>
                <w:szCs w:val="20"/>
                <w:color w:val="auto"/>
              </w:rPr>
            </w:pPr>
            <w:r>
              <w:rPr>
                <w:rFonts w:ascii="Times New Roman" w:cs="Times New Roman" w:eastAsia="Times New Roman" w:hAnsi="Times New Roman"/>
                <w:sz w:val="13"/>
                <w:szCs w:val="13"/>
                <w:i w:val="1"/>
                <w:iCs w:val="1"/>
                <w:color w:val="auto"/>
              </w:rPr>
              <w:t>Losses (Topic 326):</w:t>
            </w:r>
          </w:p>
        </w:tc>
        <w:tc>
          <w:tcPr>
            <w:tcW w:w="3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measured at amortized cost with a methodology that</w:t>
            </w:r>
          </w:p>
        </w:tc>
        <w:tc>
          <w:tcPr>
            <w:tcW w:w="1240" w:type="dxa"/>
            <w:vAlign w:val="bottom"/>
            <w:tcBorders>
              <w:right w:val="single" w:sz="8" w:color="auto"/>
            </w:tcBorders>
          </w:tcPr>
          <w:p>
            <w:pPr>
              <w:spacing w:after="0"/>
              <w:rPr>
                <w:sz w:val="10"/>
                <w:szCs w:val="10"/>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an impact on the Company's consolidated financial</w:t>
            </w:r>
          </w:p>
        </w:tc>
        <w:tc>
          <w:tcPr>
            <w:tcW w:w="0" w:type="dxa"/>
            <w:vAlign w:val="bottom"/>
          </w:tcPr>
          <w:p>
            <w:pPr>
              <w:spacing w:after="0"/>
              <w:rPr>
                <w:sz w:val="1"/>
                <w:szCs w:val="1"/>
                <w:color w:val="auto"/>
              </w:rPr>
            </w:pPr>
          </w:p>
        </w:tc>
      </w:tr>
      <w:tr>
        <w:trPr>
          <w:trHeight w:val="130"/>
        </w:trPr>
        <w:tc>
          <w:tcPr>
            <w:tcW w:w="2440" w:type="dxa"/>
            <w:vAlign w:val="bottom"/>
            <w:tcBorders>
              <w:right w:val="single" w:sz="8" w:color="auto"/>
            </w:tcBorders>
            <w:vMerge w:val="restart"/>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Measurement of Credit Losses</w:t>
            </w:r>
          </w:p>
        </w:tc>
        <w:tc>
          <w:tcPr>
            <w:tcW w:w="382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3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2440" w:type="dxa"/>
            <w:vAlign w:val="bottom"/>
            <w:tcBorders>
              <w:right w:val="single" w:sz="8" w:color="auto"/>
            </w:tcBorders>
            <w:vMerge w:val="continue"/>
          </w:tcPr>
          <w:p>
            <w:pPr>
              <w:spacing w:after="0"/>
              <w:rPr>
                <w:sz w:val="3"/>
                <w:szCs w:val="3"/>
                <w:color w:val="auto"/>
              </w:rPr>
            </w:pPr>
          </w:p>
        </w:tc>
        <w:tc>
          <w:tcPr>
            <w:tcW w:w="3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reflects expected credit losses and requires</w:t>
            </w:r>
          </w:p>
        </w:tc>
        <w:tc>
          <w:tcPr>
            <w:tcW w:w="1240" w:type="dxa"/>
            <w:vAlign w:val="bottom"/>
            <w:tcBorders>
              <w:right w:val="single" w:sz="8" w:color="auto"/>
            </w:tcBorders>
          </w:tcPr>
          <w:p>
            <w:pPr>
              <w:spacing w:after="0"/>
              <w:rPr>
                <w:sz w:val="3"/>
                <w:szCs w:val="3"/>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statements.</w:t>
            </w:r>
          </w:p>
        </w:tc>
        <w:tc>
          <w:tcPr>
            <w:tcW w:w="0" w:type="dxa"/>
            <w:vAlign w:val="bottom"/>
          </w:tcPr>
          <w:p>
            <w:pPr>
              <w:spacing w:after="0"/>
              <w:rPr>
                <w:sz w:val="1"/>
                <w:szCs w:val="1"/>
                <w:color w:val="auto"/>
              </w:rPr>
            </w:pPr>
          </w:p>
        </w:tc>
      </w:tr>
      <w:tr>
        <w:trPr>
          <w:trHeight w:val="175"/>
        </w:trPr>
        <w:tc>
          <w:tcPr>
            <w:tcW w:w="24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on Financial Instruments</w:t>
            </w:r>
          </w:p>
        </w:tc>
        <w:tc>
          <w:tcPr>
            <w:tcW w:w="3820" w:type="dxa"/>
            <w:vAlign w:val="bottom"/>
            <w:tcBorders>
              <w:right w:val="single" w:sz="8" w:color="auto"/>
            </w:tcBorders>
            <w:vMerge w:val="continue"/>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3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4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consideration of a broader range of reasonable and</w:t>
            </w:r>
          </w:p>
        </w:tc>
        <w:tc>
          <w:tcPr>
            <w:tcW w:w="1240" w:type="dxa"/>
            <w:vAlign w:val="bottom"/>
            <w:tcBorders>
              <w:right w:val="single" w:sz="8" w:color="auto"/>
            </w:tcBorders>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supportable information, including forecasted</w:t>
            </w:r>
          </w:p>
        </w:tc>
        <w:tc>
          <w:tcPr>
            <w:tcW w:w="1240" w:type="dxa"/>
            <w:vAlign w:val="bottom"/>
            <w:tcBorders>
              <w:right w:val="single" w:sz="8" w:color="auto"/>
            </w:tcBorders>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40" w:type="dxa"/>
            <w:vAlign w:val="bottom"/>
            <w:tcBorders>
              <w:right w:val="single" w:sz="8" w:color="auto"/>
            </w:tcBorders>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information, to develop credit loss estimates.</w:t>
            </w:r>
          </w:p>
        </w:tc>
        <w:tc>
          <w:tcPr>
            <w:tcW w:w="1240" w:type="dxa"/>
            <w:vAlign w:val="bottom"/>
            <w:tcBorders>
              <w:right w:val="single" w:sz="8" w:color="auto"/>
            </w:tcBorders>
          </w:tcPr>
          <w:p>
            <w:pPr>
              <w:spacing w:after="0"/>
              <w:rPr>
                <w:sz w:val="20"/>
                <w:szCs w:val="20"/>
                <w:color w:val="auto"/>
              </w:rPr>
            </w:pP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4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 Not Yet Applicable or Adopted</w:t>
      </w:r>
    </w:p>
    <w:p>
      <w:pPr>
        <w:spacing w:after="0" w:line="3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other new accounting pronouncements issued that are expected to have a material impact on our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The following information should be read together with the consolidated financial statements and the notes thereto and other information included elsewhere in this quarterly report on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75" w:lineRule="exact"/>
        <w:rPr>
          <w:sz w:val="20"/>
          <w:szCs w:val="20"/>
          <w:color w:val="auto"/>
        </w:rPr>
      </w:pPr>
    </w:p>
    <w:p>
      <w:pPr>
        <w:ind w:right="220" w:firstLine="405"/>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or variations of such words and similar expressions, are forward-looking statements. These forward looking statements are not guarantees of future performance and are subject to risks and uncertainties. Investors are cautioned that actual events or results may differ from our expectations. Factors that may affect our actual results achieved include, without limitation, our ability to develop existing and new products, future actions by FDA or other regulatory agencies, results of pending or future clinical trials, the results of ongoing litigation, overall economic conditions, general market conditions, market acceptance, foreign currency exchange rate fluctuations, the effects on pricing from group purchasing organizations and competition, our ability to integrate purchased businesses and other factors including natural disasters and pandemics (such as the scope, scale and duration of the impact of the novel coronavirus, COVID-19). Other risks and uncertainties include, but are not limited to, the factors described from time to time in our reports filed with the SEC.</w:t>
      </w:r>
    </w:p>
    <w:p>
      <w:pPr>
        <w:spacing w:after="0" w:line="136"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speak only as of the date made. AngioDynamics disclaims any obligation to update the forward-looking statements. Investors are cautioned not to place undue reliance on these forward-looking statements which speak only as of the date stated, or if no date is stated, as of the date of this document.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Overview</w:t>
      </w:r>
    </w:p>
    <w:p>
      <w:pPr>
        <w:spacing w:after="0" w:line="175"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Many of our products are intended to be used once and then discarded, or they may be temporarily implanted for short- or longer-term use.</w:t>
      </w:r>
    </w:p>
    <w:p>
      <w:pPr>
        <w:spacing w:after="0" w:line="126" w:lineRule="exact"/>
        <w:rPr>
          <w:sz w:val="20"/>
          <w:szCs w:val="20"/>
          <w:color w:val="auto"/>
        </w:rPr>
      </w:pPr>
    </w:p>
    <w:p>
      <w:pPr>
        <w:ind w:right="320" w:firstLine="405"/>
        <w:spacing w:after="0" w:line="261" w:lineRule="auto"/>
        <w:rPr>
          <w:sz w:val="20"/>
          <w:szCs w:val="20"/>
          <w:color w:val="auto"/>
        </w:rPr>
      </w:pPr>
      <w:r>
        <w:rPr>
          <w:rFonts w:ascii="Times New Roman" w:cs="Times New Roman" w:eastAsia="Times New Roman" w:hAnsi="Times New Roman"/>
          <w:sz w:val="18"/>
          <w:szCs w:val="18"/>
          <w:color w:val="auto"/>
        </w:rPr>
        <w:t>Our business operations cross a variety of markets. Our financial performance is impacted by changing market dynamics, which have included an emergence of value-based purchasing by healthcare providers, consolidation of healthcare providers, 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 and fluctuations in the global economy.</w:t>
      </w:r>
    </w:p>
    <w:p>
      <w:pPr>
        <w:spacing w:after="0" w:line="126"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Our sales and profitability growth also depends, in part, on the introduction of new and innovative products, together with ongoing enhancements to our existing products. Expansions to our product offerings are created through internal product development, technology licensing and strategic alliances. We recognize the importance of, and intend to continue to make investments in research and development activities and business development opportunities and feel confident that our existing capital structure and free cash flow generation will allow us to properly fund those activities.</w:t>
      </w:r>
    </w:p>
    <w:p>
      <w:pPr>
        <w:spacing w:after="0" w:line="126"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We sell our products in the United States primarily through a direct sales force, and outside the U.S. through a combination of a direct sales and distributor relationships. We expect our businesses to grow in both sales and profitability through geographic expansion, market penetration, new product introductions and increasing our direct presence internationally.</w:t>
      </w:r>
    </w:p>
    <w:p>
      <w:pPr>
        <w:spacing w:after="0" w:line="12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COVID-19 global pandemic may pose significant risks to our business. It is too early to quantify the impact this situation will have on fiscal year 2021 or beyond, but the public health actions being undertaken to reduce spread of the virus are causing and may continue to cause significant disruptions with respect to consumer demand, hospital operating procedures and workflow, our ability to continue to manufacture products and the reliability of our supply chain. Accordingly, management is evaluating the Company’s liquidity position, communicating with and monitoring the actions of our customers and suppliers,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reviewing our near-term financial performance as we manage the Company through the uncertainty related to the coronavirus.</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the date of this report:</w:t>
      </w:r>
    </w:p>
    <w:p>
      <w:pPr>
        <w:spacing w:after="0" w:line="171" w:lineRule="exact"/>
        <w:rPr>
          <w:sz w:val="20"/>
          <w:szCs w:val="20"/>
          <w:color w:val="auto"/>
        </w:rPr>
      </w:pPr>
    </w:p>
    <w:p>
      <w:pPr>
        <w:ind w:left="980" w:right="400" w:hanging="324"/>
        <w:spacing w:after="0" w:line="26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field based sales personnel have continued to re-enter the field in a safe and well orchestrated manner in order to once again provide unparalleled service to our physicians.</w:t>
      </w:r>
    </w:p>
    <w:p>
      <w:pPr>
        <w:ind w:left="980" w:right="160" w:hanging="324"/>
        <w:spacing w:after="0" w:line="250"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Latham headquarters opened at the beginning of the first quarter of fiscal year 2021 in accordance with New York State guidelines. Our other office-based employees returned to the office during the first quarter of fiscal year 2021.</w:t>
      </w:r>
    </w:p>
    <w:p>
      <w:pPr>
        <w:ind w:left="980" w:right="380" w:hanging="324"/>
        <w:spacing w:after="0" w:line="260"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facility in Queensbury, New York is operating under our business continuity plan with precautions including, without limitation, creating small “work pods”, increasing distancing and regularly monitoring temperatures.</w:t>
      </w:r>
    </w:p>
    <w:p>
      <w:pPr>
        <w:spacing w:after="0" w:line="127"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As discussed in more detail below, we will closely monitor our liquidity and capital resources through the disruption caused by the COVID-19 pandemic.</w:t>
      </w:r>
    </w:p>
    <w:p>
      <w:pPr>
        <w:spacing w:after="0" w:line="108" w:lineRule="exact"/>
        <w:rPr>
          <w:sz w:val="20"/>
          <w:szCs w:val="20"/>
          <w:color w:val="auto"/>
        </w:rPr>
      </w:pPr>
    </w:p>
    <w:p>
      <w:pPr>
        <w:jc w:val="both"/>
        <w:ind w:right="280" w:firstLine="405"/>
        <w:spacing w:after="0" w:line="266" w:lineRule="auto"/>
        <w:rPr>
          <w:sz w:val="20"/>
          <w:szCs w:val="20"/>
          <w:color w:val="auto"/>
        </w:rPr>
      </w:pPr>
      <w:r>
        <w:rPr>
          <w:rFonts w:ascii="Times New Roman" w:cs="Times New Roman" w:eastAsia="Times New Roman" w:hAnsi="Times New Roman"/>
          <w:sz w:val="18"/>
          <w:szCs w:val="18"/>
          <w:color w:val="auto"/>
        </w:rPr>
        <w:t>In evaluating the operating performance of our business, management focuses on revenue, gross margin, operating income, earnings per share and cash flow from operations. A summary of these key financial metrics for the three months ended August 31, 2020 compared to the three months ended August 31, 2019 are as follows:</w:t>
      </w:r>
    </w:p>
    <w:p>
      <w:pPr>
        <w:spacing w:after="0" w:line="203"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6.3% to $70.2 million.</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decreased 700 bps to 50.9%.</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increased by $4.3 million to $5.1 million.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per share increased by $0.08 to a loss of $0.11.</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used in operations decreased by $1.1 million to $5.4 million.</w:t>
      </w:r>
    </w:p>
    <w:p>
      <w:pPr>
        <w:spacing w:after="0" w:line="153"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ongoing recovery from the COVID-19 pandemic has had a varying impact on each of our three businesses. Our Vascular Interventions &amp; Therapies and Vascular Access businesses performed the strongest of the businesses during the quarter. The number of procedures improved from the COVID-19 lows in the second half of last fiscal year, but remain below pre-COVID-19 levels. Our Oncology business continued to face pressure from COVID-19 related procedure headwinds and a challenging capital spending environment. We continued our commitment to supporting and progressing our key growth initiatives (AngioVac, Auryon and NanoKnife), managing operating expenses and managing our cash and balance sheet.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56"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Information regarding new accounting pronouncements is included in Note 17 to our consolidated financial statements in this Quarterly Report on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August 31, 2020 and August 31, 2019</w:t>
      </w:r>
    </w:p>
    <w:p>
      <w:pPr>
        <w:spacing w:after="0" w:line="175" w:lineRule="exact"/>
        <w:rPr>
          <w:sz w:val="20"/>
          <w:szCs w:val="20"/>
          <w:color w:val="auto"/>
        </w:rPr>
      </w:pPr>
    </w:p>
    <w:p>
      <w:pPr>
        <w:jc w:val="both"/>
        <w:ind w:right="320"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August 31, 2020, the Company reported a net loss of $4.3 million, or a loss of $0.11 per diluted share, on net sales of $70.2 million, compared with a net loss of $1.3 million, or a loss of $0.03 per diluted share, on net sales of $66.0 million during the same quarter of the prior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xml:space="preserve"> - Net sales are derived from the sale of products and related freight charges, less discounts and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rPr>
              <w:t>Three Months Ended</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98"/>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7"/>
                <w:szCs w:val="17"/>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2020</w:t>
            </w:r>
          </w:p>
        </w:tc>
        <w:tc>
          <w:tcPr>
            <w:tcW w:w="120" w:type="dxa"/>
            <w:vAlign w:val="bottom"/>
          </w:tcPr>
          <w:p>
            <w:pPr>
              <w:spacing w:after="0"/>
              <w:rPr>
                <w:sz w:val="17"/>
                <w:szCs w:val="17"/>
                <w:color w:val="auto"/>
              </w:rPr>
            </w:pPr>
          </w:p>
        </w:tc>
        <w:tc>
          <w:tcPr>
            <w:tcW w:w="134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Aug 31, 2019</w:t>
            </w:r>
          </w:p>
        </w:tc>
        <w:tc>
          <w:tcPr>
            <w:tcW w:w="160" w:type="dxa"/>
            <w:vAlign w:val="bottom"/>
          </w:tcPr>
          <w:p>
            <w:pPr>
              <w:spacing w:after="0"/>
              <w:rPr>
                <w:sz w:val="17"/>
                <w:szCs w:val="17"/>
                <w:color w:val="auto"/>
              </w:rPr>
            </w:pPr>
          </w:p>
        </w:tc>
        <w:tc>
          <w:tcPr>
            <w:tcW w:w="14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 Growth</w:t>
            </w:r>
          </w:p>
        </w:tc>
      </w:tr>
      <w:tr>
        <w:trPr>
          <w:trHeight w:val="235"/>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by Global Business Unit</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Vascular Interventions &amp; Therapies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29,857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28,913</w:t>
            </w:r>
          </w:p>
        </w:tc>
        <w:tc>
          <w:tcPr>
            <w:tcW w:w="16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Vascular Access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28,105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23,159</w:t>
            </w:r>
          </w:p>
        </w:tc>
        <w:tc>
          <w:tcPr>
            <w:tcW w:w="1600" w:type="dxa"/>
            <w:vAlign w:val="bottom"/>
            <w:tcBorders>
              <w:bottom w:val="single" w:sz="8" w:color="CCEEFF"/>
            </w:tcBorders>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21.4%</w:t>
            </w:r>
          </w:p>
        </w:tc>
      </w:tr>
      <w:tr>
        <w:trPr>
          <w:trHeight w:val="243"/>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Oncology</w:t>
            </w: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12,254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13,970</w:t>
            </w:r>
          </w:p>
        </w:tc>
        <w:tc>
          <w:tcPr>
            <w:tcW w:w="16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(12.3)%</w:t>
            </w:r>
          </w:p>
        </w:tc>
      </w:tr>
      <w:tr>
        <w:trPr>
          <w:trHeight w:val="27"/>
        </w:trPr>
        <w:tc>
          <w:tcPr>
            <w:tcW w:w="6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70,216</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66,042</w:t>
            </w:r>
          </w:p>
        </w:tc>
        <w:tc>
          <w:tcPr>
            <w:tcW w:w="1600" w:type="dxa"/>
            <w:vAlign w:val="bottom"/>
            <w:tcBorders>
              <w:bottom w:val="single" w:sz="8" w:color="CCEEFF"/>
            </w:tcBorders>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by Geography</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54,108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52,937</w:t>
            </w:r>
          </w:p>
        </w:tc>
        <w:tc>
          <w:tcPr>
            <w:tcW w:w="16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16,108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1600" w:type="dxa"/>
            <w:vAlign w:val="bottom"/>
            <w:tcBorders>
              <w:bottom w:val="single" w:sz="8" w:color="CCEEFF"/>
            </w:tcBorders>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22.9%</w:t>
            </w:r>
          </w:p>
        </w:tc>
      </w:tr>
      <w:tr>
        <w:trPr>
          <w:trHeight w:val="264"/>
        </w:trPr>
        <w:tc>
          <w:tcPr>
            <w:tcW w:w="6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70,216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66,042</w:t>
            </w:r>
          </w:p>
        </w:tc>
        <w:tc>
          <w:tcPr>
            <w:tcW w:w="16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44" w:lineRule="exact"/>
        <w:rPr>
          <w:sz w:val="20"/>
          <w:szCs w:val="20"/>
          <w:color w:val="auto"/>
        </w:rPr>
      </w:pPr>
    </w:p>
    <w:p>
      <w:pPr>
        <w:ind w:right="700" w:firstLine="405"/>
        <w:spacing w:after="0" w:line="470" w:lineRule="auto"/>
        <w:rPr>
          <w:sz w:val="20"/>
          <w:szCs w:val="20"/>
          <w:color w:val="auto"/>
        </w:rPr>
      </w:pPr>
      <w:r>
        <w:rPr>
          <w:rFonts w:ascii="Times New Roman" w:cs="Times New Roman" w:eastAsia="Times New Roman" w:hAnsi="Times New Roman"/>
          <w:sz w:val="18"/>
          <w:szCs w:val="18"/>
          <w:color w:val="auto"/>
        </w:rPr>
        <w:t xml:space="preserve">For the three months ended August 31, 2020, net sales increased $4.2 million to $70.2 million compared to the same period in the prior year. </w:t>
      </w:r>
      <w:r>
        <w:rPr>
          <w:rFonts w:ascii="Times New Roman" w:cs="Times New Roman" w:eastAsia="Times New Roman" w:hAnsi="Times New Roman"/>
          <w:sz w:val="18"/>
          <w:szCs w:val="18"/>
          <w:u w:val="single" w:color="auto"/>
          <w:color w:val="auto"/>
        </w:rPr>
        <w:t>Vascular Interventions &amp; Therapies</w:t>
      </w:r>
    </w:p>
    <w:p>
      <w:pPr>
        <w:spacing w:after="0" w:line="26" w:lineRule="exact"/>
        <w:rPr>
          <w:sz w:val="20"/>
          <w:szCs w:val="20"/>
          <w:color w:val="auto"/>
        </w:rPr>
      </w:pPr>
    </w:p>
    <w:p>
      <w:pPr>
        <w:ind w:left="660" w:right="20" w:hanging="328"/>
        <w:spacing w:after="0" w:line="270" w:lineRule="auto"/>
        <w:tabs>
          <w:tab w:leader="none" w:pos="6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Vascular Interventions &amp; Therapies sales increased $0.9 million primarily attributable to strong performance in the AngioVac business which grew $1.8 million. During the quarter, the Company continued to see strong case volumes in AngioVac, which increased 40% from the prior year. In addition, there was $1.1 million in sales of Auryon, which was acquired as part of the Eximo acquisition in the second quarter of fiscal year 2020. These increases were partially offset by lower volume in Venous products due to fewer elective procedures during the COVID-19 pandemic.</w:t>
      </w:r>
    </w:p>
    <w:p>
      <w:pPr>
        <w:spacing w:after="0" w:line="2" w:lineRule="exact"/>
        <w:rPr>
          <w:rFonts w:ascii="Times New Roman" w:cs="Times New Roman" w:eastAsia="Times New Roman" w:hAnsi="Times New Roman"/>
          <w:sz w:val="17"/>
          <w:szCs w:val="17"/>
          <w:color w:val="auto"/>
        </w:rPr>
      </w:pPr>
    </w:p>
    <w:p>
      <w:pPr>
        <w:ind w:left="660" w:right="58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Vascular Interventions &amp; Therapies sales increased $1.3 million due to increased case volume in AngioVac, increased Core Peripheral product sales and $1.1 million in sales of Auryon. These increases were partially offset by decreased sales volume in Venous.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Vascular Interventions &amp; Therapies sales decreased $0.4 million.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Vascular Access</w:t>
      </w:r>
    </w:p>
    <w:p>
      <w:pPr>
        <w:spacing w:after="0" w:line="252" w:lineRule="exact"/>
        <w:rPr>
          <w:sz w:val="20"/>
          <w:szCs w:val="20"/>
          <w:color w:val="auto"/>
        </w:rPr>
      </w:pPr>
    </w:p>
    <w:p>
      <w:pPr>
        <w:ind w:left="660" w:right="140" w:hanging="328"/>
        <w:spacing w:after="0" w:line="255"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Vascular Access sales increased $4.9 million due to increased sales of PICCs and Midlines of $3.4 million and $2.2 million, respectively. These increases are the result of a large order in the United Kingdom related to the COVID-19 pandemic for $5.2 million along with the distribution agreement with MedComp. These increases were offset by decreased sales in Ports and Dialysis. BioFlo product lines comprise 59% of overall Vascular Access sales compared to 50% a year ago.</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Vascular Access sales decreased $0.1 million.</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Vascular Access sales increased by $5.0 million primarily as a result of a large order in the United Kingdom related to the COVID-19 pandemic for $5.2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Oncology</w:t>
      </w:r>
    </w:p>
    <w:p>
      <w:pPr>
        <w:spacing w:after="0" w:line="252" w:lineRule="exact"/>
        <w:rPr>
          <w:sz w:val="20"/>
          <w:szCs w:val="20"/>
          <w:color w:val="auto"/>
        </w:rPr>
      </w:pPr>
    </w:p>
    <w:p>
      <w:pPr>
        <w:ind w:left="660" w:right="440" w:hanging="328"/>
        <w:spacing w:after="0" w:line="25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Oncology sales decreased $1.7 million year over year primarily due to lower NanoKnife capital sales of $1.0 million, decreased RadioFrequency Ablation sales of $0.6 million and decreased Balloon product sales of $0.5 million due to lower volumes. This was partially offset by increased Microwave sales of $0.3 million and BioSentry sales of $0.4 million.</w:t>
      </w:r>
    </w:p>
    <w:p>
      <w:pPr>
        <w:spacing w:after="0" w:line="1" w:lineRule="exact"/>
        <w:rPr>
          <w:rFonts w:ascii="Times New Roman" w:cs="Times New Roman" w:eastAsia="Times New Roman" w:hAnsi="Times New Roman"/>
          <w:sz w:val="18"/>
          <w:szCs w:val="18"/>
          <w:color w:val="auto"/>
        </w:rPr>
      </w:pPr>
    </w:p>
    <w:p>
      <w:pPr>
        <w:jc w:val="both"/>
        <w:ind w:left="660" w:right="1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Oncology sales decreased by $0.1 million primarily due to decreased Balloon product sales of $0.5 million due to lower volumes. This was partially offset by increased Microwave disposable sales of $0.4 million, BioSentry sales of $0.4 million and NanoKnife disposable sales of $0.1 million.</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Oncology sales decreased $1.6 million year over year as a result of decreased RadioFrequency Ablation and Microwave sales of $0.7 million and NanoKnife capital and disposable sales of $0.9 million.</w:t>
      </w:r>
    </w:p>
    <w:p>
      <w:pPr>
        <w:spacing w:after="0" w:line="208" w:lineRule="exact"/>
        <w:rPr>
          <w:sz w:val="20"/>
          <w:szCs w:val="20"/>
          <w:color w:val="auto"/>
        </w:rPr>
      </w:pPr>
    </w:p>
    <w:p>
      <w:pPr>
        <w:ind w:right="240" w:firstLine="445"/>
        <w:spacing w:after="0" w:line="250" w:lineRule="auto"/>
        <w:rPr>
          <w:sz w:val="20"/>
          <w:szCs w:val="20"/>
          <w:color w:val="auto"/>
        </w:rPr>
      </w:pPr>
      <w:r>
        <w:rPr>
          <w:rFonts w:ascii="Times New Roman" w:cs="Times New Roman" w:eastAsia="Times New Roman" w:hAnsi="Times New Roman"/>
          <w:sz w:val="18"/>
          <w:szCs w:val="18"/>
          <w:color w:val="auto"/>
        </w:rPr>
        <w:t>The Company has discussed the ongoing transformation from a company with a broad portfolio of largely undifferentiated products to a more focused medical technology company that delivers unique and innovative health care solutions. This transformation enables the Company to move away from the mature, lower-growth markets where we have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competed in the past by carving out significant space in larger and faster growing markets. As such, the growth in the near to mid-term will be driven by our high technology platforms including AngioVac, Auryon and NanoKnife.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Operating expenses, and Other income (expense)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r>
      <w:tr>
        <w:trPr>
          <w:trHeight w:val="198"/>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Aug 31, 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color w:val="auto"/>
              </w:rPr>
              <w:t>Aug 31, 2019</w:t>
            </w: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 Change</w:t>
            </w: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35,764</w:t>
            </w:r>
          </w:p>
        </w:tc>
        <w:tc>
          <w:tcPr>
            <w:tcW w:w="4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38,217</w:t>
            </w:r>
          </w:p>
        </w:tc>
        <w:tc>
          <w:tcPr>
            <w:tcW w:w="1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 of sales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6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w:t>
            </w:r>
          </w:p>
        </w:tc>
        <w:tc>
          <w:tcPr>
            <w:tcW w:w="4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w:t>
            </w:r>
          </w:p>
        </w:tc>
        <w:tc>
          <w:tcPr>
            <w:tcW w:w="1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43.2 %</w:t>
            </w:r>
          </w:p>
        </w:tc>
      </w:tr>
      <w:tr>
        <w:trPr>
          <w:trHeight w:val="24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6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17,705</w:t>
            </w:r>
          </w:p>
        </w:tc>
        <w:tc>
          <w:tcPr>
            <w:tcW w:w="4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19,380</w:t>
            </w:r>
          </w:p>
        </w:tc>
        <w:tc>
          <w:tcPr>
            <w:tcW w:w="1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4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6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4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1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4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36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u w:val="single" w:color="auto"/>
          <w:color w:val="auto"/>
        </w:rPr>
        <w:t>Gross profit</w:t>
      </w:r>
      <w:r>
        <w:rPr>
          <w:rFonts w:ascii="Times New Roman" w:cs="Times New Roman" w:eastAsia="Times New Roman" w:hAnsi="Times New Roman"/>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decreased by $2.5 million compared to the prior year. The decrease is primarily attributable to the following:</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positively impacted gross profit by $3.0 million year over year.</w:t>
      </w:r>
    </w:p>
    <w:p>
      <w:pPr>
        <w:spacing w:after="0" w:line="27" w:lineRule="exact"/>
        <w:rPr>
          <w:rFonts w:ascii="Times New Roman" w:cs="Times New Roman" w:eastAsia="Times New Roman" w:hAnsi="Times New Roman"/>
          <w:sz w:val="18"/>
          <w:szCs w:val="18"/>
          <w:color w:val="auto"/>
        </w:rPr>
      </w:pPr>
    </w:p>
    <w:p>
      <w:pPr>
        <w:ind w:left="660" w:right="20" w:hanging="328"/>
        <w:spacing w:after="0" w:line="265" w:lineRule="auto"/>
        <w:tabs>
          <w:tab w:leader="none" w:pos="65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productivity negatively impacted gross profit by $3.0 million primarily as a result of under absorption of $2.2 million and costs associated with the COVID-19 pandemic of $0.4 million. The under absorption in manufacturing operations was due to the fact that the Company maintained staffing levels and continued producing product to provide flexibility during the uncertainty brought about by the COVID-19 pandemic.</w:t>
      </w:r>
    </w:p>
    <w:p>
      <w:pPr>
        <w:ind w:left="660" w:right="24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 negatively impacted gross margin by $1.4 million as a result of the large order in the United Kingdom for lower gross margin products and decreased NanoKnife capital sales. This was partially offset by increased AngioVac sales.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reserve for recalled products of $0.5 million and amortization of prior year capitalized variances of $0.4 million.</w:t>
      </w:r>
    </w:p>
    <w:p>
      <w:pPr>
        <w:spacing w:after="0" w:line="23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u w:val="single" w:color="auto"/>
          <w:color w:val="auto"/>
        </w:rPr>
        <w:t>Research and development expenses</w:t>
      </w:r>
      <w:r>
        <w:rPr>
          <w:rFonts w:ascii="Times New Roman" w:cs="Times New Roman" w:eastAsia="Times New Roman" w:hAnsi="Times New Roman"/>
          <w:sz w:val="18"/>
          <w:szCs w:val="18"/>
          <w:color w:val="auto"/>
        </w:rPr>
        <w:t xml:space="preserve"> - Research and development (“R&amp;D”) expenses include internal and external costs to develop new products, enhance existing products, validate new and enhanced products, and manage clinical, regulatory and medical affairs.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R&amp;D expense increased $2.7 million compared to the prior year. The increase is primarily attributable to the following:</w:t>
      </w:r>
    </w:p>
    <w:p>
      <w:pPr>
        <w:spacing w:after="0" w:line="252" w:lineRule="exact"/>
        <w:rPr>
          <w:sz w:val="20"/>
          <w:szCs w:val="20"/>
          <w:color w:val="auto"/>
        </w:rPr>
      </w:pPr>
    </w:p>
    <w:p>
      <w:pPr>
        <w:ind w:left="660" w:right="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related to AngioVac, NanoKnife and Tip Location increased $1.5 million along with $1.2 million of expenses related to Auryon.</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u w:val="single" w:color="auto"/>
          <w:color w:val="auto"/>
        </w:rPr>
        <w:t>Sales and marketing expenses</w:t>
      </w:r>
      <w:r>
        <w:rPr>
          <w:rFonts w:ascii="Times New Roman" w:cs="Times New Roman" w:eastAsia="Times New Roman" w:hAnsi="Times New Roman"/>
          <w:sz w:val="18"/>
          <w:szCs w:val="18"/>
          <w:color w:val="auto"/>
        </w:rPr>
        <w:t xml:space="preserve"> - Sales and marketing (“S&amp;M”) expenses consist primarily of salaries, commissions, travel and related business expenses, attendance at medical society meetings, product promotions and marketing activities.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S&amp;M expense decreased $1.7 million compared to the prior year. The decrease is primarily attributable to the following:</w:t>
      </w:r>
    </w:p>
    <w:p>
      <w:pPr>
        <w:spacing w:after="0" w:line="252" w:lineRule="exact"/>
        <w:rPr>
          <w:sz w:val="20"/>
          <w:szCs w:val="20"/>
          <w:color w:val="auto"/>
        </w:rPr>
      </w:pPr>
    </w:p>
    <w:p>
      <w:pPr>
        <w:ind w:left="660" w:right="5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expenses decreased $1.5 million due to less travel as a result of the COVID-19 pandemic. In addition, tradeshow and other expenses decreased $1.7 million due to the cancellation of events.</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decreased approximately $0.4 million which is primarily the result of decreased commissions.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the build-out of the Auryon sales and marketing teams to prepare for full product launch of $2.1 million.</w:t>
      </w:r>
    </w:p>
    <w:p>
      <w:pPr>
        <w:spacing w:after="0" w:line="23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expenses</w:t>
      </w:r>
      <w:r>
        <w:rPr>
          <w:rFonts w:ascii="Times New Roman" w:cs="Times New Roman" w:eastAsia="Times New Roman" w:hAnsi="Times New Roman"/>
          <w:sz w:val="18"/>
          <w:szCs w:val="18"/>
          <w:color w:val="auto"/>
        </w:rPr>
        <w:t xml:space="preserve"> - General and administrative (“G&amp;A”) expenses include executive management, finance, information technology, human resources, business development, legal, and the administrative and professional costs associated with those activities.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6" w:name="page27"/>
    <w:bookmarkEnd w:id="2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G&amp;A expense increased $0.1 million compared to the prior year. The increase is primarily attributable to the following:</w:t>
      </w:r>
    </w:p>
    <w:p>
      <w:pPr>
        <w:spacing w:after="0" w:line="252" w:lineRule="exact"/>
        <w:rPr>
          <w:sz w:val="20"/>
          <w:szCs w:val="20"/>
          <w:color w:val="auto"/>
        </w:rPr>
      </w:pPr>
    </w:p>
    <w:p>
      <w:pPr>
        <w:ind w:left="660" w:right="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related to the Auryon product to integrate the business of $0.2 million was partially offset by decreased travel and expenses of $0.1 million.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Three Months Ended</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98"/>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2020</w:t>
            </w:r>
          </w:p>
        </w:tc>
        <w:tc>
          <w:tcPr>
            <w:tcW w:w="12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Aug 31, 2019</w:t>
            </w:r>
          </w:p>
        </w:tc>
        <w:tc>
          <w:tcPr>
            <w:tcW w:w="28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Times New Roman" w:cs="Times New Roman" w:eastAsia="Times New Roman" w:hAnsi="Times New Roman"/>
                <w:sz w:val="14"/>
                <w:szCs w:val="14"/>
                <w:color w:val="auto"/>
              </w:rPr>
              <w:t>$ Change</w:t>
            </w:r>
          </w:p>
        </w:tc>
      </w:tr>
      <w:tr>
        <w:trPr>
          <w:trHeight w:val="248"/>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Amortization of intangibles</w:t>
      </w:r>
      <w:r>
        <w:rPr>
          <w:rFonts w:ascii="Times New Roman" w:cs="Times New Roman" w:eastAsia="Times New Roman" w:hAnsi="Times New Roman"/>
          <w:sz w:val="18"/>
          <w:szCs w:val="18"/>
          <w:color w:val="auto"/>
        </w:rPr>
        <w:t xml:space="preserve"> - Represents the amount of amortization expense that was taken on intangibles assets held by the Company.</w:t>
      </w:r>
    </w:p>
    <w:p>
      <w:pPr>
        <w:spacing w:after="0" w:line="252" w:lineRule="exact"/>
        <w:rPr>
          <w:sz w:val="20"/>
          <w:szCs w:val="20"/>
          <w:color w:val="auto"/>
        </w:rPr>
      </w:pPr>
    </w:p>
    <w:p>
      <w:pPr>
        <w:jc w:val="both"/>
        <w:ind w:left="660" w:right="20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increased $1.1 million compared to the prior year as a result of the Eximo Medical and C3 Wave tip location acquisitions, which increased intangible assets by $60.3 million and $9.4 million, respectively. These additions resulted in additional amortization expense of $1.2 million.</w:t>
      </w:r>
    </w:p>
    <w:p>
      <w:pPr>
        <w:spacing w:after="0" w:line="20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u w:val="single" w:color="auto"/>
          <w:color w:val="auto"/>
        </w:rPr>
        <w:t>Change in fair value of contingent consideration</w:t>
      </w:r>
      <w:r>
        <w:rPr>
          <w:rFonts w:ascii="Times New Roman" w:cs="Times New Roman" w:eastAsia="Times New Roman" w:hAnsi="Times New Roman"/>
          <w:sz w:val="18"/>
          <w:szCs w:val="18"/>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89" w:lineRule="exact"/>
        <w:rPr>
          <w:sz w:val="20"/>
          <w:szCs w:val="20"/>
          <w:color w:val="auto"/>
        </w:rPr>
      </w:pPr>
    </w:p>
    <w:p>
      <w:pPr>
        <w:ind w:left="660" w:right="18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from the prior year is due to a decision to no longer pursue the final RadiaDyne technical milestone, which resulted in a reduction in the liability of $0.8 million. This reduction in the fair value was offset by normal amortization of the present value of the remaining Eximo contingent consideration of $14.9 million recorded in the second quarter of fiscal year 2020.</w:t>
      </w:r>
    </w:p>
    <w:p>
      <w:pPr>
        <w:spacing w:after="0" w:line="20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u w:val="single" w:color="auto"/>
          <w:color w:val="auto"/>
        </w:rPr>
        <w:t>Acquisition, restructuring and other items, net</w:t>
      </w:r>
      <w:r>
        <w:rPr>
          <w:rFonts w:ascii="Times New Roman" w:cs="Times New Roman" w:eastAsia="Times New Roman" w:hAnsi="Times New Roman"/>
          <w:sz w:val="18"/>
          <w:szCs w:val="18"/>
          <w:color w:val="auto"/>
        </w:rPr>
        <w:t xml:space="preserve"> - Represents costs associated with mergers and acquisitions, restructuring expenses, legal costs that are related to litigation that is not in the ordinary course of business, legal settlements and other one-time items.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restructuring and other items, net decreased by $0.2 million compared to the prior year. The decrease is primarily attributable to the following:</w:t>
      </w:r>
    </w:p>
    <w:p>
      <w:pPr>
        <w:spacing w:after="0" w:line="252" w:lineRule="exact"/>
        <w:rPr>
          <w:sz w:val="20"/>
          <w:szCs w:val="20"/>
          <w:color w:val="auto"/>
        </w:rPr>
      </w:pPr>
    </w:p>
    <w:p>
      <w:pPr>
        <w:ind w:left="660" w:right="18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expense, related to litigation that is outside of the normal course of business, of $0.8 million was recorded in the first quarter of fiscal year 2021 compared to $0.7 million in the prior year.</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no M&amp;A expense incurred in the first quarter of fiscal year 2021 compared to $0.2 million in the prior year.</w:t>
      </w:r>
    </w:p>
    <w:p>
      <w:pPr>
        <w:spacing w:after="0" w:line="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fiscal year 2021, the Company incurred $0.3 million of expense to move manufacturing facilities as a result of the sale of the Fluid Management business compared to $0.8 million in the prior year.</w:t>
      </w:r>
    </w:p>
    <w:p>
      <w:pPr>
        <w:ind w:left="660" w:right="18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sale of the Fluid Management business, the Company entered into a transition services agreement with Medline for certain legal, human resource, tax, accounting and information technology services from the Company for a period not to exceed 24 months. As a result of the transition services agreement, the Company invoiced Medline $0.4 million in the first quarter of fiscal year 2021.</w:t>
      </w:r>
    </w:p>
    <w:p>
      <w:pPr>
        <w:spacing w:after="0" w:line="1" w:lineRule="exact"/>
        <w:rPr>
          <w:rFonts w:ascii="Times New Roman" w:cs="Times New Roman" w:eastAsia="Times New Roman" w:hAnsi="Times New Roman"/>
          <w:sz w:val="18"/>
          <w:szCs w:val="18"/>
          <w:color w:val="auto"/>
        </w:rPr>
      </w:pPr>
    </w:p>
    <w:p>
      <w:pPr>
        <w:ind w:left="660" w:right="200" w:hanging="328"/>
        <w:spacing w:after="0" w:line="26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of $0.6 million in the first quarter of fiscal year 2021 consists of expenses to move the manufacturing of BioSentry products and severance associated with the sale of the Fluid Management business, compared to $0.5 million in the prior year.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expenses, net</w:t>
      </w:r>
      <w:r>
        <w:rPr>
          <w:rFonts w:ascii="Times New Roman" w:cs="Times New Roman" w:eastAsia="Times New Roman" w:hAnsi="Times New Roman"/>
          <w:sz w:val="18"/>
          <w:szCs w:val="18"/>
          <w:color w:val="auto"/>
        </w:rPr>
        <w:t xml:space="preserve"> - Other expenses include interest expense, foreign currency impacts, bank fees, and amortization of deferred financing costs.</w:t>
      </w:r>
    </w:p>
    <w:p>
      <w:pPr>
        <w:spacing w:after="0" w:line="252" w:lineRule="exact"/>
        <w:rPr>
          <w:sz w:val="20"/>
          <w:szCs w:val="20"/>
          <w:color w:val="auto"/>
        </w:rPr>
      </w:pPr>
    </w:p>
    <w:p>
      <w:pPr>
        <w:ind w:left="660" w:right="20" w:hanging="328"/>
        <w:spacing w:after="0" w:line="258"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other income from the prior year of $0.9 million is primarily due to foreign currency unrealized gains of $0.6 million and the prior year write-off of deferred financing fees associated with the old Credit Facility of $0.6 million. This was partially offset by increased interest expense of $0.1 million due on the $40.0 million outstanding on the Revolving Facility at the end of the first quarter of fiscal year 2021 compared to no debt outstanding in the prior year. In addition, interest income decreased by $0.2 million as a result of less cash on hand at the end of the first quarter of fiscal year 2021.</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98"/>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7"/>
                <w:szCs w:val="17"/>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Aug 31, 2020</w:t>
            </w:r>
          </w:p>
        </w:tc>
        <w:tc>
          <w:tcPr>
            <w:tcW w:w="260" w:type="dxa"/>
            <w:vAlign w:val="bottom"/>
          </w:tcPr>
          <w:p>
            <w:pPr>
              <w:spacing w:after="0"/>
              <w:rPr>
                <w:sz w:val="17"/>
                <w:szCs w:val="17"/>
                <w:color w:val="auto"/>
              </w:rPr>
            </w:pPr>
          </w:p>
        </w:tc>
        <w:tc>
          <w:tcPr>
            <w:tcW w:w="1320" w:type="dxa"/>
            <w:vAlign w:val="bottom"/>
          </w:tcPr>
          <w:p>
            <w:pPr>
              <w:jc w:val="right"/>
              <w:ind w:right="316"/>
              <w:spacing w:after="0"/>
              <w:rPr>
                <w:sz w:val="20"/>
                <w:szCs w:val="20"/>
                <w:color w:val="auto"/>
              </w:rPr>
            </w:pPr>
            <w:r>
              <w:rPr>
                <w:rFonts w:ascii="Times New Roman" w:cs="Times New Roman" w:eastAsia="Times New Roman" w:hAnsi="Times New Roman"/>
                <w:sz w:val="14"/>
                <w:szCs w:val="14"/>
                <w:color w:val="auto"/>
              </w:rPr>
              <w:t>Aug 31, 2019</w:t>
            </w:r>
          </w:p>
        </w:tc>
      </w:tr>
      <w:tr>
        <w:trPr>
          <w:trHeight w:val="248"/>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 including discrete items</w:t>
            </w:r>
          </w:p>
        </w:tc>
        <w:tc>
          <w:tcPr>
            <w:tcW w:w="240" w:type="dxa"/>
            <w:vAlign w:val="bottom"/>
          </w:tcPr>
          <w:p>
            <w:pPr>
              <w:spacing w:after="0"/>
              <w:rPr>
                <w:sz w:val="21"/>
                <w:szCs w:val="21"/>
                <w:color w:val="auto"/>
              </w:rPr>
            </w:pPr>
          </w:p>
        </w:tc>
        <w:tc>
          <w:tcPr>
            <w:tcW w:w="1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r>
    </w:tbl>
    <w:p>
      <w:pPr>
        <w:spacing w:after="0" w:line="360"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Our effective tax rate including discrete items for the three month periods ended August 31, 2020 and August 31, 2019 was 11.3% and 8.3%, respectively. In fiscal year 2021, the Company’s effective tax rate differs from the U.S. statutory rate primarily due to the impact of the valuation allowance, foreign taxes, and other non-deductible permanent items (such as non-deductible meals and entertainment, Section 162(m) excess compensation and non-deductible share based compensation).</w:t>
      </w:r>
    </w:p>
    <w:p>
      <w:pPr>
        <w:spacing w:after="0" w:line="126"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The estimated annual effective tax rate, however, prior to discrete items was 14.2% in the first quarter of fiscal year 2021, as compared to 8.3% for the same period in fiscal year 2020.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5"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We are continuously and critically reviewing our liquidity and anticipated capital requirements in light of the significant uncertainty created by the COVID-19 global pandemic. We believe that our current cash on hand and availability under our revolving credit facility provide sufficient liquidity to meet our anticipated needs for capital for at least the next 12 months. We are closely monitoring receivables and payables. In addition, we believe that our recently increased inventory levels provide additional risk mitigation in the event we incur a manufacturing disruption.</w:t>
      </w:r>
    </w:p>
    <w:p>
      <w:pPr>
        <w:spacing w:after="0" w:line="126"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Our cash and cash equivalents totaled $47.9 million as of August 31, 2020, compared with $54.4 million as of May 31, 2020. As of August 31, 2020 and May 31, 2020, total debt outstanding related to the Revolving Facility was $40.0 million. The fair value of contingent consideration liability as of August 31, 2020 and May 31, 2020, was $15.0 million and $15.6 million, respectively.</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summarizes our cash flows: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98"/>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2020</w:t>
            </w:r>
          </w:p>
        </w:tc>
        <w:tc>
          <w:tcPr>
            <w:tcW w:w="220" w:type="dxa"/>
            <w:vAlign w:val="bottom"/>
          </w:tcPr>
          <w:p>
            <w:pPr>
              <w:spacing w:after="0"/>
              <w:rPr>
                <w:sz w:val="17"/>
                <w:szCs w:val="17"/>
                <w:color w:val="auto"/>
              </w:rPr>
            </w:pPr>
          </w:p>
        </w:tc>
        <w:tc>
          <w:tcPr>
            <w:tcW w:w="1240" w:type="dxa"/>
            <w:vAlign w:val="bottom"/>
          </w:tcPr>
          <w:p>
            <w:pPr>
              <w:jc w:val="right"/>
              <w:ind w:right="253"/>
              <w:spacing w:after="0"/>
              <w:rPr>
                <w:sz w:val="20"/>
                <w:szCs w:val="20"/>
                <w:color w:val="auto"/>
              </w:rPr>
            </w:pPr>
            <w:r>
              <w:rPr>
                <w:rFonts w:ascii="Times New Roman" w:cs="Times New Roman" w:eastAsia="Times New Roman" w:hAnsi="Times New Roman"/>
                <w:sz w:val="14"/>
                <w:szCs w:val="14"/>
                <w:color w:val="auto"/>
              </w:rPr>
              <w:t>Aug 31, 2019</w:t>
            </w:r>
          </w:p>
        </w:tc>
      </w:tr>
      <w:tr>
        <w:trPr>
          <w:trHeight w:val="235"/>
        </w:trPr>
        <w:tc>
          <w:tcPr>
            <w:tcW w:w="8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(5,425)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Pr>
          <w:p>
            <w:pPr>
              <w:spacing w:after="0"/>
              <w:rPr>
                <w:sz w:val="21"/>
                <w:szCs w:val="21"/>
                <w:color w:val="auto"/>
              </w:rPr>
            </w:pPr>
          </w:p>
        </w:tc>
        <w:tc>
          <w:tcPr>
            <w:tcW w:w="12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(135,749)</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7"/>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(6,506)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(143,992)</w:t>
            </w:r>
          </w:p>
        </w:tc>
      </w:tr>
      <w:tr>
        <w:trPr>
          <w:trHeight w:val="27"/>
        </w:trPr>
        <w:tc>
          <w:tcPr>
            <w:tcW w:w="8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consisted of the following: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operating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August 31, 2020:</w:t>
      </w:r>
    </w:p>
    <w:p>
      <w:pPr>
        <w:spacing w:after="0" w:line="171" w:lineRule="exact"/>
        <w:rPr>
          <w:sz w:val="20"/>
          <w:szCs w:val="20"/>
          <w:color w:val="auto"/>
        </w:rPr>
      </w:pPr>
    </w:p>
    <w:p>
      <w:pPr>
        <w:ind w:left="1100" w:right="740" w:hanging="323"/>
        <w:spacing w:after="0" w:line="261" w:lineRule="auto"/>
        <w:tabs>
          <w:tab w:leader="none" w:pos="10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$4.3 million plus the non-cash items, primarily driven by depreciation and amortization and share based compensation, contributed to cash used in operations of $5.4 million.</w:t>
      </w:r>
    </w:p>
    <w:p>
      <w:pPr>
        <w:ind w:left="1100" w:right="400" w:hanging="323"/>
        <w:spacing w:after="0" w:line="260" w:lineRule="auto"/>
        <w:tabs>
          <w:tab w:leader="none" w:pos="10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was negatively impacted by increased accounts receivable of $2.7 million and decreased accounts payable and accrued liabilities of $10.1 million. Inventory had a favorable impact of $7.2 million on working capital.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August 31, 2019:</w:t>
      </w:r>
    </w:p>
    <w:p>
      <w:pPr>
        <w:spacing w:after="0" w:line="171" w:lineRule="exact"/>
        <w:rPr>
          <w:sz w:val="20"/>
          <w:szCs w:val="20"/>
          <w:color w:val="auto"/>
        </w:rPr>
      </w:pPr>
    </w:p>
    <w:p>
      <w:pPr>
        <w:ind w:left="1100" w:hanging="323"/>
        <w:spacing w:after="0" w:line="261" w:lineRule="auto"/>
        <w:tabs>
          <w:tab w:leader="none" w:pos="10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$1.3 million plus the non-cash items, primarily driven by depreciation and amortization, contributed to cash used in operations of $6.5 million.</w:t>
      </w:r>
    </w:p>
    <w:p>
      <w:pPr>
        <w:ind w:left="1100" w:right="200" w:hanging="323"/>
        <w:spacing w:after="0" w:line="255" w:lineRule="auto"/>
        <w:tabs>
          <w:tab w:leader="none" w:pos="10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was negatively impacted by increased inventory on hand of $5.2 million and decreased accounts payable and accrued liabilities of $17.6 million. Accounts receivable had a favorable impact on working capital as a result of the sale of the Fluid Management business.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8" w:name="page29"/>
    <w:bookmarkEnd w:id="2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investing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August 31, 2020 and August 31, 2019:</w:t>
      </w:r>
    </w:p>
    <w:p>
      <w:pPr>
        <w:spacing w:after="0" w:line="171" w:lineRule="exact"/>
        <w:rPr>
          <w:sz w:val="20"/>
          <w:szCs w:val="20"/>
          <w:color w:val="auto"/>
        </w:rPr>
      </w:pPr>
    </w:p>
    <w:p>
      <w:pPr>
        <w:ind w:right="4900" w:firstLine="777"/>
        <w:spacing w:after="0" w:line="438" w:lineRule="auto"/>
        <w:tabs>
          <w:tab w:leader="none" w:pos="108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$1.8 million in fixed asset additions versus $1.4 million in the prior year. </w:t>
      </w:r>
      <w:r>
        <w:rPr>
          <w:rFonts w:ascii="Times New Roman" w:cs="Times New Roman" w:eastAsia="Times New Roman" w:hAnsi="Times New Roman"/>
          <w:sz w:val="18"/>
          <w:szCs w:val="18"/>
          <w:u w:val="single" w:color="auto"/>
          <w:color w:val="auto"/>
        </w:rPr>
        <w:t>Cash provided by (used in) financing activities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months ended August 31, 2020 and August 31, 2019:</w:t>
      </w:r>
    </w:p>
    <w:p>
      <w:pPr>
        <w:spacing w:after="0" w:line="171" w:lineRule="exact"/>
        <w:rPr>
          <w:rFonts w:ascii="Times New Roman" w:cs="Times New Roman" w:eastAsia="Times New Roman" w:hAnsi="Times New Roman"/>
          <w:sz w:val="18"/>
          <w:szCs w:val="18"/>
          <w:color w:val="auto"/>
        </w:rPr>
      </w:pPr>
    </w:p>
    <w:p>
      <w:pPr>
        <w:ind w:left="1100" w:right="40" w:hanging="323"/>
        <w:spacing w:after="0" w:line="261" w:lineRule="auto"/>
        <w:tabs>
          <w:tab w:leader="none" w:pos="10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$132.5 million repayment of long-term debt in conjunction with the new Credit Agreement that was entered into at the beginning of the first quarter of fiscal year 2020. Refer to Note 7 of the financial statements.</w:t>
      </w:r>
    </w:p>
    <w:p>
      <w:pPr>
        <w:ind w:left="1100" w:hanging="323"/>
        <w:spacing w:after="0"/>
        <w:tabs>
          <w:tab w:leader="none" w:pos="11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of proceeds from stock option and ESPP activity versus $1.3 million in outlays in the prior year.</w:t>
      </w:r>
    </w:p>
    <w:p>
      <w:pPr>
        <w:spacing w:after="0" w:line="9"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payment on earn-out liabilities in the prior year.</w:t>
      </w:r>
    </w:p>
    <w:p>
      <w:pPr>
        <w:spacing w:after="0" w:line="153"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On June 3, 2019 and in connection with the completion of the Fluid Management divestiture, the Company repaid all amounts outstanding under its existing Credit Agreement and entered into a new Credit Agreement. The Credit Agreement provides for a $125.0 million secured Revolving Facility, which includes an uncommitted expansion feature that allows the Company to increase the total revolving commitments and/or add new tranches of term loans in an aggregate amount not to exceed $75.0 million. The Credit Agreement includes customary representations, warranties and covenants, and acceleration, indemnity and events of default provisions, including, among other things, two financial covenants. One financial covenant requires us to maintain a fixed charge coverage ratio of not less than 1.25 to 1.00. The other financial covenant requires us to maintain a total leverage ratio of not greater than 3.00 to 1.00. The total leverage ratio is based upon our trailing twelve months total adjusted EBITDA (as defined in the Credit Agreement). The amount that we can borrow under our Credit Agreement is directly based on our leverage ratio.</w:t>
      </w:r>
    </w:p>
    <w:p>
      <w:pPr>
        <w:spacing w:after="0" w:line="13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On December 17, 2019, the Company made a $15.0 million draw on the Revolving Facility as part of the acquisition of the C3 Wave tip location asset from Medical Components Inc. that is described Note 2 to the financial statements. In the fourth quarter of fiscal year 2020, the Company made an additional $25.0 million draw on the Revolving Facility. We believe that our current cash balance, together with cash generated from operations and access to our Revolving Facility, will provide sufficient liquidity to meet our anticipated needs for capital for at least the next 12 months. If we seek to make significant acquisitions of other businesses or technologies in the future for cash, we may require external financing.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changes in currency exchange rates, as well as interest rate fluctuations on our credit facility and investments that could impact our results of operations and financial position.</w:t>
      </w:r>
    </w:p>
    <w:p>
      <w:pPr>
        <w:spacing w:after="0" w:line="10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transact sales in currencies other than the U.S. Dollar, particularly the Euro, British pound and Canadian dollar. Approximately 6% of our sales in the first quarter of fiscal year 2021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(Expenses) Income. Significant non-functional balances include accounts receivable due from a sub-section of our international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On June 3, 2019, we entered into the Credit Agreement which provides for a $125 million Revolving Facility. Interest on the facility will be based, at the Company’s option, on a base rate of LIBOR plus an applicable margin tied to the Company’s total leverage ratio and having ranges between 0.25% and 0.75% for base rate loans and between 1.25% and 1.75% for LIBOR loans. In the event of default, the interest rate may be increased by 2.0%. As of August 31, 2020 there was $40.0 million outstanding on the Revolving Facility.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ind w:right="740" w:firstLine="405"/>
        <w:spacing w:after="0" w:line="282"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significant concentrations of credit risk, consist primarily of cash and cash equivalents, our credit facility and trade accounts receivable.</w:t>
      </w:r>
    </w:p>
    <w:p>
      <w:pPr>
        <w:spacing w:after="0" w:line="108"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The Company maintains cash and cash equivalents at various institutions and performs periodic evaluations of the relative credit standings of these financial institutions to ensure their credit worthiness. In addition, the Credit Agreement is structured across five above investment grade banks. The Company has the ability to draw equally amongst the five banks which limits the concentration of credit risk of one institution.</w:t>
      </w:r>
    </w:p>
    <w:p>
      <w:pPr>
        <w:spacing w:after="0" w:line="122"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to which it grants credit terms in the normal course of business. Although the Company does not currently foresee a significant credit risk associated with the outstanding accounts receivable, repayment is dependent upon the financial stability of our customers.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our management, under the supervision and with the participation of our Chief Executive Officer and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for the fiscal quarter ended August 31, 2020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 Bard, Inc. v. AngioDynamics, Inc.</w:t>
      </w:r>
    </w:p>
    <w:p>
      <w:pPr>
        <w:spacing w:after="0" w:line="175"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On January 11, 2012, C.R. Bard, Inc. (“Bard”) filed a suit in the United States District Court of Utah claiming certain of the Company's implantable port products infringe on three U.S. patents held by Bard (the "Utah Action"). Bard’s complaint sought unspecified damages and other relief. The Company filed petitions for reexamination in the US Patent and Trademark Office ("USPTO") seeking to invalidate all three patents asserted by Bard in the litigation. The Company's petitions were granted and 40 of Bard's 41 patent claims were rejected and, following further proceedings, the Patent Office issued a Final Rejection of all 40 claims subject to reexamination. Thereafter, Bard filed appeals to the USPTO Board of Appeals and Interferences for all three reexaminations which were decided as follows: For US Patent No. 7,785,302, the rejections of six of the ten claims under reexamination were affirmed, but were reversed on four of the ten claims. For U.S. Patent No. 7,959,615 the rejections of eight of the ten claims under reexamination were affirmed but the rejections of the other two of the ten claims were reversed. In the third, for U.S. Patent No. 7,947,022 the rejections of all twenty claims under reexamination were affirmed. Thereafter, Bard sought Rehearing in all three appeals and the Company sought Rehearing in the ‘302 and ‘615 appeals. The USPTO denied all three Rehearing Requests, but modified its characterization of one prior art reference for the ‘302 and ‘022 decisions.</w:t>
      </w:r>
    </w:p>
    <w:p>
      <w:pPr>
        <w:spacing w:after="0" w:line="140"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Bard filed appeals to the Federal Circuit Court of Appeals in all three reexams and the Company Cross-Appealed for the ‘302 and the ‘615 reexams. MedComp also filed an Amicus Brief in support of the Company on November 22, 2017. Meanwhile, on July 12, 2017 Bard assigned the asserted patents to Bard Peripheral Vascular, Inc. (“BPV”) which was added as co-Appellant before the Federal Circuit and as a co-Plaintiff in the Utah action. An oral hearing was held on September 5, 2018 and the Court rendered its decision on September 28, 2018, affirming that claims 1-5 and 10 of the ‘615 patent were invalid, but that claims 6-7 of the 615 patent and claims 1-4 of the 302 patent were valid over the prior art references considered in the Reexamination proceedings. The Federal Circuit also reversed the PTAB’s claim construction ruling and remanded for consideration of obviousness for the remaining claims under the new claim construction ruling and for further findings with respect to whether one of the asserted references qualified as a printed publication. On January 28, 2019, on remand, the USPTO reversed the rejections of the ‘302 claims 1-10, ‘022 claims 1-20 and ‘615 claims 8-9. The USPTO has since issued Inter Partes Reexamination Certificates for the ‘302 Patent for the ‘022 patent and for the ‘615 patent. The Company thereafter filed a Motion to Unstay the Utah Case and that motion was granted. On November 4, 2019 the Court held a joint Status Conference among the Company’s Utah Action and two other cases filed by Bard on the same patents against MedComp and Smiths. The Court set a schedule for defendant's Motions to Dismiss or Transfer. The Company filed its motion on November 25, 2019; and Bard filed a responsive brief and a motion for venue discovery on December 9, 2019. The Company filed a responsive brief on December 16, 2019 and Bard filed a reply on December 23, 2019. On February 27, 2020, the Court referred all non-dispositive motions to the presiding Magistrate and on March 3, 2020 the Court granted Bard’s Motion for Venue Discovery and denied the Company’s transfer motion without prejudice to re-filing after completion of the venue discovery, but no later than June 30, 2020. The parties have since engaged in venue discovery and AngioDynamics re-filed its Motion to Dismiss or Transfer on June 30, 2020. Bard filed an opposition brief on July 28, 2020, and the Company filed a subsequent reply.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137"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On March 10, 2015, Bard and BPV filed suit in the United States District Court for the District of Delaware (the “Delaware Action") claiming certain of the Company's implantable port products infringe on three other U.S. patents held by Bard, which are different from those asserted in the Utah action. Bard's complaint seeks unspecified damages and other relief. On June 1, 2015, the Company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On January 12, 2016, the Court issued a decision denying both motions. A Markman hearing was held on March 10, 2017 and the Court issued its Claim Construction Order on May 19, 2017. On May 19, 2017, Bard served its Final Infringement Contentions and on June 2, 2017, the Company served its Final Invalidity Contentions.</w:t>
      </w:r>
    </w:p>
    <w:p>
      <w:pPr>
        <w:spacing w:after="0" w:line="122"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On October 20, 2017, the scheduling order for the case was amended to, among other things, set a trial date commencing July 23, 2018. The parties completed Expert Discovery in January 2018 and completed briefing on their respective case dispositive motions on April 27, 2018. On June 26, 2018, the Court denied all case dispositive motions, ruling that issues of material fact remained in dispute. On July 9, 2018, the Court continued the trial until March 2019. On January 9, 2019 the Court held a further claim construction hearing to resolve two outstanding claim construction issues prior to trial. A Report and Recommendation (by Magistrate-Judge Fallon) was issued on February 11, 2019 and entered by the Court on February 28, 2019. Jury selection was held on Friday March 1, 2019 and trial began on March 4, 2019. On day four of the jury trial, at the close of C.R. Bard’s case, the Court granted the Company's oral motion for judgment as a matter of law under rule 50(a) as well as its motions for summary judgement on the grounds that the asserted patents are invalid, ineligible, not infringed and not willfully infringed. On April 5, 2019, Bard filed a precautionary Notice of Appeal to the Federal Circuit. On April 26, 2019, the District Court issued a Memorandum and Order confirming the grant of judgment in the Company’s favor of patent ineligibility, non-infringement, patent invalidity and no willful infringement. Meanwhile, on May 10, 2019, the Company filed a Motion for Attorney fees and non-taxable expenses under 35 USC Sec. 285. On May 21, 2019, the Court issued a Memorandum and Order which, inter alia, stayed proceedings on the Company’s fee Motion and the Company’s equitable claims pending appeal; and entered Final Judgment on May 21, 2019 as well. Bard filed a second Notice of Appeal on May 23, 2019. Both appeals have since been consolidated and Bard’s opening brief was filed on September 27, 2019; the Company's answering brief was filed on January 15, 2020; and Bard’s reply brief was filed on March 4, 2020. A hearing was held on June 1, 2020, and the Company is currently awaiting a decision from the Federal Circuit . The Company maintains its belief that Bard’s claims are without merit. The Company has not recorded an expense related to the outcome of this litigation because it is not yet possible to determine if a potential loss is probable nor reasonably estimable.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AngioDynamics, Inc. v. C.R. Bard, Inc.</w:t>
      </w:r>
    </w:p>
    <w:p>
      <w:pPr>
        <w:spacing w:after="0" w:line="175"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On May 30, 2017, the Company commenced an action in the United States District Court for the Northern District of New York entitled AngioDynamics, Inc. v. C.R. Bard, Inc. and Bard Access Systems, Inc. (“Bard”). In this action, the Company alleges that Bard has illegally tied the sales of its tip location systems to the sales of its PICCs. The Company alleges that this practice violates the federal antitrust laws and has had, and continues to have, an anti-competitive effect in the market for PICCs. The Company seeks both monetary damages and injunctive relief. Bard moved to dismiss on September 8, 2017. On August 6, 2018 the court denied Bard’s motion in its entirety. Discovery is largely complete, summary judgment, including all reply briefs, were fully briefed in October 2020, and the case will subsequently proceed to trial thereafter.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Merz North America Settlement</w:t>
      </w:r>
    </w:p>
    <w:p>
      <w:pPr>
        <w:spacing w:after="0" w:line="17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On May 16, 2019, Merz North America, Inc. (“Merz”) commenced an action in the United States District Court for the Southern District of New York entitled Merz North America, Inc. v. AngioDynamics, Inc. In this action, Merz alleged breach of contract against AngioDynamics based on a March 1, 2016 Distribution Agreement. On June 28, 2019, AngioDynamics reached a settlement with Merz. AngioDynamics made a lump-sum payment of $2.5 million to Merz in return for dismissal of the case with prejudice during the first quarter of fiscal year 2020. The case was subsequently dismissed.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addition to information set forth in this report, you should carefully consider the factors discussed in “Part I, Item 1A. Risk Factors” of our annual report on Form 10-K for our fiscal year ended May 31, 2020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 There have been no material changes to the risk factors previously disclosed in our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the shares of the Company’s common stock repurchased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31,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color w:val="auto"/>
              </w:rPr>
              <w:t>Issuer Purchases of Equity Securities</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6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Pr>
          <w:p>
            <w:pPr>
              <w:spacing w:after="0"/>
              <w:rPr>
                <w:sz w:val="13"/>
                <w:szCs w:val="13"/>
                <w:color w:val="auto"/>
              </w:rPr>
            </w:pPr>
          </w:p>
        </w:tc>
        <w:tc>
          <w:tcPr>
            <w:tcW w:w="1180" w:type="dxa"/>
            <w:vAlign w:val="bottom"/>
          </w:tcPr>
          <w:p>
            <w:pPr>
              <w:jc w:val="center"/>
              <w:ind w:right="62"/>
              <w:spacing w:after="0" w:line="151" w:lineRule="exact"/>
              <w:rPr>
                <w:sz w:val="20"/>
                <w:szCs w:val="20"/>
                <w:color w:val="auto"/>
              </w:rPr>
            </w:pPr>
            <w:r>
              <w:rPr>
                <w:rFonts w:ascii="Times New Roman" w:cs="Times New Roman" w:eastAsia="Times New Roman" w:hAnsi="Times New Roman"/>
                <w:sz w:val="14"/>
                <w:szCs w:val="14"/>
                <w:color w:val="auto"/>
              </w:rPr>
              <w:t>Maximum</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color w:val="auto"/>
              </w:rPr>
              <w:t>Approximate</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160" w:type="dxa"/>
            <w:vAlign w:val="bottom"/>
          </w:tcPr>
          <w:p>
            <w:pPr>
              <w:spacing w:after="0"/>
              <w:rPr>
                <w:sz w:val="12"/>
                <w:szCs w:val="12"/>
                <w:color w:val="auto"/>
              </w:rPr>
            </w:pPr>
          </w:p>
        </w:tc>
        <w:tc>
          <w:tcPr>
            <w:tcW w:w="118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Dollar Value</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2"/>
                <w:szCs w:val="12"/>
                <w:color w:val="auto"/>
              </w:rPr>
            </w:pPr>
          </w:p>
        </w:tc>
        <w:tc>
          <w:tcPr>
            <w:tcW w:w="118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of Shares</w:t>
            </w: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Purchased</w:t>
            </w:r>
          </w:p>
        </w:tc>
        <w:tc>
          <w:tcPr>
            <w:tcW w:w="160" w:type="dxa"/>
            <w:vAlign w:val="bottom"/>
          </w:tcPr>
          <w:p>
            <w:pPr>
              <w:spacing w:after="0"/>
              <w:rPr>
                <w:sz w:val="12"/>
                <w:szCs w:val="12"/>
                <w:color w:val="auto"/>
              </w:rPr>
            </w:pPr>
          </w:p>
        </w:tc>
        <w:tc>
          <w:tcPr>
            <w:tcW w:w="118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that May Yet</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Average</w:t>
            </w: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as Part of</w:t>
            </w:r>
          </w:p>
        </w:tc>
        <w:tc>
          <w:tcPr>
            <w:tcW w:w="160" w:type="dxa"/>
            <w:vAlign w:val="bottom"/>
          </w:tcPr>
          <w:p>
            <w:pPr>
              <w:spacing w:after="0"/>
              <w:rPr>
                <w:sz w:val="12"/>
                <w:szCs w:val="12"/>
                <w:color w:val="auto"/>
              </w:rPr>
            </w:pPr>
          </w:p>
        </w:tc>
        <w:tc>
          <w:tcPr>
            <w:tcW w:w="118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color w:val="auto"/>
              </w:rPr>
              <w:t>Be</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Publicly</w:t>
            </w:r>
          </w:p>
        </w:tc>
        <w:tc>
          <w:tcPr>
            <w:tcW w:w="160" w:type="dxa"/>
            <w:vAlign w:val="bottom"/>
          </w:tcPr>
          <w:p>
            <w:pPr>
              <w:spacing w:after="0"/>
              <w:rPr>
                <w:sz w:val="12"/>
                <w:szCs w:val="12"/>
                <w:color w:val="auto"/>
              </w:rPr>
            </w:pPr>
          </w:p>
        </w:tc>
        <w:tc>
          <w:tcPr>
            <w:tcW w:w="118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Purchased</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Price Paid</w:t>
            </w: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Announced</w:t>
            </w:r>
          </w:p>
        </w:tc>
        <w:tc>
          <w:tcPr>
            <w:tcW w:w="160" w:type="dxa"/>
            <w:vAlign w:val="bottom"/>
          </w:tcPr>
          <w:p>
            <w:pPr>
              <w:spacing w:after="0"/>
              <w:rPr>
                <w:sz w:val="12"/>
                <w:szCs w:val="12"/>
                <w:color w:val="auto"/>
              </w:rPr>
            </w:pPr>
          </w:p>
        </w:tc>
        <w:tc>
          <w:tcPr>
            <w:tcW w:w="118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Under Plans</w:t>
            </w:r>
          </w:p>
        </w:tc>
        <w:tc>
          <w:tcPr>
            <w:tcW w:w="0" w:type="dxa"/>
            <w:vAlign w:val="bottom"/>
          </w:tcPr>
          <w:p>
            <w:pPr>
              <w:spacing w:after="0"/>
              <w:rPr>
                <w:sz w:val="1"/>
                <w:szCs w:val="1"/>
                <w:color w:val="auto"/>
              </w:rPr>
            </w:pPr>
          </w:p>
        </w:tc>
      </w:tr>
      <w:tr>
        <w:trPr>
          <w:trHeight w:val="193"/>
        </w:trPr>
        <w:tc>
          <w:tcPr>
            <w:tcW w:w="63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Purchased</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color w:val="auto"/>
              </w:rPr>
              <w:t>per Share</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Programs (1)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color w:val="auto"/>
              </w:rPr>
              <w:t>or Programs (1)</w:t>
            </w:r>
          </w:p>
        </w:tc>
        <w:tc>
          <w:tcPr>
            <w:tcW w:w="0" w:type="dxa"/>
            <w:vAlign w:val="bottom"/>
          </w:tcPr>
          <w:p>
            <w:pPr>
              <w:spacing w:after="0"/>
              <w:rPr>
                <w:sz w:val="1"/>
                <w:szCs w:val="1"/>
                <w:color w:val="auto"/>
              </w:rPr>
            </w:pP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2020 - June 30, 2020</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1, 2020 - July 31, 2020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21"/>
                <w:szCs w:val="21"/>
                <w:color w:val="auto"/>
              </w:rPr>
            </w:pPr>
          </w:p>
        </w:tc>
        <w:tc>
          <w:tcPr>
            <w:tcW w:w="11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 2020 - August 31, 2020</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20"/>
                <w:szCs w:val="20"/>
                <w:color w:val="auto"/>
              </w:rPr>
            </w:pPr>
          </w:p>
        </w:tc>
        <w:tc>
          <w:tcPr>
            <w:tcW w:w="106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6"/>
          <w:szCs w:val="16"/>
          <w:color w:val="auto"/>
        </w:rPr>
        <w:t>(1)</w:t>
        <w:tab/>
        <w:t>These amounts are not applicable as the Company currently does not have a share repurchase program in effect.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on Senior Securities.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40" w:type="dxa"/>
            <w:vAlign w:val="bottom"/>
            <w:gridSpan w:val="3"/>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70"/>
        </w:trPr>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940" w:type="dxa"/>
            <w:vAlign w:val="bottom"/>
            <w:gridSpan w:val="3"/>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r>
      <w:tr>
        <w:trPr>
          <w:trHeight w:val="27"/>
        </w:trPr>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49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5"/>
          </w:tcPr>
          <w:p>
            <w:pPr>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Certification pursuant to Rule 13a-14(a) or 15d-14 under the Securities Exchange Act of 1934.</w:t>
              </w:r>
            </w:hyperlink>
          </w:p>
        </w:tc>
      </w:tr>
      <w:tr>
        <w:trPr>
          <w:trHeight w:val="54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5"/>
          </w:tcPr>
          <w:p>
            <w:pPr>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Certification pursuant to Rule 13a-14(a) or 15d-14 under the Securities Exchange Act of 1934.</w:t>
              </w:r>
            </w:hyperlink>
          </w:p>
        </w:tc>
      </w:tr>
      <w:tr>
        <w:trPr>
          <w:trHeight w:val="48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w:anchor="page40">
              <w:r>
                <w:rPr>
                  <w:rFonts w:ascii="Times New Roman" w:cs="Times New Roman" w:eastAsia="Times New Roman" w:hAnsi="Times New Roman"/>
                  <w:sz w:val="18"/>
                  <w:szCs w:val="18"/>
                  <w:color w:val="0000FF"/>
                  <w:w w:val="99"/>
                </w:rPr>
                <w:t>Certification of Chief Executive Officer pursuant to Title 18, United States Code, Section 1350, as adopted pursuant to Section 906 of the</w:t>
              </w:r>
            </w:hyperlink>
          </w:p>
        </w:tc>
        <w:tc>
          <w:tcPr>
            <w:tcW w:w="120" w:type="dxa"/>
            <w:vAlign w:val="bottom"/>
          </w:tcPr>
          <w:p>
            <w:pPr>
              <w:spacing w:after="0"/>
              <w:rPr>
                <w:sz w:val="24"/>
                <w:szCs w:val="24"/>
                <w:color w:val="auto"/>
              </w:rPr>
            </w:pPr>
          </w:p>
        </w:tc>
      </w:tr>
      <w:tr>
        <w:trPr>
          <w:trHeight w:val="156"/>
        </w:trPr>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rPr>
            </w:pPr>
            <w:hyperlink w:anchor="page40">
              <w:r>
                <w:rPr>
                  <w:rFonts w:ascii="Times New Roman" w:cs="Times New Roman" w:eastAsia="Times New Roman" w:hAnsi="Times New Roman"/>
                  <w:sz w:val="18"/>
                  <w:szCs w:val="18"/>
                  <w:color w:val="0000FF"/>
                </w:rPr>
                <w:t>Sarbanes-Oxley Act of 2002</w:t>
              </w:r>
            </w:hyperlink>
          </w:p>
        </w:tc>
        <w:tc>
          <w:tcPr>
            <w:tcW w:w="782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r>
      <w:tr>
        <w:trPr>
          <w:trHeight w:val="47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w:anchor="page41">
              <w:r>
                <w:rPr>
                  <w:rFonts w:ascii="Times New Roman" w:cs="Times New Roman" w:eastAsia="Times New Roman" w:hAnsi="Times New Roman"/>
                  <w:sz w:val="18"/>
                  <w:szCs w:val="18"/>
                  <w:color w:val="0000FF"/>
                  <w:w w:val="99"/>
                </w:rPr>
                <w:t>Certification of Chief Financial Officer pursuant to Title 18, United States Code, Section 1350, as adopted pursuant to Section 906 of the</w:t>
              </w:r>
            </w:hyperlink>
          </w:p>
        </w:tc>
        <w:tc>
          <w:tcPr>
            <w:tcW w:w="160" w:type="dxa"/>
            <w:vAlign w:val="bottom"/>
            <w:gridSpan w:val="2"/>
          </w:tcPr>
          <w:p>
            <w:pPr>
              <w:spacing w:after="0"/>
              <w:rPr>
                <w:sz w:val="24"/>
                <w:szCs w:val="24"/>
                <w:color w:val="auto"/>
              </w:rPr>
            </w:pPr>
          </w:p>
        </w:tc>
      </w:tr>
      <w:tr>
        <w:trPr>
          <w:trHeight w:val="156"/>
        </w:trPr>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9"/>
              </w:rPr>
            </w:pPr>
            <w:hyperlink w:anchor="page41">
              <w:r>
                <w:rPr>
                  <w:rFonts w:ascii="Times New Roman" w:cs="Times New Roman" w:eastAsia="Times New Roman" w:hAnsi="Times New Roman"/>
                  <w:sz w:val="18"/>
                  <w:szCs w:val="18"/>
                  <w:color w:val="0000FF"/>
                  <w:w w:val="99"/>
                </w:rPr>
                <w:t>Sarbanes-Oxley Act of 2002</w:t>
              </w:r>
            </w:hyperlink>
          </w:p>
        </w:tc>
        <w:tc>
          <w:tcPr>
            <w:tcW w:w="780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r>
      <w:tr>
        <w:trPr>
          <w:trHeight w:val="534"/>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10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 document</w:t>
            </w:r>
          </w:p>
        </w:tc>
      </w:tr>
      <w:tr>
        <w:trPr>
          <w:trHeight w:val="540"/>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10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540"/>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10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Calculation Linkbase Documents</w:t>
            </w:r>
          </w:p>
        </w:tc>
      </w:tr>
      <w:tr>
        <w:trPr>
          <w:trHeight w:val="540"/>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10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540"/>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10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Labels Linkbase Documents</w:t>
            </w:r>
          </w:p>
        </w:tc>
      </w:tr>
      <w:tr>
        <w:trPr>
          <w:trHeight w:val="540"/>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10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Presentation Linkbase Documents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ANGIODYNAMICS, INC.</w:t>
            </w:r>
          </w:p>
        </w:tc>
      </w:tr>
      <w:tr>
        <w:trPr>
          <w:trHeight w:val="270"/>
        </w:trPr>
        <w:tc>
          <w:tcPr>
            <w:tcW w:w="5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6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October 7, 2020</w:t>
            </w:r>
          </w:p>
        </w:tc>
        <w:tc>
          <w:tcPr>
            <w:tcW w:w="7980" w:type="dxa"/>
            <w:vAlign w:val="bottom"/>
            <w:tcBorders>
              <w:bottom w:val="single" w:sz="8" w:color="auto"/>
            </w:tcBorders>
          </w:tcPr>
          <w:p>
            <w:pPr>
              <w:ind w:left="2800"/>
              <w:spacing w:after="0"/>
              <w:rPr>
                <w:sz w:val="20"/>
                <w:szCs w:val="20"/>
                <w:color w:val="auto"/>
              </w:rPr>
            </w:pPr>
            <w:r>
              <w:rPr>
                <w:rFonts w:ascii="Times New Roman" w:cs="Times New Roman" w:eastAsia="Times New Roman" w:hAnsi="Times New Roman"/>
                <w:sz w:val="18"/>
                <w:szCs w:val="18"/>
                <w:color w:val="auto"/>
              </w:rPr>
              <w:t>/ S /  JAMES C. CLEMMER</w:t>
            </w:r>
          </w:p>
        </w:tc>
      </w:tr>
      <w:tr>
        <w:trPr>
          <w:trHeight w:val="169"/>
        </w:trPr>
        <w:tc>
          <w:tcPr>
            <w:tcW w:w="5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9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James C. Clemmer, President,</w:t>
            </w:r>
          </w:p>
        </w:tc>
      </w:tr>
      <w:tr>
        <w:trPr>
          <w:trHeight w:val="176"/>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Chief Executive Officer</w:t>
            </w:r>
          </w:p>
        </w:tc>
      </w:tr>
      <w:tr>
        <w:trPr>
          <w:trHeight w:val="238"/>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50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October 7, 2020</w:t>
            </w:r>
          </w:p>
        </w:tc>
        <w:tc>
          <w:tcPr>
            <w:tcW w:w="7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S /  STEPHEN A. TROWBRIDGE</w:t>
            </w:r>
          </w:p>
        </w:tc>
      </w:tr>
      <w:tr>
        <w:trPr>
          <w:trHeight w:val="27"/>
        </w:trPr>
        <w:tc>
          <w:tcPr>
            <w:tcW w:w="5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980" w:type="dxa"/>
            <w:vAlign w:val="bottom"/>
            <w:tcBorders>
              <w:bottom w:val="single" w:sz="8" w:color="auto"/>
            </w:tcBorders>
          </w:tcPr>
          <w:p>
            <w:pPr>
              <w:spacing w:after="0"/>
              <w:rPr>
                <w:sz w:val="2"/>
                <w:szCs w:val="2"/>
                <w:color w:val="auto"/>
              </w:rPr>
            </w:pPr>
          </w:p>
        </w:tc>
      </w:tr>
      <w:tr>
        <w:trPr>
          <w:trHeight w:val="214"/>
        </w:trPr>
        <w:tc>
          <w:tcPr>
            <w:tcW w:w="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Stephen A. Trowbridge, Executive Vice President,</w:t>
            </w:r>
          </w:p>
        </w:tc>
      </w:tr>
      <w:tr>
        <w:trPr>
          <w:trHeight w:val="216"/>
        </w:trPr>
        <w:tc>
          <w:tcPr>
            <w:tcW w:w="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320" w:top="118" w:right="5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Clemmer, certify that:</w:t>
      </w:r>
    </w:p>
    <w:p>
      <w:pPr>
        <w:spacing w:after="0" w:line="306" w:lineRule="exact"/>
        <w:rPr>
          <w:sz w:val="20"/>
          <w:szCs w:val="20"/>
          <w:color w:val="auto"/>
        </w:rPr>
      </w:pPr>
    </w:p>
    <w:p>
      <w:pPr>
        <w:ind w:left="540" w:hanging="49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AngioDynamics, Inc.;</w:t>
      </w:r>
    </w:p>
    <w:p>
      <w:pPr>
        <w:spacing w:after="0" w:line="63" w:lineRule="exact"/>
        <w:rPr>
          <w:rFonts w:ascii="Times New Roman" w:cs="Times New Roman" w:eastAsia="Times New Roman" w:hAnsi="Times New Roman"/>
          <w:sz w:val="18"/>
          <w:szCs w:val="18"/>
          <w:color w:val="auto"/>
        </w:rPr>
      </w:pPr>
    </w:p>
    <w:p>
      <w:pPr>
        <w:jc w:val="both"/>
        <w:ind w:left="540" w:right="220" w:hanging="494"/>
        <w:spacing w:after="0" w:line="266"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540" w:right="200" w:hanging="494"/>
        <w:spacing w:after="0" w:line="281"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540" w:right="220" w:hanging="494"/>
        <w:spacing w:after="0" w:line="266"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sz w:val="20"/>
          <w:szCs w:val="20"/>
          <w:color w:val="auto"/>
        </w:rPr>
      </w:pPr>
    </w:p>
    <w:p>
      <w:pPr>
        <w:ind w:left="540" w:right="420" w:hanging="494"/>
        <w:spacing w:after="0" w:line="266"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540" w:right="180" w:hanging="494"/>
        <w:spacing w:after="0" w:line="266"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540" w:right="960" w:hanging="494"/>
        <w:spacing w:after="0" w:line="281"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540" w:right="80" w:hanging="494"/>
        <w:spacing w:after="0" w:line="266"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sz w:val="20"/>
          <w:szCs w:val="20"/>
          <w:color w:val="auto"/>
        </w:rPr>
      </w:pPr>
    </w:p>
    <w:p>
      <w:pPr>
        <w:ind w:left="540" w:right="140" w:hanging="494"/>
        <w:spacing w:after="0" w:line="281"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40" w:right="380" w:hanging="494"/>
        <w:spacing w:after="0" w:line="281"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540" w:right="360" w:hanging="494"/>
        <w:spacing w:after="0" w:line="282"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7, 2020</w:t>
      </w:r>
    </w:p>
    <w:p>
      <w:pPr>
        <w:spacing w:after="0" w:line="252" w:lineRule="exact"/>
        <w:rPr>
          <w:sz w:val="20"/>
          <w:szCs w:val="20"/>
          <w:color w:val="auto"/>
        </w:rPr>
      </w:pPr>
    </w:p>
    <w:p>
      <w:pPr>
        <w:ind w:right="9080" w:firstLine="8"/>
        <w:spacing w:after="0" w:line="289" w:lineRule="auto"/>
        <w:tabs>
          <w:tab w:leader="none" w:pos="95" w:val="left"/>
        </w:tabs>
        <w:numPr>
          <w:ilvl w:val="0"/>
          <w:numId w:val="28"/>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 xml:space="preserve">S / JAMES C. CLEMMER </w:t>
      </w:r>
      <w:r>
        <w:rPr>
          <w:rFonts w:ascii="Times New Roman" w:cs="Times New Roman" w:eastAsia="Times New Roman" w:hAnsi="Times New Roman"/>
          <w:sz w:val="17"/>
          <w:szCs w:val="17"/>
          <w:color w:val="auto"/>
        </w:rPr>
        <w:t>James C. Clemmer, President, Chief Executive Officer</w:t>
      </w:r>
    </w:p>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A. Trowbridge, certify that:</w:t>
      </w:r>
    </w:p>
    <w:p>
      <w:pPr>
        <w:spacing w:after="0" w:line="63" w:lineRule="exact"/>
        <w:rPr>
          <w:sz w:val="20"/>
          <w:szCs w:val="20"/>
          <w:color w:val="auto"/>
        </w:rPr>
      </w:pPr>
    </w:p>
    <w:p>
      <w:pPr>
        <w:ind w:left="540" w:hanging="49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AngioDynamics, Inc.;</w:t>
      </w:r>
    </w:p>
    <w:p>
      <w:pPr>
        <w:spacing w:after="0" w:line="63" w:lineRule="exact"/>
        <w:rPr>
          <w:rFonts w:ascii="Times New Roman" w:cs="Times New Roman" w:eastAsia="Times New Roman" w:hAnsi="Times New Roman"/>
          <w:sz w:val="18"/>
          <w:szCs w:val="18"/>
          <w:color w:val="auto"/>
        </w:rPr>
      </w:pPr>
    </w:p>
    <w:p>
      <w:pPr>
        <w:jc w:val="both"/>
        <w:ind w:left="540" w:right="220" w:hanging="494"/>
        <w:spacing w:after="0" w:line="266"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540" w:right="200" w:hanging="494"/>
        <w:spacing w:after="0" w:line="281"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540" w:right="220" w:hanging="494"/>
        <w:spacing w:after="0" w:line="266"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sz w:val="20"/>
          <w:szCs w:val="20"/>
          <w:color w:val="auto"/>
        </w:rPr>
      </w:pPr>
    </w:p>
    <w:p>
      <w:pPr>
        <w:ind w:left="540" w:right="420" w:hanging="494"/>
        <w:spacing w:after="0" w:line="266"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540" w:right="180" w:hanging="494"/>
        <w:spacing w:after="0" w:line="266"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540" w:right="960" w:hanging="494"/>
        <w:spacing w:after="0" w:line="281"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540" w:right="80" w:hanging="494"/>
        <w:spacing w:after="0" w:line="266"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sz w:val="20"/>
          <w:szCs w:val="20"/>
          <w:color w:val="auto"/>
        </w:rPr>
      </w:pPr>
    </w:p>
    <w:p>
      <w:pPr>
        <w:ind w:left="540" w:right="140" w:hanging="494"/>
        <w:spacing w:after="0" w:line="281"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40" w:right="380" w:hanging="494"/>
        <w:spacing w:after="0" w:line="281"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540" w:right="360" w:hanging="494"/>
        <w:spacing w:after="0" w:line="282"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7, 2020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S / STEPHEN A. TROWBRIDGE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A. Trowbridge, Executive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6" w:lineRule="exact"/>
        <w:rPr>
          <w:sz w:val="20"/>
          <w:szCs w:val="20"/>
          <w:color w:val="auto"/>
        </w:rPr>
      </w:pPr>
    </w:p>
    <w:p>
      <w:pPr>
        <w:jc w:val="center"/>
        <w:ind w:left="340" w:right="2560"/>
        <w:spacing w:after="0" w:line="266" w:lineRule="auto"/>
        <w:rPr>
          <w:sz w:val="20"/>
          <w:szCs w:val="20"/>
          <w:color w:val="auto"/>
        </w:rPr>
      </w:pPr>
      <w:r>
        <w:rPr>
          <w:rFonts w:ascii="Times New Roman" w:cs="Times New Roman" w:eastAsia="Times New Roman" w:hAnsi="Times New Roman"/>
          <w:sz w:val="18"/>
          <w:szCs w:val="18"/>
          <w:color w:val="auto"/>
        </w:rPr>
        <w:t>CERTIFICATION OF CHIEF EXECUTIVE OFFICER PURSUANT TO TITLE 18, UNITED STATES CODE, SECTION 1350, AS ADOPTED PURSUANT TO SECTION 906 OF THE SARBANES-OXLEY ACT OF 2002</w:t>
      </w:r>
    </w:p>
    <w:p>
      <w:pPr>
        <w:spacing w:after="0" w:line="20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 James C. Clemmer, President, Chief Executive Officer and Director of ANGIODYNAMICS, Inc. (the "Company"), certify, pursuant to Section 906 of the Sarbanes-Oxley Act of 2002, 18 U.S.C. Section 1350, that, to the best of my knowledge:</w:t>
      </w:r>
    </w:p>
    <w:p>
      <w:pPr>
        <w:spacing w:after="0" w:line="229" w:lineRule="exact"/>
        <w:rPr>
          <w:sz w:val="20"/>
          <w:szCs w:val="20"/>
          <w:color w:val="auto"/>
        </w:rPr>
      </w:pPr>
    </w:p>
    <w:p>
      <w:pPr>
        <w:ind w:left="540" w:right="40" w:hanging="494"/>
        <w:spacing w:after="0" w:line="237"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August 31, 2020 (the "Report") fully complies with the requirements of Section 13(a) or 15(d) of the Securities Exchange Act of 1934 (15 U.S.C. 78m or 78o(d)); and</w:t>
      </w:r>
    </w:p>
    <w:p>
      <w:pPr>
        <w:spacing w:after="0" w:line="9" w:lineRule="exact"/>
        <w:rPr>
          <w:rFonts w:ascii="Times New Roman" w:cs="Times New Roman" w:eastAsia="Times New Roman" w:hAnsi="Times New Roman"/>
          <w:sz w:val="18"/>
          <w:szCs w:val="18"/>
          <w:color w:val="auto"/>
        </w:rPr>
      </w:pPr>
    </w:p>
    <w:p>
      <w:pPr>
        <w:ind w:left="540" w:hanging="494"/>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7, 2020</w:t>
      </w:r>
    </w:p>
    <w:p>
      <w:pPr>
        <w:spacing w:after="0" w:line="30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 S /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3549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James C. Clemmer, President,</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6" w:lineRule="exact"/>
        <w:rPr>
          <w:sz w:val="20"/>
          <w:szCs w:val="20"/>
          <w:color w:val="auto"/>
        </w:rPr>
      </w:pPr>
    </w:p>
    <w:p>
      <w:pPr>
        <w:jc w:val="center"/>
        <w:ind w:left="340" w:right="2580"/>
        <w:spacing w:after="0" w:line="266" w:lineRule="auto"/>
        <w:rPr>
          <w:sz w:val="20"/>
          <w:szCs w:val="20"/>
          <w:color w:val="auto"/>
        </w:rPr>
      </w:pPr>
      <w:r>
        <w:rPr>
          <w:rFonts w:ascii="Times New Roman" w:cs="Times New Roman" w:eastAsia="Times New Roman" w:hAnsi="Times New Roman"/>
          <w:sz w:val="18"/>
          <w:szCs w:val="18"/>
          <w:color w:val="auto"/>
        </w:rPr>
        <w:t>CERTIFICATION OF CHIEF FINANCIAL OFFICER PURSUANT TO TITLE 18, UNITED STATES CODE, SECTION 1350, AS ADOPTED PURSUANT TO SECTION 906 OF THE SARBANES-OXLEY ACT OF 2002</w:t>
      </w:r>
    </w:p>
    <w:p>
      <w:pPr>
        <w:spacing w:after="0" w:line="20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 Stephen A. Trowbridge, Senior Vice President, General Counsel and Interim Chief Financial Officer of ANGIODYNAMICS, Inc. (the "Company"), certify, pursuant to Section 906 of the Sarbanes-Oxley Act of 2002, 18 U.S.C. Section 1350, that, to the best of my knowledge:</w:t>
      </w:r>
    </w:p>
    <w:p>
      <w:pPr>
        <w:spacing w:after="0" w:line="229" w:lineRule="exact"/>
        <w:rPr>
          <w:sz w:val="20"/>
          <w:szCs w:val="20"/>
          <w:color w:val="auto"/>
        </w:rPr>
      </w:pPr>
    </w:p>
    <w:p>
      <w:pPr>
        <w:ind w:left="540" w:right="40" w:hanging="494"/>
        <w:spacing w:after="0" w:line="237"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August 31, 2020 (the "Report") fully complies with the requirements of Section 13(a) or 15(d) of the Securities Exchange Act of 1934 (15 U.S.C. 78m or 78o(d)); and</w:t>
      </w:r>
    </w:p>
    <w:p>
      <w:pPr>
        <w:spacing w:after="0" w:line="9" w:lineRule="exact"/>
        <w:rPr>
          <w:rFonts w:ascii="Times New Roman" w:cs="Times New Roman" w:eastAsia="Times New Roman" w:hAnsi="Times New Roman"/>
          <w:sz w:val="18"/>
          <w:szCs w:val="18"/>
          <w:color w:val="auto"/>
        </w:rPr>
      </w:pPr>
    </w:p>
    <w:p>
      <w:pPr>
        <w:ind w:left="540" w:hanging="49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7, 2020</w:t>
      </w:r>
    </w:p>
    <w:p>
      <w:pPr>
        <w:spacing w:after="0" w:line="30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 S / 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3549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Stephen A. Trowbridge, Executive Vice President,</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3"/>
    </w:lvl>
  </w:abstractNum>
  <w:abstractNum w:abstractNumId="3">
    <w:nsid w:val="7C83E458"/>
    <w:multiLevelType w:val="hybridMultilevel"/>
    <w:lvl w:ilvl="0">
      <w:lvlJc w:val="left"/>
      <w:lvlText w:val="*"/>
      <w:numFmt w:val="bullet"/>
      <w:start w:val="1"/>
    </w:lvl>
    <w:lvl w:ilvl="1">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lowerLetter"/>
      <w:start w:val="1"/>
    </w:lvl>
  </w:abstractNum>
  <w:abstractNum w:abstractNumId="25">
    <w:nsid w:val="8138641"/>
    <w:multiLevelType w:val="hybridMultilevel"/>
    <w:lvl w:ilvl="0">
      <w:lvlJc w:val="left"/>
      <w:lvlText w:val="%1."/>
      <w:numFmt w:val="decimal"/>
      <w:start w:val="5"/>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decimal"/>
      <w:start w:val="5"/>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2020-10-07T15:21:23Z</dcterms:created>
  <dcterms:modified xsi:type="dcterms:W3CDTF">2020-10-07T15:21:23Z</dcterms:modified>
</cp:coreProperties>
</file>