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form4.xml.htm"/>
      <w:bookmarkStart w:id="1" w:name="ksform4"/>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Trowbridge Stephen A</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14 PLAZA DRIVE</w:t>
                  </w:r>
                </w:p>
              </w:tc>
            </w:tr>
            <w:tr>
              <w:trPr/>
              <w:tc>
                <w:tcPr>
                  <w:tcW w:w="3451"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LATHAM</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NY</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12110</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ANGIODYNAMICS INC</w:t>
              </w:r>
            </w:hyperlink>
            <w:r>
              <w:rPr/>
              <w:t xml:space="preserve"> [ </w:t>
            </w:r>
            <w:r>
              <w:rPr>
                <w:rFonts w:ascii="Times;serif" w:hAnsi="Times;serif"/>
                <w:color w:val="0000FF"/>
                <w:sz w:val="24"/>
                <w:shd w:fill="FFFFFF" w:val="clear"/>
              </w:rPr>
              <w:t>ANGO</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EVP and CFO</w:t>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07/15/2026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432"/>
        <w:gridCol w:w="901"/>
        <w:gridCol w:w="771"/>
        <w:gridCol w:w="599"/>
        <w:gridCol w:w="350"/>
        <w:gridCol w:w="976"/>
        <w:gridCol w:w="459"/>
        <w:gridCol w:w="621"/>
        <w:gridCol w:w="1170"/>
        <w:gridCol w:w="1003"/>
        <w:gridCol w:w="923"/>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432"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49"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056"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70"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100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2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432"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50"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976"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5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62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70"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00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23"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432"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07/15/2026</w:t>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A</w:t>
            </w:r>
          </w:p>
        </w:tc>
        <w:tc>
          <w:tcPr>
            <w:tcW w:w="35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7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53,257</w:t>
            </w:r>
            <w:r>
              <w:rPr>
                <w:rFonts w:ascii="Times;serif" w:hAnsi="Times;serif"/>
                <w:color w:val="008000"/>
                <w:position w:val="7"/>
                <w:sz w:val="16"/>
                <w:sz w:val="20"/>
                <w:shd w:fill="FFFFFF" w:val="clear"/>
              </w:rPr>
              <w:t>(1)</w:t>
            </w:r>
          </w:p>
        </w:tc>
        <w:tc>
          <w:tcPr>
            <w:tcW w:w="45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62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0</w:t>
            </w:r>
          </w:p>
        </w:tc>
        <w:tc>
          <w:tcPr>
            <w:tcW w:w="1170"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297,819</w:t>
            </w:r>
          </w:p>
        </w:tc>
        <w:tc>
          <w:tcPr>
            <w:tcW w:w="100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2374" w:type="dxa"/>
        <w:jc w:val="left"/>
        <w:tblInd w:w="-7" w:type="dxa"/>
        <w:tblLayout w:type="fixed"/>
        <w:tblCellMar>
          <w:top w:w="60" w:type="dxa"/>
          <w:left w:w="60" w:type="dxa"/>
          <w:bottom w:w="60" w:type="dxa"/>
          <w:right w:w="60" w:type="dxa"/>
        </w:tblCellMar>
      </w:tblPr>
      <w:tblGrid>
        <w:gridCol w:w="1160"/>
        <w:gridCol w:w="861"/>
        <w:gridCol w:w="891"/>
        <w:gridCol w:w="771"/>
        <w:gridCol w:w="591"/>
        <w:gridCol w:w="300"/>
        <w:gridCol w:w="711"/>
        <w:gridCol w:w="276"/>
        <w:gridCol w:w="906"/>
        <w:gridCol w:w="801"/>
        <w:gridCol w:w="891"/>
        <w:gridCol w:w="801"/>
        <w:gridCol w:w="801"/>
        <w:gridCol w:w="936"/>
        <w:gridCol w:w="831"/>
        <w:gridCol w:w="846"/>
      </w:tblGrid>
      <w:tr>
        <w:trPr>
          <w:tblHeader w:val="true"/>
        </w:trPr>
        <w:tc>
          <w:tcPr>
            <w:tcW w:w="12374"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1160"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98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69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1160"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71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27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8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1160"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Performance Right</w:t>
            </w:r>
          </w:p>
        </w:tc>
        <w:tc>
          <w:tcPr>
            <w:tcW w:w="86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(2)</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07/15/2026</w:t>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A</w:t>
            </w:r>
          </w:p>
        </w:tc>
        <w:tc>
          <w:tcPr>
            <w:tcW w:w="30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1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53,257</w:t>
            </w:r>
          </w:p>
        </w:tc>
        <w:tc>
          <w:tcPr>
            <w:tcW w:w="27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(2)</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(2)</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53,257</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p>
        </w:tc>
        <w:tc>
          <w:tcPr>
            <w:tcW w:w="93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53,257</w:t>
            </w:r>
          </w:p>
        </w:tc>
        <w:tc>
          <w:tcPr>
            <w:tcW w:w="83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The acquisition of 53,257 shares of common stock ("Common Stock") of AngioDynamics, Inc. represents 53,257 restricted stock units, each of which represents a contingent right to receive one share of Common Stock. These restricted stock units vest in four equal annual installments beginning on July 15, 2027, such that 25% of the restricted stock units will vest on each of July 15, 2027, 2028, 2029 and 2030.</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Each performance right represents a contingent right to receive one share of Common Stock. The target number of shares of Common Stock is set forth in columns 5 and 7 of Table II. Between 0% and 200% of the target number will be earned based on total shareholder return relative to a peer group of companies over a three-year performance period (with a potential upward or downward 20% adjustment on the calculated achievement based on total shareholder return relative to a peer group of companies over a three-year performance period (for a total potential payout of up to 240% of the target number in the aggregate)) in accordance with performance metrics as determined by the compensation committee. Any shares that do not vest at the end of the performance period will be forfeited.</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Lawrence T. Weiss, as Attorney in Fact</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07/22/2026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624250" TargetMode="External"/><Relationship Id="rId5" Type="http://schemas.openxmlformats.org/officeDocument/2006/relationships/hyperlink" Target="http://www.sec.gov/cgi-bin/browse-edgar?action=getcompany&amp;CIK=0001275187"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781</Words>
  <Characters>4126</Characters>
  <CharactersWithSpaces>4827</CharactersWithSpaces>
  <Paragraphs>108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