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681355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647065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UNITED STATES</w:t>
      </w:r>
    </w:p>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53975</wp:posOffset>
            </wp:positionV>
            <wp:extent cx="3823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78740</wp:posOffset>
            </wp:positionV>
            <wp:extent cx="3823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680" w:right="4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February 28, 2021</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56" w:lineRule="exact"/>
        <w:rPr>
          <w:sz w:val="24"/>
          <w:szCs w:val="24"/>
          <w:color w:val="auto"/>
        </w:rPr>
      </w:pPr>
    </w:p>
    <w:p>
      <w:pPr>
        <w:ind w:left="68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2" w:lineRule="exact"/>
        <w:rPr>
          <w:sz w:val="24"/>
          <w:szCs w:val="24"/>
          <w:color w:val="auto"/>
        </w:rPr>
      </w:pPr>
    </w:p>
    <w:p>
      <w:pPr>
        <w:ind w:left="360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3790950</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280035</wp:posOffset>
            </wp:positionV>
            <wp:extent cx="3823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AngioDynamics,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4445</wp:posOffset>
            </wp:positionV>
            <wp:extent cx="361759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54864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655955</wp:posOffset>
            </wp:positionV>
            <wp:extent cx="382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tbl>
      <w:tblPr>
        <w:tblLayout w:type="fixed"/>
        <w:tblInd w:w="1840" w:type="dxa"/>
        <w:tblCellMar>
          <w:top w:w="0" w:type="dxa"/>
          <w:left w:w="0" w:type="dxa"/>
          <w:bottom w:w="0" w:type="dxa"/>
          <w:right w:w="0" w:type="dxa"/>
        </w:tblCellMar>
      </w:tblPr>
      <w:tr>
        <w:trPr>
          <w:trHeight w:val="225"/>
        </w:trPr>
        <w:tc>
          <w:tcPr>
            <w:tcW w:w="4000" w:type="dxa"/>
            <w:vAlign w:val="bottom"/>
          </w:tcPr>
          <w:p>
            <w:pPr>
              <w:jc w:val="center"/>
              <w:ind w:right="2042"/>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jc w:val="center"/>
              <w:ind w:left="2062"/>
              <w:spacing w:after="0"/>
              <w:rPr>
                <w:sz w:val="20"/>
                <w:szCs w:val="20"/>
                <w:color w:val="auto"/>
              </w:rPr>
            </w:pPr>
            <w:r>
              <w:rPr>
                <w:rFonts w:ascii="Arial" w:cs="Arial" w:eastAsia="Arial" w:hAnsi="Arial"/>
                <w:sz w:val="18"/>
                <w:szCs w:val="18"/>
                <w:b w:val="1"/>
                <w:bCs w:val="1"/>
                <w:color w:val="auto"/>
                <w:w w:val="89"/>
              </w:rPr>
              <w:t>11-3146460</w:t>
            </w:r>
          </w:p>
        </w:tc>
      </w:tr>
      <w:tr>
        <w:trPr>
          <w:trHeight w:val="144"/>
        </w:trPr>
        <w:tc>
          <w:tcPr>
            <w:tcW w:w="4000" w:type="dxa"/>
            <w:vAlign w:val="bottom"/>
          </w:tcPr>
          <w:p>
            <w:pPr>
              <w:jc w:val="center"/>
              <w:ind w:right="20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280" w:type="dxa"/>
            <w:vAlign w:val="bottom"/>
          </w:tcPr>
          <w:p>
            <w:pPr>
              <w:jc w:val="center"/>
              <w:ind w:left="204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8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3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14 Plaza Drive, Latham, New York 12110</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(518) 795-1400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45" w:lineRule="exact"/>
        <w:rPr>
          <w:sz w:val="24"/>
          <w:szCs w:val="24"/>
          <w:color w:val="auto"/>
        </w:rPr>
      </w:pPr>
    </w:p>
    <w:tbl>
      <w:tblPr>
        <w:tblLayout w:type="fixed"/>
        <w:tblInd w:w="1040" w:type="dxa"/>
        <w:tblCellMar>
          <w:top w:w="0" w:type="dxa"/>
          <w:left w:w="0" w:type="dxa"/>
          <w:bottom w:w="0" w:type="dxa"/>
          <w:right w:w="0" w:type="dxa"/>
        </w:tblCellMar>
      </w:tblPr>
      <w:tr>
        <w:trPr>
          <w:trHeight w:val="186"/>
        </w:trPr>
        <w:tc>
          <w:tcPr>
            <w:tcW w:w="3300" w:type="dxa"/>
            <w:vAlign w:val="bottom"/>
          </w:tcPr>
          <w:p>
            <w:pPr>
              <w:jc w:val="center"/>
              <w:ind w:right="736"/>
              <w:spacing w:after="0"/>
              <w:rPr>
                <w:sz w:val="20"/>
                <w:szCs w:val="20"/>
                <w:color w:val="auto"/>
              </w:rPr>
            </w:pPr>
            <w:r>
              <w:rPr>
                <w:rFonts w:ascii="Arial" w:cs="Arial" w:eastAsia="Arial" w:hAnsi="Arial"/>
                <w:sz w:val="14"/>
                <w:szCs w:val="14"/>
                <w:b w:val="1"/>
                <w:bCs w:val="1"/>
                <w:color w:val="auto"/>
                <w:w w:val="89"/>
              </w:rPr>
              <w:t>Title of each class</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3420" w:type="dxa"/>
            <w:vAlign w:val="bottom"/>
          </w:tcPr>
          <w:p>
            <w:pPr>
              <w:jc w:val="center"/>
              <w:ind w:left="656"/>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7"/>
        </w:trPr>
        <w:tc>
          <w:tcPr>
            <w:tcW w:w="3300" w:type="dxa"/>
            <w:vAlign w:val="bottom"/>
          </w:tcPr>
          <w:p>
            <w:pPr>
              <w:jc w:val="center"/>
              <w:ind w:right="716"/>
              <w:spacing w:after="0"/>
              <w:rPr>
                <w:sz w:val="20"/>
                <w:szCs w:val="20"/>
                <w:color w:val="auto"/>
              </w:rPr>
            </w:pPr>
            <w:r>
              <w:rPr>
                <w:rFonts w:ascii="Arial" w:cs="Arial" w:eastAsia="Arial" w:hAnsi="Arial"/>
                <w:sz w:val="18"/>
                <w:szCs w:val="18"/>
                <w:b w:val="1"/>
                <w:bCs w:val="1"/>
                <w:color w:val="auto"/>
                <w:w w:val="90"/>
              </w:rPr>
              <w:t>Common stock, par value $.01</w:t>
            </w: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9"/>
              </w:rPr>
              <w:t>ANGO</w:t>
            </w: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r>
        <w:trPr>
          <w:trHeight w:val="234"/>
        </w:trPr>
        <w:tc>
          <w:tcPr>
            <w:tcW w:w="3300" w:type="dxa"/>
            <w:vAlign w:val="bottom"/>
          </w:tcPr>
          <w:p>
            <w:pPr>
              <w:jc w:val="center"/>
              <w:ind w:right="716"/>
              <w:spacing w:after="0"/>
              <w:rPr>
                <w:sz w:val="20"/>
                <w:szCs w:val="20"/>
                <w:color w:val="auto"/>
              </w:rPr>
            </w:pPr>
            <w:r>
              <w:rPr>
                <w:rFonts w:ascii="Arial" w:cs="Arial" w:eastAsia="Arial" w:hAnsi="Arial"/>
                <w:sz w:val="18"/>
                <w:szCs w:val="18"/>
                <w:b w:val="1"/>
                <w:bCs w:val="1"/>
                <w:color w:val="auto"/>
                <w:w w:val="88"/>
              </w:rPr>
              <w:t>Preferred Stock Purchase Rights</w:t>
            </w:r>
          </w:p>
        </w:tc>
        <w:tc>
          <w:tcPr>
            <w:tcW w:w="2500" w:type="dxa"/>
            <w:vAlign w:val="bottom"/>
          </w:tcPr>
          <w:p>
            <w:pPr>
              <w:spacing w:after="0"/>
              <w:rPr>
                <w:sz w:val="20"/>
                <w:szCs w:val="20"/>
                <w:color w:val="auto"/>
              </w:rPr>
            </w:pPr>
          </w:p>
        </w:tc>
        <w:tc>
          <w:tcPr>
            <w:tcW w:w="3420" w:type="dxa"/>
            <w:vAlign w:val="bottom"/>
          </w:tcPr>
          <w:p>
            <w:pPr>
              <w:jc w:val="center"/>
              <w:ind w:left="656"/>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960" w:type="dxa"/>
            <w:vAlign w:val="bottom"/>
            <w:gridSpan w:val="4"/>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8"/>
        </w:trPr>
        <w:tc>
          <w:tcPr>
            <w:tcW w:w="102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6340" w:type="dxa"/>
            <w:vAlign w:val="bottom"/>
            <w:gridSpan w:val="2"/>
          </w:tcPr>
          <w:p>
            <w:pPr>
              <w:ind w:left="2560"/>
              <w:spacing w:after="0"/>
              <w:rPr>
                <w:sz w:val="20"/>
                <w:szCs w:val="20"/>
                <w:color w:val="auto"/>
              </w:rPr>
            </w:pPr>
            <w:r>
              <w:rPr>
                <w:rFonts w:ascii="Arial" w:cs="Arial" w:eastAsia="Arial" w:hAnsi="Arial"/>
                <w:sz w:val="14"/>
                <w:szCs w:val="14"/>
                <w:b w:val="1"/>
                <w:bCs w:val="1"/>
                <w:color w:val="auto"/>
              </w:rPr>
              <w:t>(Title of Class)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620" w:type="dxa"/>
            <w:vAlign w:val="bottom"/>
            <w:gridSpan w:val="2"/>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99"/>
              </w:rPr>
              <w:t>☐</w:t>
            </w:r>
          </w:p>
        </w:tc>
        <w:tc>
          <w:tcPr>
            <w:tcW w:w="620" w:type="dxa"/>
            <w:vAlign w:val="bottom"/>
            <w:vMerge w:val="restart"/>
          </w:tcPr>
          <w:p>
            <w:pPr>
              <w:ind w:left="14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46"/>
        </w:trPr>
        <w:tc>
          <w:tcPr>
            <w:tcW w:w="8960" w:type="dxa"/>
            <w:vAlign w:val="bottom"/>
            <w:gridSpan w:val="4"/>
          </w:tcPr>
          <w:p>
            <w:pPr>
              <w:ind w:left="460"/>
              <w:spacing w:after="0"/>
              <w:rPr>
                <w:sz w:val="20"/>
                <w:szCs w:val="20"/>
                <w:color w:val="auto"/>
              </w:rPr>
            </w:pPr>
            <w:r>
              <w:rPr>
                <w:rFonts w:ascii="Arial" w:cs="Arial" w:eastAsia="Arial" w:hAnsi="Arial"/>
                <w:sz w:val="18"/>
                <w:szCs w:val="18"/>
                <w:color w:val="auto"/>
                <w:w w:val="91"/>
              </w:rPr>
              <w:t>Indicate by check mark if the registrant is a well-known seasoned issuer, as defined in Rule 405 of the Securities Act.</w:t>
            </w:r>
          </w:p>
        </w:tc>
        <w:tc>
          <w:tcPr>
            <w:tcW w:w="380" w:type="dxa"/>
            <w:vAlign w:val="bottom"/>
          </w:tcPr>
          <w:p>
            <w:pPr>
              <w:ind w:left="120"/>
              <w:spacing w:after="0"/>
              <w:rPr>
                <w:sz w:val="20"/>
                <w:szCs w:val="20"/>
                <w:color w:val="auto"/>
              </w:rPr>
            </w:pPr>
            <w:r>
              <w:rPr>
                <w:rFonts w:ascii="Arial" w:cs="Arial" w:eastAsia="Arial" w:hAnsi="Arial"/>
                <w:sz w:val="18"/>
                <w:szCs w:val="18"/>
                <w:color w:val="auto"/>
                <w:w w:val="77"/>
              </w:rPr>
              <w:t>Yes</w:t>
            </w:r>
          </w:p>
        </w:tc>
        <w:tc>
          <w:tcPr>
            <w:tcW w:w="2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60" w:type="dxa"/>
            <w:vAlign w:val="bottom"/>
            <w:gridSpan w:val="4"/>
          </w:tcPr>
          <w:p>
            <w:pPr>
              <w:ind w:left="460"/>
              <w:spacing w:after="0"/>
              <w:rPr>
                <w:sz w:val="20"/>
                <w:szCs w:val="20"/>
                <w:color w:val="auto"/>
              </w:rPr>
            </w:pPr>
            <w:r>
              <w:rPr>
                <w:rFonts w:ascii="Arial" w:cs="Arial" w:eastAsia="Arial" w:hAnsi="Arial"/>
                <w:sz w:val="18"/>
                <w:szCs w:val="18"/>
                <w:color w:val="auto"/>
                <w:w w:val="92"/>
              </w:rPr>
              <w:t>Indicate by check mark if the registrant is not required to file reports pursuant to Section 13 or 15(d) of the Act.  Yes</w:t>
            </w:r>
          </w:p>
        </w:tc>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No</w:t>
            </w:r>
          </w:p>
        </w:tc>
        <w:tc>
          <w:tcPr>
            <w:tcW w:w="6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0"/>
          <w:szCs w:val="20"/>
          <w:color w:val="auto"/>
        </w:rPr>
      </w:pPr>
    </w:p>
    <w:p>
      <w:pPr>
        <w:ind w:right="10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24"/>
        </w:trPr>
        <w:tc>
          <w:tcPr>
            <w:tcW w:w="250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38"/>
        </w:trPr>
        <w:tc>
          <w:tcPr>
            <w:tcW w:w="2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200" w:type="dxa"/>
            <w:vAlign w:val="bottom"/>
          </w:tcPr>
          <w:p>
            <w:pPr>
              <w:ind w:left="540"/>
              <w:spacing w:after="0" w:line="221" w:lineRule="exact"/>
              <w:rPr>
                <w:sz w:val="20"/>
                <w:szCs w:val="20"/>
                <w:color w:val="auto"/>
              </w:rPr>
            </w:pPr>
            <w:r>
              <w:rPr>
                <w:rFonts w:ascii="MS PGothic" w:cs="MS PGothic" w:eastAsia="MS PGothic" w:hAnsi="MS PGothic"/>
                <w:sz w:val="22"/>
                <w:szCs w:val="22"/>
                <w:color w:val="auto"/>
              </w:rPr>
              <w:t>☐</w:t>
            </w:r>
          </w:p>
        </w:tc>
        <w:tc>
          <w:tcPr>
            <w:tcW w:w="4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49" w:lineRule="exact"/>
        <w:rPr>
          <w:sz w:val="20"/>
          <w:szCs w:val="20"/>
          <w:color w:val="auto"/>
        </w:rPr>
      </w:pPr>
    </w:p>
    <w:p>
      <w:pPr>
        <w:ind w:left="46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85"/>
              </w:rPr>
              <w:t>Class</w:t>
            </w:r>
          </w:p>
        </w:tc>
        <w:tc>
          <w:tcPr>
            <w:tcW w:w="4560" w:type="dxa"/>
            <w:vAlign w:val="bottom"/>
          </w:tcPr>
          <w:p>
            <w:pPr>
              <w:spacing w:after="0"/>
              <w:rPr>
                <w:sz w:val="14"/>
                <w:szCs w:val="14"/>
                <w:color w:val="auto"/>
              </w:rPr>
            </w:pPr>
          </w:p>
        </w:tc>
        <w:tc>
          <w:tcPr>
            <w:tcW w:w="374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3"/>
              </w:rPr>
              <w:t>Outstanding as of March 29, 2021</w:t>
            </w: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8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0"/>
              </w:rPr>
              <w:t>Common Stock, par value $.01</w:t>
            </w:r>
          </w:p>
        </w:tc>
        <w:tc>
          <w:tcPr>
            <w:tcW w:w="2080" w:type="dxa"/>
            <w:vAlign w:val="bottom"/>
          </w:tcPr>
          <w:p>
            <w:pPr>
              <w:jc w:val="right"/>
              <w:ind w:right="539"/>
              <w:spacing w:after="0"/>
              <w:rPr>
                <w:sz w:val="20"/>
                <w:szCs w:val="20"/>
                <w:color w:val="auto"/>
              </w:rPr>
            </w:pPr>
            <w:r>
              <w:rPr>
                <w:rFonts w:ascii="Arial" w:cs="Arial" w:eastAsia="Arial" w:hAnsi="Arial"/>
                <w:sz w:val="18"/>
                <w:szCs w:val="18"/>
                <w:b w:val="1"/>
                <w:bCs w:val="1"/>
                <w:color w:val="auto"/>
              </w:rPr>
              <w:t>38,137,367</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878"/>
        </w:trPr>
        <w:tc>
          <w:tcPr>
            <w:tcW w:w="20" w:type="dxa"/>
            <w:vAlign w:val="bottom"/>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742"/>
        </w:trPr>
        <w:tc>
          <w:tcPr>
            <w:tcW w:w="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Page</w:t>
            </w:r>
          </w:p>
        </w:tc>
      </w:tr>
      <w:tr>
        <w:trPr>
          <w:trHeight w:val="176"/>
        </w:trPr>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360" w:type="dxa"/>
            <w:vAlign w:val="bottom"/>
            <w:gridSpan w:val="11"/>
          </w:tcPr>
          <w:p>
            <w:pPr>
              <w:jc w:val="center"/>
              <w:ind w:right="2980"/>
              <w:spacing w:after="0" w:line="176"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FF"/>
            </w:tcBorders>
            <w:gridSpan w:val="5"/>
          </w:tcPr>
          <w:p>
            <w:pPr>
              <w:spacing w:after="0"/>
              <w:rPr>
                <w:rFonts w:ascii="Arial" w:cs="Arial" w:eastAsia="Arial" w:hAnsi="Arial"/>
                <w:sz w:val="18"/>
                <w:szCs w:val="18"/>
                <w:b w:val="1"/>
                <w:bCs w:val="1"/>
                <w:color w:val="0000FF"/>
                <w:w w:val="88"/>
              </w:rPr>
            </w:pPr>
            <w:hyperlink w:anchor="page4">
              <w:r>
                <w:rPr>
                  <w:rFonts w:ascii="Arial" w:cs="Arial" w:eastAsia="Arial" w:hAnsi="Arial"/>
                  <w:sz w:val="18"/>
                  <w:szCs w:val="18"/>
                  <w:b w:val="1"/>
                  <w:bCs w:val="1"/>
                  <w:color w:val="0000FF"/>
                  <w:w w:val="88"/>
                </w:rPr>
                <w:t>Financial Statements</w:t>
              </w:r>
            </w:hyperlink>
          </w:p>
        </w:tc>
        <w:tc>
          <w:tcPr>
            <w:tcW w:w="1900" w:type="dxa"/>
            <w:vAlign w:val="bottom"/>
            <w:gridSpan w:val="5"/>
          </w:tcPr>
          <w:p>
            <w:pPr>
              <w:spacing w:after="0"/>
              <w:rPr>
                <w:sz w:val="22"/>
                <w:szCs w:val="22"/>
                <w:color w:val="auto"/>
              </w:rPr>
            </w:pPr>
          </w:p>
        </w:tc>
        <w:tc>
          <w:tcPr>
            <w:tcW w:w="2260" w:type="dxa"/>
            <w:vAlign w:val="bottom"/>
            <w:tcBorders>
              <w:top w:val="single" w:sz="8" w:color="0000FF"/>
            </w:tcBorders>
            <w:gridSpan w:val="8"/>
          </w:tcPr>
          <w:p>
            <w:pPr>
              <w:spacing w:after="0"/>
              <w:rPr>
                <w:sz w:val="22"/>
                <w:szCs w:val="22"/>
                <w:color w:val="auto"/>
              </w:rPr>
            </w:pPr>
          </w:p>
        </w:tc>
        <w:tc>
          <w:tcPr>
            <w:tcW w:w="3540" w:type="dxa"/>
            <w:vAlign w:val="bottom"/>
            <w:gridSpan w:val="2"/>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2"/>
                <w:szCs w:val="22"/>
                <w:color w:val="auto"/>
              </w:rPr>
            </w:pPr>
          </w:p>
        </w:tc>
        <w:tc>
          <w:tcPr>
            <w:tcW w:w="3740" w:type="dxa"/>
            <w:vAlign w:val="bottom"/>
            <w:tcBorders>
              <w:bottom w:val="single" w:sz="8" w:color="0000FF"/>
            </w:tcBorders>
            <w:gridSpan w:val="1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Consolidated Statements of Operations (unaudited)</w:t>
              </w:r>
            </w:hyperlink>
          </w:p>
        </w:tc>
        <w:tc>
          <w:tcPr>
            <w:tcW w:w="5580" w:type="dxa"/>
            <w:vAlign w:val="bottom"/>
            <w:gridSpan w:val="8"/>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2"/>
                <w:szCs w:val="22"/>
                <w:color w:val="auto"/>
              </w:rPr>
            </w:pPr>
          </w:p>
        </w:tc>
        <w:tc>
          <w:tcPr>
            <w:tcW w:w="44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Loss (unaudited)</w:t>
              </w:r>
            </w:hyperlink>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2"/>
                <w:szCs w:val="22"/>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Balance Sheets (unaudited)</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2"/>
                <w:szCs w:val="22"/>
                <w:color w:val="auto"/>
              </w:rPr>
            </w:pPr>
          </w:p>
        </w:tc>
        <w:tc>
          <w:tcPr>
            <w:tcW w:w="9320" w:type="dxa"/>
            <w:vAlign w:val="bottom"/>
            <w:gridSpan w:val="2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(unaudited)</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2"/>
                <w:szCs w:val="22"/>
                <w:color w:val="auto"/>
              </w:rPr>
            </w:pPr>
          </w:p>
        </w:tc>
        <w:tc>
          <w:tcPr>
            <w:tcW w:w="9320" w:type="dxa"/>
            <w:vAlign w:val="bottom"/>
            <w:gridSpan w:val="20"/>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Consolidated Statements of Stockholders’ Equity (unaudited)</w:t>
              </w:r>
            </w:hyperlink>
          </w:p>
        </w:tc>
        <w:tc>
          <w:tcPr>
            <w:tcW w:w="920" w:type="dxa"/>
            <w:vAlign w:val="bottom"/>
            <w:gridSpan w:val="4"/>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63"/>
        </w:trPr>
        <w:tc>
          <w:tcPr>
            <w:tcW w:w="960" w:type="dxa"/>
            <w:vAlign w:val="bottom"/>
          </w:tcPr>
          <w:p>
            <w:pPr>
              <w:spacing w:after="0"/>
              <w:rPr>
                <w:sz w:val="22"/>
                <w:szCs w:val="22"/>
                <w:color w:val="auto"/>
              </w:rPr>
            </w:pPr>
          </w:p>
        </w:tc>
        <w:tc>
          <w:tcPr>
            <w:tcW w:w="4420" w:type="dxa"/>
            <w:vAlign w:val="bottom"/>
            <w:tcBorders>
              <w:top w:val="single" w:sz="8" w:color="0000FF"/>
            </w:tcBorders>
            <w:gridSpan w:val="14"/>
          </w:tcPr>
          <w:p>
            <w:pPr>
              <w:spacing w:after="0"/>
              <w:rPr>
                <w:rFonts w:ascii="Arial" w:cs="Arial" w:eastAsia="Arial" w:hAnsi="Arial"/>
                <w:sz w:val="18"/>
                <w:szCs w:val="18"/>
                <w:color w:val="0000FF"/>
                <w:w w:val="98"/>
              </w:rPr>
            </w:pPr>
            <w:hyperlink w:anchor="page9">
              <w:r>
                <w:rPr>
                  <w:rFonts w:ascii="Arial" w:cs="Arial" w:eastAsia="Arial" w:hAnsi="Arial"/>
                  <w:sz w:val="18"/>
                  <w:szCs w:val="18"/>
                  <w:color w:val="0000FF"/>
                  <w:w w:val="98"/>
                </w:rPr>
                <w:t>Notes to Consolidated Financial Statements (unaudited)</w:t>
              </w:r>
            </w:hyperlink>
          </w:p>
        </w:tc>
        <w:tc>
          <w:tcPr>
            <w:tcW w:w="4900" w:type="dxa"/>
            <w:vAlign w:val="bottom"/>
            <w:gridSpan w:val="6"/>
          </w:tcPr>
          <w:p>
            <w:pPr>
              <w:spacing w:after="0"/>
              <w:rPr>
                <w:sz w:val="22"/>
                <w:szCs w:val="22"/>
                <w:color w:val="auto"/>
              </w:rPr>
            </w:pPr>
          </w:p>
        </w:tc>
        <w:tc>
          <w:tcPr>
            <w:tcW w:w="80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9"/>
          </w:tcPr>
          <w:p>
            <w:pPr>
              <w:spacing w:after="0"/>
              <w:rPr>
                <w:rFonts w:ascii="Arial" w:cs="Arial" w:eastAsia="Arial" w:hAnsi="Arial"/>
                <w:sz w:val="18"/>
                <w:szCs w:val="18"/>
                <w:b w:val="1"/>
                <w:bCs w:val="1"/>
                <w:color w:val="0000FF"/>
                <w:w w:val="89"/>
              </w:rPr>
            </w:pPr>
            <w:hyperlink w:anchor="page23">
              <w:r>
                <w:rPr>
                  <w:rFonts w:ascii="Arial" w:cs="Arial" w:eastAsia="Arial" w:hAnsi="Arial"/>
                  <w:sz w:val="18"/>
                  <w:szCs w:val="18"/>
                  <w:b w:val="1"/>
                  <w:bCs w:val="1"/>
                  <w:color w:val="0000FF"/>
                  <w:w w:val="89"/>
                </w:rPr>
                <w:t>Management’s Discussion and Analysis of Financial Condition and Results of Operations</w:t>
              </w:r>
            </w:hyperlink>
          </w:p>
        </w:tc>
        <w:tc>
          <w:tcPr>
            <w:tcW w:w="2480" w:type="dxa"/>
            <w:vAlign w:val="bottom"/>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9"/>
          </w:tcPr>
          <w:p>
            <w:pPr>
              <w:spacing w:after="0"/>
              <w:rPr>
                <w:rFonts w:ascii="Arial" w:cs="Arial" w:eastAsia="Arial" w:hAnsi="Arial"/>
                <w:sz w:val="18"/>
                <w:szCs w:val="18"/>
                <w:b w:val="1"/>
                <w:bCs w:val="1"/>
                <w:color w:val="0000FF"/>
              </w:rPr>
            </w:pPr>
            <w:hyperlink w:anchor="page34">
              <w:r>
                <w:rPr>
                  <w:rFonts w:ascii="Arial" w:cs="Arial" w:eastAsia="Arial" w:hAnsi="Arial"/>
                  <w:sz w:val="18"/>
                  <w:szCs w:val="18"/>
                  <w:b w:val="1"/>
                  <w:bCs w:val="1"/>
                  <w:color w:val="0000FF"/>
                </w:rPr>
                <w:t>Quantitative and Qualitative Disclosures About Market Risk</w:t>
              </w:r>
            </w:hyperlink>
          </w:p>
        </w:tc>
        <w:tc>
          <w:tcPr>
            <w:tcW w:w="2480" w:type="dxa"/>
            <w:vAlign w:val="bottom"/>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660" w:type="dxa"/>
            <w:vAlign w:val="bottom"/>
            <w:gridSpan w:val="16"/>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Controls and Procedures</w:t>
              </w:r>
            </w:hyperlink>
          </w:p>
        </w:tc>
        <w:tc>
          <w:tcPr>
            <w:tcW w:w="4660" w:type="dxa"/>
            <w:vAlign w:val="bottom"/>
            <w:gridSpan w:val="4"/>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0" w:type="dxa"/>
            <w:vAlign w:val="bottom"/>
            <w:gridSpan w:val="10"/>
          </w:tcPr>
          <w:p>
            <w:pPr>
              <w:jc w:val="center"/>
              <w:ind w:right="3540"/>
              <w:spacing w:after="0"/>
              <w:rPr>
                <w:rFonts w:ascii="Arial" w:cs="Arial" w:eastAsia="Arial" w:hAnsi="Arial"/>
                <w:sz w:val="18"/>
                <w:szCs w:val="18"/>
                <w:b w:val="1"/>
                <w:bCs w:val="1"/>
                <w:color w:val="0000FF"/>
                <w:w w:val="96"/>
              </w:rPr>
            </w:pPr>
            <w:hyperlink w:anchor="page36">
              <w:r>
                <w:rPr>
                  <w:rFonts w:ascii="Arial" w:cs="Arial" w:eastAsia="Arial" w:hAnsi="Arial"/>
                  <w:sz w:val="18"/>
                  <w:szCs w:val="18"/>
                  <w:b w:val="1"/>
                  <w:bCs w:val="1"/>
                  <w:color w:val="0000FF"/>
                  <w:w w:val="96"/>
                </w:rPr>
                <w:t>Part II: Other Information</w:t>
              </w:r>
            </w:hyperlink>
          </w:p>
        </w:tc>
        <w:tc>
          <w:tcPr>
            <w:tcW w:w="7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620" w:type="dxa"/>
            <w:vAlign w:val="bottom"/>
            <w:gridSpan w:val="11"/>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Legal Proceedings</w:t>
              </w:r>
            </w:hyperlink>
          </w:p>
        </w:tc>
        <w:tc>
          <w:tcPr>
            <w:tcW w:w="2060" w:type="dxa"/>
            <w:vAlign w:val="bottom"/>
            <w:tcBorders>
              <w:top w:val="single" w:sz="8" w:color="0000FF"/>
            </w:tcBorders>
            <w:gridSpan w:val="6"/>
          </w:tcPr>
          <w:p>
            <w:pPr>
              <w:spacing w:after="0"/>
              <w:rPr>
                <w:sz w:val="22"/>
                <w:szCs w:val="22"/>
                <w:color w:val="auto"/>
              </w:rPr>
            </w:pPr>
          </w:p>
        </w:tc>
        <w:tc>
          <w:tcPr>
            <w:tcW w:w="3640" w:type="dxa"/>
            <w:vAlign w:val="bottom"/>
            <w:gridSpan w:val="3"/>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2"/>
          </w:tcPr>
          <w:p>
            <w:pPr>
              <w:spacing w:after="0"/>
              <w:rPr>
                <w:rFonts w:ascii="Arial" w:cs="Arial" w:eastAsia="Arial" w:hAnsi="Arial"/>
                <w:sz w:val="18"/>
                <w:szCs w:val="18"/>
                <w:b w:val="1"/>
                <w:bCs w:val="1"/>
                <w:color w:val="0000FF"/>
                <w:w w:val="88"/>
              </w:rPr>
            </w:pPr>
            <w:hyperlink w:anchor="page38">
              <w:r>
                <w:rPr>
                  <w:rFonts w:ascii="Arial" w:cs="Arial" w:eastAsia="Arial" w:hAnsi="Arial"/>
                  <w:sz w:val="18"/>
                  <w:szCs w:val="18"/>
                  <w:b w:val="1"/>
                  <w:bCs w:val="1"/>
                  <w:color w:val="0000FF"/>
                  <w:w w:val="88"/>
                </w:rPr>
                <w:t>Risk Factors</w:t>
              </w:r>
            </w:hyperlink>
          </w:p>
        </w:tc>
        <w:tc>
          <w:tcPr>
            <w:tcW w:w="420" w:type="dxa"/>
            <w:vAlign w:val="bottom"/>
          </w:tcPr>
          <w:p>
            <w:pPr>
              <w:spacing w:after="0"/>
              <w:rPr>
                <w:sz w:val="22"/>
                <w:szCs w:val="22"/>
                <w:color w:val="auto"/>
              </w:rPr>
            </w:pPr>
          </w:p>
        </w:tc>
        <w:tc>
          <w:tcPr>
            <w:tcW w:w="7920" w:type="dxa"/>
            <w:vAlign w:val="bottom"/>
            <w:gridSpan w:val="17"/>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580" w:type="dxa"/>
            <w:vAlign w:val="bottom"/>
            <w:gridSpan w:val="15"/>
          </w:tcPr>
          <w:p>
            <w:pPr>
              <w:spacing w:after="0"/>
              <w:rPr>
                <w:rFonts w:ascii="Arial" w:cs="Arial" w:eastAsia="Arial" w:hAnsi="Arial"/>
                <w:sz w:val="18"/>
                <w:szCs w:val="18"/>
                <w:b w:val="1"/>
                <w:bCs w:val="1"/>
                <w:color w:val="0000FF"/>
                <w:w w:val="87"/>
              </w:rPr>
            </w:pPr>
            <w:hyperlink w:anchor="page39">
              <w:r>
                <w:rPr>
                  <w:rFonts w:ascii="Arial" w:cs="Arial" w:eastAsia="Arial" w:hAnsi="Arial"/>
                  <w:sz w:val="18"/>
                  <w:szCs w:val="18"/>
                  <w:b w:val="1"/>
                  <w:bCs w:val="1"/>
                  <w:color w:val="0000FF"/>
                  <w:w w:val="87"/>
                </w:rPr>
                <w:t>Unregistered Sales of Equity Securities and Use of Proceeds</w:t>
              </w:r>
            </w:hyperlink>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60" w:type="dxa"/>
            <w:vAlign w:val="bottom"/>
            <w:gridSpan w:val="7"/>
            <w:shd w:val="clear" w:color="auto" w:fill="0000FF"/>
          </w:tcPr>
          <w:p>
            <w:pPr>
              <w:spacing w:after="0" w:line="20" w:lineRule="exact"/>
              <w:rPr>
                <w:sz w:val="1"/>
                <w:szCs w:val="1"/>
                <w:color w:val="auto"/>
              </w:rPr>
            </w:pPr>
          </w:p>
        </w:tc>
        <w:tc>
          <w:tcPr>
            <w:tcW w:w="47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220" w:type="dxa"/>
            <w:vAlign w:val="bottom"/>
            <w:gridSpan w:val="8"/>
          </w:tcPr>
          <w:p>
            <w:pPr>
              <w:spacing w:after="0"/>
              <w:rPr>
                <w:rFonts w:ascii="Arial" w:cs="Arial" w:eastAsia="Arial" w:hAnsi="Arial"/>
                <w:sz w:val="18"/>
                <w:szCs w:val="18"/>
                <w:b w:val="1"/>
                <w:bCs w:val="1"/>
                <w:color w:val="0000FF"/>
                <w:w w:val="87"/>
              </w:rPr>
            </w:pPr>
            <w:hyperlink w:anchor="page40">
              <w:r>
                <w:rPr>
                  <w:rFonts w:ascii="Arial" w:cs="Arial" w:eastAsia="Arial" w:hAnsi="Arial"/>
                  <w:sz w:val="18"/>
                  <w:szCs w:val="18"/>
                  <w:b w:val="1"/>
                  <w:bCs w:val="1"/>
                  <w:color w:val="0000FF"/>
                  <w:w w:val="87"/>
                </w:rPr>
                <w:t>Defaults on Senior Securities</w:t>
              </w:r>
            </w:hyperlink>
          </w:p>
        </w:tc>
        <w:tc>
          <w:tcPr>
            <w:tcW w:w="2360" w:type="dxa"/>
            <w:vAlign w:val="bottom"/>
            <w:gridSpan w:val="7"/>
          </w:tcPr>
          <w:p>
            <w:pPr>
              <w:spacing w:after="0"/>
              <w:rPr>
                <w:sz w:val="22"/>
                <w:szCs w:val="22"/>
                <w:color w:val="auto"/>
              </w:rPr>
            </w:pPr>
          </w:p>
        </w:tc>
        <w:tc>
          <w:tcPr>
            <w:tcW w:w="4740" w:type="dxa"/>
            <w:vAlign w:val="bottom"/>
            <w:gridSpan w:val="5"/>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00" w:type="dxa"/>
            <w:vAlign w:val="bottom"/>
            <w:gridSpan w:val="1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2220" w:type="dxa"/>
            <w:vAlign w:val="bottom"/>
            <w:gridSpan w:val="8"/>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Mine Safety Disclosures</w:t>
              </w:r>
            </w:hyperlink>
          </w:p>
        </w:tc>
        <w:tc>
          <w:tcPr>
            <w:tcW w:w="7100" w:type="dxa"/>
            <w:vAlign w:val="bottom"/>
            <w:gridSpan w:val="12"/>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480" w:type="dxa"/>
            <w:vAlign w:val="bottom"/>
            <w:gridSpan w:val="1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6"/>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Other Information</w:t>
              </w:r>
            </w:hyperlink>
          </w:p>
        </w:tc>
        <w:tc>
          <w:tcPr>
            <w:tcW w:w="7480" w:type="dxa"/>
            <w:vAlign w:val="bottom"/>
            <w:gridSpan w:val="14"/>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788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4"/>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Exhibits</w:t>
              </w:r>
            </w:hyperlink>
          </w:p>
        </w:tc>
        <w:tc>
          <w:tcPr>
            <w:tcW w:w="7880" w:type="dxa"/>
            <w:vAlign w:val="bottom"/>
            <w:gridSpan w:val="16"/>
          </w:tcPr>
          <w:p>
            <w:pPr>
              <w:spacing w:after="0"/>
              <w:rPr>
                <w:sz w:val="22"/>
                <w:szCs w:val="22"/>
                <w:color w:val="auto"/>
              </w:rPr>
            </w:pPr>
          </w:p>
        </w:tc>
        <w:tc>
          <w:tcPr>
            <w:tcW w:w="90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20" w:type="dxa"/>
            <w:vAlign w:val="bottom"/>
          </w:tcPr>
          <w:p>
            <w:pPr>
              <w:spacing w:after="0"/>
              <w:rPr>
                <w:sz w:val="22"/>
                <w:szCs w:val="22"/>
                <w:color w:val="auto"/>
              </w:rPr>
            </w:pPr>
          </w:p>
        </w:tc>
      </w:tr>
      <w:tr>
        <w:trPr>
          <w:trHeight w:val="20"/>
        </w:trPr>
        <w:tc>
          <w:tcPr>
            <w:tcW w:w="9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80" w:type="dxa"/>
            <w:vAlign w:val="bottom"/>
            <w:gridSpan w:val="5"/>
          </w:tcPr>
          <w:p>
            <w:pPr>
              <w:ind w:left="62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6"/>
                <w:szCs w:val="16"/>
                <w:color w:val="auto"/>
              </w:rPr>
            </w:pPr>
          </w:p>
        </w:tc>
        <w:tc>
          <w:tcPr>
            <w:tcW w:w="2680" w:type="dxa"/>
            <w:vAlign w:val="bottom"/>
            <w:gridSpan w:val="4"/>
          </w:tcPr>
          <w:p>
            <w:pPr>
              <w:jc w:val="right"/>
              <w:ind w:right="791"/>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rPr>
              <w:t>Feb 29, 2020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1"/>
              <w:spacing w:after="0"/>
              <w:rPr>
                <w:sz w:val="20"/>
                <w:szCs w:val="20"/>
                <w:color w:val="auto"/>
              </w:rPr>
            </w:pPr>
            <w:r>
              <w:rPr>
                <w:rFonts w:ascii="Arial" w:cs="Arial" w:eastAsia="Arial" w:hAnsi="Arial"/>
                <w:sz w:val="14"/>
                <w:szCs w:val="14"/>
                <w:color w:val="auto"/>
              </w:rPr>
              <w:t>Feb 29, 2020</w:t>
            </w:r>
          </w:p>
        </w:tc>
        <w:tc>
          <w:tcPr>
            <w:tcW w:w="0" w:type="dxa"/>
            <w:vAlign w:val="bottom"/>
          </w:tcPr>
          <w:p>
            <w:pPr>
              <w:spacing w:after="0"/>
              <w:rPr>
                <w:sz w:val="1"/>
                <w:szCs w:val="1"/>
                <w:color w:val="auto"/>
              </w:rPr>
            </w:pPr>
          </w:p>
        </w:tc>
      </w:tr>
      <w:tr>
        <w:trPr>
          <w:trHeight w:val="226"/>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205,825</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(exclusive of intangible amortization)</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99,700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85,765</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40,299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120,060</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19,607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57,486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60,427</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29,651</w:t>
            </w: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13,417</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130,547</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benefit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(11,226)</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ind w:left="68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(5,709)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(12,080)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Loss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(0.15)</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(0.32)</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3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38,281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773"/>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Feb 28, 2021</w:t>
            </w: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Feb 29, 2020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Feb 29, 2020</w:t>
            </w:r>
          </w:p>
        </w:tc>
        <w:tc>
          <w:tcPr>
            <w:tcW w:w="0" w:type="dxa"/>
            <w:vAlign w:val="bottom"/>
          </w:tcPr>
          <w:p>
            <w:pPr>
              <w:spacing w:after="0"/>
              <w:rPr>
                <w:sz w:val="1"/>
                <w:szCs w:val="1"/>
                <w:color w:val="auto"/>
              </w:rPr>
            </w:pP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(3,544)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Arial" w:cs="Arial" w:eastAsia="Arial" w:hAnsi="Arial"/>
                <w:sz w:val="18"/>
                <w:szCs w:val="18"/>
                <w:color w:val="auto"/>
              </w:rPr>
              <w:t>Other comprehensive income (loss), before tax:</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360" w:type="dxa"/>
            <w:vAlign w:val="bottom"/>
          </w:tcPr>
          <w:p>
            <w:pPr>
              <w:ind w:left="360"/>
              <w:spacing w:after="0"/>
              <w:rPr>
                <w:sz w:val="20"/>
                <w:szCs w:val="20"/>
                <w:color w:val="auto"/>
              </w:rPr>
            </w:pPr>
            <w:r>
              <w:rPr>
                <w:rFonts w:ascii="Arial" w:cs="Arial" w:eastAsia="Arial" w:hAnsi="Arial"/>
                <w:sz w:val="18"/>
                <w:szCs w:val="18"/>
                <w:color w:val="auto"/>
              </w:rPr>
              <w:t>Other comprehensive income, before tax</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6"/>
              </w:rPr>
              <w:t>Income tax expense related to items of other comprehensive</w:t>
            </w: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(loss)</w:t>
            </w:r>
          </w:p>
        </w:tc>
        <w:tc>
          <w:tcPr>
            <w:tcW w:w="2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comprehensive income, net of tax</w:t>
            </w: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loss,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1"/>
              </w:rPr>
              <w:t>(3,532)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(9,632)</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00" w:type="dxa"/>
            <w:vAlign w:val="bottom"/>
          </w:tcPr>
          <w:p>
            <w:pPr>
              <w:spacing w:after="0"/>
              <w:rPr>
                <w:sz w:val="16"/>
                <w:szCs w:val="16"/>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May 31, 2020</w:t>
            </w:r>
          </w:p>
        </w:tc>
        <w:tc>
          <w:tcPr>
            <w:tcW w:w="0" w:type="dxa"/>
            <w:vAlign w:val="bottom"/>
          </w:tcPr>
          <w:p>
            <w:pPr>
              <w:spacing w:after="0"/>
              <w:rPr>
                <w:sz w:val="1"/>
                <w:szCs w:val="1"/>
                <w:color w:val="auto"/>
              </w:rPr>
            </w:pPr>
          </w:p>
        </w:tc>
      </w:tr>
      <w:tr>
        <w:trPr>
          <w:trHeight w:val="216"/>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54,435</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Accounts receivable, net of allowances of $1,820 and $2,150 respectively</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31,263</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59,905</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152,913</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28,312</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15,338</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186,216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197,136</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200,515</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594,214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 and stockholders' equity</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29,380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contingent consideration</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51,445</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24,057</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Contingent consideration, net of current portion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14,811</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127,309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139,342</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14)</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Preferred stock, par value $0.01 per share, 5,000,000 shares authorized; no shares issued and outstanding</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line="176" w:lineRule="exact"/>
              <w:rPr>
                <w:sz w:val="20"/>
                <w:szCs w:val="20"/>
                <w:color w:val="auto"/>
              </w:rPr>
            </w:pPr>
            <w:r>
              <w:rPr>
                <w:rFonts w:ascii="Arial" w:cs="Arial" w:eastAsia="Arial" w:hAnsi="Arial"/>
                <w:sz w:val="18"/>
                <w:szCs w:val="18"/>
                <w:color w:val="auto"/>
                <w:w w:val="90"/>
              </w:rPr>
              <w:t>Common stock, par value $0.01 per share, 75,000,000 shares authorized; 38,877,367 and 38,448,536 shares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20" w:type="dxa"/>
            <w:vAlign w:val="bottom"/>
          </w:tcPr>
          <w:p>
            <w:pPr>
              <w:ind w:left="360"/>
              <w:spacing w:after="0" w:line="176" w:lineRule="exact"/>
              <w:rPr>
                <w:sz w:val="20"/>
                <w:szCs w:val="20"/>
                <w:color w:val="auto"/>
              </w:rPr>
            </w:pPr>
            <w:r>
              <w:rPr>
                <w:rFonts w:ascii="Arial" w:cs="Arial" w:eastAsia="Arial" w:hAnsi="Arial"/>
                <w:sz w:val="18"/>
                <w:szCs w:val="18"/>
                <w:color w:val="auto"/>
                <w:w w:val="99"/>
              </w:rPr>
              <w:t>issued and 38,507,367 and 38,078,536 shares outstanding at February 28, 2021 and May 31, 2020,</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570,725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561,871</w:t>
            </w: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(100,318)</w:t>
            </w: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370,000 shares at February 28, 2021 and May 31, 2020, respectively</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454,872</w:t>
            </w:r>
          </w:p>
        </w:tc>
        <w:tc>
          <w:tcPr>
            <w:tcW w:w="0" w:type="dxa"/>
            <w:vAlign w:val="bottom"/>
          </w:tcPr>
          <w:p>
            <w:pPr>
              <w:spacing w:after="0"/>
              <w:rPr>
                <w:sz w:val="1"/>
                <w:szCs w:val="1"/>
                <w:color w:val="auto"/>
              </w:rPr>
            </w:pPr>
          </w:p>
        </w:tc>
      </w:tr>
      <w:tr>
        <w:trPr>
          <w:trHeight w:val="223"/>
        </w:trPr>
        <w:tc>
          <w:tcPr>
            <w:tcW w:w="832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594,214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color w:val="auto"/>
              </w:rPr>
              <w:t>Nine Months Ended</w:t>
            </w:r>
          </w:p>
        </w:tc>
      </w:tr>
      <w:tr>
        <w:trPr>
          <w:trHeight w:val="185"/>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Pr>
          <w:p>
            <w:pPr>
              <w:spacing w:after="0"/>
              <w:rPr>
                <w:sz w:val="16"/>
                <w:szCs w:val="16"/>
                <w:color w:val="auto"/>
              </w:rPr>
            </w:pPr>
          </w:p>
        </w:tc>
        <w:tc>
          <w:tcPr>
            <w:tcW w:w="1180" w:type="dxa"/>
            <w:vAlign w:val="bottom"/>
          </w:tcPr>
          <w:p>
            <w:pPr>
              <w:jc w:val="right"/>
              <w:ind w:right="231"/>
              <w:spacing w:after="0"/>
              <w:rPr>
                <w:sz w:val="20"/>
                <w:szCs w:val="20"/>
                <w:color w:val="auto"/>
              </w:rPr>
            </w:pPr>
            <w:r>
              <w:rPr>
                <w:rFonts w:ascii="Arial" w:cs="Arial" w:eastAsia="Arial" w:hAnsi="Arial"/>
                <w:sz w:val="14"/>
                <w:szCs w:val="14"/>
                <w:color w:val="auto"/>
              </w:rPr>
              <w:t>Feb 29, 2020</w:t>
            </w:r>
          </w:p>
        </w:tc>
      </w:tr>
      <w:tr>
        <w:trPr>
          <w:trHeight w:val="213"/>
        </w:trPr>
        <w:tc>
          <w:tcPr>
            <w:tcW w:w="8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(9,720)</w:t>
            </w: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17,550</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Non-cash lease expense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6,398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5,998</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(1,606)</w:t>
            </w:r>
          </w:p>
        </w:tc>
      </w:tr>
      <w:tr>
        <w:trPr>
          <w:trHeight w:val="229"/>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 in accounts receivable allowances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8320" w:type="dxa"/>
            <w:vAlign w:val="bottom"/>
          </w:tcPr>
          <w:p>
            <w:pPr>
              <w:ind w:left="680"/>
              <w:spacing w:after="0"/>
              <w:rPr>
                <w:sz w:val="20"/>
                <w:szCs w:val="20"/>
                <w:color w:val="auto"/>
              </w:rPr>
            </w:pPr>
            <w:r>
              <w:rPr>
                <w:rFonts w:ascii="Arial" w:cs="Arial" w:eastAsia="Arial" w:hAnsi="Arial"/>
                <w:sz w:val="18"/>
                <w:szCs w:val="18"/>
                <w:color w:val="auto"/>
              </w:rPr>
              <w:t>Fixed and intangible asset impairments and disposals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8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Write-off of other assets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7,834</w:t>
            </w: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w:t>
            </w: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(9,378)</w:t>
            </w:r>
          </w:p>
        </w:tc>
      </w:tr>
      <w:tr>
        <w:trPr>
          <w:trHeight w:val="229"/>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 accrued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(18,003)</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(18,434)</w:t>
            </w:r>
          </w:p>
        </w:tc>
      </w:tr>
      <w:tr>
        <w:trPr>
          <w:trHeight w:val="20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(5,756)</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intangibles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Cash paid for acquisitions</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(55,760)</w:t>
            </w:r>
          </w:p>
        </w:tc>
      </w:tr>
      <w:tr>
        <w:trPr>
          <w:trHeight w:val="223"/>
        </w:trPr>
        <w:tc>
          <w:tcPr>
            <w:tcW w:w="8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(61,866)</w:t>
            </w:r>
          </w:p>
        </w:tc>
      </w:tr>
      <w:tr>
        <w:trPr>
          <w:trHeight w:val="210"/>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borrowings on long-term debt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Repayment of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(132,500)</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 on long-term debt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Payment of acquisition related contingent consideration</w:t>
            </w:r>
          </w:p>
        </w:tc>
        <w:tc>
          <w:tcPr>
            <w:tcW w:w="2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(1,208)</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(outlays) from exercise of stock options and employee stock purchase plan</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23"/>
        </w:trPr>
        <w:tc>
          <w:tcPr>
            <w:tcW w:w="83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(120,189)</w:t>
            </w:r>
          </w:p>
        </w:tc>
      </w:tr>
      <w:tr>
        <w:trPr>
          <w:trHeight w:val="223"/>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320" w:type="dxa"/>
            <w:vAlign w:val="bottom"/>
          </w:tcPr>
          <w:p>
            <w:pPr>
              <w:ind w:left="1120"/>
              <w:spacing w:after="0"/>
              <w:rPr>
                <w:sz w:val="20"/>
                <w:szCs w:val="20"/>
                <w:color w:val="auto"/>
              </w:rPr>
            </w:pPr>
            <w:r>
              <w:rPr>
                <w:rFonts w:ascii="Arial" w:cs="Arial" w:eastAsia="Arial" w:hAnsi="Arial"/>
                <w:sz w:val="18"/>
                <w:szCs w:val="18"/>
                <w:color w:val="auto"/>
              </w:rPr>
              <w:t>Increase (decrease) in cash and cash equivalents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(200,481)</w:t>
            </w:r>
          </w:p>
        </w:tc>
      </w:tr>
      <w:tr>
        <w:trPr>
          <w:trHeight w:val="230"/>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227,641</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54,469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8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Accrual for capital expenditures incurred during the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of contingent consideration for acquisitions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share data)</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2040" w:type="dxa"/>
            <w:vAlign w:val="bottom"/>
            <w:gridSpan w:val="5"/>
          </w:tcPr>
          <w:p>
            <w:pPr>
              <w:ind w:left="5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3"/>
                <w:szCs w:val="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3"/>
                <w:szCs w:val="3"/>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7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22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paid in</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2"/>
              </w:rPr>
              <w:t>comprehensive</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27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7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deficit</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income (loss)</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38,448,536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561,871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(100,318)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454,872</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164,946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tcPr>
          <w:p>
            <w:pPr>
              <w:jc w:val="right"/>
              <w:spacing w:after="0"/>
              <w:rPr>
                <w:sz w:val="20"/>
                <w:szCs w:val="20"/>
                <w:color w:val="auto"/>
              </w:rPr>
            </w:pPr>
            <w:r>
              <w:rPr>
                <w:rFonts w:ascii="Arial" w:cs="Arial" w:eastAsia="Arial" w:hAnsi="Arial"/>
                <w:sz w:val="16"/>
                <w:szCs w:val="16"/>
                <w:color w:val="auto"/>
              </w:rPr>
              <w:t>79,596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0" w:type="dxa"/>
            <w:vAlign w:val="bottom"/>
          </w:tcPr>
          <w:p>
            <w:pPr>
              <w:spacing w:after="0"/>
              <w:rPr>
                <w:sz w:val="1"/>
                <w:szCs w:val="1"/>
                <w:color w:val="auto"/>
              </w:rPr>
            </w:pP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August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38,693,078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564,225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455,054</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(4,268)</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2,387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07"/>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Balance at November 30, 2020</w:t>
            </w:r>
          </w:p>
        </w:tc>
        <w:tc>
          <w:tcPr>
            <w:tcW w:w="1100" w:type="dxa"/>
            <w:vAlign w:val="bottom"/>
          </w:tcPr>
          <w:p>
            <w:pPr>
              <w:jc w:val="right"/>
              <w:spacing w:after="0"/>
              <w:rPr>
                <w:sz w:val="20"/>
                <w:szCs w:val="20"/>
                <w:color w:val="auto"/>
              </w:rPr>
            </w:pPr>
            <w:r>
              <w:rPr>
                <w:rFonts w:ascii="Arial" w:cs="Arial" w:eastAsia="Arial" w:hAnsi="Arial"/>
                <w:sz w:val="16"/>
                <w:szCs w:val="16"/>
                <w:color w:val="auto"/>
              </w:rPr>
              <w:t>38,702,030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566,602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(108,854)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Pr>
          <w:p>
            <w:pPr>
              <w:spacing w:after="0"/>
              <w:rPr>
                <w:sz w:val="17"/>
                <w:szCs w:val="17"/>
                <w:color w:val="auto"/>
              </w:rPr>
            </w:pPr>
          </w:p>
        </w:tc>
        <w:tc>
          <w:tcPr>
            <w:tcW w:w="960" w:type="dxa"/>
            <w:vAlign w:val="bottom"/>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454,343</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81,636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1,353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1,354</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Issuance/Cancellation of restricted stock</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9,103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tcPr>
          <w:p>
            <w:pPr>
              <w:jc w:val="right"/>
              <w:spacing w:after="0"/>
              <w:rPr>
                <w:sz w:val="20"/>
                <w:szCs w:val="20"/>
                <w:color w:val="auto"/>
              </w:rPr>
            </w:pPr>
            <w:r>
              <w:rPr>
                <w:rFonts w:ascii="Arial" w:cs="Arial" w:eastAsia="Arial" w:hAnsi="Arial"/>
                <w:sz w:val="16"/>
                <w:szCs w:val="16"/>
                <w:color w:val="auto"/>
              </w:rPr>
              <w:t>84,598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Other comprehensive income, net of tax</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5"/>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February 28,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38,877,367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570,725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1,946</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454,936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40" w:type="dxa"/>
            <w:vAlign w:val="bottom"/>
            <w:gridSpan w:val="5"/>
          </w:tcPr>
          <w:p>
            <w:pPr>
              <w:ind w:left="5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980" w:type="dxa"/>
            <w:vAlign w:val="bottom"/>
            <w:gridSpan w:val="5"/>
          </w:tcPr>
          <w:p>
            <w:pPr>
              <w:ind w:left="500"/>
              <w:spacing w:after="0"/>
              <w:rPr>
                <w:sz w:val="20"/>
                <w:szCs w:val="20"/>
                <w:color w:val="auto"/>
              </w:rPr>
            </w:pPr>
            <w:r>
              <w:rPr>
                <w:rFonts w:ascii="Arial" w:cs="Arial" w:eastAsia="Arial" w:hAnsi="Arial"/>
                <w:sz w:val="14"/>
                <w:szCs w:val="14"/>
                <w:color w:val="auto"/>
              </w:rPr>
              <w:t>Treasury Stock</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4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color w:val="auto"/>
                <w:w w:val="97"/>
              </w:rPr>
              <w:t>Additional</w:t>
            </w:r>
          </w:p>
        </w:tc>
        <w:tc>
          <w:tcPr>
            <w:tcW w:w="180" w:type="dxa"/>
            <w:vAlign w:val="bottom"/>
          </w:tcPr>
          <w:p>
            <w:pPr>
              <w:spacing w:after="0"/>
              <w:rPr>
                <w:sz w:val="3"/>
                <w:szCs w:val="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3"/>
                <w:szCs w:val="3"/>
                <w:color w:val="auto"/>
              </w:rPr>
            </w:pPr>
          </w:p>
        </w:tc>
        <w:tc>
          <w:tcPr>
            <w:tcW w:w="11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color w:val="auto"/>
                <w:w w:val="93"/>
              </w:rPr>
              <w:t>other</w:t>
            </w: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1200" w:type="dxa"/>
            <w:vAlign w:val="bottom"/>
            <w:gridSpan w:val="2"/>
            <w:vMerge w:val="restart"/>
          </w:tcPr>
          <w:p>
            <w:pPr>
              <w:ind w:left="3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6"/>
              </w:rPr>
              <w:t>paid in</w:t>
            </w:r>
          </w:p>
        </w:tc>
        <w:tc>
          <w:tcPr>
            <w:tcW w:w="1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2"/>
              </w:rPr>
              <w:t>comprehensive</w:t>
            </w:r>
          </w:p>
        </w:tc>
        <w:tc>
          <w:tcPr>
            <w:tcW w:w="1080" w:type="dxa"/>
            <w:vAlign w:val="bottom"/>
            <w:gridSpan w:val="2"/>
            <w:vMerge w:val="restart"/>
          </w:tcPr>
          <w:p>
            <w:pPr>
              <w:ind w:left="3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1"/>
                <w:szCs w:val="11"/>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1"/>
                <w:szCs w:val="11"/>
                <w:color w:val="auto"/>
              </w:rPr>
            </w:pPr>
          </w:p>
        </w:tc>
        <w:tc>
          <w:tcPr>
            <w:tcW w:w="780" w:type="dxa"/>
            <w:vAlign w:val="bottom"/>
            <w:vMerge w:val="restart"/>
          </w:tcPr>
          <w:p>
            <w:pPr>
              <w:jc w:val="right"/>
              <w:ind w:right="27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loss</w:t>
            </w: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May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37,984,382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555,040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66,469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614,815</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360"/>
              <w:spacing w:after="0"/>
              <w:rPr>
                <w:sz w:val="20"/>
                <w:szCs w:val="20"/>
                <w:color w:val="auto"/>
              </w:rPr>
            </w:pPr>
            <w:r>
              <w:rPr>
                <w:rFonts w:ascii="Arial" w:cs="Arial" w:eastAsia="Arial" w:hAnsi="Arial"/>
                <w:sz w:val="16"/>
                <w:szCs w:val="16"/>
                <w:color w:val="auto"/>
                <w:w w:val="94"/>
              </w:rPr>
              <w:t>(1,275)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w w:val="94"/>
              </w:rPr>
              <w:t>Issuance/Cancellation of restricted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287,087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(2,459)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Purchases of common stock under ESPP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1,984</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6"/>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August 31, 2019</w:t>
            </w:r>
          </w:p>
        </w:tc>
        <w:tc>
          <w:tcPr>
            <w:tcW w:w="1100" w:type="dxa"/>
            <w:vAlign w:val="bottom"/>
          </w:tcPr>
          <w:p>
            <w:pPr>
              <w:jc w:val="right"/>
              <w:spacing w:after="0"/>
              <w:rPr>
                <w:sz w:val="20"/>
                <w:szCs w:val="20"/>
                <w:color w:val="auto"/>
              </w:rPr>
            </w:pPr>
            <w:r>
              <w:rPr>
                <w:rFonts w:ascii="Arial" w:cs="Arial" w:eastAsia="Arial" w:hAnsi="Arial"/>
                <w:sz w:val="16"/>
                <w:szCs w:val="16"/>
                <w:color w:val="auto"/>
              </w:rPr>
              <w:t>38,359,875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373</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555,723</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340"/>
              <w:spacing w:after="0"/>
              <w:rPr>
                <w:sz w:val="20"/>
                <w:szCs w:val="20"/>
                <w:color w:val="auto"/>
              </w:rPr>
            </w:pPr>
            <w:r>
              <w:rPr>
                <w:rFonts w:ascii="Arial" w:cs="Arial" w:eastAsia="Arial" w:hAnsi="Arial"/>
                <w:sz w:val="16"/>
                <w:szCs w:val="16"/>
                <w:color w:val="auto"/>
              </w:rPr>
              <w:t>65,194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7"/>
                <w:szCs w:val="17"/>
                <w:color w:val="auto"/>
              </w:rPr>
            </w:pPr>
          </w:p>
        </w:tc>
        <w:tc>
          <w:tcPr>
            <w:tcW w:w="960" w:type="dxa"/>
            <w:vAlign w:val="bottom"/>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614,073</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4"/>
              </w:rPr>
              <w:t>(2,736)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166"/>
        </w:trPr>
        <w:tc>
          <w:tcPr>
            <w:tcW w:w="2740" w:type="dxa"/>
            <w:vAlign w:val="bottom"/>
          </w:tcPr>
          <w:p>
            <w:pPr>
              <w:ind w:left="20"/>
              <w:spacing w:after="0" w:line="166" w:lineRule="exact"/>
              <w:rPr>
                <w:sz w:val="20"/>
                <w:szCs w:val="20"/>
                <w:color w:val="auto"/>
              </w:rPr>
            </w:pPr>
            <w:r>
              <w:rPr>
                <w:rFonts w:ascii="Arial" w:cs="Arial" w:eastAsia="Arial" w:hAnsi="Arial"/>
                <w:sz w:val="16"/>
                <w:szCs w:val="16"/>
                <w:color w:val="auto"/>
                <w:w w:val="94"/>
              </w:rPr>
              <w:t>Issuance/Cancellation of restricted stock</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4,051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3"/>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5"/>
              </w:rPr>
              <w:t>Other comprehensive income, net of tax</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3"/>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November 30, 2019</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38,363,926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557,965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62,458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613,810</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ind w:left="360"/>
              <w:spacing w:after="0"/>
              <w:rPr>
                <w:sz w:val="20"/>
                <w:szCs w:val="20"/>
                <w:color w:val="auto"/>
              </w:rPr>
            </w:pPr>
            <w:r>
              <w:rPr>
                <w:rFonts w:ascii="Arial" w:cs="Arial" w:eastAsia="Arial" w:hAnsi="Arial"/>
                <w:sz w:val="16"/>
                <w:szCs w:val="16"/>
                <w:color w:val="auto"/>
                <w:w w:val="94"/>
              </w:rPr>
              <w:t>(5,709)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(5,709)</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w w:val="98"/>
              </w:rPr>
              <w:t>Issuance/Cancellation of restricted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stock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Purchases of common stock under</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Other comprehensive income, net of</w:t>
            </w: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February 29, 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38,434,757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560,330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56,749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w:t>
            </w:r>
          </w:p>
        </w:tc>
        <w:tc>
          <w:tcPr>
            <w:tcW w:w="120" w:type="dxa"/>
            <w:vAlign w:val="bottom"/>
          </w:tcPr>
          <w:p>
            <w:pPr>
              <w:spacing w:after="0"/>
              <w:rPr>
                <w:sz w:val="17"/>
                <w:szCs w:val="17"/>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w w:val="93"/>
              </w:rPr>
              <w:t>(370,000)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610,475</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Consolidated Balance Sheet as of February 28, 2021, the Consolidated Statements of Operations and the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for the three and nine months ended February 28, 2021 and February 29, 2020, the Consolidated Statements of Stockholders’ Equity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February 28, 2021 and February 29, 2020 and the Consolidated Statements of Cash Flows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2021 and February 29, 2020 have been prepared by the Company and are unaudited. The Consolidated Balance Sheet as of May 31, 2020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derived from audited consolidated financial statements but does not include all disclosures required by accounting principles generally accepted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States of America. In the opinion of management, all adjustments (consisting of normal recurring adjustments) necessary to state fairly the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position, changes in stockholders’ equity and comprehensive income, results of operations and cash flows as of and for the period ended February 28, 2021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for all periods presented) have been made.</w:t>
      </w:r>
    </w:p>
    <w:p>
      <w:pPr>
        <w:spacing w:after="0" w:line="157"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The unaudited interim consolidated financial statements for the three and nine months ended February 28, 2021 and February 29, 2020 include the accounts of AngioDynamics, Inc. and its wholly owned subsidiaries, collectively, "us", "we" or the “Company”. All intercompany balances and transactions have been eliminated.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C3 Wave Tip Location Acquisition</w:t>
      </w:r>
    </w:p>
    <w:p>
      <w:pPr>
        <w:spacing w:after="0" w:line="17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 December 17, 2019, the Company acquired the C3 Wave tip location asset from Medical Components Inc. ("MedComp") for an aggregate purchase price of $10.0 million with $5.0 million of potential future contingent consideration related to technical milestones. This acquisition filled a gap in the Vascular Access portfolio and supports the Company's strategic plan. The Company accounted for this acquisition as an asset purchase. The Company recorded the amount paid at closing as inventory of $0.6 million and intangible assets of a trademark of $0.9 million and product technology of</w:t>
      </w:r>
    </w:p>
    <w:p>
      <w:pPr>
        <w:spacing w:after="0" w:line="1"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$8.5 million. The intangible assets will be amortized over 15 years. The contingent consideration is comprised of technical milestones and will be accounted for when the contingency is resolved or becomes probable and reasonably estimable.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Eximo Acquisition</w:t>
      </w:r>
    </w:p>
    <w:p>
      <w:pPr>
        <w:spacing w:after="0" w:line="175"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On October 2, 2019, the Company entered into a share purchase agreement to acquire Eximo Medical, Ltd., a pre-commercial stage medical device company with a proprietary 355nm B Laser Atherectomy technology. The aggregate purchase price of $60.7 million included an upfront payment of $45.8 million and contingent consideration with an estimated fair value of $14.9 million. This acquisition expands and complements the Company’s Vascular Interventions and Therapies product portfolio by adding the 355nm B Laser Atherectomy technology which treats Peripheral Artery Disease.</w:t>
      </w:r>
    </w:p>
    <w:p>
      <w:pPr>
        <w:spacing w:after="0" w:line="103"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accounted for the Eximo acquisition under the acquisition method of accounting for business combinations. Accordingly, the cost to acquire the assets was allocated to the underlying net assets in proportion to estimates of their respective fair values. The excess of the purchase price over the estimated fair value of the net assets acquired was recorded as goodwill. Goodwill is non-deductible for income tax purposes.</w:t>
      </w:r>
    </w:p>
    <w:p>
      <w:pPr>
        <w:spacing w:after="0" w:line="95" w:lineRule="exact"/>
        <w:rPr>
          <w:sz w:val="20"/>
          <w:szCs w:val="20"/>
          <w:color w:val="auto"/>
        </w:rPr>
      </w:pPr>
    </w:p>
    <w:p>
      <w:pPr>
        <w:ind w:firstLine="405"/>
        <w:spacing w:after="0" w:line="301" w:lineRule="auto"/>
        <w:rPr>
          <w:sz w:val="20"/>
          <w:szCs w:val="20"/>
          <w:color w:val="auto"/>
        </w:rPr>
      </w:pPr>
      <w:r>
        <w:rPr>
          <w:rFonts w:ascii="Arial" w:cs="Arial" w:eastAsia="Arial" w:hAnsi="Arial"/>
          <w:sz w:val="16"/>
          <w:szCs w:val="16"/>
          <w:color w:val="auto"/>
        </w:rPr>
        <w:t>The Company has not disclosed the amount of revenue and earnings for sales of Eximo products since acquisition, nor proforma information, because these amounts are not significant to the Company's financial statements. Acquisition-related costs associated with the Eximo acquisition, which are included in "acquisition, restructuring and other items, net" in the accompanying Consolidated Statements of Operations, were approximately $0.6 million in fiscal year 2020. The following table summarizes the final aggregate purchase price allocated to the net assets acquired: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Final allocation</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Long-term deposits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9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technology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60,300</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72,429</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w:t>
            </w:r>
          </w:p>
        </w:tc>
      </w:tr>
      <w:tr>
        <w:trPr>
          <w:trHeight w:val="223"/>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11,769</w:t>
            </w: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60,660</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finalized the allocation of the purchase price to the assets acquired and liabilities assumed in the fourth quarter of fiscal year 2020.</w:t>
      </w:r>
    </w:p>
    <w:p>
      <w:pPr>
        <w:spacing w:after="0" w:line="194" w:lineRule="exact"/>
        <w:rPr>
          <w:sz w:val="20"/>
          <w:szCs w:val="20"/>
          <w:color w:val="auto"/>
        </w:rPr>
      </w:pPr>
    </w:p>
    <w:p>
      <w:pPr>
        <w:jc w:val="both"/>
        <w:ind w:right="140" w:firstLine="405"/>
        <w:spacing w:after="0" w:line="311" w:lineRule="auto"/>
        <w:rPr>
          <w:sz w:val="20"/>
          <w:szCs w:val="20"/>
          <w:color w:val="auto"/>
        </w:rPr>
      </w:pPr>
      <w:r>
        <w:rPr>
          <w:rFonts w:ascii="Arial" w:cs="Arial" w:eastAsia="Arial" w:hAnsi="Arial"/>
          <w:sz w:val="16"/>
          <w:szCs w:val="16"/>
          <w:color w:val="auto"/>
        </w:rPr>
        <w:t>The value assigned to the product technology was derived using the multi-period excess earnings method under the income approach. This approach estimates the excess earnings generated over the lives of the customers that existed as of the acquisition date and discounts such earnings to present value. The product technology is deemed to have a useful life of fifteen years and will be amortized on a straight-line basis over the useful life.</w:t>
      </w:r>
    </w:p>
    <w:p>
      <w:pPr>
        <w:spacing w:after="0" w:line="9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goodwill arising from the acquisition consists largely of synergies and economies of scale the Company hopes to achieve from combining the acquired assets with the Company's current operations.</w:t>
      </w:r>
    </w:p>
    <w:p>
      <w:pPr>
        <w:spacing w:after="0" w:line="166" w:lineRule="exact"/>
        <w:rPr>
          <w:sz w:val="20"/>
          <w:szCs w:val="20"/>
          <w:color w:val="auto"/>
        </w:rPr>
      </w:pPr>
    </w:p>
    <w:p>
      <w:pPr>
        <w:ind w:right="6660" w:firstLine="8"/>
        <w:spacing w:after="0" w:line="534"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Recognition</w:t>
      </w:r>
    </w:p>
    <w:p>
      <w:pPr>
        <w:spacing w:after="0" w:line="1"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primary revenue stream which is the sales of its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net product revenue by Global Business Unit ("GBU") and geography: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color w:val="auto"/>
                <w:w w:val="93"/>
              </w:rPr>
              <w:t>Three Months Ended Feb 28, 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496"/>
              <w:spacing w:after="0"/>
              <w:rPr>
                <w:sz w:val="20"/>
                <w:szCs w:val="20"/>
                <w:color w:val="auto"/>
              </w:rPr>
            </w:pPr>
            <w:r>
              <w:rPr>
                <w:rFonts w:ascii="Arial" w:cs="Arial" w:eastAsia="Arial" w:hAnsi="Arial"/>
                <w:sz w:val="14"/>
                <w:szCs w:val="14"/>
                <w:color w:val="auto"/>
                <w:w w:val="92"/>
              </w:rPr>
              <w:t>Three Months Ended Feb 29, 2020</w:t>
            </w:r>
          </w:p>
        </w:tc>
        <w:tc>
          <w:tcPr>
            <w:tcW w:w="720" w:type="dxa"/>
            <w:vAlign w:val="bottom"/>
            <w:tcBorders>
              <w:bottom w:val="single" w:sz="8" w:color="auto"/>
            </w:tcBorders>
          </w:tcPr>
          <w:p>
            <w:pPr>
              <w:spacing w:after="0"/>
              <w:rPr>
                <w:sz w:val="16"/>
                <w:szCs w:val="16"/>
                <w:color w:val="auto"/>
              </w:rPr>
            </w:pPr>
          </w:p>
        </w:tc>
      </w:tr>
      <w:tr>
        <w:trPr>
          <w:trHeight w:val="186"/>
        </w:trPr>
        <w:tc>
          <w:tcPr>
            <w:tcW w:w="4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International</w:t>
            </w:r>
          </w:p>
        </w:tc>
        <w:tc>
          <w:tcPr>
            <w:tcW w:w="380" w:type="dxa"/>
            <w:vAlign w:val="bottom"/>
          </w:tcPr>
          <w:p>
            <w:pPr>
              <w:spacing w:after="0"/>
              <w:rPr>
                <w:sz w:val="16"/>
                <w:szCs w:val="16"/>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80" w:type="dxa"/>
            <w:vAlign w:val="bottom"/>
          </w:tcPr>
          <w:p>
            <w:pPr>
              <w:spacing w:after="0"/>
              <w:rPr>
                <w:sz w:val="16"/>
                <w:szCs w:val="16"/>
                <w:color w:val="auto"/>
              </w:rPr>
            </w:pPr>
          </w:p>
        </w:tc>
        <w:tc>
          <w:tcPr>
            <w:tcW w:w="720" w:type="dxa"/>
            <w:vAlign w:val="bottom"/>
          </w:tcPr>
          <w:p>
            <w:pPr>
              <w:jc w:val="right"/>
              <w:ind w:right="314"/>
              <w:spacing w:after="0"/>
              <w:rPr>
                <w:sz w:val="20"/>
                <w:szCs w:val="20"/>
                <w:color w:val="auto"/>
              </w:rPr>
            </w:pPr>
            <w:r>
              <w:rPr>
                <w:rFonts w:ascii="Arial" w:cs="Arial" w:eastAsia="Arial" w:hAnsi="Arial"/>
                <w:sz w:val="14"/>
                <w:szCs w:val="14"/>
                <w:color w:val="auto"/>
                <w:w w:val="96"/>
              </w:rPr>
              <w:t>Total</w:t>
            </w:r>
          </w:p>
        </w:tc>
      </w:tr>
      <w:tr>
        <w:trPr>
          <w:trHeight w:val="213"/>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Vascular Interventions &amp; Therapies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29,529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33,251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26,788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30,552</w:t>
            </w: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Vascular Access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r>
      <w:tr>
        <w:trPr>
          <w:trHeight w:val="230"/>
        </w:trPr>
        <w:tc>
          <w:tcPr>
            <w:tcW w:w="4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Oncology</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w:t>
            </w:r>
          </w:p>
        </w:tc>
      </w:tr>
      <w:tr>
        <w:trPr>
          <w:trHeight w:val="248"/>
        </w:trPr>
        <w:tc>
          <w:tcPr>
            <w:tcW w:w="4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24"/>
        </w:trPr>
        <w:tc>
          <w:tcPr>
            <w:tcW w:w="1020" w:type="dxa"/>
            <w:vAlign w:val="bottom"/>
            <w:tcBorders>
              <w:top w:val="single" w:sz="8" w:color="0000FF"/>
            </w:tcBorders>
          </w:tcPr>
          <w:p>
            <w:pPr>
              <w:spacing w:after="0"/>
              <w:rPr>
                <w:sz w:val="24"/>
                <w:szCs w:val="24"/>
                <w:color w:val="auto"/>
              </w:rPr>
            </w:pPr>
          </w:p>
        </w:tc>
        <w:tc>
          <w:tcPr>
            <w:tcW w:w="3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left="516"/>
              <w:spacing w:after="0"/>
              <w:rPr>
                <w:sz w:val="20"/>
                <w:szCs w:val="20"/>
                <w:color w:val="auto"/>
              </w:rPr>
            </w:pPr>
            <w:r>
              <w:rPr>
                <w:rFonts w:ascii="Arial" w:cs="Arial" w:eastAsia="Arial" w:hAnsi="Arial"/>
                <w:sz w:val="14"/>
                <w:szCs w:val="14"/>
                <w:color w:val="auto"/>
                <w:w w:val="92"/>
              </w:rPr>
              <w:t>Nine Months Ended Feb 28, 2021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center"/>
              <w:ind w:left="536"/>
              <w:spacing w:after="0"/>
              <w:rPr>
                <w:sz w:val="20"/>
                <w:szCs w:val="20"/>
                <w:color w:val="auto"/>
              </w:rPr>
            </w:pPr>
            <w:r>
              <w:rPr>
                <w:rFonts w:ascii="Arial" w:cs="Arial" w:eastAsia="Arial" w:hAnsi="Arial"/>
                <w:sz w:val="14"/>
                <w:szCs w:val="14"/>
                <w:color w:val="auto"/>
                <w:w w:val="92"/>
              </w:rPr>
              <w:t>Nine Months Ended Feb 29, 2020</w:t>
            </w:r>
          </w:p>
        </w:tc>
        <w:tc>
          <w:tcPr>
            <w:tcW w:w="740" w:type="dxa"/>
            <w:vAlign w:val="bottom"/>
            <w:tcBorders>
              <w:bottom w:val="single" w:sz="8" w:color="auto"/>
            </w:tcBorders>
          </w:tcPr>
          <w:p>
            <w:pPr>
              <w:spacing w:after="0"/>
              <w:rPr>
                <w:sz w:val="24"/>
                <w:szCs w:val="24"/>
                <w:color w:val="auto"/>
              </w:rPr>
            </w:pPr>
          </w:p>
        </w:tc>
      </w:tr>
      <w:tr>
        <w:trPr>
          <w:trHeight w:val="186"/>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International</w:t>
            </w:r>
          </w:p>
        </w:tc>
        <w:tc>
          <w:tcPr>
            <w:tcW w:w="360" w:type="dxa"/>
            <w:vAlign w:val="bottom"/>
          </w:tcPr>
          <w:p>
            <w:pPr>
              <w:spacing w:after="0"/>
              <w:rPr>
                <w:sz w:val="16"/>
                <w:szCs w:val="16"/>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United States</w:t>
            </w: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International</w:t>
            </w:r>
          </w:p>
        </w:tc>
        <w:tc>
          <w:tcPr>
            <w:tcW w:w="360" w:type="dxa"/>
            <w:vAlign w:val="bottom"/>
          </w:tcPr>
          <w:p>
            <w:pPr>
              <w:spacing w:after="0"/>
              <w:rPr>
                <w:sz w:val="16"/>
                <w:szCs w:val="16"/>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color w:val="auto"/>
              </w:rPr>
              <w:t>Total</w:t>
            </w:r>
          </w:p>
        </w:tc>
      </w:tr>
      <w:tr>
        <w:trPr>
          <w:trHeight w:val="213"/>
        </w:trPr>
        <w:tc>
          <w:tcPr>
            <w:tcW w:w="41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30"/>
        </w:trPr>
        <w:tc>
          <w:tcPr>
            <w:tcW w:w="4120" w:type="dxa"/>
            <w:vAlign w:val="bottom"/>
            <w:gridSpan w:val="2"/>
          </w:tcPr>
          <w:p>
            <w:pPr>
              <w:ind w:left="360"/>
              <w:spacing w:after="0"/>
              <w:rPr>
                <w:sz w:val="20"/>
                <w:szCs w:val="20"/>
                <w:color w:val="auto"/>
              </w:rPr>
            </w:pPr>
            <w:r>
              <w:rPr>
                <w:rFonts w:ascii="Arial" w:cs="Arial" w:eastAsia="Arial" w:hAnsi="Arial"/>
                <w:sz w:val="18"/>
                <w:szCs w:val="18"/>
                <w:color w:val="auto"/>
              </w:rPr>
              <w:t>Vascular Interventions &amp; Therapies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87,198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97,008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80,065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10,551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90,616</w:t>
            </w:r>
          </w:p>
        </w:tc>
      </w:tr>
      <w:tr>
        <w:trPr>
          <w:trHeight w:val="229"/>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Vascular Access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70,585</w:t>
            </w:r>
          </w:p>
        </w:tc>
      </w:tr>
      <w:tr>
        <w:trPr>
          <w:trHeight w:val="229"/>
        </w:trPr>
        <w:tc>
          <w:tcPr>
            <w:tcW w:w="4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Oncology</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44,624</w:t>
            </w:r>
          </w:p>
        </w:tc>
      </w:tr>
      <w:tr>
        <w:trPr>
          <w:trHeight w:val="248"/>
        </w:trPr>
        <w:tc>
          <w:tcPr>
            <w:tcW w:w="4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205,825</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62" w:lineRule="exact"/>
        <w:rPr>
          <w:sz w:val="20"/>
          <w:szCs w:val="20"/>
          <w:color w:val="auto"/>
        </w:rPr>
      </w:pPr>
    </w:p>
    <w:p>
      <w:pPr>
        <w:ind w:right="100" w:firstLine="405"/>
        <w:spacing w:after="0" w:line="275" w:lineRule="auto"/>
        <w:rPr>
          <w:sz w:val="20"/>
          <w:szCs w:val="20"/>
          <w:color w:val="auto"/>
        </w:rPr>
      </w:pPr>
      <w:r>
        <w:rPr>
          <w:rFonts w:ascii="Arial" w:cs="Arial" w:eastAsia="Arial" w:hAnsi="Arial"/>
          <w:sz w:val="17"/>
          <w:szCs w:val="17"/>
          <w:color w:val="auto"/>
        </w:rPr>
        <w:t>The Company's products consist of a wide range of medical, surgical and diagnostic devices used by professional healthcare providers for vascular access, for the treatment of peripheral vascular disease and for use in oncology and surgical settings. The Company's devices are generally used in minimally invasive, image-guided procedures. Most of the Company's products are intended to be used once and then discarded, or they may be implanted for short or long term use. The Company sells its products to its distribution partners and to end users, such as interventional radiologists, interventional cardiologists, vascular surgeons, urologists, interventional and surgical oncologists and critical care nurses.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and Performance Obligations</w:t>
      </w:r>
    </w:p>
    <w:p>
      <w:pPr>
        <w:spacing w:after="0" w:line="171"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and Allocation to Performance Obligations</w:t>
      </w:r>
    </w:p>
    <w:p>
      <w:pPr>
        <w:spacing w:after="0" w:line="171"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9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contractual shipping terms of a contract.</w:t>
      </w:r>
    </w:p>
    <w:p>
      <w:pPr>
        <w:spacing w:after="0" w:line="1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value add, and other taxes collected on behalf of third parties are excluded from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171" w:lineRule="exact"/>
        <w:rPr>
          <w:sz w:val="20"/>
          <w:szCs w:val="20"/>
          <w:color w:val="auto"/>
        </w:rPr>
      </w:pPr>
    </w:p>
    <w:p>
      <w:pPr>
        <w:ind w:right="300" w:firstLine="405"/>
        <w:spacing w:after="0" w:line="311" w:lineRule="auto"/>
        <w:rPr>
          <w:sz w:val="20"/>
          <w:szCs w:val="20"/>
          <w:color w:val="auto"/>
        </w:rPr>
      </w:pPr>
      <w:r>
        <w:rPr>
          <w:rFonts w:ascii="Arial" w:cs="Arial" w:eastAsia="Arial" w:hAnsi="Arial"/>
          <w:sz w:val="16"/>
          <w:szCs w:val="16"/>
          <w:color w:val="auto"/>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spacing w:after="0" w:line="9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Rebates and Allowances: The Company provides certain customers with rebates and allowances that are explicitly stated in the Company’s contracts and are recorded as a reduction of revenue in the period the related product revenue is recognized.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establishes reserves for such amounts, which is included in accrued expenses in the accompanying Consolidated Balance Sheets. These rebates and allowances result from performance-based offers that are primarily based on attaining contractually specified sales volumes and administrative fees the Company is required to pay to group purchasing organizations.</w:t>
      </w:r>
    </w:p>
    <w:p>
      <w:pPr>
        <w:spacing w:after="0" w:line="13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nine months ended February 28, 2021, such product returns were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with Customers</w:t>
      </w:r>
    </w:p>
    <w:p>
      <w:pPr>
        <w:spacing w:after="0" w:line="1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changes in the Company’s receivables, contract assets and contract liabilities with customers: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Arial" w:cs="Arial" w:eastAsia="Arial" w:hAnsi="Arial"/>
                <w:sz w:val="14"/>
                <w:szCs w:val="14"/>
                <w:color w:val="auto"/>
              </w:rPr>
              <w:t>May 31, 2020</w:t>
            </w: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r>
    </w:tbl>
    <w:p>
      <w:pPr>
        <w:spacing w:after="0" w:line="148"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During the nine months ended February 28, 2021, the Company had additions to contract liabilities of $1.0 million. This was offset by $1.0 million in revenue that was recognized during the nine months ended February 28,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to Obtain or Fulfill a Customer Contract</w:t>
      </w:r>
    </w:p>
    <w:p>
      <w:pPr>
        <w:spacing w:after="0" w:line="1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Under ASC 606, the Company recognizes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33" w:lineRule="exact"/>
        <w:rPr>
          <w:sz w:val="20"/>
          <w:szCs w:val="20"/>
          <w:color w:val="auto"/>
        </w:rPr>
      </w:pPr>
    </w:p>
    <w:p>
      <w:pPr>
        <w:ind w:right="20" w:firstLine="405"/>
        <w:spacing w:after="0" w:line="311" w:lineRule="auto"/>
        <w:rPr>
          <w:sz w:val="20"/>
          <w:szCs w:val="20"/>
          <w:color w:val="auto"/>
        </w:rPr>
      </w:pPr>
      <w:r>
        <w:rPr>
          <w:rFonts w:ascii="Arial" w:cs="Arial" w:eastAsia="Arial" w:hAnsi="Arial"/>
          <w:sz w:val="16"/>
          <w:szCs w:val="16"/>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Inventories are stated at lower of cost and net realizable value (using the first-in, first-out method). Inventories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Pr>
          <w:p>
            <w:pPr>
              <w:spacing w:after="0"/>
              <w:rPr>
                <w:sz w:val="16"/>
                <w:szCs w:val="16"/>
                <w:color w:val="auto"/>
              </w:rPr>
            </w:pPr>
          </w:p>
        </w:tc>
        <w:tc>
          <w:tcPr>
            <w:tcW w:w="1240" w:type="dxa"/>
            <w:vAlign w:val="bottom"/>
          </w:tcPr>
          <w:p>
            <w:pPr>
              <w:jc w:val="right"/>
              <w:ind w:right="234"/>
              <w:spacing w:after="0"/>
              <w:rPr>
                <w:sz w:val="20"/>
                <w:szCs w:val="20"/>
                <w:color w:val="auto"/>
              </w:rPr>
            </w:pPr>
            <w:r>
              <w:rPr>
                <w:rFonts w:ascii="Arial" w:cs="Arial" w:eastAsia="Arial" w:hAnsi="Arial"/>
                <w:sz w:val="14"/>
                <w:szCs w:val="14"/>
                <w:color w:val="auto"/>
              </w:rPr>
              <w:t>May 31, 2020</w:t>
            </w:r>
          </w:p>
        </w:tc>
      </w:tr>
      <w:tr>
        <w:trPr>
          <w:trHeight w:val="229"/>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8,318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28,279</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59,905</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periodically reviews for both obsolescence and loss of value. The Company makes assumptions about the future demand for and market value of the inventory. Based on these assumptions, the Company estimates the amount of obsolete, expiring and slow-moving inventory. The total inventory reserve at February 28, 2021 and May 31, 2020 was $4.0 million and $4.7 million,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Intangible assets other than goodwill are amortized over their estimated useful lives on either a straight-line basis or proportionately to the benefit being realized. Useful lives range from two to eighteen years. The Company periodically reviews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34"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w:t>
      </w:r>
    </w:p>
    <w:p>
      <w:pPr>
        <w:spacing w:after="0" w:line="9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The Company's annual testing for impairment of goodwill was completed as of December 31, 2020. The Company operates as a single operating segment with one reporting unit and consequently evaluates goodwill for impairment based on an evaluation of the fair value of the Company as a whole. The Company determines the fair value of the reporting unit based on the market valuation approach and concluded that it was not more-likely-than-not that the fair value of the Company's reporting unit was less than its carrying value.</w:t>
      </w:r>
    </w:p>
    <w:p>
      <w:pPr>
        <w:spacing w:after="0" w:line="13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Even though the Company determined that there was no goodwill impairment as of December 31, 2020, the future occurrence of a potential indicator of impairment, such as a significant adverse change in legal, regulatory, business or economic conditions or a more-likely-than-not expectation that the reporting unit or a significant portion of the reporting unit will be sold or disposed of, would require an interim assessment for the reporting unit prior to the next required annual assessment as of December 31, 2021.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There were no adjustments to goodwill for the nine months ended February 28, 2021 other than foreign currency translation adjustments.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2"/>
              </w:rPr>
              <w:t>Feb 28, 2021</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6"/>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155,609</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60,273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27,131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186,216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May 31, 2020</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7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color w:val="auto"/>
              </w:rPr>
              <w:t>Gross carrying value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1"/>
                <w:szCs w:val="11"/>
                <w:color w:val="auto"/>
              </w:rPr>
            </w:pPr>
          </w:p>
        </w:tc>
        <w:tc>
          <w:tcPr>
            <w:tcW w:w="1280" w:type="dxa"/>
            <w:vAlign w:val="bottom"/>
            <w:vMerge w:val="restart"/>
          </w:tcPr>
          <w:p>
            <w:pPr>
              <w:jc w:val="right"/>
              <w:ind w:right="93"/>
              <w:spacing w:after="0"/>
              <w:rPr>
                <w:sz w:val="20"/>
                <w:szCs w:val="20"/>
                <w:color w:val="auto"/>
              </w:rPr>
            </w:pPr>
            <w:r>
              <w:rPr>
                <w:rFonts w:ascii="Arial" w:cs="Arial" w:eastAsia="Arial" w:hAnsi="Arial"/>
                <w:sz w:val="14"/>
                <w:szCs w:val="14"/>
                <w:color w:val="auto"/>
                <w:w w:val="95"/>
              </w:rPr>
              <w:t>Net carrying value</w:t>
            </w:r>
          </w:p>
        </w:tc>
        <w:tc>
          <w:tcPr>
            <w:tcW w:w="0" w:type="dxa"/>
            <w:vAlign w:val="bottom"/>
          </w:tcPr>
          <w:p>
            <w:pPr>
              <w:spacing w:after="0"/>
              <w:rPr>
                <w:sz w:val="1"/>
                <w:szCs w:val="1"/>
                <w:color w:val="auto"/>
              </w:rPr>
            </w:pPr>
          </w:p>
        </w:tc>
      </w:tr>
      <w:tr>
        <w:trPr>
          <w:trHeight w:val="186"/>
        </w:trPr>
        <w:tc>
          <w:tcPr>
            <w:tcW w:w="6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amortization</w:t>
            </w: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technologies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251,569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163,022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30,142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Licenses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expense for the three months ended February 28, 2021 and February 29, 2020 was $4.3 million and $5.0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for the nine months ended February 28, 2021 and February 29, 2020 was $13.8 million and $13.4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Expected future amortization expense related to the intangible assets for each of the following fiscal years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17,013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15,943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2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114,633</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186,216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6. ACCRUED LIABILITIES</w:t>
            </w: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82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260" w:type="dxa"/>
            <w:vAlign w:val="bottom"/>
          </w:tcPr>
          <w:p>
            <w:pPr>
              <w:ind w:left="420"/>
              <w:spacing w:after="0"/>
              <w:rPr>
                <w:sz w:val="20"/>
                <w:szCs w:val="20"/>
                <w:color w:val="auto"/>
              </w:rPr>
            </w:pPr>
            <w:r>
              <w:rPr>
                <w:rFonts w:ascii="Arial" w:cs="Arial" w:eastAsia="Arial" w:hAnsi="Arial"/>
                <w:sz w:val="18"/>
                <w:szCs w:val="18"/>
                <w:color w:val="auto"/>
              </w:rPr>
              <w:t>Accrued liabilities consisted of the following:</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Pr>
          <w:p>
            <w:pPr>
              <w:spacing w:after="0"/>
              <w:rPr>
                <w:sz w:val="24"/>
                <w:szCs w:val="24"/>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color w:val="auto"/>
              </w:rPr>
              <w:t>May 31, 2020</w:t>
            </w:r>
          </w:p>
        </w:tc>
        <w:tc>
          <w:tcPr>
            <w:tcW w:w="0" w:type="dxa"/>
            <w:vAlign w:val="bottom"/>
          </w:tcPr>
          <w:p>
            <w:pPr>
              <w:spacing w:after="0"/>
              <w:rPr>
                <w:sz w:val="1"/>
                <w:szCs w:val="1"/>
                <w:color w:val="auto"/>
              </w:rPr>
            </w:pPr>
          </w:p>
        </w:tc>
      </w:tr>
      <w:tr>
        <w:trPr>
          <w:trHeight w:val="22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related expenses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severance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Sales and franchise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services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Indemnification holdback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29,380</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75"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with the lenders party thereto, JPMorgan Chase Bank, N.A., as administrative agent, and Bank of America, N.A. and KeyBank National Association, as co-syndication agents.</w:t>
      </w:r>
    </w:p>
    <w:p>
      <w:pPr>
        <w:spacing w:after="0" w:line="13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Credit Agreement provides for a $125.0 million secured revolving credit facility (the “Revolving Facility”), which includes an uncommitted expansion feature that allows the Company to increase the total revolving commitments and/or add new tranches of term loans in an aggregate amount not to exceed $75.0 million. The proceeds may be used to refinance certain existing indebtedness of the Company and its subsidiaries, to finance the working capital needs, and for general corporate purposes (including permitted acquisitions), of the Company and its subsidiaries.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Credit Agreement has a five year maturity. Interest on the facility is based, at the Company’s option, on either a base rate of LIBOR or alternate base rate, plus an applicable margin tied to the Company’s total leverage ratio and having ranges between 0.25% and 0.75% for base rate loans and between 1.25% and 1.75% for LIBOR loans. After default, the interest rate may be increased by 2.0%. The facility also carries a commitment fee of 0.20% to 0.25% per annum on the unused portion.</w:t>
      </w:r>
    </w:p>
    <w:p>
      <w:pPr>
        <w:spacing w:after="0" w:line="133"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 Company's obligations under the Revolving Facility are unconditionally guaranteed, jointly and severally, by the Company's material direct and indirect domestic subsidiaries (the “Guarantors”). All obligations of the Company and the Guarantors under the Revolving Facility are secured by first priority security interests in substantially all of the assets of the Company and the Guarantors.</w:t>
      </w:r>
    </w:p>
    <w:p>
      <w:pPr>
        <w:spacing w:after="0" w:line="130"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Credit Agreement includes customary representations, warranties and covenants, and acceleration, indemnity and events of default provisions, including, among other things, two quarterly financial covenants as follows:</w:t>
      </w:r>
    </w:p>
    <w:p>
      <w:pPr>
        <w:spacing w:after="0" w:line="170" w:lineRule="exact"/>
        <w:rPr>
          <w:sz w:val="20"/>
          <w:szCs w:val="20"/>
          <w:color w:val="auto"/>
        </w:rPr>
      </w:pPr>
    </w:p>
    <w:p>
      <w:pPr>
        <w:ind w:left="660" w:right="360" w:hanging="247"/>
        <w:spacing w:after="0" w:line="25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maximum leverage ratio of consolidated total indebtedness* to consolidated EBITDA* of not greater than 3.00 to 1.00 (during certain periods following material acquisitions the ratio shall be increased to 3.50 to 1.00).</w:t>
      </w:r>
    </w:p>
    <w:p>
      <w:pPr>
        <w:spacing w:after="0" w:line="1" w:lineRule="exact"/>
        <w:rPr>
          <w:rFonts w:ascii="Arial" w:cs="Arial" w:eastAsia="Arial" w:hAnsi="Arial"/>
          <w:sz w:val="18"/>
          <w:szCs w:val="18"/>
          <w:color w:val="auto"/>
        </w:rPr>
      </w:pPr>
    </w:p>
    <w:p>
      <w:pPr>
        <w:ind w:left="660" w:right="180" w:hanging="247"/>
        <w:spacing w:after="0" w:line="290"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fixed charge coverage ratio of consolidated EBITDA minus consolidated capital expenditures* to consolidated interest expense* paid or payable in cash plus scheduled principal payments in respect of indebtedness under the Credit Agreement of not less than 1.25 to 1.00.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0" w:firstLine="8"/>
        <w:spacing w:after="0" w:line="273" w:lineRule="auto"/>
        <w:tabs>
          <w:tab w:leader="none" w:pos="10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definitions of consolidated total indebtedness, consolidated EBITDA, consolidated capital expenditures and consolidated interest expense are specifically defined in the credit agreement included as an exhibit to Form 8-K filed on June 6, 2019.</w:t>
      </w:r>
    </w:p>
    <w:p>
      <w:pPr>
        <w:spacing w:after="0" w:line="124"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As of February 28, 2021, there was a $30.0 million outstanding balance on the Revolving Facility. As of February 28, 2021 and May 31, 2020, the carrying value of long-term debt approximated its fair market value.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interest rate on the Revolving Facility at February 28, 2021 was 1.63%.</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the Credit Agreement covenants as of February 28,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15.6% as of the third quarter of fiscal year 2021, as compared to 12.9% for the same period in fiscal year 2020.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0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3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February 28, 2021.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7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As of February 28, 2021, there was a maximum of 2.4 million shares of common stock available for future grant under the 2020 Plan.</w:t>
      </w:r>
    </w:p>
    <w:p>
      <w:pPr>
        <w:spacing w:after="0" w:line="117"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130"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The Company also has an employee stock purchase plan. As of February 28, 2021, there was a maximum of 4.0 million shares of common stock available for future grant under the employee stock purchase plan.</w:t>
      </w:r>
    </w:p>
    <w:p>
      <w:pPr>
        <w:spacing w:after="0" w:line="116"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For the three months ended February 28, 2021 and February 29, 2020, share-based compensation expense was $2.1 million and $1.8 million, respectively. For the nine months ended February 28, 2021 and February 29, 2020, share-based compensation expense was $6.4 million and $6.0 million, respectively</w:t>
      </w:r>
    </w:p>
    <w:p>
      <w:pPr>
        <w:spacing w:after="0" w:line="13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During the nine months ended February 28, 2021 and February 29, 2020, the Company granted stock options and restricted stock units under the 2004 Plan and 2020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common stock on the date of grant and then amortized on a straight-line basis over the requisite service period of the award.</w:t>
      </w:r>
    </w:p>
    <w:p>
      <w:pPr>
        <w:spacing w:after="0" w:line="134"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During the nine months ended February 28, 2021 and February 29, 2020, the Company granted performance share units under the 2004 Plan to certain employees. The awards may be earned by achieving relative performance levels over the requisite service period. The performance criteria are based on achieving certain performance targets and the total shareholder return (“TSR”) of the Company’s common stock relative to the TSR of the common stock of a pre-defined industry peer-group.</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fair value of these awards are based on the closing trading value of the Company’s common stock on the date of grant and use a Monte Carlo simulation model.</w:t>
      </w:r>
    </w:p>
    <w:p>
      <w:pPr>
        <w:spacing w:after="0" w:line="116"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As of February 28, 2021, there was $14.4 million of unrecognized compensation expense related to share-based payment arrangements. These costs are expected to be recognized over a weighted-average period of approximately four years. The Company has sufficient shares to satisfy expected share-based payment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7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reconciles basic to diluted weighted-average shares outstanding: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3060" w:type="dxa"/>
            <w:vAlign w:val="bottom"/>
            <w:gridSpan w:val="4"/>
          </w:tcPr>
          <w:p>
            <w:pPr>
              <w:ind w:left="860"/>
              <w:spacing w:after="0"/>
              <w:rPr>
                <w:sz w:val="20"/>
                <w:szCs w:val="20"/>
                <w:color w:val="auto"/>
              </w:rPr>
            </w:pPr>
            <w:r>
              <w:rPr>
                <w:rFonts w:ascii="Arial" w:cs="Arial" w:eastAsia="Arial" w:hAnsi="Arial"/>
                <w:sz w:val="14"/>
                <w:szCs w:val="14"/>
                <w:color w:val="auto"/>
              </w:rPr>
              <w:t>Three Months Ended</w:t>
            </w:r>
          </w:p>
        </w:tc>
        <w:tc>
          <w:tcPr>
            <w:tcW w:w="2980" w:type="dxa"/>
            <w:vAlign w:val="bottom"/>
            <w:gridSpan w:val="3"/>
          </w:tcPr>
          <w:p>
            <w:pPr>
              <w:jc w:val="right"/>
              <w:ind w:right="814"/>
              <w:spacing w:after="0"/>
              <w:rPr>
                <w:sz w:val="20"/>
                <w:szCs w:val="20"/>
                <w:color w:val="auto"/>
              </w:rPr>
            </w:pPr>
            <w:r>
              <w:rPr>
                <w:rFonts w:ascii="Arial" w:cs="Arial" w:eastAsia="Arial" w:hAnsi="Arial"/>
                <w:sz w:val="14"/>
                <w:szCs w:val="14"/>
                <w:color w:val="auto"/>
              </w:rPr>
              <w:t>Nine Months Ended</w:t>
            </w: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color w:val="auto"/>
              </w:rPr>
              <w:t>Feb 28, 2021</w:t>
            </w:r>
          </w:p>
        </w:tc>
        <w:tc>
          <w:tcPr>
            <w:tcW w:w="142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color w:val="auto"/>
              </w:rPr>
              <w:t>Feb 29, 2020</w:t>
            </w:r>
          </w:p>
        </w:tc>
        <w:tc>
          <w:tcPr>
            <w:tcW w:w="100" w:type="dxa"/>
            <w:vAlign w:val="bottom"/>
          </w:tcPr>
          <w:p>
            <w:pPr>
              <w:spacing w:after="0"/>
              <w:rPr>
                <w:sz w:val="16"/>
                <w:szCs w:val="16"/>
                <w:color w:val="auto"/>
              </w:rPr>
            </w:pPr>
          </w:p>
        </w:tc>
        <w:tc>
          <w:tcPr>
            <w:tcW w:w="154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color w:val="auto"/>
              </w:rPr>
              <w:t>Feb 28, 2021</w:t>
            </w:r>
          </w:p>
        </w:tc>
        <w:tc>
          <w:tcPr>
            <w:tcW w:w="144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color w:val="auto"/>
              </w:rPr>
              <w:t>Feb 29, 2020</w:t>
            </w:r>
          </w:p>
        </w:tc>
      </w:tr>
      <w:tr>
        <w:trPr>
          <w:trHeight w:val="226"/>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excluded as their inclusion would be anti-dilutive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GEOGRAPHIC INFORMATION</w:t>
      </w:r>
    </w:p>
    <w:p>
      <w:pPr>
        <w:spacing w:after="0" w:line="175"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The Company considers the business to be a single operating segment engaged in the development, manufacture and sale of medical devices for vascular access, peripheral vascular disease and oncology on a global basis. The Company's chief operating decision maker, the President and Chief Executive Officer (CEO), evaluates the various global product portfolios on a net sales basis. Executives reporting to the CEO include those responsible for commercial operations, manufacturing operations, regulatory and quality and certain corporate functions. The CEO evaluates profitability, investment and cash flow metrics on a consolidated worldwide basis due to shared infrastructure and resources.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net sales by Global Business Unit: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14"/>
              <w:spacing w:after="0"/>
              <w:rPr>
                <w:sz w:val="20"/>
                <w:szCs w:val="20"/>
                <w:color w:val="auto"/>
              </w:rPr>
            </w:pPr>
            <w:r>
              <w:rPr>
                <w:rFonts w:ascii="Arial" w:cs="Arial" w:eastAsia="Arial" w:hAnsi="Arial"/>
                <w:sz w:val="14"/>
                <w:szCs w:val="14"/>
                <w:color w:val="auto"/>
              </w:rPr>
              <w:t>Nine Months Ended</w:t>
            </w: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color w:val="auto"/>
              </w:rPr>
              <w:t>Feb 29, 2020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Feb 28, 2021</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color w:val="auto"/>
              </w:rPr>
              <w:t>Feb 29, 2020</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Vascular Interventions &amp; Therapies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640"/>
              <w:spacing w:after="0"/>
              <w:rPr>
                <w:sz w:val="20"/>
                <w:szCs w:val="20"/>
                <w:color w:val="auto"/>
              </w:rPr>
            </w:pPr>
            <w:r>
              <w:rPr>
                <w:rFonts w:ascii="Arial" w:cs="Arial" w:eastAsia="Arial" w:hAnsi="Arial"/>
                <w:sz w:val="18"/>
                <w:szCs w:val="18"/>
                <w:color w:val="auto"/>
                <w:w w:val="98"/>
              </w:rPr>
              <w:t>33,251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30,552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97,008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90,616</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Vascular Access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24,813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70,585</w:t>
            </w:r>
          </w:p>
        </w:tc>
      </w:tr>
      <w:tr>
        <w:trPr>
          <w:trHeight w:val="230"/>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Oncology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8"/>
              </w:rPr>
              <w:t>13,118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44,624</w:t>
            </w:r>
          </w:p>
        </w:tc>
      </w:tr>
      <w:tr>
        <w:trPr>
          <w:trHeight w:val="248"/>
        </w:trPr>
        <w:tc>
          <w:tcPr>
            <w:tcW w:w="5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71,182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205,825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net sales by geographic area based on external customer location: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15"/>
              <w:spacing w:after="0"/>
              <w:rPr>
                <w:sz w:val="20"/>
                <w:szCs w:val="20"/>
                <w:color w:val="auto"/>
              </w:rPr>
            </w:pPr>
            <w:r>
              <w:rPr>
                <w:rFonts w:ascii="Arial" w:cs="Arial" w:eastAsia="Arial" w:hAnsi="Arial"/>
                <w:sz w:val="14"/>
                <w:szCs w:val="14"/>
                <w:color w:val="auto"/>
              </w:rPr>
              <w:t>Nine Months Ended</w:t>
            </w: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color w:val="auto"/>
              </w:rPr>
              <w:t>Feb 29, 2020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Feb 28, 2021</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5"/>
              <w:spacing w:after="0"/>
              <w:rPr>
                <w:sz w:val="20"/>
                <w:szCs w:val="20"/>
                <w:color w:val="auto"/>
              </w:rPr>
            </w:pPr>
            <w:r>
              <w:rPr>
                <w:rFonts w:ascii="Arial" w:cs="Arial" w:eastAsia="Arial" w:hAnsi="Arial"/>
                <w:sz w:val="14"/>
                <w:szCs w:val="14"/>
                <w:color w:val="auto"/>
              </w:rPr>
              <w:t>Feb 29, 2020</w:t>
            </w: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640"/>
              <w:spacing w:after="0"/>
              <w:rPr>
                <w:sz w:val="20"/>
                <w:szCs w:val="20"/>
                <w:color w:val="auto"/>
              </w:rPr>
            </w:pPr>
            <w:r>
              <w:rPr>
                <w:rFonts w:ascii="Arial" w:cs="Arial" w:eastAsia="Arial" w:hAnsi="Arial"/>
                <w:sz w:val="18"/>
                <w:szCs w:val="18"/>
                <w:color w:val="auto"/>
                <w:w w:val="98"/>
              </w:rPr>
              <w:t>58,654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54,889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173,446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163,381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98"/>
              </w:rPr>
              <w:t>12,528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42,444</w:t>
            </w:r>
          </w:p>
        </w:tc>
      </w:tr>
      <w:tr>
        <w:trPr>
          <w:trHeight w:val="223"/>
        </w:trPr>
        <w:tc>
          <w:tcPr>
            <w:tcW w:w="5200" w:type="dxa"/>
            <w:vAlign w:val="bottom"/>
          </w:tcPr>
          <w:p>
            <w:pPr>
              <w:ind w:left="6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8"/>
              </w:rPr>
              <w:t>71,182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214,168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205,825</w:t>
            </w: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w:t>
      </w:r>
    </w:p>
    <w:p>
      <w:pPr>
        <w:spacing w:after="0" w:line="175"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2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252"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197"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16"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 immediate or short-term maturities. The Company's recurring fair value measurements using significant unobservable inputs (Level 3) relate to contingent consideration liabilities.</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80" w:type="dxa"/>
            <w:vAlign w:val="bottom"/>
            <w:gridSpan w:val="8"/>
            <w:vMerge w:val="restart"/>
          </w:tcPr>
          <w:p>
            <w:pPr>
              <w:jc w:val="center"/>
              <w:ind w:right="159"/>
              <w:spacing w:after="0"/>
              <w:rPr>
                <w:sz w:val="20"/>
                <w:szCs w:val="20"/>
                <w:color w:val="auto"/>
              </w:rPr>
            </w:pPr>
            <w:r>
              <w:rPr>
                <w:rFonts w:ascii="Arial" w:cs="Arial" w:eastAsia="Arial" w:hAnsi="Arial"/>
                <w:sz w:val="14"/>
                <w:szCs w:val="14"/>
                <w:color w:val="auto"/>
                <w:w w:val="91"/>
              </w:rPr>
              <w:t>Fair Value Measurements using inputs considered as: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7"/>
              <w:spacing w:after="0"/>
              <w:rPr>
                <w:sz w:val="20"/>
                <w:szCs w:val="20"/>
                <w:color w:val="auto"/>
              </w:rPr>
            </w:pPr>
            <w:r>
              <w:rPr>
                <w:rFonts w:ascii="Arial" w:cs="Arial" w:eastAsia="Arial" w:hAnsi="Arial"/>
                <w:sz w:val="14"/>
                <w:szCs w:val="14"/>
                <w:color w:val="auto"/>
                <w:w w:val="91"/>
              </w:rPr>
              <w:t>Fair Value at Feb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8"/>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89"/>
              </w:rPr>
              <w:t>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300" w:type="dxa"/>
            <w:vAlign w:val="bottom"/>
          </w:tcPr>
          <w:p>
            <w:pPr>
              <w:spacing w:after="0"/>
              <w:rPr>
                <w:sz w:val="16"/>
                <w:szCs w:val="16"/>
                <w:color w:val="auto"/>
              </w:rPr>
            </w:pP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w w:val="95"/>
              </w:rPr>
              <w:t>Financial Liabilities</w:t>
            </w:r>
          </w:p>
        </w:tc>
        <w:tc>
          <w:tcPr>
            <w:tcW w:w="3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15,362</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80" w:type="dxa"/>
            <w:vAlign w:val="bottom"/>
            <w:gridSpan w:val="8"/>
            <w:vMerge w:val="restart"/>
          </w:tcPr>
          <w:p>
            <w:pPr>
              <w:jc w:val="center"/>
              <w:ind w:right="159"/>
              <w:spacing w:after="0"/>
              <w:rPr>
                <w:sz w:val="20"/>
                <w:szCs w:val="20"/>
                <w:color w:val="auto"/>
              </w:rPr>
            </w:pPr>
            <w:r>
              <w:rPr>
                <w:rFonts w:ascii="Arial" w:cs="Arial" w:eastAsia="Arial" w:hAnsi="Arial"/>
                <w:sz w:val="14"/>
                <w:szCs w:val="14"/>
                <w:color w:val="auto"/>
                <w:w w:val="91"/>
              </w:rPr>
              <w:t>Fair Value Measurements using inputs considered as: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3"/>
              </w:rPr>
              <w:t>Fair Value at May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8"/>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w w:val="89"/>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Level 1</w:t>
            </w: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color w:val="auto"/>
                <w:w w:val="97"/>
              </w:rPr>
              <w:t>Level 2</w:t>
            </w:r>
          </w:p>
        </w:tc>
        <w:tc>
          <w:tcPr>
            <w:tcW w:w="300" w:type="dxa"/>
            <w:vAlign w:val="bottom"/>
          </w:tcPr>
          <w:p>
            <w:pPr>
              <w:spacing w:after="0"/>
              <w:rPr>
                <w:sz w:val="16"/>
                <w:szCs w:val="16"/>
                <w:color w:val="auto"/>
              </w:rPr>
            </w:pPr>
          </w:p>
        </w:tc>
        <w:tc>
          <w:tcPr>
            <w:tcW w:w="1080" w:type="dxa"/>
            <w:vAlign w:val="bottom"/>
            <w:gridSpan w:val="2"/>
          </w:tcPr>
          <w:p>
            <w:pPr>
              <w:jc w:val="right"/>
              <w:ind w:right="359"/>
              <w:spacing w:after="0"/>
              <w:rPr>
                <w:sz w:val="20"/>
                <w:szCs w:val="20"/>
                <w:color w:val="auto"/>
              </w:rPr>
            </w:pPr>
            <w:r>
              <w:rPr>
                <w:rFonts w:ascii="Arial" w:cs="Arial" w:eastAsia="Arial" w:hAnsi="Arial"/>
                <w:sz w:val="14"/>
                <w:szCs w:val="14"/>
                <w:color w:val="auto"/>
              </w:rPr>
              <w:t>Level 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93" w:lineRule="exact"/>
              <w:rPr>
                <w:sz w:val="20"/>
                <w:szCs w:val="20"/>
                <w:color w:val="auto"/>
              </w:rPr>
            </w:pPr>
            <w:r>
              <w:rPr>
                <w:rFonts w:ascii="Arial" w:cs="Arial" w:eastAsia="Arial" w:hAnsi="Arial"/>
                <w:sz w:val="18"/>
                <w:szCs w:val="18"/>
                <w:color w:val="auto"/>
                <w:w w:val="95"/>
              </w:rPr>
              <w:t>Financial Liabilities</w:t>
            </w:r>
          </w:p>
        </w:tc>
        <w:tc>
          <w:tcPr>
            <w:tcW w:w="36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Contingent consideration for acquisition earn outs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15,647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Financial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8200" w:type="dxa"/>
            <w:vAlign w:val="bottom"/>
            <w:gridSpan w:val="8"/>
          </w:tcPr>
          <w:p>
            <w:pPr>
              <w:ind w:left="400"/>
              <w:spacing w:after="0"/>
              <w:rPr>
                <w:sz w:val="20"/>
                <w:szCs w:val="20"/>
                <w:color w:val="auto"/>
              </w:rPr>
            </w:pPr>
            <w:r>
              <w:rPr>
                <w:rFonts w:ascii="Arial" w:cs="Arial" w:eastAsia="Arial" w:hAnsi="Arial"/>
                <w:sz w:val="18"/>
                <w:szCs w:val="18"/>
                <w:color w:val="auto"/>
                <w:w w:val="91"/>
              </w:rPr>
              <w:t>There were no transfers between Level 1, 2 and 3 for the three and nine months ended February 28, 2021.</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640" w:type="dxa"/>
            <w:vAlign w:val="bottom"/>
            <w:gridSpan w:val="5"/>
          </w:tcPr>
          <w:p>
            <w:pPr>
              <w:ind w:left="400"/>
              <w:spacing w:after="0"/>
              <w:rPr>
                <w:sz w:val="20"/>
                <w:szCs w:val="20"/>
                <w:color w:val="auto"/>
              </w:rPr>
            </w:pPr>
            <w:r>
              <w:rPr>
                <w:rFonts w:ascii="Arial" w:cs="Arial" w:eastAsia="Arial" w:hAnsi="Arial"/>
                <w:sz w:val="18"/>
                <w:szCs w:val="18"/>
                <w:color w:val="auto"/>
                <w:w w:val="90"/>
              </w:rPr>
              <w:t>The table below presents the changes in fair value components of Level 3 instruments: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60" w:type="dxa"/>
            <w:vAlign w:val="bottom"/>
            <w:gridSpan w:val="5"/>
          </w:tcPr>
          <w:p>
            <w:pPr>
              <w:jc w:val="center"/>
              <w:spacing w:after="0"/>
              <w:rPr>
                <w:sz w:val="20"/>
                <w:szCs w:val="20"/>
                <w:color w:val="auto"/>
              </w:rPr>
            </w:pPr>
            <w:r>
              <w:rPr>
                <w:rFonts w:ascii="Arial" w:cs="Arial" w:eastAsia="Arial" w:hAnsi="Arial"/>
                <w:sz w:val="14"/>
                <w:szCs w:val="14"/>
                <w:color w:val="auto"/>
                <w:w w:val="92"/>
              </w:rPr>
              <w:t>Three Months Ended Feb 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color w:val="auto"/>
              </w:rPr>
              <w:t>2021</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4"/>
          </w:tcPr>
          <w:p>
            <w:pPr>
              <w:jc w:val="center"/>
              <w:ind w:right="37"/>
              <w:spacing w:after="0" w:line="132" w:lineRule="exact"/>
              <w:rPr>
                <w:sz w:val="20"/>
                <w:szCs w:val="20"/>
                <w:color w:val="auto"/>
              </w:rPr>
            </w:pPr>
            <w:r>
              <w:rPr>
                <w:rFonts w:ascii="Arial" w:cs="Arial" w:eastAsia="Arial" w:hAnsi="Arial"/>
                <w:sz w:val="14"/>
                <w:szCs w:val="14"/>
                <w:color w:val="auto"/>
                <w:w w:val="92"/>
              </w:rPr>
              <w:t>Fair Value Measurements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97"/>
              <w:spacing w:after="0" w:line="135" w:lineRule="exact"/>
              <w:rPr>
                <w:sz w:val="20"/>
                <w:szCs w:val="20"/>
                <w:color w:val="auto"/>
              </w:rPr>
            </w:pPr>
            <w:r>
              <w:rPr>
                <w:rFonts w:ascii="Arial" w:cs="Arial" w:eastAsia="Arial" w:hAnsi="Arial"/>
                <w:sz w:val="14"/>
                <w:szCs w:val="14"/>
                <w:color w:val="auto"/>
                <w:w w:val="95"/>
              </w:rPr>
              <w:t>Using Significant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60" w:type="dxa"/>
            <w:vAlign w:val="bottom"/>
            <w:gridSpan w:val="5"/>
          </w:tcPr>
          <w:p>
            <w:pPr>
              <w:jc w:val="center"/>
              <w:spacing w:after="0" w:line="135" w:lineRule="exact"/>
              <w:rPr>
                <w:sz w:val="20"/>
                <w:szCs w:val="20"/>
                <w:color w:val="auto"/>
              </w:rPr>
            </w:pPr>
            <w:r>
              <w:rPr>
                <w:rFonts w:ascii="Arial" w:cs="Arial" w:eastAsia="Arial" w:hAnsi="Arial"/>
                <w:sz w:val="14"/>
                <w:szCs w:val="14"/>
                <w:color w:val="auto"/>
                <w:w w:val="93"/>
              </w:rPr>
              <w:t>Unobservable Inputs (Level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color w:val="auto"/>
              </w:rPr>
              <w:t>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November 30, 2020</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Total gains or losses (realized/unrealized):</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0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Currency gain from remeasurement</w:t>
            </w: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February 28, 2021</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944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6"/>
        </w:trPr>
        <w:tc>
          <w:tcPr>
            <w:tcW w:w="1020" w:type="dxa"/>
            <w:vAlign w:val="bottom"/>
            <w:tcBorders>
              <w:top w:val="single" w:sz="8" w:color="0000FF"/>
            </w:tcBorders>
          </w:tcPr>
          <w:p>
            <w:pPr>
              <w:spacing w:after="0"/>
              <w:rPr>
                <w:sz w:val="24"/>
                <w:szCs w:val="24"/>
                <w:color w:val="auto"/>
              </w:rPr>
            </w:pPr>
          </w:p>
        </w:tc>
        <w:tc>
          <w:tcPr>
            <w:tcW w:w="842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4"/>
              </w:rPr>
              <w:t>Nine Months Ended Feb 28,</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center"/>
              <w:ind w:right="59"/>
              <w:spacing w:after="0" w:line="132" w:lineRule="exact"/>
              <w:rPr>
                <w:sz w:val="20"/>
                <w:szCs w:val="20"/>
                <w:color w:val="auto"/>
              </w:rPr>
            </w:pPr>
            <w:r>
              <w:rPr>
                <w:rFonts w:ascii="Arial" w:cs="Arial" w:eastAsia="Arial" w:hAnsi="Arial"/>
                <w:sz w:val="14"/>
                <w:szCs w:val="14"/>
                <w:color w:val="auto"/>
                <w:w w:val="92"/>
              </w:rPr>
              <w:t>Fair Value Measurements</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8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jc w:val="center"/>
              <w:ind w:right="59"/>
              <w:spacing w:after="0" w:line="135" w:lineRule="exact"/>
              <w:rPr>
                <w:sz w:val="20"/>
                <w:szCs w:val="20"/>
                <w:color w:val="auto"/>
              </w:rPr>
            </w:pPr>
            <w:r>
              <w:rPr>
                <w:rFonts w:ascii="Arial" w:cs="Arial" w:eastAsia="Arial" w:hAnsi="Arial"/>
                <w:sz w:val="14"/>
                <w:szCs w:val="14"/>
                <w:color w:val="auto"/>
                <w:w w:val="95"/>
              </w:rPr>
              <w:t>Using Significant</w:t>
            </w:r>
          </w:p>
        </w:tc>
        <w:tc>
          <w:tcPr>
            <w:tcW w:w="0" w:type="dxa"/>
            <w:vAlign w:val="bottom"/>
          </w:tcPr>
          <w:p>
            <w:pPr>
              <w:spacing w:after="0"/>
              <w:rPr>
                <w:sz w:val="1"/>
                <w:szCs w:val="1"/>
                <w:color w:val="auto"/>
              </w:rPr>
            </w:pPr>
          </w:p>
        </w:tc>
      </w:tr>
      <w:tr>
        <w:trPr>
          <w:trHeight w:val="135"/>
        </w:trPr>
        <w:tc>
          <w:tcPr>
            <w:tcW w:w="944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800" w:type="dxa"/>
            <w:vAlign w:val="bottom"/>
            <w:gridSpan w:val="2"/>
          </w:tcPr>
          <w:p>
            <w:pPr>
              <w:jc w:val="center"/>
              <w:spacing w:after="0" w:line="135" w:lineRule="exact"/>
              <w:rPr>
                <w:sz w:val="20"/>
                <w:szCs w:val="20"/>
                <w:color w:val="auto"/>
              </w:rPr>
            </w:pPr>
            <w:r>
              <w:rPr>
                <w:rFonts w:ascii="Arial" w:cs="Arial" w:eastAsia="Arial" w:hAnsi="Arial"/>
                <w:sz w:val="14"/>
                <w:szCs w:val="14"/>
                <w:color w:val="auto"/>
                <w:w w:val="93"/>
              </w:rPr>
              <w:t>Unobservable Inputs (Level</w:t>
            </w:r>
          </w:p>
        </w:tc>
        <w:tc>
          <w:tcPr>
            <w:tcW w:w="0" w:type="dxa"/>
            <w:vAlign w:val="bottom"/>
          </w:tcPr>
          <w:p>
            <w:pPr>
              <w:spacing w:after="0"/>
              <w:rPr>
                <w:sz w:val="1"/>
                <w:szCs w:val="1"/>
                <w:color w:val="auto"/>
              </w:rPr>
            </w:pPr>
          </w:p>
        </w:tc>
      </w:tr>
      <w:tr>
        <w:trPr>
          <w:trHeight w:val="186"/>
        </w:trPr>
        <w:tc>
          <w:tcPr>
            <w:tcW w:w="944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6"/>
        </w:trPr>
        <w:tc>
          <w:tcPr>
            <w:tcW w:w="9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May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0" w:type="dxa"/>
            <w:vAlign w:val="bottom"/>
          </w:tcPr>
          <w:p>
            <w:pPr>
              <w:spacing w:after="0"/>
              <w:rPr>
                <w:sz w:val="1"/>
                <w:szCs w:val="1"/>
                <w:color w:val="auto"/>
              </w:rPr>
            </w:pPr>
          </w:p>
        </w:tc>
      </w:tr>
      <w:tr>
        <w:trPr>
          <w:trHeight w:val="229"/>
        </w:trPr>
        <w:tc>
          <w:tcPr>
            <w:tcW w:w="9440" w:type="dxa"/>
            <w:vAlign w:val="bottom"/>
            <w:gridSpan w:val="2"/>
          </w:tcPr>
          <w:p>
            <w:pPr>
              <w:ind w:left="20"/>
              <w:spacing w:after="0"/>
              <w:rPr>
                <w:sz w:val="20"/>
                <w:szCs w:val="20"/>
                <w:color w:val="auto"/>
              </w:rPr>
            </w:pPr>
            <w:r>
              <w:rPr>
                <w:rFonts w:ascii="Arial" w:cs="Arial" w:eastAsia="Arial" w:hAnsi="Arial"/>
                <w:sz w:val="18"/>
                <w:szCs w:val="18"/>
                <w:color w:val="auto"/>
              </w:rPr>
              <w:t>Total gains or losses (realized/unrealized):</w:t>
            </w: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40" w:type="dxa"/>
            <w:vAlign w:val="bottom"/>
            <w:gridSpan w:val="2"/>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Change in present value of contingent consideration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94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Currency gain from remeasurement</w:t>
            </w: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9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February 28,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right="120" w:firstLine="8"/>
        <w:spacing w:after="0" w:line="275" w:lineRule="auto"/>
        <w:tabs>
          <w:tab w:leader="none" w:pos="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 for Acquisition Earn Outs</w:t>
      </w:r>
    </w:p>
    <w:p>
      <w:pPr>
        <w:spacing w:after="0" w:line="175"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2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measures the initial liability and remeasures the liability on a recurring basis using Level 3 inputs as defined under authoritative guidance for fair value measurements. The fair value is determined using a discounted cash flow model applied to projected net sales, using probabilities of achieving projected net sales and projected payment dates. Projected net sales are based on the Company's internal projections and extensive analysis of the target market and the sales potential. Increases or decreases in any valuation inputs in isolation may result in a significantly lower or higher fair value measurement in the future.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recurring Level 3 fair value measurements of the contingent consideration liabilities include the following significant unobservable inputs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Fair Value</w:t>
            </w:r>
          </w:p>
        </w:tc>
        <w:tc>
          <w:tcPr>
            <w:tcW w:w="2140" w:type="dxa"/>
            <w:vAlign w:val="bottom"/>
            <w:gridSpan w:val="2"/>
          </w:tcPr>
          <w:p>
            <w:pPr>
              <w:ind w:left="420"/>
              <w:spacing w:after="0"/>
              <w:rPr>
                <w:sz w:val="20"/>
                <w:szCs w:val="20"/>
                <w:color w:val="auto"/>
              </w:rPr>
            </w:pPr>
            <w:r>
              <w:rPr>
                <w:rFonts w:ascii="Arial" w:cs="Arial" w:eastAsia="Arial" w:hAnsi="Arial"/>
                <w:sz w:val="14"/>
                <w:szCs w:val="14"/>
                <w:color w:val="auto"/>
              </w:rPr>
              <w:t>Valuation Technique</w:t>
            </w:r>
          </w:p>
        </w:tc>
        <w:tc>
          <w:tcPr>
            <w:tcW w:w="32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Unobservable Input</w:t>
            </w:r>
          </w:p>
        </w:tc>
        <w:tc>
          <w:tcPr>
            <w:tcW w:w="1400" w:type="dxa"/>
            <w:vAlign w:val="bottom"/>
          </w:tcPr>
          <w:p>
            <w:pPr>
              <w:ind w:left="520"/>
              <w:spacing w:after="0"/>
              <w:rPr>
                <w:sz w:val="20"/>
                <w:szCs w:val="20"/>
                <w:color w:val="auto"/>
              </w:rPr>
            </w:pPr>
            <w:r>
              <w:rPr>
                <w:rFonts w:ascii="Arial" w:cs="Arial" w:eastAsia="Arial" w:hAnsi="Arial"/>
                <w:sz w:val="14"/>
                <w:szCs w:val="14"/>
                <w:color w:val="auto"/>
              </w:rPr>
              <w:t>Range</w:t>
            </w: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based payments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15,362</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Discounted cash flow</w:t>
            </w:r>
          </w:p>
        </w:tc>
        <w:tc>
          <w:tcPr>
            <w:tcW w:w="120" w:type="dxa"/>
            <w:vAlign w:val="bottom"/>
            <w:tcBorders>
              <w:top w:val="single" w:sz="8" w:color="CCEEFF"/>
            </w:tcBorders>
            <w:shd w:val="clear" w:color="auto" w:fill="CCEEFF"/>
          </w:tcPr>
          <w:p>
            <w:pPr>
              <w:spacing w:after="0"/>
              <w:rPr>
                <w:sz w:val="19"/>
                <w:szCs w:val="19"/>
                <w:color w:val="auto"/>
              </w:rPr>
            </w:pPr>
          </w:p>
        </w:tc>
        <w:tc>
          <w:tcPr>
            <w:tcW w:w="3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r>
      <w:tr>
        <w:trPr>
          <w:trHeight w:val="229"/>
        </w:trPr>
        <w:tc>
          <w:tcPr>
            <w:tcW w:w="2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Probability of payment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66% - 100%</w:t>
            </w:r>
          </w:p>
        </w:tc>
      </w:tr>
      <w:tr>
        <w:trPr>
          <w:trHeight w:val="230"/>
        </w:trPr>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Projected fiscal year of payment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2024 - 2025</w:t>
            </w:r>
          </w:p>
        </w:tc>
      </w:tr>
    </w:tbl>
    <w:p>
      <w:pPr>
        <w:spacing w:after="0" w:line="337" w:lineRule="exact"/>
        <w:rPr>
          <w:sz w:val="20"/>
          <w:szCs w:val="20"/>
          <w:color w:val="auto"/>
        </w:rPr>
      </w:pPr>
    </w:p>
    <w:p>
      <w:pPr>
        <w:jc w:val="both"/>
        <w:ind w:right="40" w:firstLine="405"/>
        <w:spacing w:after="0" w:line="263" w:lineRule="auto"/>
        <w:rPr>
          <w:sz w:val="20"/>
          <w:szCs w:val="20"/>
          <w:color w:val="auto"/>
        </w:rPr>
      </w:pPr>
      <w:r>
        <w:rPr>
          <w:rFonts w:ascii="Arial" w:cs="Arial" w:eastAsia="Arial" w:hAnsi="Arial"/>
          <w:sz w:val="18"/>
          <w:szCs w:val="18"/>
          <w:color w:val="auto"/>
        </w:rPr>
        <w:t>At February 28, 2021, the range of estimated potential undiscounted future contingent consideration that the Company expects to pay as a result of all completed acquisitions is $20.0 million. The revenue projections milestones associated with the contingent consideration must be reached in future periods ranging from fiscal years 2021 to 2029 in order for the associated consideration to be paid.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75"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determines if an arrangement is a lease at inception of the contract. The Company has operating leases for buildings, primarily for office space, R&amp;D, manufacturing and warehousing.</w:t>
      </w:r>
    </w:p>
    <w:p>
      <w:pPr>
        <w:spacing w:after="0" w:line="1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balance sheet information related to leases: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80" w:type="dxa"/>
            <w:vAlign w:val="bottom"/>
            <w:gridSpan w:val="2"/>
          </w:tcPr>
          <w:p>
            <w:pPr>
              <w:ind w:left="620"/>
              <w:spacing w:after="0"/>
              <w:rPr>
                <w:sz w:val="20"/>
                <w:szCs w:val="20"/>
                <w:color w:val="auto"/>
              </w:rPr>
            </w:pPr>
            <w:r>
              <w:rPr>
                <w:rFonts w:ascii="Arial" w:cs="Arial" w:eastAsia="Arial" w:hAnsi="Arial"/>
                <w:sz w:val="14"/>
                <w:szCs w:val="14"/>
                <w:color w:val="auto"/>
              </w:rPr>
              <w:t>Balance Sheet Location</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Arial" w:cs="Arial" w:eastAsia="Arial" w:hAnsi="Arial"/>
                <w:sz w:val="14"/>
                <w:szCs w:val="14"/>
                <w:color w:val="auto"/>
              </w:rPr>
              <w:t>May 31, 2020</w:t>
            </w:r>
          </w:p>
        </w:tc>
      </w:tr>
      <w:tr>
        <w:trPr>
          <w:trHeight w:val="215"/>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r>
      <w:tr>
        <w:trPr>
          <w:trHeight w:val="229"/>
        </w:trPr>
        <w:tc>
          <w:tcPr>
            <w:tcW w:w="5580" w:type="dxa"/>
            <w:vAlign w:val="bottom"/>
          </w:tcPr>
          <w:p>
            <w:pPr>
              <w:ind w:left="220"/>
              <w:spacing w:after="0"/>
              <w:rPr>
                <w:sz w:val="20"/>
                <w:szCs w:val="20"/>
                <w:color w:val="auto"/>
              </w:rPr>
            </w:pPr>
            <w:r>
              <w:rPr>
                <w:rFonts w:ascii="Arial" w:cs="Arial" w:eastAsia="Arial" w:hAnsi="Arial"/>
                <w:sz w:val="18"/>
                <w:szCs w:val="18"/>
                <w:color w:val="auto"/>
              </w:rPr>
              <w:t>Operating lease ROU asset</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10,146</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58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2,077</w:t>
            </w:r>
          </w:p>
        </w:tc>
      </w:tr>
      <w:tr>
        <w:trPr>
          <w:trHeight w:val="23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operating lease liabilities</w:t>
            </w:r>
          </w:p>
        </w:tc>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8,345</w:t>
            </w: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2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r>
      <w:tr>
        <w:trPr>
          <w:trHeight w:val="21"/>
        </w:trPr>
        <w:tc>
          <w:tcPr>
            <w:tcW w:w="55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w w:val="99"/>
              </w:rPr>
              <w:t>Feb 28, 2021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term (in years)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377"/>
        </w:trPr>
        <w:tc>
          <w:tcPr>
            <w:tcW w:w="9680" w:type="dxa"/>
            <w:vAlign w:val="bottom"/>
          </w:tcPr>
          <w:p>
            <w:pPr>
              <w:ind w:left="420"/>
              <w:spacing w:after="0"/>
              <w:rPr>
                <w:sz w:val="20"/>
                <w:szCs w:val="20"/>
                <w:color w:val="auto"/>
              </w:rPr>
            </w:pPr>
            <w:r>
              <w:rPr>
                <w:rFonts w:ascii="Arial" w:cs="Arial" w:eastAsia="Arial" w:hAnsi="Arial"/>
                <w:sz w:val="18"/>
                <w:szCs w:val="18"/>
                <w:color w:val="auto"/>
              </w:rPr>
              <w:t>The maturities of the lease liabilities for each of the following fiscal years is: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Feb 28, 2021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2,206</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obligations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lease obligations</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three months ended February 28, 2021 and February 29, 2020, the Company recognized $0.8 million and $0.9 million of operating lease expense, respectively, which includes immaterial short-term leases. During the nine months ended February 28, 2021 and February 29, 2020, the Company recognized $2.4 million and $2.5 million of operating lease expense, respectively, which includes immaterial short-term leases. The expenses on the Consolidated Statement of Operations were classified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6"/>
                <w:szCs w:val="16"/>
                <w:color w:val="auto"/>
              </w:rPr>
            </w:pPr>
          </w:p>
        </w:tc>
        <w:tc>
          <w:tcPr>
            <w:tcW w:w="2740" w:type="dxa"/>
            <w:vAlign w:val="bottom"/>
            <w:gridSpan w:val="4"/>
          </w:tcPr>
          <w:p>
            <w:pPr>
              <w:jc w:val="right"/>
              <w:ind w:right="813"/>
              <w:spacing w:after="0"/>
              <w:rPr>
                <w:sz w:val="20"/>
                <w:szCs w:val="20"/>
                <w:color w:val="auto"/>
              </w:rPr>
            </w:pPr>
            <w:r>
              <w:rPr>
                <w:rFonts w:ascii="Arial" w:cs="Arial" w:eastAsia="Arial" w:hAnsi="Arial"/>
                <w:sz w:val="14"/>
                <w:szCs w:val="14"/>
                <w:color w:val="auto"/>
              </w:rPr>
              <w:t>Nine Months Ended</w:t>
            </w:r>
          </w:p>
        </w:tc>
      </w:tr>
      <w:tr>
        <w:trPr>
          <w:trHeight w:val="186"/>
        </w:trPr>
        <w:tc>
          <w:tcPr>
            <w:tcW w:w="52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color w:val="auto"/>
              </w:rPr>
              <w:t>Feb 29, 2020</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Feb 28, 2021</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3"/>
              <w:spacing w:after="0"/>
              <w:rPr>
                <w:sz w:val="20"/>
                <w:szCs w:val="20"/>
                <w:color w:val="auto"/>
              </w:rPr>
            </w:pPr>
            <w:r>
              <w:rPr>
                <w:rFonts w:ascii="Arial" w:cs="Arial" w:eastAsia="Arial" w:hAnsi="Arial"/>
                <w:sz w:val="14"/>
                <w:szCs w:val="14"/>
                <w:color w:val="auto"/>
              </w:rPr>
              <w:t>Feb 29, 2020</w:t>
            </w:r>
          </w:p>
        </w:tc>
      </w:tr>
      <w:tr>
        <w:trPr>
          <w:trHeight w:val="226"/>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supplemental cash flow and other information related to leases for the nine months 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4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Arial" w:cs="Arial" w:eastAsia="Arial" w:hAnsi="Arial"/>
                <w:sz w:val="14"/>
                <w:szCs w:val="14"/>
                <w:color w:val="auto"/>
              </w:rPr>
              <w:t>Feb 29, 2020</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5,595</w:t>
            </w:r>
          </w:p>
        </w:tc>
      </w:tr>
    </w:tbl>
    <w:p>
      <w:pPr>
        <w:spacing w:after="0" w:line="332" w:lineRule="exact"/>
        <w:rPr>
          <w:sz w:val="20"/>
          <w:szCs w:val="20"/>
          <w:color w:val="auto"/>
        </w:rPr>
      </w:pPr>
    </w:p>
    <w:p>
      <w:pPr>
        <w:ind w:right="7520" w:firstLine="8"/>
        <w:spacing w:after="0" w:line="440"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 Bard, Inc. v. AngioDynamics, Inc.</w:t>
      </w:r>
    </w:p>
    <w:p>
      <w:pPr>
        <w:spacing w:after="0" w:line="17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the Company's implantable port products infringe on three U.S. patents held by Bard (US Patent Nos. 7,785,302, 7,959,615 (“615”) and 7,947,022).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on November 16, 2020, the court granted the Company’s motion to transfer the case from the District of Utah to the United States District Court for the District of Delaware (“District of Delaware”). The parties filed a proposed scheduling order on March 12, 2021.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7"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On day four of the jury trial,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which remains stayed in the case. Bard appealed the judgment to the Federal Circuit and on November 10, 2020, the Federal Circuit reversed the judgment in part with respect to Section 101, and vacated and remanded the trial court’s invalidity and non-infringement judgments. The Company filed a combined Petition 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matter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1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March 8, 2021, Bard filed suit in the District of Delaware asserting certain of the Company’s port products (including certain related infusion sets) infringe U.S. Patent Nos. 8,025,639, 9,603,992 and 9,603,993. The Company has not yet answered, and the matter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AngioDynamics, Inc. v. C.R. Bard, Inc.</w:t>
      </w:r>
    </w:p>
    <w:p>
      <w:pPr>
        <w:spacing w:after="0" w:line="17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PICCs. The Company seeks both monetary damages and injunctive relief. Bard moved to dismiss on September 8, 2017. On August 6, 2018 the court denied Bard’s motion in its entirety. Discovery is largely complete, summary judgment, including all reply briefs, were fully briefed in October 2020, and the case will subsequently proceed to trial thereafter.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Merz North America Settlement</w:t>
      </w:r>
    </w:p>
    <w:p>
      <w:pPr>
        <w:spacing w:after="0" w:line="17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May 16, 2019, Merz North America, Inc. (“Merz”) commenced an action in the United States District Court for the Southern District of New York entitled Merz North America, Inc. v. AngioDynamics, Inc. In this action, Merz alleged breach of contract against AngioDynamics based on a March 1, 2016 Distribution Agreement. On June 28, 2019, AngioDynamics reached a settlement with Merz. AngioDynamics made a lump-sum payment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$2.5 million to Merz in return for dismissal of the case with prejudice during the first quarter of fiscal year 2020. The case was subsequently dismissed.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 RESTRUCTURING, AND OTHER ITEMS,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Restructuring and Other Items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Acquisition, restructuring and other items, net, consisted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20" w:type="dxa"/>
            <w:vAlign w:val="bottom"/>
            <w:gridSpan w:val="5"/>
          </w:tcPr>
          <w:p>
            <w:pPr>
              <w:ind w:left="6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6"/>
                <w:szCs w:val="16"/>
                <w:color w:val="auto"/>
              </w:rPr>
            </w:pPr>
          </w:p>
        </w:tc>
        <w:tc>
          <w:tcPr>
            <w:tcW w:w="2720" w:type="dxa"/>
            <w:vAlign w:val="bottom"/>
            <w:gridSpan w:val="4"/>
          </w:tcPr>
          <w:p>
            <w:pPr>
              <w:jc w:val="right"/>
              <w:ind w:right="812"/>
              <w:spacing w:after="0"/>
              <w:rPr>
                <w:sz w:val="20"/>
                <w:szCs w:val="20"/>
                <w:color w:val="auto"/>
              </w:rPr>
            </w:pPr>
            <w:r>
              <w:rPr>
                <w:rFonts w:ascii="Arial" w:cs="Arial" w:eastAsia="Arial" w:hAnsi="Arial"/>
                <w:sz w:val="14"/>
                <w:szCs w:val="14"/>
                <w:color w:val="auto"/>
              </w:rPr>
              <w:t>Nine Months Ended</w:t>
            </w: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color w:val="auto"/>
              </w:rPr>
              <w:t>Feb 29, 2020</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Feb 28, 2021</w:t>
            </w:r>
          </w:p>
        </w:tc>
        <w:tc>
          <w:tcPr>
            <w:tcW w:w="2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color w:val="auto"/>
              </w:rPr>
              <w:t>Feb 29, 2020</w:t>
            </w:r>
          </w:p>
        </w:tc>
      </w:tr>
      <w:tr>
        <w:trPr>
          <w:trHeight w:val="226"/>
        </w:trPr>
        <w:tc>
          <w:tcPr>
            <w:tcW w:w="528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Legal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29"/>
        </w:trPr>
        <w:tc>
          <w:tcPr>
            <w:tcW w:w="5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Mergers and acquisitions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29"/>
        </w:trPr>
        <w:tc>
          <w:tcPr>
            <w:tcW w:w="5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Transition service agreement </w:t>
            </w:r>
            <w:r>
              <w:rPr>
                <w:rFonts w:ascii="Arial" w:cs="Arial" w:eastAsia="Arial" w:hAnsi="Arial"/>
                <w:sz w:val="23"/>
                <w:szCs w:val="23"/>
                <w:color w:val="auto"/>
                <w:vertAlign w:val="superscript"/>
              </w:rPr>
              <w:t>(3)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r>
      <w:tr>
        <w:trPr>
          <w:trHeight w:val="230"/>
        </w:trPr>
        <w:tc>
          <w:tcPr>
            <w:tcW w:w="5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Divestiture </w:t>
            </w:r>
            <w:r>
              <w:rPr>
                <w:rFonts w:ascii="Arial" w:cs="Arial" w:eastAsia="Arial" w:hAnsi="Arial"/>
                <w:sz w:val="23"/>
                <w:szCs w:val="23"/>
                <w:color w:val="auto"/>
                <w:vertAlign w:val="superscript"/>
              </w:rPr>
              <w:t>(4)</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2,241</w:t>
            </w: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r>
      <w:tr>
        <w:trPr>
          <w:trHeight w:val="248"/>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Legal expenses related to litigation that is outside the normal course of business.</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Mergers and acquisitions expenses related to investment banking, legal and due diligence.</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Transition services agreement that was entered into as a result of the sale of the Fluid Management business.</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Divestiture expenses incurred to transition manufacturing from Glens Falls, NY to Queensbury, NY.</w:t>
      </w:r>
    </w:p>
    <w:p>
      <w:pPr>
        <w:spacing w:after="0" w:line="23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Included in the $2.0 million in legal for the nine months ended February 29, 2020 is a $0.4 million settlement received for the Biolitec bankruptcy litigation. The settlement received partially offsets legal expenses paid related to the settlement proceedings.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ACCUMULATED OTHER COMPREHENSIVE INCOME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each component of accumulated other comprehensive income, net of tax,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jc w:val="center"/>
              <w:ind w:right="18"/>
              <w:spacing w:after="0"/>
              <w:rPr>
                <w:sz w:val="20"/>
                <w:szCs w:val="20"/>
                <w:color w:val="auto"/>
              </w:rPr>
            </w:pPr>
            <w:r>
              <w:rPr>
                <w:rFonts w:ascii="Arial" w:cs="Arial" w:eastAsia="Arial" w:hAnsi="Arial"/>
                <w:sz w:val="14"/>
                <w:szCs w:val="14"/>
                <w:color w:val="auto"/>
                <w:w w:val="92"/>
              </w:rPr>
              <w:t>Three Months Ended Feb 28,</w:t>
            </w:r>
          </w:p>
        </w:tc>
        <w:tc>
          <w:tcPr>
            <w:tcW w:w="0" w:type="dxa"/>
            <w:vAlign w:val="bottom"/>
          </w:tcPr>
          <w:p>
            <w:pPr>
              <w:spacing w:after="0"/>
              <w:rPr>
                <w:sz w:val="1"/>
                <w:szCs w:val="1"/>
                <w:color w:val="auto"/>
              </w:rPr>
            </w:pPr>
          </w:p>
        </w:tc>
      </w:tr>
      <w:tr>
        <w:trPr>
          <w:trHeight w:val="186"/>
        </w:trPr>
        <w:tc>
          <w:tcPr>
            <w:tcW w:w="9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32"/>
        </w:trPr>
        <w:tc>
          <w:tcPr>
            <w:tcW w:w="93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1"/>
                <w:szCs w:val="11"/>
                <w:color w:val="auto"/>
              </w:rPr>
            </w:pPr>
          </w:p>
        </w:tc>
        <w:tc>
          <w:tcPr>
            <w:tcW w:w="1820" w:type="dxa"/>
            <w:vAlign w:val="bottom"/>
          </w:tcPr>
          <w:p>
            <w:pPr>
              <w:jc w:val="center"/>
              <w:ind w:right="38"/>
              <w:spacing w:after="0" w:line="132" w:lineRule="exact"/>
              <w:rPr>
                <w:sz w:val="20"/>
                <w:szCs w:val="20"/>
                <w:color w:val="auto"/>
              </w:rPr>
            </w:pPr>
            <w:r>
              <w:rPr>
                <w:rFonts w:ascii="Arial" w:cs="Arial" w:eastAsia="Arial" w:hAnsi="Arial"/>
                <w:sz w:val="14"/>
                <w:szCs w:val="14"/>
                <w:color w:val="auto"/>
                <w:w w:val="93"/>
              </w:rPr>
              <w:t>Foreign currency translation</w:t>
            </w:r>
          </w:p>
        </w:tc>
        <w:tc>
          <w:tcPr>
            <w:tcW w:w="0" w:type="dxa"/>
            <w:vAlign w:val="bottom"/>
          </w:tcPr>
          <w:p>
            <w:pPr>
              <w:spacing w:after="0"/>
              <w:rPr>
                <w:sz w:val="1"/>
                <w:szCs w:val="1"/>
                <w:color w:val="auto"/>
              </w:rPr>
            </w:pPr>
          </w:p>
        </w:tc>
      </w:tr>
      <w:tr>
        <w:trPr>
          <w:trHeight w:val="186"/>
        </w:trPr>
        <w:tc>
          <w:tcPr>
            <w:tcW w:w="93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226"/>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November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30"/>
        </w:trPr>
        <w:tc>
          <w:tcPr>
            <w:tcW w:w="9300" w:type="dxa"/>
            <w:vAlign w:val="bottom"/>
          </w:tcPr>
          <w:p>
            <w:pPr>
              <w:ind w:left="360"/>
              <w:spacing w:after="0"/>
              <w:rPr>
                <w:sz w:val="20"/>
                <w:szCs w:val="20"/>
                <w:color w:val="auto"/>
              </w:rPr>
            </w:pPr>
            <w:r>
              <w:rPr>
                <w:rFonts w:ascii="Arial" w:cs="Arial" w:eastAsia="Arial" w:hAnsi="Arial"/>
                <w:sz w:val="18"/>
                <w:szCs w:val="18"/>
                <w:color w:val="auto"/>
              </w:rPr>
              <w:t>Other comprehensive income before reclassifications, net of tax</w:t>
            </w:r>
          </w:p>
        </w:tc>
        <w:tc>
          <w:tcPr>
            <w:tcW w:w="1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9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other comprehensive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February 28,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930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76"/>
        </w:trPr>
        <w:tc>
          <w:tcPr>
            <w:tcW w:w="1020" w:type="dxa"/>
            <w:vAlign w:val="bottom"/>
            <w:tcBorders>
              <w:top w:val="single" w:sz="8" w:color="0000FF"/>
            </w:tcBorders>
          </w:tcPr>
          <w:p>
            <w:pPr>
              <w:spacing w:after="0"/>
              <w:rPr>
                <w:sz w:val="24"/>
                <w:szCs w:val="24"/>
                <w:color w:val="auto"/>
              </w:rPr>
            </w:pPr>
          </w:p>
        </w:tc>
        <w:tc>
          <w:tcPr>
            <w:tcW w:w="8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tcPr>
          <w:p>
            <w:pPr>
              <w:jc w:val="center"/>
              <w:ind w:right="58"/>
              <w:spacing w:after="0"/>
              <w:rPr>
                <w:sz w:val="20"/>
                <w:szCs w:val="20"/>
                <w:color w:val="auto"/>
              </w:rPr>
            </w:pPr>
            <w:r>
              <w:rPr>
                <w:rFonts w:ascii="Arial" w:cs="Arial" w:eastAsia="Arial" w:hAnsi="Arial"/>
                <w:sz w:val="14"/>
                <w:szCs w:val="14"/>
                <w:color w:val="auto"/>
                <w:w w:val="92"/>
              </w:rPr>
              <w:t>Nine Months Ended Feb 28,</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132"/>
        </w:trPr>
        <w:tc>
          <w:tcPr>
            <w:tcW w:w="930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1"/>
                <w:szCs w:val="11"/>
                <w:color w:val="auto"/>
              </w:rPr>
            </w:pPr>
          </w:p>
        </w:tc>
        <w:tc>
          <w:tcPr>
            <w:tcW w:w="1800" w:type="dxa"/>
            <w:vAlign w:val="bottom"/>
          </w:tcPr>
          <w:p>
            <w:pPr>
              <w:jc w:val="center"/>
              <w:ind w:right="58"/>
              <w:spacing w:after="0" w:line="132" w:lineRule="exact"/>
              <w:rPr>
                <w:sz w:val="20"/>
                <w:szCs w:val="20"/>
                <w:color w:val="auto"/>
              </w:rPr>
            </w:pPr>
            <w:r>
              <w:rPr>
                <w:rFonts w:ascii="Arial" w:cs="Arial" w:eastAsia="Arial" w:hAnsi="Arial"/>
                <w:sz w:val="14"/>
                <w:szCs w:val="14"/>
                <w:color w:val="auto"/>
                <w:w w:val="93"/>
              </w:rPr>
              <w:t>Foreign currency translation</w:t>
            </w:r>
          </w:p>
        </w:tc>
        <w:tc>
          <w:tcPr>
            <w:tcW w:w="0" w:type="dxa"/>
            <w:vAlign w:val="bottom"/>
          </w:tcPr>
          <w:p>
            <w:pPr>
              <w:spacing w:after="0"/>
              <w:rPr>
                <w:sz w:val="1"/>
                <w:szCs w:val="1"/>
                <w:color w:val="auto"/>
              </w:rPr>
            </w:pPr>
          </w:p>
        </w:tc>
      </w:tr>
      <w:tr>
        <w:trPr>
          <w:trHeight w:val="186"/>
        </w:trPr>
        <w:tc>
          <w:tcPr>
            <w:tcW w:w="9300" w:type="dxa"/>
            <w:vAlign w:val="bottom"/>
            <w:tcBorders>
              <w:bottom w:val="single" w:sz="8" w:color="CCEEFF"/>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color w:val="auto"/>
                <w:w w:val="92"/>
              </w:rPr>
              <w:t>income</w:t>
            </w:r>
          </w:p>
        </w:tc>
        <w:tc>
          <w:tcPr>
            <w:tcW w:w="0" w:type="dxa"/>
            <w:vAlign w:val="bottom"/>
          </w:tcPr>
          <w:p>
            <w:pPr>
              <w:spacing w:after="0"/>
              <w:rPr>
                <w:sz w:val="1"/>
                <w:szCs w:val="1"/>
                <w:color w:val="auto"/>
              </w:rPr>
            </w:pPr>
          </w:p>
        </w:tc>
      </w:tr>
      <w:tr>
        <w:trPr>
          <w:trHeight w:val="226"/>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May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930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before reclassifications, net of tax</w:t>
            </w:r>
          </w:p>
        </w:tc>
        <w:tc>
          <w:tcPr>
            <w:tcW w:w="1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30"/>
        </w:trPr>
        <w:tc>
          <w:tcPr>
            <w:tcW w:w="9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other comprehensive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48"/>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February 28,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RECENTLY ISSUED ACCOUNTING PRONOUNCEMENTS</w:t>
      </w:r>
    </w:p>
    <w:p>
      <w:pPr>
        <w:spacing w:after="0" w:line="17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following table provides a description of recent accounting pronouncements that may have a material effect on the Company's consolidated financial statements: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Issued Accounting Pronouncements - Adopted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Standard</w:t>
            </w:r>
          </w:p>
        </w:tc>
        <w:tc>
          <w:tcPr>
            <w:tcW w:w="38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Description</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 Adopted</w:t>
            </w:r>
          </w:p>
        </w:tc>
        <w:tc>
          <w:tcPr>
            <w:tcW w:w="37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Effect on the Consolidated Financial Statements</w:t>
            </w:r>
          </w:p>
        </w:tc>
      </w:tr>
      <w:tr>
        <w:trPr>
          <w:trHeight w:val="170"/>
        </w:trPr>
        <w:tc>
          <w:tcPr>
            <w:tcW w:w="2440" w:type="dxa"/>
            <w:vAlign w:val="bottom"/>
            <w:tcBorders>
              <w:right w:val="single" w:sz="8" w:color="auto"/>
            </w:tcBorders>
          </w:tcPr>
          <w:p>
            <w:pPr>
              <w:ind w:left="20"/>
              <w:spacing w:after="0" w:line="170" w:lineRule="exact"/>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Fair Value</w:t>
            </w:r>
          </w:p>
        </w:tc>
        <w:tc>
          <w:tcPr>
            <w:tcW w:w="38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This ASU removes, modifies and adds various</w:t>
            </w:r>
          </w:p>
        </w:tc>
        <w:tc>
          <w:tcPr>
            <w:tcW w:w="12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88"/>
              </w:rPr>
              <w:t>June 1, 2020</w:t>
            </w:r>
          </w:p>
        </w:tc>
        <w:tc>
          <w:tcPr>
            <w:tcW w:w="3720" w:type="dxa"/>
            <w:vAlign w:val="bottom"/>
          </w:tcPr>
          <w:p>
            <w:pPr>
              <w:ind w:left="20"/>
              <w:spacing w:after="0" w:line="170" w:lineRule="exact"/>
              <w:rPr>
                <w:sz w:val="20"/>
                <w:szCs w:val="20"/>
                <w:color w:val="auto"/>
              </w:rPr>
            </w:pPr>
            <w:r>
              <w:rPr>
                <w:rFonts w:ascii="Arial" w:cs="Arial" w:eastAsia="Arial" w:hAnsi="Arial"/>
                <w:sz w:val="18"/>
                <w:szCs w:val="18"/>
                <w:color w:val="auto"/>
                <w:w w:val="98"/>
              </w:rPr>
              <w:t>The Company adopted the new standard in the</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Measurement (Topic 820)</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disclosure requirements related to fair value</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3"/>
              </w:rPr>
              <w:t>first quarter of fiscal year 2021 and it did not have</w:t>
            </w:r>
          </w:p>
        </w:tc>
      </w:tr>
      <w:tr>
        <w:trPr>
          <w:trHeight w:val="176"/>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89"/>
              </w:rPr>
              <w:t>disclosures. Disclosures related to transfers between</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0"/>
              </w:rPr>
              <w:t>an impact on the Company's consolidated financial</w:t>
            </w: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fair value hierarchy levels will be removed and</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statements.</w:t>
            </w:r>
          </w:p>
        </w:tc>
      </w:tr>
      <w:tr>
        <w:trPr>
          <w:trHeight w:val="176"/>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7"/>
              </w:rPr>
              <w:t>further detail around changes in unrealized gains</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4"/>
              </w:rPr>
              <w:t>and losses for the period and unobservable inputs</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176"/>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0"/>
              </w:rPr>
              <w:t>used in determining level 3 fair value measurements</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229"/>
        </w:trPr>
        <w:tc>
          <w:tcPr>
            <w:tcW w:w="244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will be added, among other changes.</w:t>
            </w:r>
          </w:p>
        </w:tc>
        <w:tc>
          <w:tcPr>
            <w:tcW w:w="12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r>
        <w:trPr>
          <w:trHeight w:val="169"/>
        </w:trPr>
        <w:tc>
          <w:tcPr>
            <w:tcW w:w="244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w:t>
            </w:r>
          </w:p>
        </w:tc>
        <w:tc>
          <w:tcPr>
            <w:tcW w:w="382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This ASU replaces the current incurred loss</w:t>
            </w:r>
          </w:p>
        </w:tc>
        <w:tc>
          <w:tcPr>
            <w:tcW w:w="12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June 1, 2020</w:t>
            </w:r>
          </w:p>
        </w:tc>
        <w:tc>
          <w:tcPr>
            <w:tcW w:w="3720" w:type="dxa"/>
            <w:vAlign w:val="bottom"/>
          </w:tcPr>
          <w:p>
            <w:pPr>
              <w:ind w:left="20"/>
              <w:spacing w:after="0" w:line="169" w:lineRule="exact"/>
              <w:rPr>
                <w:sz w:val="20"/>
                <w:szCs w:val="20"/>
                <w:color w:val="auto"/>
              </w:rPr>
            </w:pPr>
            <w:r>
              <w:rPr>
                <w:rFonts w:ascii="Arial" w:cs="Arial" w:eastAsia="Arial" w:hAnsi="Arial"/>
                <w:sz w:val="18"/>
                <w:szCs w:val="18"/>
                <w:color w:val="auto"/>
                <w:w w:val="98"/>
              </w:rPr>
              <w:t>The Company adopted the new standard in the</w:t>
            </w:r>
          </w:p>
        </w:tc>
      </w:tr>
      <w:tr>
        <w:trPr>
          <w:trHeight w:val="176"/>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Instruments - Credit</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impairment methodology for financial assets</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3"/>
              </w:rPr>
              <w:t>first quarter of fiscal year 2021 and it did not have</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Losses (Topic 326):</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0"/>
              </w:rPr>
              <w:t>measured at amortized cost with a methodology that</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w w:val="90"/>
              </w:rPr>
              <w:t>an impact on the Company's consolidated financial</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w w:val="97"/>
              </w:rPr>
              <w:t>Measurement of Credit Losses</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reflects expected credit losses and requires</w:t>
            </w:r>
          </w:p>
        </w:tc>
        <w:tc>
          <w:tcPr>
            <w:tcW w:w="1240" w:type="dxa"/>
            <w:vAlign w:val="bottom"/>
            <w:tcBorders>
              <w:right w:val="single" w:sz="8" w:color="auto"/>
            </w:tcBorders>
          </w:tcPr>
          <w:p>
            <w:pPr>
              <w:spacing w:after="0"/>
              <w:rPr>
                <w:sz w:val="15"/>
                <w:szCs w:val="15"/>
                <w:color w:val="auto"/>
              </w:rPr>
            </w:pPr>
          </w:p>
        </w:tc>
        <w:tc>
          <w:tcPr>
            <w:tcW w:w="3720" w:type="dxa"/>
            <w:vAlign w:val="bottom"/>
          </w:tcPr>
          <w:p>
            <w:pPr>
              <w:ind w:left="20"/>
              <w:spacing w:after="0" w:line="176" w:lineRule="exact"/>
              <w:rPr>
                <w:sz w:val="20"/>
                <w:szCs w:val="20"/>
                <w:color w:val="auto"/>
              </w:rPr>
            </w:pPr>
            <w:r>
              <w:rPr>
                <w:rFonts w:ascii="Arial" w:cs="Arial" w:eastAsia="Arial" w:hAnsi="Arial"/>
                <w:sz w:val="18"/>
                <w:szCs w:val="18"/>
                <w:color w:val="auto"/>
              </w:rPr>
              <w:t>statements.</w:t>
            </w:r>
          </w:p>
        </w:tc>
      </w:tr>
      <w:tr>
        <w:trPr>
          <w:trHeight w:val="175"/>
        </w:trPr>
        <w:tc>
          <w:tcPr>
            <w:tcW w:w="244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i w:val="1"/>
                <w:iCs w:val="1"/>
                <w:color w:val="auto"/>
              </w:rPr>
              <w:t>on Financial Instruments</w:t>
            </w: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w w:val="92"/>
              </w:rPr>
              <w:t>consideration of a broader range of reasonable and</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175"/>
        </w:trPr>
        <w:tc>
          <w:tcPr>
            <w:tcW w:w="2440" w:type="dxa"/>
            <w:vAlign w:val="bottom"/>
            <w:tcBorders>
              <w:right w:val="single" w:sz="8" w:color="auto"/>
            </w:tcBorders>
          </w:tcPr>
          <w:p>
            <w:pPr>
              <w:spacing w:after="0"/>
              <w:rPr>
                <w:sz w:val="15"/>
                <w:szCs w:val="15"/>
                <w:color w:val="auto"/>
              </w:rPr>
            </w:pPr>
          </w:p>
        </w:tc>
        <w:tc>
          <w:tcPr>
            <w:tcW w:w="382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supportable information, including forecasted</w:t>
            </w:r>
          </w:p>
        </w:tc>
        <w:tc>
          <w:tcPr>
            <w:tcW w:w="1240" w:type="dxa"/>
            <w:vAlign w:val="bottom"/>
            <w:tcBorders>
              <w:right w:val="single" w:sz="8" w:color="auto"/>
            </w:tcBorders>
          </w:tcPr>
          <w:p>
            <w:pPr>
              <w:spacing w:after="0"/>
              <w:rPr>
                <w:sz w:val="15"/>
                <w:szCs w:val="15"/>
                <w:color w:val="auto"/>
              </w:rPr>
            </w:pPr>
          </w:p>
        </w:tc>
        <w:tc>
          <w:tcPr>
            <w:tcW w:w="3720" w:type="dxa"/>
            <w:vAlign w:val="bottom"/>
          </w:tcPr>
          <w:p>
            <w:pPr>
              <w:spacing w:after="0"/>
              <w:rPr>
                <w:sz w:val="15"/>
                <w:szCs w:val="15"/>
                <w:color w:val="auto"/>
              </w:rPr>
            </w:pPr>
          </w:p>
        </w:tc>
      </w:tr>
      <w:tr>
        <w:trPr>
          <w:trHeight w:val="230"/>
        </w:trPr>
        <w:tc>
          <w:tcPr>
            <w:tcW w:w="244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information, to develop credit loss estimates.</w:t>
            </w:r>
          </w:p>
        </w:tc>
        <w:tc>
          <w:tcPr>
            <w:tcW w:w="1240" w:type="dxa"/>
            <w:vAlign w:val="bottom"/>
            <w:tcBorders>
              <w:bottom w:val="single" w:sz="8" w:color="auto"/>
              <w:right w:val="single" w:sz="8" w:color="auto"/>
            </w:tcBorders>
          </w:tcPr>
          <w:p>
            <w:pPr>
              <w:spacing w:after="0"/>
              <w:rPr>
                <w:sz w:val="19"/>
                <w:szCs w:val="19"/>
                <w:color w:val="auto"/>
              </w:rPr>
            </w:pPr>
          </w:p>
        </w:tc>
        <w:tc>
          <w:tcPr>
            <w:tcW w:w="3720" w:type="dxa"/>
            <w:vAlign w:val="bottom"/>
            <w:tcBorders>
              <w:bottom w:val="single" w:sz="8" w:color="auto"/>
            </w:tcBorders>
          </w:tcPr>
          <w:p>
            <w:pPr>
              <w:spacing w:after="0"/>
              <w:rPr>
                <w:sz w:val="19"/>
                <w:szCs w:val="19"/>
                <w:color w:val="auto"/>
              </w:rPr>
            </w:pPr>
          </w:p>
        </w:tc>
      </w:tr>
    </w:tbl>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 - Not Yet Applicable or Adopted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no other new accounting pronouncements issued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following information should be read together with the consolidated financial statements and the notes thereto and other information included elsewhere in this quarterly report on Form 10-Q. The following discussion should be read in conjunction with the Company's 2020 Annual Report on Form 10-K, and the consolidated financial statements and notes thereto included elsewhere in the Form 10-Q.</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words such as “expects,” “reaffirms,” “intends,” “anticipates,” “plans,” “believes,” “seeks,” “estimates,” "projects," or variations of such words and similar expressions, are forward-looking statements. These forward looking statements are not guarantees of future performance and are subject to risks and uncertainties. Investors are cautioned that actual events or results may differ materially from our expectations, expressed or implied. Factors that may affect our actual results achieved include, without limitation, our ability to develop existing and new products, future actions by FDA or other regulatory agencies, results of pending or future clinical trials, the results of ongoing litigation, overall economic conditions, general market conditions, market acceptance, foreign currency exchange rate fluctuations, the effects on pricing from group purchasing organizations and competition, our ability to integrate purchased businesses and other factors including natural disasters and pandemics (such as the scope, scale and duration of the impact of the novel coronavirus, COVID-19). Other risks and uncertainties include, but are not limited to, the factors described from time to time in our reports filed with the Securities and Exchange Commission (the "SEC").</w:t>
      </w:r>
    </w:p>
    <w:p>
      <w:pPr>
        <w:spacing w:after="0" w:line="132"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longer-term use.</w:t>
      </w:r>
    </w:p>
    <w:p>
      <w:pPr>
        <w:spacing w:after="0" w:line="133"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0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33" w:lineRule="exact"/>
        <w:rPr>
          <w:sz w:val="20"/>
          <w:szCs w:val="20"/>
          <w:color w:val="auto"/>
        </w:rPr>
      </w:pPr>
    </w:p>
    <w:p>
      <w:pPr>
        <w:ind w:right="620" w:firstLine="405"/>
        <w:spacing w:after="0" w:line="263" w:lineRule="auto"/>
        <w:rPr>
          <w:sz w:val="20"/>
          <w:szCs w:val="20"/>
          <w:color w:val="auto"/>
        </w:rPr>
      </w:pPr>
      <w:r>
        <w:rPr>
          <w:rFonts w:ascii="Arial" w:cs="Arial" w:eastAsia="Arial" w:hAnsi="Arial"/>
          <w:sz w:val="18"/>
          <w:szCs w:val="18"/>
          <w:color w:val="auto"/>
        </w:rPr>
        <w:t>We sell our products in the United States primarily through a direct sales force, and outside the U.S. through a combination of direct sales and distributor relationships. We expect our businesses to grow in both sales and profitability by expanding geographically, penetrating new markets, introducing new products and increasing our presence internationally.</w:t>
      </w:r>
    </w:p>
    <w:p>
      <w:pPr>
        <w:spacing w:after="0" w:line="130"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The COVID-19 global pandemic may pose significant risks to our business. It remains too early to quantify the impact this situation will have on fiscal year 2021 or beyond, but the public health actions being undertaken to reduce spread of the virus, and continued spikes in cases experienced in various regions in which we conduct business are causing and may continue to cause significant disruptions with respect to consumer demand, hospital operating procedures and workflow, our ability to</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continue to manufacture products and the reliability of our supply chain. Accordingly, management is evaluating the Company’s liquidity position, communicating with and monitoring the actions of our customers and suppliers, and reviewing our near-term financial performance as we manage the Company through the uncertainty related to the novel coronavirus.</w:t>
      </w:r>
    </w:p>
    <w:p>
      <w:pPr>
        <w:spacing w:after="0" w:line="13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 the third quarter of fiscal year 2021, a benefit of $1.9 million was recorded as a result of the employee retention credit that the Company filed for under the provisions of the CARES Act.</w:t>
      </w:r>
    </w:p>
    <w:p>
      <w:pPr>
        <w:spacing w:after="0" w:line="116"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In evaluating the operating performance of our business, management focuses on revenue, gross margin, operating income, earnings per share and cash flow from operations. A summary of these key financial metrics for the three and nine months ended February 28, 2021 compared to the three and nine months ended February 29, 2020 are as follows:</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Three months ended February 28, 2021:</w:t>
      </w:r>
    </w:p>
    <w:p>
      <w:pPr>
        <w:spacing w:after="0" w:line="25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increased by 2.0% to $71.2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Gross margin decreased 370 bps to 54.1%.</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loss decreased by $2.5 million to $3.7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per share decreased by $0.06 to a loss of $0.09.</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Nine months ended February 28, 2021:</w:t>
      </w:r>
    </w:p>
    <w:p>
      <w:pPr>
        <w:spacing w:after="0" w:line="252"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increased by 4.1% to $214.2 million.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margin decreased 490 bps to 53.4%.</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loss increased by $3.2 million to $13.7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per share increased by $0.06 to a loss of $0.32.</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provided by operations increased by $30.3 million to $11.9 million.</w:t>
      </w:r>
    </w:p>
    <w:p>
      <w:pPr>
        <w:spacing w:after="0" w:line="15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ongoing recovery from the COVID-19 pandemic has had a varying impact on each of our three businesses. Our Vascular Interventions &amp; Therapies and Vascular Access businesses performed the strongest of the businesses during the quarter. The number of procedures improved from the COVID-19 lows in the second half of last fiscal year, but remain below pre-COVID-19 levels. Our Oncology business continued to face pressure from reductions in procedure volumes due to challenges resulting from the COVID-19 pandemic and the resulting challenging capital spending environment. We continued supporting and progressing our key growth initiatives (AngioVac, Auryon and NanoKnife), managing operating expenses and managing our cash and balance sheet.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52" w:lineRule="exact"/>
        <w:rPr>
          <w:sz w:val="20"/>
          <w:szCs w:val="20"/>
          <w:color w:val="auto"/>
        </w:rPr>
      </w:pPr>
    </w:p>
    <w:p>
      <w:pPr>
        <w:jc w:val="both"/>
        <w:ind w:right="240" w:firstLine="445"/>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17 to our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February 28, 2021 and February 29, 2020</w:t>
      </w:r>
    </w:p>
    <w:p>
      <w:pPr>
        <w:spacing w:after="0" w:line="175"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For the three months ended February 28, 2021, the Company reported a net loss of $3.5 million, or a loss of $0.09 per diluted share, on net sales of $71.2 million, compared with a net loss of $5.7 million, or a loss of $0.15 per diluted share, on net sales of $69.8 million during the same quarter of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Three Months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120" w:type="dxa"/>
            <w:vAlign w:val="bottom"/>
          </w:tcPr>
          <w:p>
            <w:pPr>
              <w:spacing w:after="0"/>
              <w:rPr>
                <w:sz w:val="16"/>
                <w:szCs w:val="16"/>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color w:val="auto"/>
              </w:rPr>
              <w:t>Feb 29, 2020</w:t>
            </w:r>
          </w:p>
        </w:tc>
        <w:tc>
          <w:tcPr>
            <w:tcW w:w="160" w:type="dxa"/>
            <w:vAlign w:val="bottom"/>
          </w:tcPr>
          <w:p>
            <w:pPr>
              <w:spacing w:after="0"/>
              <w:rPr>
                <w:sz w:val="16"/>
                <w:szCs w:val="16"/>
                <w:color w:val="auto"/>
              </w:rPr>
            </w:pPr>
          </w:p>
        </w:tc>
        <w:tc>
          <w:tcPr>
            <w:tcW w:w="1440" w:type="dxa"/>
            <w:vAlign w:val="bottom"/>
          </w:tcPr>
          <w:p>
            <w:pPr>
              <w:ind w:left="420"/>
              <w:spacing w:after="0"/>
              <w:rPr>
                <w:sz w:val="20"/>
                <w:szCs w:val="20"/>
                <w:color w:val="auto"/>
              </w:rPr>
            </w:pPr>
            <w:r>
              <w:rPr>
                <w:rFonts w:ascii="Arial" w:cs="Arial" w:eastAsia="Arial" w:hAnsi="Arial"/>
                <w:sz w:val="14"/>
                <w:szCs w:val="14"/>
                <w:color w:val="auto"/>
              </w:rPr>
              <w:t>% Change</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Global Business Unit</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30"/>
        </w:trPr>
        <w:tc>
          <w:tcPr>
            <w:tcW w:w="66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33,251</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30,552</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8.8%</w:t>
            </w: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24,642</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0.7%</w:t>
            </w:r>
          </w:p>
        </w:tc>
      </w:tr>
      <w:tr>
        <w:trPr>
          <w:trHeight w:val="229"/>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Oncology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14,586</w:t>
            </w:r>
          </w:p>
        </w:tc>
        <w:tc>
          <w:tcPr>
            <w:tcW w:w="1600" w:type="dxa"/>
            <w:vAlign w:val="bottom"/>
            <w:tcBorders>
              <w:bottom w:val="single" w:sz="8" w:color="CCEEFF"/>
            </w:tcBorders>
            <w:gridSpan w:val="2"/>
          </w:tcPr>
          <w:p>
            <w:pPr>
              <w:jc w:val="center"/>
              <w:ind w:left="90"/>
              <w:spacing w:after="0"/>
              <w:rPr>
                <w:sz w:val="20"/>
                <w:szCs w:val="20"/>
                <w:color w:val="auto"/>
              </w:rPr>
            </w:pPr>
            <w:r>
              <w:rPr>
                <w:rFonts w:ascii="Arial" w:cs="Arial" w:eastAsia="Arial" w:hAnsi="Arial"/>
                <w:sz w:val="18"/>
                <w:szCs w:val="18"/>
                <w:color w:val="auto"/>
                <w:w w:val="91"/>
              </w:rPr>
              <w:t>(10.1)%</w:t>
            </w:r>
          </w:p>
        </w:tc>
      </w:tr>
      <w:tr>
        <w:trPr>
          <w:trHeight w:val="248"/>
        </w:trPr>
        <w:tc>
          <w:tcPr>
            <w:tcW w:w="6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69,780</w:t>
            </w:r>
          </w:p>
        </w:tc>
        <w:tc>
          <w:tcPr>
            <w:tcW w:w="16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2"/>
              </w:rPr>
              <w:t>2.0%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58,654</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54,889</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6.9%</w:t>
            </w:r>
          </w:p>
        </w:tc>
      </w:tr>
      <w:tr>
        <w:trPr>
          <w:trHeight w:val="229"/>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12,528</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14,891</w:t>
            </w:r>
          </w:p>
        </w:tc>
        <w:tc>
          <w:tcPr>
            <w:tcW w:w="16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(15.9)%</w:t>
            </w: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71,182</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69,780</w:t>
            </w:r>
          </w:p>
        </w:tc>
        <w:tc>
          <w:tcPr>
            <w:tcW w:w="160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2.0%</w:t>
            </w:r>
          </w:p>
        </w:tc>
      </w:tr>
      <w:tr>
        <w:trPr>
          <w:trHeight w:val="21"/>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80" w:firstLine="405"/>
        <w:spacing w:after="0" w:line="465" w:lineRule="auto"/>
        <w:rPr>
          <w:sz w:val="20"/>
          <w:szCs w:val="20"/>
          <w:color w:val="auto"/>
        </w:rPr>
      </w:pPr>
      <w:r>
        <w:rPr>
          <w:rFonts w:ascii="Arial" w:cs="Arial" w:eastAsia="Arial" w:hAnsi="Arial"/>
          <w:sz w:val="18"/>
          <w:szCs w:val="18"/>
          <w:color w:val="auto"/>
        </w:rPr>
        <w:t xml:space="preserve">For the three months ended February 28, 2021, net sales increased $1.4 million to $71.2 million compared to the same period in the prior year. </w:t>
      </w:r>
      <w:r>
        <w:rPr>
          <w:rFonts w:ascii="Arial" w:cs="Arial" w:eastAsia="Arial" w:hAnsi="Arial"/>
          <w:sz w:val="18"/>
          <w:szCs w:val="18"/>
          <w:u w:val="single" w:color="auto"/>
          <w:color w:val="auto"/>
        </w:rPr>
        <w:t>Vascular Interventions &amp; Therapies</w:t>
      </w:r>
    </w:p>
    <w:p>
      <w:pPr>
        <w:spacing w:after="0" w:line="35" w:lineRule="exact"/>
        <w:rPr>
          <w:sz w:val="20"/>
          <w:szCs w:val="20"/>
          <w:color w:val="auto"/>
        </w:rPr>
      </w:pPr>
    </w:p>
    <w:p>
      <w:pPr>
        <w:ind w:left="660" w:right="20" w:hanging="328"/>
        <w:spacing w:after="0" w:line="286"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Vascular Interventions &amp; Therapies net sales increased $2.7 million, or 8.8%. Auryon, which was acquired as part of the Eximo acquisition in the second quarter of fiscal year 2020, contributed $3.3 million in sales. Additionally, the AngioVac business grew $1.3 million as the Company continued to see increased case volumes in AngioVac, which increased 38% from the prior year. These increases were partially offset by lower volume in Venous products due to fewer elective procedures during the COVID-19 pandemic and decreased volume in the Core business.</w:t>
      </w:r>
    </w:p>
    <w:p>
      <w:pPr>
        <w:spacing w:after="0" w:line="1" w:lineRule="exact"/>
        <w:rPr>
          <w:rFonts w:ascii="Arial" w:cs="Arial" w:eastAsia="Arial" w:hAnsi="Arial"/>
          <w:sz w:val="16"/>
          <w:szCs w:val="16"/>
          <w:color w:val="auto"/>
        </w:rPr>
      </w:pPr>
    </w:p>
    <w:p>
      <w:pPr>
        <w:ind w:left="660" w:right="2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Vascular Interventions &amp; Therapies net sales increased $2.7 million due to increased case volume in AngioVac and $3.3 million in sales of Auryon, which were the primary contributors to the 10.2% growth in sales in the U.S. These increases were partially offset by decreased sales volume in Venous and the Core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sales remained consistent with the prior year.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52" w:lineRule="exact"/>
        <w:rPr>
          <w:sz w:val="20"/>
          <w:szCs w:val="20"/>
          <w:color w:val="auto"/>
        </w:rPr>
      </w:pPr>
    </w:p>
    <w:p>
      <w:pPr>
        <w:ind w:left="660" w:right="160" w:hanging="328"/>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Vascular Access net sales increased $0.2 million due to increased sales in Midlines. BioFlo product lines comprise 50% of overall Vascular Access sales compared to 51% a year ago.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Vascular Access net sales increased $1.0 million as a result of increased sales of Midlines, PICCs and dialysis.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Vascular Access net sales decreased by $0.8 million.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52" w:lineRule="exact"/>
        <w:rPr>
          <w:sz w:val="20"/>
          <w:szCs w:val="20"/>
          <w:color w:val="auto"/>
        </w:rPr>
      </w:pPr>
    </w:p>
    <w:p>
      <w:pPr>
        <w:ind w:left="660" w:right="380" w:hanging="328"/>
        <w:spacing w:after="0" w:line="25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Total Oncology net sales decreased $1.5 million year over year primarily due to a large NanoKnife distributor order in the Asia Pacific region ("APAC") in the prior year.</w:t>
      </w:r>
    </w:p>
    <w:p>
      <w:pPr>
        <w:spacing w:after="0" w:line="1" w:lineRule="exact"/>
        <w:rPr>
          <w:rFonts w:ascii="Arial" w:cs="Arial" w:eastAsia="Arial" w:hAnsi="Arial"/>
          <w:sz w:val="18"/>
          <w:szCs w:val="18"/>
          <w:color w:val="auto"/>
        </w:rPr>
      </w:pPr>
    </w:p>
    <w:p>
      <w:pPr>
        <w:ind w:left="660" w:right="50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U.S. Oncology net sales increased across the majority of product lines, this was offset by Balloon product sales which decreased $0.3 million due to lower volumes.</w:t>
      </w:r>
    </w:p>
    <w:p>
      <w:pPr>
        <w:spacing w:after="0" w:line="212" w:lineRule="exact"/>
        <w:rPr>
          <w:sz w:val="20"/>
          <w:szCs w:val="20"/>
          <w:color w:val="auto"/>
        </w:rPr>
      </w:pPr>
    </w:p>
    <w:p>
      <w:pPr>
        <w:ind w:right="100" w:firstLine="445"/>
        <w:spacing w:after="0" w:line="241" w:lineRule="auto"/>
        <w:rPr>
          <w:sz w:val="20"/>
          <w:szCs w:val="20"/>
          <w:color w:val="auto"/>
        </w:rPr>
      </w:pPr>
      <w:r>
        <w:rPr>
          <w:rFonts w:ascii="Arial" w:cs="Arial" w:eastAsia="Arial" w:hAnsi="Arial"/>
          <w:sz w:val="18"/>
          <w:szCs w:val="18"/>
          <w:color w:val="auto"/>
        </w:rPr>
        <w:t>The Company has discussed the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the growth in the near to mid-term will be driven by our high technology platforms including AngioVac, Auryon and NanoKnife.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3"/>
              </w:rPr>
              <w:t>Three Months Ended</w:t>
            </w:r>
          </w:p>
        </w:tc>
        <w:tc>
          <w:tcPr>
            <w:tcW w:w="1540" w:type="dxa"/>
            <w:vAlign w:val="bottom"/>
            <w:tcBorders>
              <w:bottom w:val="single" w:sz="8" w:color="auto"/>
            </w:tcBorders>
          </w:tcPr>
          <w:p>
            <w:pPr>
              <w:spacing w:after="0"/>
              <w:rPr>
                <w:sz w:val="16"/>
                <w:szCs w:val="16"/>
                <w:color w:val="auto"/>
              </w:rPr>
            </w:pPr>
          </w:p>
        </w:tc>
      </w:tr>
      <w:tr>
        <w:trPr>
          <w:trHeight w:val="186"/>
        </w:trPr>
        <w:tc>
          <w:tcPr>
            <w:tcW w:w="63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color w:val="auto"/>
              </w:rPr>
              <w:t>Feb 28, 2021</w:t>
            </w:r>
          </w:p>
        </w:tc>
        <w:tc>
          <w:tcPr>
            <w:tcW w:w="14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Feb 29, 2020</w:t>
            </w:r>
          </w:p>
        </w:tc>
        <w:tc>
          <w:tcPr>
            <w:tcW w:w="1540" w:type="dxa"/>
            <w:vAlign w:val="bottom"/>
          </w:tcPr>
          <w:p>
            <w:pPr>
              <w:jc w:val="right"/>
              <w:ind w:right="394"/>
              <w:spacing w:after="0"/>
              <w:rPr>
                <w:sz w:val="20"/>
                <w:szCs w:val="20"/>
                <w:color w:val="auto"/>
              </w:rPr>
            </w:pPr>
            <w:r>
              <w:rPr>
                <w:rFonts w:ascii="Arial" w:cs="Arial" w:eastAsia="Arial" w:hAnsi="Arial"/>
                <w:sz w:val="14"/>
                <w:szCs w:val="14"/>
                <w:color w:val="auto"/>
              </w:rPr>
              <w:t>% Change</w:t>
            </w:r>
          </w:p>
        </w:tc>
      </w:tr>
      <w:tr>
        <w:trPr>
          <w:trHeight w:val="226"/>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38,530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40,299</w:t>
            </w:r>
          </w:p>
        </w:tc>
        <w:tc>
          <w:tcPr>
            <w:tcW w:w="1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57.8 %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8,395</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20,934</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30.0 %</w:t>
            </w: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10,203</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14.6 %</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3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$1.8 million compared to the prior year. The change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volume positively impacted gross profit by $0.8 million year over year.</w:t>
      </w:r>
    </w:p>
    <w:p>
      <w:pPr>
        <w:spacing w:after="0" w:line="23" w:lineRule="exact"/>
        <w:rPr>
          <w:rFonts w:ascii="Arial" w:cs="Arial" w:eastAsia="Arial" w:hAnsi="Arial"/>
          <w:sz w:val="18"/>
          <w:szCs w:val="18"/>
          <w:color w:val="auto"/>
        </w:rPr>
      </w:pPr>
    </w:p>
    <w:p>
      <w:pPr>
        <w:ind w:left="660" w:right="2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productivity negatively impacted gross profit by $2.9 million primarily as a result of under absorption of $1.5 million and increased start-up costs of $1.4 million related to the Auryon launch. The under absorption in manufacturing operations was due to the Company maintaining staffing levels during the COVID-19 global pandemic to mitigate risk, along with a focus on working capital management through inventory reduction.</w:t>
      </w:r>
    </w:p>
    <w:p>
      <w:pPr>
        <w:spacing w:after="0" w:line="1"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Mix negatively impacted gross margin by $0.4 million as a result of decreased NanoKnife capital sales. This was partially offset by increased AngioVac sales.</w:t>
      </w:r>
    </w:p>
    <w:p>
      <w:pPr>
        <w:ind w:left="660" w:right="140" w:hanging="328"/>
        <w:spacing w:after="0" w:line="26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benefit of $0.7 million was recorded as a result of the employee retention credit that the Company filed for under the provisions of the CARES Act in the third quarter of the current year.</w:t>
      </w:r>
    </w:p>
    <w:p>
      <w:pPr>
        <w:spacing w:after="0" w:line="21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xml:space="preserve"> - Research and development (“R&amp;D”) expense includes internal and external costs to develop new products, enhance existing products, validate new and enhanced products, and manage clinical, regulatory and medical affairs.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$0.2 million compared to the prior year. The change is primarily attributable to the following:</w:t>
      </w:r>
    </w:p>
    <w:p>
      <w:pPr>
        <w:spacing w:after="0" w:line="252" w:lineRule="exact"/>
        <w:rPr>
          <w:sz w:val="20"/>
          <w:szCs w:val="20"/>
          <w:color w:val="auto"/>
        </w:rPr>
      </w:pPr>
    </w:p>
    <w:p>
      <w:pPr>
        <w:ind w:left="660" w:right="40" w:hanging="328"/>
        <w:spacing w:after="0" w:line="25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R&amp;D expenses related to the AngioVac platform expansion, the NanoKnife DIRECT© study and the Pathfinder study increased $1.2 million. This was partially offset by decreased expenses of $0.2 million related to Auryon.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Outside consultant expense and other expenses decreased $0.3 million along with decreased travel expenses of $0.2 million.</w:t>
      </w:r>
    </w:p>
    <w:p>
      <w:pPr>
        <w:spacing w:after="0" w:line="9"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benefit of $0.3 million was recorded as a result of the employee retention credit that the Company filed for under the provisions of the CARES Act in the third quarter of the current year.</w:t>
      </w:r>
    </w:p>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Sales and marketing expense</w:t>
      </w:r>
      <w:r>
        <w:rPr>
          <w:rFonts w:ascii="Arial" w:cs="Arial" w:eastAsia="Arial" w:hAnsi="Arial"/>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$1.3 million compared to the prior year. The change is primarily attributable to the following:</w:t>
      </w:r>
    </w:p>
    <w:p>
      <w:pPr>
        <w:spacing w:after="0" w:line="252" w:lineRule="exact"/>
        <w:rPr>
          <w:sz w:val="20"/>
          <w:szCs w:val="20"/>
          <w:color w:val="auto"/>
        </w:rPr>
      </w:pPr>
    </w:p>
    <w:p>
      <w:pPr>
        <w:ind w:left="660" w:right="560" w:hanging="328"/>
        <w:spacing w:after="0" w:line="258"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Travel expenses decreased $1.2 million due to less travel as a result of the COVID-19 pandemic. In addition, tradeshow and other expenses decreased $1.1 million primarily due to the cancellation of events.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Expenses related to the build-out of the Auryon sales and marketing teams to prepare for full product launch of $2.0 million.</w:t>
      </w:r>
    </w:p>
    <w:p>
      <w:pPr>
        <w:spacing w:after="0" w:line="9"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benefit of $0.9 million was recorded as a result of the employee retention credit that the Company filed for under the provisions of the CARES Act in the third quarter of the current year.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u w:val="single" w:color="auto"/>
          <w:color w:val="auto"/>
        </w:rPr>
        <w:t>General and administrative expense</w:t>
      </w:r>
      <w:r>
        <w:rPr>
          <w:rFonts w:ascii="Arial" w:cs="Arial" w:eastAsia="Arial" w:hAnsi="Arial"/>
          <w:sz w:val="17"/>
          <w:szCs w:val="17"/>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$1.2 million compared to the prior year. The change is primarily attributable to the following:</w:t>
      </w:r>
    </w:p>
    <w:p>
      <w:pPr>
        <w:spacing w:after="0" w:line="25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Legal expenses decreased $1.5 million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Feb 28, 2021</w:t>
            </w:r>
          </w:p>
        </w:tc>
        <w:tc>
          <w:tcPr>
            <w:tcW w:w="12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Feb 29, 2020</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Amortization expense decreased $0.7 million from the prior year due to assets that became fully amortized in fiscal year 2021.</w:t>
      </w:r>
    </w:p>
    <w:p>
      <w:pPr>
        <w:spacing w:after="0" w:line="25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change in the fair value of the contingent consideration is the normal amortization of the present value of the Eximo contingent consideration.</w:t>
      </w:r>
    </w:p>
    <w:p>
      <w:pPr>
        <w:spacing w:after="0" w:line="2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$1.0 million compared to the prior year. The decrease is primarily attributable to the following:</w:t>
      </w:r>
    </w:p>
    <w:p>
      <w:pPr>
        <w:spacing w:after="0" w:line="275" w:lineRule="exact"/>
        <w:rPr>
          <w:sz w:val="20"/>
          <w:szCs w:val="20"/>
          <w:color w:val="auto"/>
        </w:rPr>
      </w:pPr>
    </w:p>
    <w:p>
      <w:pPr>
        <w:ind w:left="660" w:right="140"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$1.0 million was recorded in the third quarter of fiscal year 2021 compared to $0.6 million in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There was no M&amp;A expense incurred in the third quarter of fiscal year 2021 compared to $0.2 million in the prior year.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third quarter of fiscal year 2020, the Company incurred $0.8 million of expense to move manufacturing facilities as a result of the sale of the Fluid Management business.</w:t>
      </w:r>
    </w:p>
    <w:p>
      <w:pPr>
        <w:ind w:left="660" w:right="1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part of the sale of the Fluid Management business, the Company entered into a transition services agreement with Medline Industries, Inc. ("Medline") for certain legal, human resource, tax, accounting and information technology services from the Company for a period not to exceed 24 months. As a result of the transition services agreement, the Company invoiced Medline $0.3 million in the third quarter of fiscal year 2021 compared to $0.4 million in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expenses of $0.4 million in the third quarter of fiscal year 2020 consisted of severance associated with organizational changes.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income (expense), net</w:t>
      </w:r>
      <w:r>
        <w:rPr>
          <w:rFonts w:ascii="Arial" w:cs="Arial" w:eastAsia="Arial" w:hAnsi="Arial"/>
          <w:sz w:val="16"/>
          <w:szCs w:val="16"/>
          <w:color w:val="auto"/>
        </w:rPr>
        <w:t xml:space="preserve"> - Other expenses include interest expense, foreign currency impacts, bank fees, and amortization of deferred financing costs.</w:t>
      </w:r>
    </w:p>
    <w:p>
      <w:pPr>
        <w:spacing w:after="0" w:line="275" w:lineRule="exact"/>
        <w:rPr>
          <w:sz w:val="20"/>
          <w:szCs w:val="20"/>
          <w:color w:val="auto"/>
        </w:rPr>
      </w:pPr>
    </w:p>
    <w:p>
      <w:pPr>
        <w:ind w:left="660" w:right="8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 in other expense from the prior year of $0.1 million is primarily due to increased interest expense of $0.1 million for the $30.0 million outstanding on the Revolving Facility at the end of the third quarter of fiscal year 2021 compared to $15.0 million outstanding in the prior year.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rPr>
              <w:t>Three Months Ended</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Feb 28, 2021</w:t>
            </w:r>
          </w:p>
        </w:tc>
        <w:tc>
          <w:tcPr>
            <w:tcW w:w="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rPr>
              <w:t>Feb 29, 2020</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(0.8)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14.1 %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12.6 %</w:t>
            </w:r>
          </w:p>
        </w:tc>
      </w:tr>
    </w:tbl>
    <w:p>
      <w:pPr>
        <w:spacing w:after="0" w:line="33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effective tax rate including discrete items for the three-month periods ended February 28, 2021 and February 29, 2020 was 14.1% and 12.6%, respectively.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3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15.6% in the third quarter of fiscal year 2021, as compared to 12.9% for the same period in fiscal year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February 28, 2021 and February 29, 2020</w:t>
      </w:r>
    </w:p>
    <w:p>
      <w:pPr>
        <w:spacing w:after="0" w:line="175" w:lineRule="exact"/>
        <w:rPr>
          <w:sz w:val="20"/>
          <w:szCs w:val="20"/>
          <w:color w:val="auto"/>
        </w:rPr>
      </w:pPr>
    </w:p>
    <w:p>
      <w:pPr>
        <w:ind w:right="220" w:firstLine="405"/>
        <w:spacing w:after="0" w:line="342" w:lineRule="auto"/>
        <w:rPr>
          <w:sz w:val="20"/>
          <w:szCs w:val="20"/>
          <w:color w:val="auto"/>
        </w:rPr>
      </w:pPr>
      <w:r>
        <w:rPr>
          <w:rFonts w:ascii="Arial" w:cs="Arial" w:eastAsia="Arial" w:hAnsi="Arial"/>
          <w:sz w:val="16"/>
          <w:szCs w:val="16"/>
          <w:color w:val="auto"/>
        </w:rPr>
        <w:t>For the nine months ended February 28, 2021, the Company reported a net loss of $12.1 million, or a loss of $0.32 per diluted share, on net sales of $214.2 million, compared with a net loss of $9.7 million, or a loss of $0.26 per diluted share, on net sales of $205.8 million during the prior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sales</w:t>
      </w:r>
      <w:r>
        <w:rPr>
          <w:rFonts w:ascii="Arial" w:cs="Arial" w:eastAsia="Arial" w:hAnsi="Arial"/>
          <w:sz w:val="18"/>
          <w:szCs w:val="18"/>
          <w:color w:val="auto"/>
        </w:rPr>
        <w:t xml:space="preserve"> - Net sales are derived from the sale of products and related freight charges, less discounts, rebates and returns.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4"/>
              </w:rPr>
              <w:t>Nine Months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6"/>
        </w:trPr>
        <w:tc>
          <w:tcPr>
            <w:tcW w:w="6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120" w:type="dxa"/>
            <w:vAlign w:val="bottom"/>
          </w:tcPr>
          <w:p>
            <w:pPr>
              <w:spacing w:after="0"/>
              <w:rPr>
                <w:sz w:val="16"/>
                <w:szCs w:val="16"/>
                <w:color w:val="auto"/>
              </w:rPr>
            </w:pPr>
          </w:p>
        </w:tc>
        <w:tc>
          <w:tcPr>
            <w:tcW w:w="1300" w:type="dxa"/>
            <w:vAlign w:val="bottom"/>
          </w:tcPr>
          <w:p>
            <w:pPr>
              <w:jc w:val="right"/>
              <w:ind w:right="254"/>
              <w:spacing w:after="0"/>
              <w:rPr>
                <w:sz w:val="20"/>
                <w:szCs w:val="20"/>
                <w:color w:val="auto"/>
              </w:rPr>
            </w:pPr>
            <w:r>
              <w:rPr>
                <w:rFonts w:ascii="Arial" w:cs="Arial" w:eastAsia="Arial" w:hAnsi="Arial"/>
                <w:sz w:val="14"/>
                <w:szCs w:val="14"/>
                <w:color w:val="auto"/>
              </w:rPr>
              <w:t>Feb 29, 2020</w:t>
            </w:r>
          </w:p>
        </w:tc>
        <w:tc>
          <w:tcPr>
            <w:tcW w:w="160" w:type="dxa"/>
            <w:vAlign w:val="bottom"/>
          </w:tcPr>
          <w:p>
            <w:pPr>
              <w:spacing w:after="0"/>
              <w:rPr>
                <w:sz w:val="16"/>
                <w:szCs w:val="16"/>
                <w:color w:val="auto"/>
              </w:rPr>
            </w:pP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 Change</w:t>
            </w:r>
          </w:p>
        </w:tc>
      </w:tr>
      <w:tr>
        <w:trPr>
          <w:trHeight w:val="21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by Global Business Unit</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Vascular Interventions &amp; Therapies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97,008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90,616</w:t>
            </w:r>
          </w:p>
        </w:tc>
        <w:tc>
          <w:tcPr>
            <w:tcW w:w="1600" w:type="dxa"/>
            <w:vAlign w:val="bottom"/>
            <w:gridSpan w:val="2"/>
          </w:tcPr>
          <w:p>
            <w:pPr>
              <w:jc w:val="right"/>
              <w:ind w:right="448"/>
              <w:spacing w:after="0"/>
              <w:rPr>
                <w:sz w:val="20"/>
                <w:szCs w:val="20"/>
                <w:color w:val="auto"/>
              </w:rPr>
            </w:pPr>
            <w:r>
              <w:rPr>
                <w:rFonts w:ascii="Arial" w:cs="Arial" w:eastAsia="Arial" w:hAnsi="Arial"/>
                <w:sz w:val="18"/>
                <w:szCs w:val="18"/>
                <w:color w:val="auto"/>
              </w:rPr>
              <w:t>7.1%</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Vascular Access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70,585</w:t>
            </w:r>
          </w:p>
        </w:tc>
        <w:tc>
          <w:tcPr>
            <w:tcW w:w="160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8.9%</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Oncology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40,312</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44,624</w:t>
            </w:r>
          </w:p>
        </w:tc>
        <w:tc>
          <w:tcPr>
            <w:tcW w:w="1600" w:type="dxa"/>
            <w:vAlign w:val="bottom"/>
            <w:tcBorders>
              <w:bottom w:val="single" w:sz="8" w:color="CCEEFF"/>
            </w:tcBorders>
            <w:gridSpan w:val="2"/>
          </w:tcPr>
          <w:p>
            <w:pPr>
              <w:jc w:val="right"/>
              <w:ind w:right="388"/>
              <w:spacing w:after="0"/>
              <w:rPr>
                <w:sz w:val="20"/>
                <w:szCs w:val="20"/>
                <w:color w:val="auto"/>
              </w:rPr>
            </w:pPr>
            <w:r>
              <w:rPr>
                <w:rFonts w:ascii="Arial" w:cs="Arial" w:eastAsia="Arial" w:hAnsi="Arial"/>
                <w:sz w:val="18"/>
                <w:szCs w:val="18"/>
                <w:color w:val="auto"/>
              </w:rPr>
              <w:t>(9.7)%</w:t>
            </w:r>
          </w:p>
        </w:tc>
      </w:tr>
      <w:tr>
        <w:trPr>
          <w:trHeight w:val="248"/>
        </w:trPr>
        <w:tc>
          <w:tcPr>
            <w:tcW w:w="6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214,168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205,825</w:t>
            </w:r>
          </w:p>
        </w:tc>
        <w:tc>
          <w:tcPr>
            <w:tcW w:w="160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4.1%</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by Geography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6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173,446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163,381</w:t>
            </w:r>
          </w:p>
        </w:tc>
        <w:tc>
          <w:tcPr>
            <w:tcW w:w="1600" w:type="dxa"/>
            <w:vAlign w:val="bottom"/>
            <w:gridSpan w:val="2"/>
          </w:tcPr>
          <w:p>
            <w:pPr>
              <w:jc w:val="right"/>
              <w:ind w:right="448"/>
              <w:spacing w:after="0"/>
              <w:rPr>
                <w:sz w:val="20"/>
                <w:szCs w:val="20"/>
                <w:color w:val="auto"/>
              </w:rPr>
            </w:pPr>
            <w:r>
              <w:rPr>
                <w:rFonts w:ascii="Arial" w:cs="Arial" w:eastAsia="Arial" w:hAnsi="Arial"/>
                <w:sz w:val="18"/>
                <w:szCs w:val="18"/>
                <w:color w:val="auto"/>
              </w:rPr>
              <w:t>6.2%</w:t>
            </w:r>
          </w:p>
        </w:tc>
      </w:tr>
      <w:tr>
        <w:trPr>
          <w:trHeight w:val="230"/>
        </w:trPr>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42,444</w:t>
            </w:r>
          </w:p>
        </w:tc>
        <w:tc>
          <w:tcPr>
            <w:tcW w:w="160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(4.1)%</w:t>
            </w:r>
          </w:p>
        </w:tc>
      </w:tr>
      <w:tr>
        <w:trPr>
          <w:trHeight w:val="223"/>
        </w:trPr>
        <w:tc>
          <w:tcPr>
            <w:tcW w:w="6640" w:type="dxa"/>
            <w:vAlign w:val="bottom"/>
          </w:tcPr>
          <w:p>
            <w:pPr>
              <w:ind w:left="5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214,168</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205,825</w:t>
            </w:r>
          </w:p>
        </w:tc>
        <w:tc>
          <w:tcPr>
            <w:tcW w:w="1600" w:type="dxa"/>
            <w:vAlign w:val="bottom"/>
            <w:gridSpan w:val="2"/>
          </w:tcPr>
          <w:p>
            <w:pPr>
              <w:jc w:val="right"/>
              <w:ind w:right="448"/>
              <w:spacing w:after="0"/>
              <w:rPr>
                <w:sz w:val="20"/>
                <w:szCs w:val="20"/>
                <w:color w:val="auto"/>
              </w:rPr>
            </w:pPr>
            <w:r>
              <w:rPr>
                <w:rFonts w:ascii="Arial" w:cs="Arial" w:eastAsia="Arial" w:hAnsi="Arial"/>
                <w:sz w:val="18"/>
                <w:szCs w:val="18"/>
                <w:color w:val="auto"/>
              </w:rPr>
              <w:t>4.1%</w:t>
            </w:r>
          </w:p>
        </w:tc>
      </w:tr>
      <w:tr>
        <w:trPr>
          <w:trHeight w:val="21"/>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40" w:firstLine="405"/>
        <w:spacing w:after="0" w:line="465" w:lineRule="auto"/>
        <w:rPr>
          <w:sz w:val="20"/>
          <w:szCs w:val="20"/>
          <w:color w:val="auto"/>
        </w:rPr>
      </w:pPr>
      <w:r>
        <w:rPr>
          <w:rFonts w:ascii="Arial" w:cs="Arial" w:eastAsia="Arial" w:hAnsi="Arial"/>
          <w:sz w:val="18"/>
          <w:szCs w:val="18"/>
          <w:color w:val="auto"/>
        </w:rPr>
        <w:t xml:space="preserve">For the nine months ended February 28, 2021, net sales increased $8.3 million to $214.2 million compared to the same period in the prior year. </w:t>
      </w:r>
      <w:r>
        <w:rPr>
          <w:rFonts w:ascii="Arial" w:cs="Arial" w:eastAsia="Arial" w:hAnsi="Arial"/>
          <w:sz w:val="18"/>
          <w:szCs w:val="18"/>
          <w:u w:val="single" w:color="auto"/>
          <w:color w:val="auto"/>
        </w:rPr>
        <w:t>Vascular Interventions &amp; Therapies</w:t>
      </w:r>
    </w:p>
    <w:p>
      <w:pPr>
        <w:spacing w:after="0" w:line="35" w:lineRule="exact"/>
        <w:rPr>
          <w:sz w:val="20"/>
          <w:szCs w:val="20"/>
          <w:color w:val="auto"/>
        </w:rPr>
      </w:pPr>
    </w:p>
    <w:p>
      <w:pPr>
        <w:ind w:left="660" w:right="20" w:hanging="328"/>
        <w:spacing w:after="0" w:line="269"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Total Vascular Interventions &amp; Therapies net sales increased $6.4 million, or 7.1%. Auryon, which was acquired as part of the Eximo acquisition in the second quarter of fiscal year 2020, contributed $6.5 million in sales. Additionally, the AngioVac business grew $4.3 million as the Company continued to experience increases in case volumes in AngioVac, which increased 30% from the prior year. These increases were partially offset by lower volume in Venous products due to fewer elective procedures during the COVID-19 pandemic.</w:t>
      </w:r>
    </w:p>
    <w:p>
      <w:pPr>
        <w:spacing w:after="0" w:line="1" w:lineRule="exact"/>
        <w:rPr>
          <w:rFonts w:ascii="Arial" w:cs="Arial" w:eastAsia="Arial" w:hAnsi="Arial"/>
          <w:sz w:val="17"/>
          <w:szCs w:val="17"/>
          <w:color w:val="auto"/>
        </w:rPr>
      </w:pPr>
    </w:p>
    <w:p>
      <w:pPr>
        <w:ind w:left="660" w:right="320" w:hanging="328"/>
        <w:spacing w:after="0" w:line="281"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U.S. Vascular Interventions &amp; Therapies net sales increased $7.1 million due to increased case volume in AngioVac, increased Core Peripheral product sales and $6.5 million in sales of Auryon. These increases were partially offset by decreased sales volume in Venous.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International Vascular Interventions &amp; Therapies net sales decreased $0.7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Vascular Access</w:t>
      </w:r>
    </w:p>
    <w:p>
      <w:pPr>
        <w:spacing w:after="0" w:line="252" w:lineRule="exact"/>
        <w:rPr>
          <w:sz w:val="20"/>
          <w:szCs w:val="20"/>
          <w:color w:val="auto"/>
        </w:rPr>
      </w:pPr>
    </w:p>
    <w:p>
      <w:pPr>
        <w:ind w:left="660" w:hanging="328"/>
        <w:spacing w:after="0" w:line="28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Vascular Access net sales increased $6.3 million due to increased sales of PICCs, Midlines and Dialysis of $3.4 million, $3.1 million and $0.3 million, respectively. These increases are partially the result of a large order in the United Kingdom related to the COVID-19 pandemic for $5.2 million in the first quarter of fiscal year 2021 along with the distribution agreement with MedComp. These increases were offset by decreased sales in Ports, which declined by 1%. BioFlo product lines comprise 53% of overall Vascular Access sales compared to 51% in the prior year.</w:t>
      </w:r>
    </w:p>
    <w:p>
      <w:pPr>
        <w:spacing w:after="0" w:line="1" w:lineRule="exact"/>
        <w:rPr>
          <w:rFonts w:ascii="Arial" w:cs="Arial" w:eastAsia="Arial" w:hAnsi="Arial"/>
          <w:sz w:val="16"/>
          <w:szCs w:val="16"/>
          <w:color w:val="auto"/>
        </w:rPr>
      </w:pPr>
    </w:p>
    <w:p>
      <w:pPr>
        <w:ind w:left="660" w:right="14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U.S. Vascular Access net sales increased $2.5 million primarily due to increased PICCs, Midlines and Dialysis sales of $1.1 million, $1.1 million and $0.4 million, respectively.</w:t>
      </w:r>
    </w:p>
    <w:p>
      <w:pPr>
        <w:ind w:left="660" w:right="600" w:hanging="328"/>
        <w:spacing w:after="0" w:line="290"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International Vascular Access net sales increased by $3.8 million primarily as a result of a large order in the United Kingdom related to the COVID-19 pandemic for $5.2 million. This was partially offset by decreased PICC sales in Latin America of $1.3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Oncology</w:t>
      </w:r>
    </w:p>
    <w:p>
      <w:pPr>
        <w:spacing w:after="0" w:line="252" w:lineRule="exact"/>
        <w:rPr>
          <w:sz w:val="20"/>
          <w:szCs w:val="20"/>
          <w:color w:val="auto"/>
        </w:rPr>
      </w:pPr>
    </w:p>
    <w:p>
      <w:pPr>
        <w:ind w:left="660" w:right="34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Oncology net sales decreased $4.3 million year over year. Of this decrease, $2.1 million is due to a large NanoKnife distributor order in APAC in the prior year. There was also decreased capital and disposable sales internationally of $2.5 million due to reduced case volumes as a result of the COVID-19 pandemic.</w:t>
      </w:r>
    </w:p>
    <w:p>
      <w:pPr>
        <w:spacing w:after="0" w:line="2" w:lineRule="exact"/>
        <w:rPr>
          <w:rFonts w:ascii="Arial" w:cs="Arial" w:eastAsia="Arial" w:hAnsi="Arial"/>
          <w:sz w:val="18"/>
          <w:szCs w:val="18"/>
          <w:color w:val="auto"/>
        </w:rPr>
      </w:pPr>
    </w:p>
    <w:p>
      <w:pPr>
        <w:ind w:left="660" w:right="120" w:hanging="328"/>
        <w:spacing w:after="0" w:line="25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Oncology net sales increased by $0.4 million primarily due to increased NanoKnife disposable sales of $0.9 million, BioSentry sales of $1.0 million and Microwave disposable sales of $0.7 million. This was partially offset by decreased NanoKnife capital sales of $0.5 million and Balloon product sales of $1.2 million.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Operating expenses, and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4"/>
              </w:rPr>
              <w:t>Nine Months Ended</w:t>
            </w:r>
          </w:p>
        </w:tc>
        <w:tc>
          <w:tcPr>
            <w:tcW w:w="1520" w:type="dxa"/>
            <w:vAlign w:val="bottom"/>
            <w:tcBorders>
              <w:bottom w:val="single" w:sz="8" w:color="auto"/>
            </w:tcBorders>
          </w:tcPr>
          <w:p>
            <w:pPr>
              <w:spacing w:after="0"/>
              <w:rPr>
                <w:sz w:val="16"/>
                <w:szCs w:val="16"/>
                <w:color w:val="auto"/>
              </w:rPr>
            </w:pPr>
          </w:p>
        </w:tc>
      </w:tr>
      <w:tr>
        <w:trPr>
          <w:trHeight w:val="186"/>
        </w:trPr>
        <w:tc>
          <w:tcPr>
            <w:tcW w:w="64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Feb 28, 2021</w:t>
            </w:r>
          </w:p>
        </w:tc>
        <w:tc>
          <w:tcPr>
            <w:tcW w:w="16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w w:val="89"/>
              </w:rPr>
              <w:t>Feb 29, 2020</w:t>
            </w:r>
          </w:p>
        </w:tc>
        <w:tc>
          <w:tcPr>
            <w:tcW w:w="1520" w:type="dxa"/>
            <w:vAlign w:val="bottom"/>
          </w:tcPr>
          <w:p>
            <w:pPr>
              <w:jc w:val="right"/>
              <w:ind w:right="374"/>
              <w:spacing w:after="0"/>
              <w:rPr>
                <w:sz w:val="20"/>
                <w:szCs w:val="20"/>
                <w:color w:val="auto"/>
              </w:rPr>
            </w:pPr>
            <w:r>
              <w:rPr>
                <w:rFonts w:ascii="Arial" w:cs="Arial" w:eastAsia="Arial" w:hAnsi="Arial"/>
                <w:sz w:val="14"/>
                <w:szCs w:val="14"/>
                <w:color w:val="auto"/>
              </w:rPr>
              <w:t>% Change</w:t>
            </w:r>
          </w:p>
        </w:tc>
      </w:tr>
      <w:tr>
        <w:trPr>
          <w:trHeight w:val="22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114,468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120,060</w:t>
            </w:r>
          </w:p>
        </w:tc>
        <w:tc>
          <w:tcPr>
            <w:tcW w:w="14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Gross profit %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58.3 %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27,286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22,450</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57,486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60,427</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29.4 %</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26,787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29,651</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 of sales</w:t>
            </w: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14.4 %</w:t>
            </w: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33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Gross profit decreased by $5.6 million compared to the prior year. The change is primarily attributable to the following:</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volume positively impacted gross profit by $5.4 million year over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Net productivity negatively impacted gross profit by $8.9 million primarily as a result of under absorption of $6.1 million and start-up costs of</w:t>
      </w:r>
    </w:p>
    <w:p>
      <w:pPr>
        <w:spacing w:after="0" w:line="20" w:lineRule="exact"/>
        <w:rPr>
          <w:rFonts w:ascii="Arial" w:cs="Arial" w:eastAsia="Arial" w:hAnsi="Arial"/>
          <w:sz w:val="17"/>
          <w:szCs w:val="17"/>
          <w:color w:val="auto"/>
        </w:rPr>
      </w:pPr>
    </w:p>
    <w:p>
      <w:pPr>
        <w:ind w:left="660" w:right="120"/>
        <w:spacing w:after="0" w:line="281" w:lineRule="auto"/>
        <w:rPr>
          <w:rFonts w:ascii="Arial" w:cs="Arial" w:eastAsia="Arial" w:hAnsi="Arial"/>
          <w:sz w:val="17"/>
          <w:szCs w:val="17"/>
          <w:color w:val="auto"/>
        </w:rPr>
      </w:pPr>
      <w:r>
        <w:rPr>
          <w:rFonts w:ascii="Arial" w:cs="Arial" w:eastAsia="Arial" w:hAnsi="Arial"/>
          <w:sz w:val="16"/>
          <w:szCs w:val="16"/>
          <w:color w:val="auto"/>
        </w:rPr>
        <w:t>$2.8 million related to the Auryon launch. The under absorption in manufacturing operations was due to the Company maintaining staffing levels during the COVID-19 global pandemic to mitigate risk, along with a focus on working capital management through inventory reduction.</w:t>
      </w:r>
    </w:p>
    <w:p>
      <w:pPr>
        <w:spacing w:after="0" w:line="1" w:lineRule="exact"/>
        <w:rPr>
          <w:rFonts w:ascii="Arial" w:cs="Arial" w:eastAsia="Arial" w:hAnsi="Arial"/>
          <w:sz w:val="17"/>
          <w:szCs w:val="17"/>
          <w:color w:val="auto"/>
        </w:rPr>
      </w:pPr>
    </w:p>
    <w:p>
      <w:pPr>
        <w:ind w:left="660" w:right="2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Mix negatively impacted gross margin by $1.1 million as a result of the large order in the United Kingdom for lower gross margin products and decreased NanoKnife capital sales. This was partially offset by increased AngioVac sales.</w:t>
      </w:r>
    </w:p>
    <w:p>
      <w:pPr>
        <w:ind w:left="660" w:right="44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reserve for recalled products of $0.5 million and amortization of prior year capitalized variances of $0.4 million negatively impacted gross margin.</w:t>
      </w:r>
    </w:p>
    <w:p>
      <w:pPr>
        <w:ind w:left="660" w:right="140" w:hanging="328"/>
        <w:spacing w:after="0" w:line="26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benefit of $0.7 million was recorded as a result of the employee retention credit that the Company filed for under the provisions of the CARES Act in the third quarter of the current year.</w:t>
      </w: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Research and development expense</w:t>
      </w:r>
      <w:r>
        <w:rPr>
          <w:rFonts w:ascii="Arial" w:cs="Arial" w:eastAsia="Arial" w:hAnsi="Arial"/>
          <w:sz w:val="18"/>
          <w:szCs w:val="18"/>
          <w:color w:val="auto"/>
        </w:rPr>
        <w:t xml:space="preserve"> - R&amp;D expense includes internal and external costs to develop new products, enhance existing products, validate new and enhanced products, and manage clinical, regulatory and medical affairs.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R&amp;D expense increased $4.8 million compared to the prior year. The change is primarily attributable to the following:</w:t>
      </w:r>
    </w:p>
    <w:p>
      <w:pPr>
        <w:spacing w:after="0" w:line="247" w:lineRule="exact"/>
        <w:rPr>
          <w:sz w:val="20"/>
          <w:szCs w:val="20"/>
          <w:color w:val="auto"/>
        </w:rPr>
      </w:pPr>
    </w:p>
    <w:p>
      <w:pPr>
        <w:ind w:left="660" w:right="60" w:hanging="328"/>
        <w:spacing w:after="0" w:line="22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R&amp;D expenses related to the AngioVac platform expansion, the NanoKnife DIRECT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study and the Pathfinder study increased $4.6 million along with $1.7 million of expenses related to Auryon.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Outside consultant expense and other expenses decreased $0.7 million along with decreased travel expenses of $0.4 million.</w:t>
      </w:r>
    </w:p>
    <w:p>
      <w:pPr>
        <w:spacing w:after="0" w:line="9"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benefit of $0.3 million was recorded as a result of the employee retention credit that the Company filed for under the provisions of the CARES Act in the third quarter of the current year.</w:t>
      </w:r>
    </w:p>
    <w:p>
      <w:pPr>
        <w:spacing w:after="0" w:line="21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u w:val="single" w:color="auto"/>
          <w:color w:val="auto"/>
        </w:rPr>
        <w:t>Sales and marketing expense</w:t>
      </w:r>
      <w:r>
        <w:rPr>
          <w:rFonts w:ascii="Arial" w:cs="Arial" w:eastAsia="Arial" w:hAnsi="Arial"/>
          <w:sz w:val="18"/>
          <w:szCs w:val="18"/>
          <w:color w:val="auto"/>
        </w:rPr>
        <w:t xml:space="preserve"> - S&amp;M expense consists primarily of salaries, commissions, travel and related business expenses, attendance at medical society meetings, product promotions and marketing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S&amp;M expense decreased $2.9 million compared to the prior year. The change is primarily attributable to the following:</w:t>
      </w:r>
    </w:p>
    <w:p>
      <w:pPr>
        <w:spacing w:after="0" w:line="252" w:lineRule="exact"/>
        <w:rPr>
          <w:sz w:val="20"/>
          <w:szCs w:val="20"/>
          <w:color w:val="auto"/>
        </w:rPr>
      </w:pPr>
    </w:p>
    <w:p>
      <w:pPr>
        <w:ind w:left="660" w:right="560" w:hanging="328"/>
        <w:spacing w:after="0" w:line="258"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Travel expenses decreased $4.0 million due to less travel as a result of the COVID-19 pandemic. In addition, tradeshow and other expenses decreased $4.3 million primarily due to the cancellation of events.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Compensation and benefits decrease of $0.7 million due to open roles.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related to the build-out of the Auryon sales and marketing teams to prepare for full product launch of $6.8 million.</w:t>
      </w:r>
    </w:p>
    <w:p>
      <w:pPr>
        <w:spacing w:after="0" w:line="9" w:lineRule="exact"/>
        <w:rPr>
          <w:rFonts w:ascii="Arial" w:cs="Arial" w:eastAsia="Arial" w:hAnsi="Arial"/>
          <w:sz w:val="18"/>
          <w:szCs w:val="18"/>
          <w:color w:val="auto"/>
        </w:rPr>
      </w:pPr>
    </w:p>
    <w:p>
      <w:pPr>
        <w:ind w:left="660" w:right="14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benefit of $0.9 million was recorded as a result of the employee retention credit that the Company filed for under the provisions of the CARES Act in the third quarter of the current year.</w:t>
      </w:r>
    </w:p>
    <w:p>
      <w:pPr>
        <w:spacing w:after="0" w:line="21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u w:val="single" w:color="auto"/>
          <w:color w:val="auto"/>
        </w:rPr>
        <w:t>General and administrative expense</w:t>
      </w:r>
      <w:r>
        <w:rPr>
          <w:rFonts w:ascii="Arial" w:cs="Arial" w:eastAsia="Arial" w:hAnsi="Arial"/>
          <w:sz w:val="18"/>
          <w:szCs w:val="18"/>
          <w:color w:val="auto"/>
        </w:rPr>
        <w:t xml:space="preserve"> - G&amp;A expense includes executive management, finance, information technology, human resources, business development, legal, and the administrative and professional costs associated with those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G&amp;A expense decreased $2.9 million compared to the prior year. The change is primarily attributable to the following:</w:t>
      </w:r>
    </w:p>
    <w:p>
      <w:pPr>
        <w:spacing w:after="0" w:line="25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Legal expenses decreased $2.7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Travel expenses decreased $0.4 million due to less travel as a result of the COVID-19 pandemic.</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4"/>
              </w:rPr>
              <w:t>Nine Months Ended</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86"/>
        </w:trPr>
        <w:tc>
          <w:tcPr>
            <w:tcW w:w="67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Feb 28, 2021</w:t>
            </w: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Feb 29, 2020</w:t>
            </w:r>
          </w:p>
        </w:tc>
        <w:tc>
          <w:tcPr>
            <w:tcW w:w="280" w:type="dxa"/>
            <w:vAlign w:val="bottom"/>
          </w:tcPr>
          <w:p>
            <w:pPr>
              <w:spacing w:after="0"/>
              <w:rPr>
                <w:sz w:val="16"/>
                <w:szCs w:val="16"/>
                <w:color w:val="auto"/>
              </w:rPr>
            </w:pPr>
          </w:p>
        </w:tc>
        <w:tc>
          <w:tcPr>
            <w:tcW w:w="1160" w:type="dxa"/>
            <w:vAlign w:val="bottom"/>
          </w:tcPr>
          <w:p>
            <w:pPr>
              <w:jc w:val="right"/>
              <w:ind w:right="354"/>
              <w:spacing w:after="0"/>
              <w:rPr>
                <w:sz w:val="20"/>
                <w:szCs w:val="20"/>
                <w:color w:val="auto"/>
              </w:rPr>
            </w:pPr>
            <w:r>
              <w:rPr>
                <w:rFonts w:ascii="Arial" w:cs="Arial" w:eastAsia="Arial" w:hAnsi="Arial"/>
                <w:sz w:val="14"/>
                <w:szCs w:val="14"/>
                <w:color w:val="auto"/>
              </w:rPr>
              <w:t>$ Change</w:t>
            </w:r>
          </w:p>
        </w:tc>
      </w:tr>
      <w:tr>
        <w:trPr>
          <w:trHeight w:val="22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restructuring and other items,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322</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of intangibles</w:t>
      </w:r>
      <w:r>
        <w:rPr>
          <w:rFonts w:ascii="Arial" w:cs="Arial" w:eastAsia="Arial" w:hAnsi="Arial"/>
          <w:sz w:val="18"/>
          <w:szCs w:val="18"/>
          <w:color w:val="auto"/>
        </w:rPr>
        <w:t xml:space="preserve"> - Represents the amount of amortization expense that was taken on intangibles assets held by the Company.</w:t>
      </w:r>
    </w:p>
    <w:p>
      <w:pPr>
        <w:spacing w:after="0" w:line="252" w:lineRule="exact"/>
        <w:rPr>
          <w:sz w:val="20"/>
          <w:szCs w:val="20"/>
          <w:color w:val="auto"/>
        </w:rPr>
      </w:pPr>
    </w:p>
    <w:p>
      <w:pPr>
        <w:jc w:val="both"/>
        <w:ind w:left="660" w:right="200" w:hanging="328"/>
        <w:spacing w:after="0" w:line="286"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Amortization expense increased $0.4 million compared to the prior year as a result of the Eximo Medical and C3 Wave tip location acquisitions, which increased intangible assets by $60.3 million and $9.4 million, respectively. These additions resulted in additional amortization expense of $1.8 million. These additions were partially offset by assets that became fully amortized during fiscal year 2021.</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u w:val="single" w:color="auto"/>
          <w:color w:val="auto"/>
        </w:rPr>
        <w:t>Change in fair value of contingent consideration</w:t>
      </w:r>
      <w:r>
        <w:rPr>
          <w:rFonts w:ascii="Arial" w:cs="Arial" w:eastAsia="Arial" w:hAnsi="Arial"/>
          <w:sz w:val="17"/>
          <w:szCs w:val="17"/>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73" w:lineRule="exact"/>
        <w:rPr>
          <w:sz w:val="20"/>
          <w:szCs w:val="20"/>
          <w:color w:val="auto"/>
        </w:rPr>
      </w:pPr>
    </w:p>
    <w:p>
      <w:pPr>
        <w:ind w:left="660" w:right="18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change from the prior year is due to a decision to no longer pursue the final RadiaDyne technical milestone, which resulted in a reduction in the liability of $0.8 million. This reduction in the fair value was offset by normal amortization of the present value of the Eximo contingent consideration recorded in the second quarter of fiscal year 2020.</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u w:val="single" w:color="auto"/>
          <w:color w:val="auto"/>
        </w:rPr>
        <w:t>Acquisition, restructuring and other items, net</w:t>
      </w:r>
      <w:r>
        <w:rPr>
          <w:rFonts w:ascii="Arial" w:cs="Arial" w:eastAsia="Arial" w:hAnsi="Arial"/>
          <w:sz w:val="18"/>
          <w:szCs w:val="18"/>
          <w:color w:val="auto"/>
        </w:rPr>
        <w:t xml:space="preserve"> - Represents costs associated with mergers and acquisitions, restructuring expenses, legal costs that are related to litigation that is not in the ordinary course of business, legal settlements and other one-time items.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Acquisition, restructuring and other items, net decreased by $1.4 million compared to the prior year. The decrease is primarily attributable to the following:</w:t>
      </w:r>
    </w:p>
    <w:p>
      <w:pPr>
        <w:spacing w:after="0" w:line="275" w:lineRule="exact"/>
        <w:rPr>
          <w:sz w:val="20"/>
          <w:szCs w:val="20"/>
          <w:color w:val="auto"/>
        </w:rPr>
      </w:pPr>
    </w:p>
    <w:p>
      <w:pPr>
        <w:ind w:left="660" w:right="200" w:hanging="328"/>
        <w:spacing w:after="0" w:line="25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expense, related to litigation that is outside of the normal course of business, of $2.9 million was recorded in fiscal year 2021 compared to $2.0 million in the prior year.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was no M&amp;A expense incurred in fiscal year 2021 compared to $0.8 million in the prior year.</w:t>
      </w:r>
    </w:p>
    <w:p>
      <w:pPr>
        <w:spacing w:after="0" w:line="9" w:lineRule="exact"/>
        <w:rPr>
          <w:rFonts w:ascii="Arial" w:cs="Arial" w:eastAsia="Arial" w:hAnsi="Arial"/>
          <w:sz w:val="18"/>
          <w:szCs w:val="18"/>
          <w:color w:val="auto"/>
        </w:rPr>
      </w:pPr>
    </w:p>
    <w:p>
      <w:pPr>
        <w:ind w:left="660" w:right="98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fiscal year 2021, the Company incurred $0.4 million of expense to move manufacturing facilities as a result of the sale of the Fluid Management business compared to $2.2 million in the prior year.</w:t>
      </w:r>
    </w:p>
    <w:p>
      <w:pPr>
        <w:ind w:left="660" w:right="180" w:hanging="328"/>
        <w:spacing w:after="0" w:line="281"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 part of the sale of the Fluid Management business, the Company entered into a transition services agreement with Medline for certain legal, human resource, tax, accounting and information technology services from the Company for a period not to exceed 24 months. As a result of the transition services agreement, the Company invoiced Medline $1.0 million in fiscal year 2021 compared to $1.7 million in the prior year.</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expenses of $0.7 million consists of severance associated with organizational changes, compared to $1.2 million in the prior year.</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expense, net</w:t>
      </w:r>
      <w:r>
        <w:rPr>
          <w:rFonts w:ascii="Arial" w:cs="Arial" w:eastAsia="Arial" w:hAnsi="Arial"/>
          <w:sz w:val="17"/>
          <w:szCs w:val="17"/>
          <w:color w:val="auto"/>
        </w:rPr>
        <w:t xml:space="preserve"> - Other expenses include interest expense, foreign currency impacts, bank fees, and amortization of deferred financing costs.</w:t>
      </w:r>
    </w:p>
    <w:p>
      <w:pPr>
        <w:spacing w:after="0" w:line="264" w:lineRule="exact"/>
        <w:rPr>
          <w:sz w:val="20"/>
          <w:szCs w:val="20"/>
          <w:color w:val="auto"/>
        </w:rPr>
      </w:pPr>
    </w:p>
    <w:p>
      <w:pPr>
        <w:ind w:left="660" w:right="40" w:hanging="328"/>
        <w:spacing w:after="0" w:line="25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decrease in other expense from the prior year of $0.3 million is primarily due to foreign currency unrealized gains of $0.5 million and the prior year write-off of deferred financing fees associated with the old Credit Facility of $0.6 million. This was partially offset by increased interest expense of $0.3 million for the $30.0 million outstanding on the Revolving Facility at the end of the third quarter of fiscal year 2021 compared to $15.0 million outstanding in the prior year. In addition, interest income decreased by $0.3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color w:val="auto"/>
              </w:rPr>
              <w:t>Nine Months Ended</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color w:val="auto"/>
              </w:rPr>
              <w:t>Feb 28, 2021</w:t>
            </w:r>
          </w:p>
        </w:tc>
        <w:tc>
          <w:tcPr>
            <w:tcW w:w="260" w:type="dxa"/>
            <w:vAlign w:val="bottom"/>
          </w:tcPr>
          <w:p>
            <w:pPr>
              <w:spacing w:after="0"/>
              <w:rPr>
                <w:sz w:val="16"/>
                <w:szCs w:val="16"/>
                <w:color w:val="auto"/>
              </w:rPr>
            </w:pPr>
          </w:p>
        </w:tc>
        <w:tc>
          <w:tcPr>
            <w:tcW w:w="1300" w:type="dxa"/>
            <w:vAlign w:val="bottom"/>
          </w:tcPr>
          <w:p>
            <w:pPr>
              <w:ind w:left="140"/>
              <w:spacing w:after="0"/>
              <w:rPr>
                <w:sz w:val="20"/>
                <w:szCs w:val="20"/>
                <w:color w:val="auto"/>
              </w:rPr>
            </w:pPr>
            <w:r>
              <w:rPr>
                <w:rFonts w:ascii="Arial" w:cs="Arial" w:eastAsia="Arial" w:hAnsi="Arial"/>
                <w:sz w:val="14"/>
                <w:szCs w:val="14"/>
                <w:color w:val="auto"/>
              </w:rPr>
              <w:t>Feb 29, 2020</w:t>
            </w:r>
          </w:p>
        </w:tc>
      </w:tr>
      <w:tr>
        <w:trPr>
          <w:trHeight w:val="22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(1.5)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Effective tax rate including discrete items</w:t>
            </w: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14.4 %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ind w:left="760"/>
              <w:spacing w:after="0"/>
              <w:rPr>
                <w:sz w:val="20"/>
                <w:szCs w:val="20"/>
                <w:color w:val="auto"/>
              </w:rPr>
            </w:pPr>
            <w:r>
              <w:rPr>
                <w:rFonts w:ascii="Arial" w:cs="Arial" w:eastAsia="Arial" w:hAnsi="Arial"/>
                <w:sz w:val="18"/>
                <w:szCs w:val="18"/>
                <w:color w:val="auto"/>
                <w:w w:val="92"/>
              </w:rPr>
              <w:t>13.4 %</w:t>
            </w:r>
          </w:p>
        </w:tc>
      </w:tr>
    </w:tbl>
    <w:p>
      <w:pPr>
        <w:spacing w:after="0" w:line="33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effective tax rate including discrete items for the nine-month periods ended February 28, 2021 and February 29, 2020 was 14.4% and 13.4%, respectively. In fiscal year 2021,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w:t>
      </w:r>
    </w:p>
    <w:p>
      <w:pPr>
        <w:spacing w:after="0" w:line="13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estimated annual effective tax rate, however, prior to discrete items was 15.6% in the third quarter of fiscal year 2021, as compared to 12.9% for the same period in fiscal year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We are continuously and critically reviewing our liquidity and anticipated capital requirements in light of the significant uncertainty created by the COVID-19 global pandemic. We believe that our current cash on hand and availability under our Revolving Facility provide sufficient liquidity to meet our anticipated needs for capital for at least the next 12 months. We are closely monitoring receivables and payables.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cash and cash equivalents totaled $54.5 million as of February 28, 2021, compared with $54.4 million as of May 31, 2020. As of February 28,</w:t>
      </w:r>
    </w:p>
    <w:p>
      <w:pPr>
        <w:spacing w:after="0" w:line="46" w:lineRule="exact"/>
        <w:rPr>
          <w:sz w:val="20"/>
          <w:szCs w:val="20"/>
          <w:color w:val="auto"/>
        </w:rPr>
      </w:pPr>
    </w:p>
    <w:p>
      <w:pPr>
        <w:ind w:right="600"/>
        <w:spacing w:after="0" w:line="290" w:lineRule="auto"/>
        <w:rPr>
          <w:sz w:val="20"/>
          <w:szCs w:val="20"/>
          <w:color w:val="auto"/>
        </w:rPr>
      </w:pPr>
      <w:r>
        <w:rPr>
          <w:rFonts w:ascii="Arial" w:cs="Arial" w:eastAsia="Arial" w:hAnsi="Arial"/>
          <w:sz w:val="17"/>
          <w:szCs w:val="17"/>
          <w:color w:val="auto"/>
        </w:rPr>
        <w:t>2021 and May 31, 2020, total debt outstanding related to the Revolving Facility was $30.0 million and $40.0 million, respectively. The fair value of contingent consideration liability as of February 28, 2021 and May 31, 2020, was $15.4 million and $15.6 million, respectively.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our cash flows: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826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824"/>
        </w:trPr>
        <w:tc>
          <w:tcPr>
            <w:tcW w:w="1020" w:type="dxa"/>
            <w:vAlign w:val="bottom"/>
            <w:tcBorders>
              <w:top w:val="single" w:sz="8" w:color="0000FF"/>
            </w:tcBorders>
          </w:tcPr>
          <w:p>
            <w:pPr>
              <w:spacing w:after="0"/>
              <w:rPr>
                <w:sz w:val="24"/>
                <w:szCs w:val="24"/>
                <w:color w:val="auto"/>
              </w:rPr>
            </w:pPr>
          </w:p>
        </w:tc>
        <w:tc>
          <w:tcPr>
            <w:tcW w:w="7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color w:val="auto"/>
              </w:rPr>
              <w:t>Nine Months Ended</w:t>
            </w:r>
          </w:p>
        </w:tc>
      </w:tr>
      <w:tr>
        <w:trPr>
          <w:trHeight w:val="186"/>
        </w:trPr>
        <w:tc>
          <w:tcPr>
            <w:tcW w:w="82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color w:val="auto"/>
              </w:rPr>
              <w:t>Feb 28, 2021</w:t>
            </w:r>
          </w:p>
        </w:tc>
        <w:tc>
          <w:tcPr>
            <w:tcW w:w="24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Arial" w:cs="Arial" w:eastAsia="Arial" w:hAnsi="Arial"/>
                <w:sz w:val="14"/>
                <w:szCs w:val="14"/>
                <w:color w:val="auto"/>
              </w:rPr>
              <w:t>Feb 29, 2020</w:t>
            </w:r>
          </w:p>
        </w:tc>
      </w:tr>
      <w:tr>
        <w:trPr>
          <w:trHeight w:val="213"/>
        </w:trPr>
        <w:tc>
          <w:tcPr>
            <w:tcW w:w="8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(18,434)</w:t>
            </w:r>
          </w:p>
        </w:tc>
      </w:tr>
      <w:tr>
        <w:trPr>
          <w:trHeight w:val="23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(61,866)</w:t>
            </w:r>
          </w:p>
        </w:tc>
      </w:tr>
      <w:tr>
        <w:trPr>
          <w:trHeight w:val="229"/>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(120,189)</w:t>
            </w:r>
          </w:p>
        </w:tc>
      </w:tr>
      <w:tr>
        <w:trPr>
          <w:trHeight w:val="22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826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(200,481)</w:t>
            </w:r>
          </w:p>
        </w:tc>
      </w:tr>
      <w:tr>
        <w:trPr>
          <w:trHeight w:val="21"/>
        </w:trPr>
        <w:tc>
          <w:tcPr>
            <w:tcW w:w="10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Cash flows consisted of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(used in)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February 28, 2021 and February 29, 2020:</w:t>
      </w:r>
    </w:p>
    <w:p>
      <w:pPr>
        <w:spacing w:after="0" w:line="171" w:lineRule="exact"/>
        <w:rPr>
          <w:sz w:val="20"/>
          <w:szCs w:val="20"/>
          <w:color w:val="auto"/>
        </w:rPr>
      </w:pPr>
    </w:p>
    <w:p>
      <w:pPr>
        <w:ind w:left="1100" w:right="60" w:hanging="323"/>
        <w:spacing w:after="0" w:line="255" w:lineRule="auto"/>
        <w:tabs>
          <w:tab w:leader="none" w:pos="10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loss of $12.1 million and $9.7 million, respectively, plus the non-cash items, primarily driven by depreciation and amortization and share based compensation, along with the changes in working capital below, contributed to cash provided by operations of $11.9 million for fiscal year 2021 and cash used in operations in the prior year of $18.4 million.</w:t>
      </w:r>
    </w:p>
    <w:p>
      <w:pPr>
        <w:spacing w:after="0" w:line="2" w:lineRule="exact"/>
        <w:rPr>
          <w:rFonts w:ascii="Arial" w:cs="Arial" w:eastAsia="Arial" w:hAnsi="Arial"/>
          <w:sz w:val="18"/>
          <w:szCs w:val="18"/>
          <w:color w:val="auto"/>
        </w:rPr>
      </w:pPr>
    </w:p>
    <w:p>
      <w:pPr>
        <w:ind w:left="1100" w:right="220" w:hanging="323"/>
        <w:spacing w:after="0" w:line="265" w:lineRule="auto"/>
        <w:tabs>
          <w:tab w:leader="none" w:pos="10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fiscal year 2021, working capital was favorably impacted by decreased inventory on hand of $11.1 million. This was partially offset by increased accounts receivable of $1.8 million and decreased accounts payable and accrued liabilities of $1.7 million.</w:t>
      </w:r>
    </w:p>
    <w:p>
      <w:pPr>
        <w:ind w:left="1100" w:right="100" w:hanging="323"/>
        <w:spacing w:after="0" w:line="255" w:lineRule="auto"/>
        <w:tabs>
          <w:tab w:leader="none" w:pos="10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fiscal year 2020, working capital was negatively impacted by increased inventory on hand of $14.0 million and decreased accounts payable and accrued liabilities of $18.0 million. Accounts receivable had a favorable impact on working capital as a result of the sale of the Fluid Management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February 28, 2021 and February 29, 2020:</w:t>
      </w:r>
    </w:p>
    <w:p>
      <w:pPr>
        <w:spacing w:after="0" w:line="171" w:lineRule="exact"/>
        <w:rPr>
          <w:sz w:val="20"/>
          <w:szCs w:val="20"/>
          <w:color w:val="auto"/>
        </w:rPr>
      </w:pPr>
    </w:p>
    <w:p>
      <w:pPr>
        <w:ind w:left="1100" w:hanging="32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$4.6 million of cash was used for fixed asset additions versus $5.8 million in the prior year.</w:t>
      </w:r>
    </w:p>
    <w:p>
      <w:pPr>
        <w:spacing w:after="0" w:line="23" w:lineRule="exact"/>
        <w:rPr>
          <w:rFonts w:ascii="Arial" w:cs="Arial" w:eastAsia="Arial" w:hAnsi="Arial"/>
          <w:sz w:val="18"/>
          <w:szCs w:val="18"/>
          <w:color w:val="auto"/>
        </w:rPr>
      </w:pPr>
    </w:p>
    <w:p>
      <w:pPr>
        <w:ind w:left="1100" w:right="140" w:hanging="323"/>
        <w:spacing w:after="0" w:line="260" w:lineRule="auto"/>
        <w:tabs>
          <w:tab w:leader="none" w:pos="10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$45.8 million of cash was used to acquire Eximo Medical Ltd. in the second quarter of fiscal year 2020 and $10.0 million of cash was used to acquire the C3 wave tip location asset in the third quarter of fiscal year 2020.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used in financing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February 28, 2021 and February 29, 2020:</w:t>
      </w:r>
    </w:p>
    <w:p>
      <w:pPr>
        <w:spacing w:after="0" w:line="171" w:lineRule="exact"/>
        <w:rPr>
          <w:sz w:val="20"/>
          <w:szCs w:val="20"/>
          <w:color w:val="auto"/>
        </w:rPr>
      </w:pPr>
    </w:p>
    <w:p>
      <w:pPr>
        <w:ind w:left="1100" w:hanging="32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$10.0 million payment on the Revolving Facility in the third quarter of fiscal year 2021.</w:t>
      </w:r>
    </w:p>
    <w:p>
      <w:pPr>
        <w:spacing w:after="0" w:line="23" w:lineRule="exact"/>
        <w:rPr>
          <w:rFonts w:ascii="Arial" w:cs="Arial" w:eastAsia="Arial" w:hAnsi="Arial"/>
          <w:sz w:val="18"/>
          <w:szCs w:val="18"/>
          <w:color w:val="auto"/>
        </w:rPr>
      </w:pPr>
    </w:p>
    <w:p>
      <w:pPr>
        <w:ind w:left="1100" w:right="40" w:hanging="323"/>
        <w:spacing w:after="0" w:line="250" w:lineRule="auto"/>
        <w:tabs>
          <w:tab w:leader="none" w:pos="10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$132.5 million repayment of long-term debt in conjunction with the new Credit Agreement that was entered into at the beginning of the first quarter of fiscal year 2020.</w:t>
      </w:r>
    </w:p>
    <w:p>
      <w:pPr>
        <w:ind w:left="1100" w:hanging="32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$15.0 million draw on the revolver in fiscal year 2020 for the acquisition of the C3 Wave tip location asset.</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$2.5 million of proceeds from stock option and ESPP activity versus $0.7 million in outlays in the prior year.</w:t>
      </w:r>
    </w:p>
    <w:p>
      <w:pPr>
        <w:spacing w:after="0" w:line="9" w:lineRule="exact"/>
        <w:rPr>
          <w:rFonts w:ascii="Arial" w:cs="Arial" w:eastAsia="Arial" w:hAnsi="Arial"/>
          <w:sz w:val="18"/>
          <w:szCs w:val="18"/>
          <w:color w:val="auto"/>
        </w:rPr>
      </w:pPr>
    </w:p>
    <w:p>
      <w:pPr>
        <w:ind w:left="1100" w:hanging="323"/>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$1.2 million payment on earn-out liabilities in the prior year.</w:t>
      </w:r>
    </w:p>
    <w:p>
      <w:pPr>
        <w:spacing w:after="0" w:line="15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On June 3, 2019 and in connection with the completion of the Fluid Management divestiture, the Company repaid all amounts outstanding under its existing Credit Agreement and entered into a new Credit Agreement. The Credit Agreement provides for a $125.0 million secured Revolving Facility, which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 The interest rate on the Revolving Facility at February 28, 2021 was 1.63%.</w:t>
      </w:r>
    </w:p>
    <w:p>
      <w:pPr>
        <w:spacing w:after="0" w:line="14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December 17, 2019, the Company made a $15.0 million draw on the Revolving Facility as part of the acquisition of the C3 Wave tip location asset from Medical Components Inc. that is described Note 2 to the financial statements. In the fourth quarter of fiscal year 2020, the Company made an additional $25.0 million draw on the Revolving Facility. In December 2020, a payment of $10.0 million was made on the Revolving Facility and in March 2021 another $10.0 million payment was made</w:t>
      </w:r>
    </w:p>
    <w:p>
      <w:pPr>
        <w:sectPr>
          <w:pgSz w:w="11900" w:h="16838" w:orient="portrait"/>
          <w:cols w:equalWidth="0" w:num="1">
            <w:col w:w="11240"/>
          </w:cols>
          <w:pgMar w:left="320" w:top="1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transact sales in currencies other than the U.S. Dollar, particularly the Euro, British pound and Canadian dollar. For the nine months ended February 28, 2021, approximately 7%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June 3, 2019, we entered into the Credit Agreement which provides for a $125 million Revolving Facility. Interest on the facility will be based, at the Company’s option, on either a base rate of LIBOR or alternate base rate, plus an applicable margin tied to the Company’s total leverage ratio and having ranges between 0.25% and 0.75% for base rate loans and between 1.25% and 1.75% for LIBOR loans. In the event of default, the interest rate may be increased by 2.0%. As of February 28, 2021 there was $30.0 million outstanding on the Revolving Facility. The interest rate on the Revolving Facility at February 28, 2021 was 1.63%.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ind w:right="760" w:firstLine="405"/>
        <w:spacing w:after="0" w:line="277"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cash equivalents, our credit facility and trade accounts receivable.</w:t>
      </w:r>
    </w:p>
    <w:p>
      <w:pPr>
        <w:spacing w:after="0" w:line="116"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The Company maintains cash and cash equivalents at various institutions and performs periodic evaluations of the relative credit standings of these financial institutions to ensure their credit worthiness. In addition, the Credit Agreement is structured across five above investment grade banks. The Company has the ability to draw equally amongst the five banks which limits the concentration of credit risk of one institution.</w:t>
      </w:r>
    </w:p>
    <w:p>
      <w:pPr>
        <w:spacing w:after="0" w:line="11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for the fiscal quarter ended February 28,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AngioDynamics, Inc.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 Bard, Inc. v. AngioDynamics, Inc.</w:t>
      </w:r>
    </w:p>
    <w:p>
      <w:pPr>
        <w:spacing w:after="0" w:line="175"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January 11, 2012, C.R. Bard, Inc. (“Bard”) filed a suit in the United States District Court of Utah claiming certain of the Company's implantable port products infringe on three U.S. patents held by Bard (US Patent Nos. 7,785,302, 7,959,615 (“615”) and 7,947,022).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on November 16, 2020, the court granted the Company’s motion to transfer the case from the District of Utah to the United States District Court for the District of Delaware (“District of Delaware”). The parties filed a proposed scheduling order on March 12, 2021. The Company believes these claims are without merit and intends to defend them vigorously. The Company has not recorded an expense related to the outcome of this litigation because it is not yet possible to determine if a potential loss is probable nor reasonably estimable.</w:t>
      </w:r>
    </w:p>
    <w:p>
      <w:pPr>
        <w:spacing w:after="0" w:line="127"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On day four of the jury trial,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which remains stayed in the case. Bard appealed the judgment to the Federal Circuit and on November 10, 2020, the Federal Circuit reversed the judgment in part with respect to Section 101, and vacated and remanded the trial court’s invalidity and non-infringement judgments. The Company filed a combined Petition for rehearing and rehearing en banc on December 10, 2020, which was denied on January 15, 2021. The Federal Circuit issued its mandate on January 22, 2021. On March 15, 2021, the District of Delaware entered an order requiring the parties to submit status reports and denied as moot the Company’s motion for attorney’s fees and expenses. The matter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1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March 8, 2021, Bard filed suit in the District of Delaware asserting certain of the Company’s port products (including certain related infusion sets) infringe U.S. Patent Nos. 8,025,639, 9,603,992 and 9,603,993. The Company has not yet answered, and the matter remains pending. The Company maintains its belief that Bard’s claims are without merit. The Company has not recorded an expense related to the outcome of this litigation because it is not yet possible to determine if a potential loss is probable nor reasonably estimable.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AngioDynamics, Inc. v. C.R. Bard, Inc.</w:t>
      </w:r>
    </w:p>
    <w:p>
      <w:pPr>
        <w:spacing w:after="0" w:line="175"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May 30, 2017, the Company commenced an action in the United States District Court for the Northern District of New York entitled AngioDynamics, Inc. v. C.R. Bard, Inc. and Bard Access Systems, Inc. (“Bard”). In this action, the Company alleges that Bard has illegally tied the sales of its tip location systems to the sales of its PICCs. The Company alleges that this practice violates the federal antitrust laws and has had, and continues to have, an anti-competitive effect in the market for PICCs. The Company seeks both monetary damages and injunctive relief. Bard moved to dismiss on September 8, 2017. On August 6, 2018 the court denied Bard’s motion in its entirety. Discovery is largely complete, summary judgment, including all reply briefs, were fully briefed in October 2020, and the case will subsequently proceed to trial thereafter.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Merz North America Settlement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May 16, 2019, Merz North America, Inc. (“Merz”) commenced an action in the United States District Court for the Southern District of New York entitled Merz North America, Inc. v. AngioDynamics, Inc. In this action, Merz alleged breach</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of contract against AngioDynamics based on a March 1, 2016 Distribution Agreement. On June 28, 2019, AngioDynamics reached a settlement with Merz. AngioDynamics made a lump-sum payment of $2.5 million to Merz in return for dismissal of the case with prejudice during the first quarter of fiscal year 2020. The case was subsequently dismissed.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information set forth in this report, you should carefully consider the factors discussed in “Part I, Item 1A. Risk Factors” of our annual report on Form 10-K for our fiscal year ended May 31, 2020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information with respect to the shares of the Company’s common stock repurchased during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w w:val="91"/>
              </w:rPr>
              <w:t>Issuer Purchases of Equity Securities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8"/>
              </w:rPr>
              <w:t>Maximum</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6"/>
              </w:rPr>
              <w:t>Approximate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6"/>
              </w:rPr>
              <w:t>Dollar Value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85"/>
              </w:rPr>
              <w:t>Shares</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0"/>
              </w:rPr>
              <w:t>of Shares</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86"/>
              </w:rPr>
              <w:t>Purchased</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4"/>
              </w:rPr>
              <w:t>that May Yet</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1"/>
              </w:rPr>
              <w:t>Average</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90"/>
              </w:rPr>
              <w:t>as Part of</w:t>
            </w: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93"/>
              </w:rPr>
              <w:t>Be</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4"/>
              </w:rPr>
              <w:t>Number of</w:t>
            </w:r>
          </w:p>
        </w:tc>
        <w:tc>
          <w:tcPr>
            <w:tcW w:w="1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80" w:type="dxa"/>
            <w:vAlign w:val="bottom"/>
            <w:gridSpan w:val="3"/>
          </w:tcPr>
          <w:p>
            <w:pPr>
              <w:jc w:val="center"/>
              <w:ind w:right="140"/>
              <w:spacing w:after="0" w:line="135" w:lineRule="exact"/>
              <w:rPr>
                <w:sz w:val="20"/>
                <w:szCs w:val="20"/>
                <w:color w:val="auto"/>
              </w:rPr>
            </w:pPr>
            <w:r>
              <w:rPr>
                <w:rFonts w:ascii="Arial" w:cs="Arial" w:eastAsia="Arial" w:hAnsi="Arial"/>
                <w:sz w:val="14"/>
                <w:szCs w:val="14"/>
                <w:color w:val="auto"/>
                <w:w w:val="99"/>
              </w:rPr>
              <w:t>Publicly</w:t>
            </w:r>
          </w:p>
        </w:tc>
        <w:tc>
          <w:tcPr>
            <w:tcW w:w="140" w:type="dxa"/>
            <w:vAlign w:val="bottom"/>
          </w:tcPr>
          <w:p>
            <w:pPr>
              <w:spacing w:after="0"/>
              <w:rPr>
                <w:sz w:val="11"/>
                <w:szCs w:val="11"/>
                <w:color w:val="auto"/>
              </w:rPr>
            </w:pPr>
          </w:p>
        </w:tc>
        <w:tc>
          <w:tcPr>
            <w:tcW w:w="1160" w:type="dxa"/>
            <w:vAlign w:val="bottom"/>
          </w:tcPr>
          <w:p>
            <w:pPr>
              <w:jc w:val="center"/>
              <w:ind w:right="82"/>
              <w:spacing w:after="0" w:line="135" w:lineRule="exact"/>
              <w:rPr>
                <w:sz w:val="20"/>
                <w:szCs w:val="20"/>
                <w:color w:val="auto"/>
              </w:rPr>
            </w:pPr>
            <w:r>
              <w:rPr>
                <w:rFonts w:ascii="Arial" w:cs="Arial" w:eastAsia="Arial" w:hAnsi="Arial"/>
                <w:sz w:val="14"/>
                <w:szCs w:val="14"/>
                <w:color w:val="auto"/>
                <w:w w:val="89"/>
              </w:rPr>
              <w:t>Purchased</w:t>
            </w:r>
          </w:p>
        </w:tc>
        <w:tc>
          <w:tcPr>
            <w:tcW w:w="0" w:type="dxa"/>
            <w:vAlign w:val="bottom"/>
          </w:tcPr>
          <w:p>
            <w:pPr>
              <w:spacing w:after="0"/>
              <w:rPr>
                <w:sz w:val="1"/>
                <w:szCs w:val="1"/>
                <w:color w:val="auto"/>
              </w:rPr>
            </w:pPr>
          </w:p>
        </w:tc>
      </w:tr>
      <w:tr>
        <w:trPr>
          <w:trHeight w:val="135"/>
        </w:trPr>
        <w:tc>
          <w:tcPr>
            <w:tcW w:w="6420" w:type="dxa"/>
            <w:vAlign w:val="bottom"/>
          </w:tcPr>
          <w:p>
            <w:pPr>
              <w:spacing w:after="0"/>
              <w:rPr>
                <w:sz w:val="11"/>
                <w:szCs w:val="11"/>
                <w:color w:val="auto"/>
              </w:rPr>
            </w:pPr>
          </w:p>
        </w:tc>
        <w:tc>
          <w:tcPr>
            <w:tcW w:w="116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85"/>
              </w:rPr>
              <w:t>Shares</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0"/>
              </w:rPr>
              <w:t>Price Paid</w:t>
            </w:r>
          </w:p>
        </w:tc>
        <w:tc>
          <w:tcPr>
            <w:tcW w:w="1180" w:type="dxa"/>
            <w:vAlign w:val="bottom"/>
            <w:gridSpan w:val="3"/>
          </w:tcPr>
          <w:p>
            <w:pPr>
              <w:jc w:val="center"/>
              <w:ind w:right="120"/>
              <w:spacing w:after="0" w:line="135" w:lineRule="exact"/>
              <w:rPr>
                <w:sz w:val="20"/>
                <w:szCs w:val="20"/>
                <w:color w:val="auto"/>
              </w:rPr>
            </w:pPr>
            <w:r>
              <w:rPr>
                <w:rFonts w:ascii="Arial" w:cs="Arial" w:eastAsia="Arial" w:hAnsi="Arial"/>
                <w:sz w:val="14"/>
                <w:szCs w:val="14"/>
                <w:color w:val="auto"/>
                <w:w w:val="93"/>
              </w:rPr>
              <w:t>Announced</w:t>
            </w:r>
          </w:p>
        </w:tc>
        <w:tc>
          <w:tcPr>
            <w:tcW w:w="140" w:type="dxa"/>
            <w:vAlign w:val="bottom"/>
          </w:tcPr>
          <w:p>
            <w:pPr>
              <w:spacing w:after="0"/>
              <w:rPr>
                <w:sz w:val="11"/>
                <w:szCs w:val="11"/>
                <w:color w:val="auto"/>
              </w:rPr>
            </w:pPr>
          </w:p>
        </w:tc>
        <w:tc>
          <w:tcPr>
            <w:tcW w:w="1160" w:type="dxa"/>
            <w:vAlign w:val="bottom"/>
          </w:tcPr>
          <w:p>
            <w:pPr>
              <w:jc w:val="center"/>
              <w:ind w:right="62"/>
              <w:spacing w:after="0" w:line="135" w:lineRule="exact"/>
              <w:rPr>
                <w:sz w:val="20"/>
                <w:szCs w:val="20"/>
                <w:color w:val="auto"/>
              </w:rPr>
            </w:pPr>
            <w:r>
              <w:rPr>
                <w:rFonts w:ascii="Arial" w:cs="Arial" w:eastAsia="Arial" w:hAnsi="Arial"/>
                <w:sz w:val="14"/>
                <w:szCs w:val="14"/>
                <w:color w:val="auto"/>
                <w:w w:val="90"/>
              </w:rPr>
              <w:t>Under Plans</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Purchased(1)</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87"/>
              </w:rPr>
              <w:t>per Share</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Programs (2)</w:t>
            </w:r>
          </w:p>
        </w:tc>
        <w:tc>
          <w:tcPr>
            <w:tcW w:w="14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Arial" w:cs="Arial" w:eastAsia="Arial" w:hAnsi="Arial"/>
                <w:sz w:val="14"/>
                <w:szCs w:val="14"/>
                <w:color w:val="auto"/>
                <w:w w:val="93"/>
              </w:rPr>
              <w:t>or Programs (2)</w:t>
            </w:r>
          </w:p>
        </w:tc>
        <w:tc>
          <w:tcPr>
            <w:tcW w:w="0" w:type="dxa"/>
            <w:vAlign w:val="bottom"/>
          </w:tcPr>
          <w:p>
            <w:pPr>
              <w:spacing w:after="0"/>
              <w:rPr>
                <w:sz w:val="1"/>
                <w:szCs w:val="1"/>
                <w:color w:val="auto"/>
              </w:rPr>
            </w:pPr>
          </w:p>
        </w:tc>
      </w:tr>
      <w:tr>
        <w:trPr>
          <w:trHeight w:val="226"/>
        </w:trPr>
        <w:tc>
          <w:tcPr>
            <w:tcW w:w="6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2020 - December 31, 2020</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rPr>
              <w:t>January 1, 2021 - January 31, 2021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 2021 - February 28,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580" w:hanging="329"/>
        <w:spacing w:after="0"/>
        <w:tabs>
          <w:tab w:leader="none" w:pos="58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These shares were purchased from employees to satisfy tax withholding requirements on the vesting of restricted shares/units from equity-based awards.</w:t>
      </w:r>
    </w:p>
    <w:p>
      <w:pPr>
        <w:spacing w:after="0" w:line="30" w:lineRule="exact"/>
        <w:rPr>
          <w:rFonts w:ascii="Arial" w:cs="Arial" w:eastAsia="Arial" w:hAnsi="Arial"/>
          <w:sz w:val="15"/>
          <w:szCs w:val="15"/>
          <w:color w:val="auto"/>
        </w:rPr>
      </w:pPr>
    </w:p>
    <w:p>
      <w:pPr>
        <w:ind w:left="580" w:hanging="329"/>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These amounts are not applicable as the Company currently does not have a share repurchase program in effect.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on Senior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60" w:type="dxa"/>
            <w:vAlign w:val="bottom"/>
          </w:tcPr>
          <w:p>
            <w:pPr>
              <w:spacing w:after="0"/>
              <w:rPr>
                <w:sz w:val="24"/>
                <w:szCs w:val="24"/>
                <w:color w:val="auto"/>
              </w:rPr>
            </w:pPr>
          </w:p>
        </w:tc>
        <w:tc>
          <w:tcPr>
            <w:tcW w:w="4600" w:type="dxa"/>
            <w:vAlign w:val="bottom"/>
            <w:gridSpan w:val="11"/>
          </w:tcPr>
          <w:p>
            <w:pPr>
              <w:ind w:left="1580"/>
              <w:spacing w:after="0"/>
              <w:rPr>
                <w:sz w:val="20"/>
                <w:szCs w:val="20"/>
                <w:color w:val="auto"/>
              </w:rPr>
            </w:pPr>
            <w:r>
              <w:rPr>
                <w:rFonts w:ascii="Arial" w:cs="Arial" w:eastAsia="Arial" w:hAnsi="Arial"/>
                <w:sz w:val="18"/>
                <w:szCs w:val="18"/>
                <w:b w:val="1"/>
                <w:bCs w:val="1"/>
                <w:color w:val="auto"/>
              </w:rPr>
              <w:t>EXHIBIT INDEX</w:t>
            </w:r>
          </w:p>
        </w:tc>
        <w:tc>
          <w:tcPr>
            <w:tcW w:w="14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Incorporated by Reference</w:t>
            </w: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No.</w:t>
            </w:r>
          </w:p>
        </w:tc>
        <w:tc>
          <w:tcPr>
            <w:tcW w:w="4600" w:type="dxa"/>
            <w:vAlign w:val="bottom"/>
            <w:tcBorders>
              <w:bottom w:val="single" w:sz="8" w:color="auto"/>
            </w:tcBorders>
            <w:gridSpan w:val="11"/>
          </w:tcPr>
          <w:p>
            <w:pPr>
              <w:ind w:left="1840"/>
              <w:spacing w:after="0"/>
              <w:rPr>
                <w:sz w:val="20"/>
                <w:szCs w:val="20"/>
                <w:color w:val="auto"/>
              </w:rPr>
            </w:pPr>
            <w:r>
              <w:rPr>
                <w:rFonts w:ascii="Arial" w:cs="Arial" w:eastAsia="Arial" w:hAnsi="Arial"/>
                <w:sz w:val="18"/>
                <w:szCs w:val="18"/>
                <w:b w:val="1"/>
                <w:bCs w:val="1"/>
                <w:color w:val="auto"/>
              </w:rPr>
              <w:t>Description</w:t>
            </w:r>
          </w:p>
        </w:tc>
        <w:tc>
          <w:tcPr>
            <w:tcW w:w="148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5"/>
              </w:rPr>
              <w:t>Form</w:t>
            </w:r>
          </w:p>
        </w:tc>
        <w:tc>
          <w:tcPr>
            <w:tcW w:w="24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Exhibit</w:t>
            </w:r>
          </w:p>
        </w:tc>
        <w:tc>
          <w:tcPr>
            <w:tcW w:w="17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439"/>
        </w:trPr>
        <w:tc>
          <w:tcPr>
            <w:tcW w:w="1060" w:type="dxa"/>
            <w:vAlign w:val="bottom"/>
          </w:tcPr>
          <w:p>
            <w:pPr>
              <w:ind w:left="20"/>
              <w:spacing w:after="0"/>
              <w:rPr>
                <w:sz w:val="20"/>
                <w:szCs w:val="20"/>
                <w:color w:val="auto"/>
              </w:rPr>
            </w:pPr>
            <w:r>
              <w:rPr>
                <w:rFonts w:ascii="Arial" w:cs="Arial" w:eastAsia="Arial" w:hAnsi="Arial"/>
                <w:sz w:val="18"/>
                <w:szCs w:val="18"/>
                <w:color w:val="auto"/>
              </w:rPr>
              <w:t>10.19</w:t>
            </w:r>
          </w:p>
        </w:tc>
        <w:tc>
          <w:tcPr>
            <w:tcW w:w="4600" w:type="dxa"/>
            <w:vAlign w:val="bottom"/>
            <w:gridSpan w:val="11"/>
          </w:tcPr>
          <w:p>
            <w:pPr>
              <w:spacing w:after="0"/>
              <w:rPr>
                <w:rFonts w:ascii="Arial" w:cs="Arial" w:eastAsia="Arial" w:hAnsi="Arial"/>
                <w:sz w:val="18"/>
                <w:szCs w:val="18"/>
                <w:color w:val="0000FF"/>
                <w:w w:val="92"/>
              </w:rPr>
            </w:pPr>
            <w:hyperlink r:id="rId57">
              <w:r>
                <w:rPr>
                  <w:rFonts w:ascii="Arial" w:cs="Arial" w:eastAsia="Arial" w:hAnsi="Arial"/>
                  <w:sz w:val="18"/>
                  <w:szCs w:val="18"/>
                  <w:color w:val="0000FF"/>
                  <w:w w:val="92"/>
                </w:rPr>
                <w:t>Amended and Restated Change in Control Agreement, by and</w:t>
              </w:r>
            </w:hyperlink>
          </w:p>
        </w:tc>
        <w:tc>
          <w:tcPr>
            <w:tcW w:w="1480" w:type="dxa"/>
            <w:vAlign w:val="bottom"/>
            <w:vMerge w:val="restart"/>
          </w:tcPr>
          <w:p>
            <w:pPr>
              <w:jc w:val="center"/>
              <w:ind w:left="270"/>
              <w:spacing w:after="0"/>
              <w:rPr>
                <w:sz w:val="20"/>
                <w:szCs w:val="20"/>
                <w:color w:val="auto"/>
              </w:rPr>
            </w:pPr>
            <w:r>
              <w:rPr>
                <w:rFonts w:ascii="Arial" w:cs="Arial" w:eastAsia="Arial" w:hAnsi="Arial"/>
                <w:sz w:val="18"/>
                <w:szCs w:val="18"/>
                <w:color w:val="auto"/>
                <w:w w:val="99"/>
              </w:rPr>
              <w:t>8-K</w:t>
            </w:r>
          </w:p>
        </w:tc>
        <w:tc>
          <w:tcPr>
            <w:tcW w:w="2400" w:type="dxa"/>
            <w:vAlign w:val="bottom"/>
            <w:vMerge w:val="restart"/>
          </w:tcPr>
          <w:p>
            <w:pPr>
              <w:jc w:val="center"/>
              <w:ind w:left="110"/>
              <w:spacing w:after="0"/>
              <w:rPr>
                <w:sz w:val="20"/>
                <w:szCs w:val="20"/>
                <w:color w:val="auto"/>
              </w:rPr>
            </w:pPr>
            <w:r>
              <w:rPr>
                <w:rFonts w:ascii="Arial" w:cs="Arial" w:eastAsia="Arial" w:hAnsi="Arial"/>
                <w:sz w:val="18"/>
                <w:szCs w:val="18"/>
                <w:color w:val="auto"/>
                <w:w w:val="91"/>
              </w:rPr>
              <w:t>10.1</w:t>
            </w:r>
          </w:p>
        </w:tc>
        <w:tc>
          <w:tcPr>
            <w:tcW w:w="1700" w:type="dxa"/>
            <w:vAlign w:val="bottom"/>
            <w:vMerge w:val="restart"/>
          </w:tcPr>
          <w:p>
            <w:pPr>
              <w:jc w:val="center"/>
              <w:ind w:right="70"/>
              <w:spacing w:after="0"/>
              <w:rPr>
                <w:sz w:val="20"/>
                <w:szCs w:val="20"/>
                <w:color w:val="auto"/>
              </w:rPr>
            </w:pPr>
            <w:r>
              <w:rPr>
                <w:rFonts w:ascii="Arial" w:cs="Arial" w:eastAsia="Arial" w:hAnsi="Arial"/>
                <w:sz w:val="18"/>
                <w:szCs w:val="18"/>
                <w:color w:val="auto"/>
                <w:w w:val="88"/>
              </w:rPr>
              <w:t>February 3, 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4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between AngioDynamics, Inc. and James C. Clemmer.</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60" w:type="dxa"/>
            <w:vAlign w:val="bottom"/>
          </w:tcPr>
          <w:p>
            <w:pPr>
              <w:ind w:left="20"/>
              <w:spacing w:after="0"/>
              <w:rPr>
                <w:sz w:val="20"/>
                <w:szCs w:val="20"/>
                <w:color w:val="auto"/>
              </w:rPr>
            </w:pPr>
            <w:r>
              <w:rPr>
                <w:rFonts w:ascii="Arial" w:cs="Arial" w:eastAsia="Arial" w:hAnsi="Arial"/>
                <w:sz w:val="18"/>
                <w:szCs w:val="18"/>
                <w:color w:val="auto"/>
              </w:rPr>
              <w:t>10.20</w:t>
            </w:r>
          </w:p>
        </w:tc>
        <w:tc>
          <w:tcPr>
            <w:tcW w:w="4600" w:type="dxa"/>
            <w:vAlign w:val="bottom"/>
            <w:gridSpan w:val="11"/>
          </w:tcPr>
          <w:p>
            <w:pPr>
              <w:spacing w:after="0"/>
              <w:rPr>
                <w:rFonts w:ascii="Arial" w:cs="Arial" w:eastAsia="Arial" w:hAnsi="Arial"/>
                <w:sz w:val="18"/>
                <w:szCs w:val="18"/>
                <w:color w:val="0000FF"/>
                <w:w w:val="91"/>
              </w:rPr>
            </w:pPr>
            <w:hyperlink r:id="rId57">
              <w:r>
                <w:rPr>
                  <w:rFonts w:ascii="Arial" w:cs="Arial" w:eastAsia="Arial" w:hAnsi="Arial"/>
                  <w:sz w:val="18"/>
                  <w:szCs w:val="18"/>
                  <w:color w:val="0000FF"/>
                  <w:w w:val="91"/>
                </w:rPr>
                <w:t>Form of Amended and Restated Change in Control Agreement</w:t>
              </w:r>
            </w:hyperlink>
          </w:p>
        </w:tc>
        <w:tc>
          <w:tcPr>
            <w:tcW w:w="1480" w:type="dxa"/>
            <w:vAlign w:val="bottom"/>
            <w:vMerge w:val="restart"/>
          </w:tcPr>
          <w:p>
            <w:pPr>
              <w:jc w:val="center"/>
              <w:ind w:left="270"/>
              <w:spacing w:after="0"/>
              <w:rPr>
                <w:sz w:val="20"/>
                <w:szCs w:val="20"/>
                <w:color w:val="auto"/>
              </w:rPr>
            </w:pPr>
            <w:r>
              <w:rPr>
                <w:rFonts w:ascii="Arial" w:cs="Arial" w:eastAsia="Arial" w:hAnsi="Arial"/>
                <w:sz w:val="18"/>
                <w:szCs w:val="18"/>
                <w:color w:val="auto"/>
                <w:w w:val="99"/>
              </w:rPr>
              <w:t>8-K</w:t>
            </w:r>
          </w:p>
        </w:tc>
        <w:tc>
          <w:tcPr>
            <w:tcW w:w="2400" w:type="dxa"/>
            <w:vAlign w:val="bottom"/>
            <w:vMerge w:val="restart"/>
          </w:tcPr>
          <w:p>
            <w:pPr>
              <w:jc w:val="center"/>
              <w:ind w:left="110"/>
              <w:spacing w:after="0"/>
              <w:rPr>
                <w:sz w:val="20"/>
                <w:szCs w:val="20"/>
                <w:color w:val="auto"/>
              </w:rPr>
            </w:pPr>
            <w:r>
              <w:rPr>
                <w:rFonts w:ascii="Arial" w:cs="Arial" w:eastAsia="Arial" w:hAnsi="Arial"/>
                <w:sz w:val="18"/>
                <w:szCs w:val="18"/>
                <w:color w:val="auto"/>
                <w:w w:val="91"/>
              </w:rPr>
              <w:t>10.2</w:t>
            </w:r>
          </w:p>
        </w:tc>
        <w:tc>
          <w:tcPr>
            <w:tcW w:w="1700" w:type="dxa"/>
            <w:vAlign w:val="bottom"/>
            <w:vMerge w:val="restart"/>
          </w:tcPr>
          <w:p>
            <w:pPr>
              <w:jc w:val="center"/>
              <w:ind w:right="70"/>
              <w:spacing w:after="0"/>
              <w:rPr>
                <w:sz w:val="20"/>
                <w:szCs w:val="20"/>
                <w:color w:val="auto"/>
              </w:rPr>
            </w:pPr>
            <w:r>
              <w:rPr>
                <w:rFonts w:ascii="Arial" w:cs="Arial" w:eastAsia="Arial" w:hAnsi="Arial"/>
                <w:sz w:val="18"/>
                <w:szCs w:val="18"/>
                <w:color w:val="auto"/>
                <w:w w:val="88"/>
              </w:rPr>
              <w:t>February 3, 2021</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45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with AngioDynamics, Inc.</w:t>
              </w:r>
            </w:hyperlink>
          </w:p>
        </w:tc>
        <w:tc>
          <w:tcPr>
            <w:tcW w:w="10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4600" w:type="dxa"/>
            <w:vAlign w:val="bottom"/>
            <w:gridSpan w:val="11"/>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Certification pursuant to Rule 13a-14(a) or 15d-14 under the</w:t>
              </w:r>
            </w:hyperlink>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3">
              <w:r>
                <w:rPr>
                  <w:rFonts w:ascii="Arial" w:cs="Arial" w:eastAsia="Arial" w:hAnsi="Arial"/>
                  <w:sz w:val="18"/>
                  <w:szCs w:val="18"/>
                  <w:color w:val="0000FF"/>
                </w:rPr>
                <w:t>Securities Exchange Act of 1934</w:t>
              </w:r>
            </w:hyperlink>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4600" w:type="dxa"/>
            <w:vAlign w:val="bottom"/>
            <w:gridSpan w:val="11"/>
          </w:tcPr>
          <w:p>
            <w:pPr>
              <w:spacing w:after="0"/>
              <w:rPr>
                <w:rFonts w:ascii="Arial" w:cs="Arial" w:eastAsia="Arial" w:hAnsi="Arial"/>
                <w:sz w:val="18"/>
                <w:szCs w:val="18"/>
                <w:color w:val="0000FF"/>
                <w:w w:val="95"/>
              </w:rPr>
            </w:pPr>
            <w:hyperlink w:anchor="page44">
              <w:r>
                <w:rPr>
                  <w:rFonts w:ascii="Arial" w:cs="Arial" w:eastAsia="Arial" w:hAnsi="Arial"/>
                  <w:sz w:val="18"/>
                  <w:szCs w:val="18"/>
                  <w:color w:val="0000FF"/>
                  <w:w w:val="95"/>
                </w:rPr>
                <w:t>Certification pursuant to Rule 13a-14(a) or 15d-14 under the</w:t>
              </w:r>
            </w:hyperlink>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4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Securities Exchange Act of 1934</w:t>
              </w:r>
            </w:hyperlink>
          </w:p>
        </w:tc>
        <w:tc>
          <w:tcPr>
            <w:tcW w:w="2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4600" w:type="dxa"/>
            <w:vAlign w:val="bottom"/>
            <w:gridSpan w:val="11"/>
          </w:tcPr>
          <w:p>
            <w:pPr>
              <w:spacing w:after="0"/>
              <w:rPr>
                <w:rFonts w:ascii="Arial" w:cs="Arial" w:eastAsia="Arial" w:hAnsi="Arial"/>
                <w:sz w:val="18"/>
                <w:szCs w:val="18"/>
                <w:color w:val="0000FF"/>
                <w:w w:val="98"/>
              </w:rPr>
            </w:pPr>
            <w:hyperlink w:anchor="page45">
              <w:r>
                <w:rPr>
                  <w:rFonts w:ascii="Arial" w:cs="Arial" w:eastAsia="Arial" w:hAnsi="Arial"/>
                  <w:sz w:val="18"/>
                  <w:szCs w:val="18"/>
                  <w:color w:val="0000FF"/>
                  <w:w w:val="98"/>
                </w:rPr>
                <w:t>Certification of Chief Executive Officer pursuant to Title 18,</w:t>
              </w:r>
            </w:hyperlink>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60" w:type="dxa"/>
            <w:vAlign w:val="bottom"/>
            <w:tcBorders>
              <w:top w:val="single" w:sz="8" w:color="0000FF"/>
            </w:tcBorders>
            <w:gridSpan w:val="8"/>
          </w:tcPr>
          <w:p>
            <w:pPr>
              <w:spacing w:after="0" w:line="156" w:lineRule="exact"/>
              <w:rPr>
                <w:rFonts w:ascii="Arial" w:cs="Arial" w:eastAsia="Arial" w:hAnsi="Arial"/>
                <w:sz w:val="18"/>
                <w:szCs w:val="18"/>
                <w:color w:val="0000FF"/>
                <w:w w:val="93"/>
              </w:rPr>
            </w:pPr>
            <w:hyperlink w:anchor="page45">
              <w:r>
                <w:rPr>
                  <w:rFonts w:ascii="Arial" w:cs="Arial" w:eastAsia="Arial" w:hAnsi="Arial"/>
                  <w:sz w:val="18"/>
                  <w:szCs w:val="18"/>
                  <w:color w:val="0000FF"/>
                  <w:w w:val="93"/>
                </w:rPr>
                <w:t>United States Code, Section 1350, as adopted pursuant to</w:t>
              </w:r>
            </w:hyperlink>
          </w:p>
        </w:tc>
        <w:tc>
          <w:tcPr>
            <w:tcW w:w="240" w:type="dxa"/>
            <w:vAlign w:val="bottom"/>
            <w:gridSpan w:val="3"/>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5">
              <w:r>
                <w:rPr>
                  <w:rFonts w:ascii="Arial" w:cs="Arial" w:eastAsia="Arial" w:hAnsi="Arial"/>
                  <w:sz w:val="18"/>
                  <w:szCs w:val="18"/>
                  <w:color w:val="0000FF"/>
                </w:rPr>
                <w:t>Section 906 of the Sarbanes-Oxley Act of 2002</w:t>
              </w:r>
            </w:hyperlink>
          </w:p>
        </w:tc>
        <w:tc>
          <w:tcPr>
            <w:tcW w:w="200" w:type="dxa"/>
            <w:vAlign w:val="bottom"/>
          </w:tcPr>
          <w:p>
            <w:pPr>
              <w:spacing w:after="0"/>
              <w:rPr>
                <w:sz w:val="13"/>
                <w:szCs w:val="13"/>
                <w:color w:val="auto"/>
              </w:rPr>
            </w:pPr>
          </w:p>
        </w:tc>
        <w:tc>
          <w:tcPr>
            <w:tcW w:w="280" w:type="dxa"/>
            <w:vAlign w:val="bottom"/>
            <w:gridSpan w:val="5"/>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4600" w:type="dxa"/>
            <w:vAlign w:val="bottom"/>
            <w:gridSpan w:val="11"/>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Certification of Chief Financial Officer pursuant to Title 18,</w:t>
              </w:r>
            </w:hyperlink>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320" w:type="dxa"/>
            <w:vAlign w:val="bottom"/>
            <w:tcBorders>
              <w:top w:val="single" w:sz="8" w:color="0000FF"/>
            </w:tcBorders>
            <w:gridSpan w:val="6"/>
          </w:tcPr>
          <w:p>
            <w:pPr>
              <w:spacing w:after="0" w:line="156"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United States Code, Section 1350, as adopted pursuant to</w:t>
              </w:r>
            </w:hyperlink>
          </w:p>
        </w:tc>
        <w:tc>
          <w:tcPr>
            <w:tcW w:w="280" w:type="dxa"/>
            <w:vAlign w:val="bottom"/>
            <w:gridSpan w:val="5"/>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41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46">
              <w:r>
                <w:rPr>
                  <w:rFonts w:ascii="Arial" w:cs="Arial" w:eastAsia="Arial" w:hAnsi="Arial"/>
                  <w:sz w:val="18"/>
                  <w:szCs w:val="18"/>
                  <w:color w:val="0000FF"/>
                </w:rPr>
                <w:t>Section 906 of the Sarbanes-Oxley Act of 2002</w:t>
              </w:r>
            </w:hyperlink>
          </w:p>
        </w:tc>
        <w:tc>
          <w:tcPr>
            <w:tcW w:w="480" w:type="dxa"/>
            <w:vAlign w:val="bottom"/>
            <w:gridSpan w:val="6"/>
          </w:tcPr>
          <w:p>
            <w:pPr>
              <w:spacing w:after="0"/>
              <w:rPr>
                <w:sz w:val="13"/>
                <w:szCs w:val="13"/>
                <w:color w:val="auto"/>
              </w:rPr>
            </w:pPr>
          </w:p>
        </w:tc>
        <w:tc>
          <w:tcPr>
            <w:tcW w:w="1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4600" w:type="dxa"/>
            <w:vAlign w:val="bottom"/>
            <w:gridSpan w:val="11"/>
          </w:tcPr>
          <w:p>
            <w:pPr>
              <w:spacing w:after="0"/>
              <w:rPr>
                <w:sz w:val="20"/>
                <w:szCs w:val="20"/>
                <w:color w:val="auto"/>
              </w:rPr>
            </w:pPr>
            <w:r>
              <w:rPr>
                <w:rFonts w:ascii="Arial" w:cs="Arial" w:eastAsia="Arial" w:hAnsi="Arial"/>
                <w:sz w:val="18"/>
                <w:szCs w:val="18"/>
                <w:color w:val="auto"/>
                <w:w w:val="91"/>
              </w:rPr>
              <w:t>The instance document does not appear in the interactive data</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4600" w:type="dxa"/>
            <w:vAlign w:val="bottom"/>
            <w:gridSpan w:val="11"/>
          </w:tcPr>
          <w:p>
            <w:pPr>
              <w:spacing w:after="0" w:line="176" w:lineRule="exact"/>
              <w:rPr>
                <w:sz w:val="20"/>
                <w:szCs w:val="20"/>
                <w:color w:val="auto"/>
              </w:rPr>
            </w:pPr>
            <w:r>
              <w:rPr>
                <w:rFonts w:ascii="Arial" w:cs="Arial" w:eastAsia="Arial" w:hAnsi="Arial"/>
                <w:sz w:val="18"/>
                <w:szCs w:val="18"/>
                <w:color w:val="auto"/>
                <w:w w:val="99"/>
              </w:rPr>
              <w:t>file because its XBRL tags are embedded within the inline</w:t>
            </w:r>
          </w:p>
        </w:tc>
        <w:tc>
          <w:tcPr>
            <w:tcW w:w="14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4600" w:type="dxa"/>
            <w:vAlign w:val="bottom"/>
            <w:gridSpan w:val="11"/>
          </w:tcPr>
          <w:p>
            <w:pPr>
              <w:spacing w:after="0"/>
              <w:rPr>
                <w:sz w:val="20"/>
                <w:szCs w:val="20"/>
                <w:color w:val="auto"/>
              </w:rPr>
            </w:pPr>
            <w:r>
              <w:rPr>
                <w:rFonts w:ascii="Arial" w:cs="Arial" w:eastAsia="Arial" w:hAnsi="Arial"/>
                <w:sz w:val="18"/>
                <w:szCs w:val="18"/>
                <w:color w:val="auto"/>
              </w:rPr>
              <w:t>XBRL document</w:t>
            </w:r>
          </w:p>
        </w:tc>
        <w:tc>
          <w:tcPr>
            <w:tcW w:w="1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4600" w:type="dxa"/>
            <w:vAlign w:val="bottom"/>
            <w:gridSpan w:val="11"/>
          </w:tcPr>
          <w:p>
            <w:pPr>
              <w:spacing w:after="0"/>
              <w:rPr>
                <w:sz w:val="20"/>
                <w:szCs w:val="20"/>
                <w:color w:val="auto"/>
              </w:rPr>
            </w:pPr>
            <w:r>
              <w:rPr>
                <w:rFonts w:ascii="Arial" w:cs="Arial" w:eastAsia="Arial" w:hAnsi="Arial"/>
                <w:sz w:val="18"/>
                <w:szCs w:val="18"/>
                <w:color w:val="auto"/>
              </w:rPr>
              <w:t>XBRL Schema Document</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4600" w:type="dxa"/>
            <w:vAlign w:val="bottom"/>
            <w:gridSpan w:val="11"/>
          </w:tcPr>
          <w:p>
            <w:pPr>
              <w:spacing w:after="0"/>
              <w:rPr>
                <w:sz w:val="20"/>
                <w:szCs w:val="20"/>
                <w:color w:val="auto"/>
              </w:rPr>
            </w:pPr>
            <w:r>
              <w:rPr>
                <w:rFonts w:ascii="Arial" w:cs="Arial" w:eastAsia="Arial" w:hAnsi="Arial"/>
                <w:sz w:val="18"/>
                <w:szCs w:val="18"/>
                <w:color w:val="auto"/>
              </w:rPr>
              <w:t>XBRL Calculation Linkbase Documents</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4600" w:type="dxa"/>
            <w:vAlign w:val="bottom"/>
            <w:gridSpan w:val="11"/>
          </w:tcPr>
          <w:p>
            <w:pPr>
              <w:spacing w:after="0"/>
              <w:rPr>
                <w:sz w:val="20"/>
                <w:szCs w:val="20"/>
                <w:color w:val="auto"/>
              </w:rPr>
            </w:pPr>
            <w:r>
              <w:rPr>
                <w:rFonts w:ascii="Arial" w:cs="Arial" w:eastAsia="Arial" w:hAnsi="Arial"/>
                <w:sz w:val="18"/>
                <w:szCs w:val="18"/>
                <w:color w:val="auto"/>
                <w:w w:val="98"/>
              </w:rPr>
              <w:t>XBRL Taxonomy Extension Definition Linkbase Document</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4600" w:type="dxa"/>
            <w:vAlign w:val="bottom"/>
            <w:gridSpan w:val="11"/>
          </w:tcPr>
          <w:p>
            <w:pPr>
              <w:spacing w:after="0"/>
              <w:rPr>
                <w:sz w:val="20"/>
                <w:szCs w:val="20"/>
                <w:color w:val="auto"/>
              </w:rPr>
            </w:pPr>
            <w:r>
              <w:rPr>
                <w:rFonts w:ascii="Arial" w:cs="Arial" w:eastAsia="Arial" w:hAnsi="Arial"/>
                <w:sz w:val="18"/>
                <w:szCs w:val="18"/>
                <w:color w:val="auto"/>
              </w:rPr>
              <w:t>XBRL Labels Linkbase Documents</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4600" w:type="dxa"/>
            <w:vAlign w:val="bottom"/>
            <w:gridSpan w:val="11"/>
          </w:tcPr>
          <w:p>
            <w:pPr>
              <w:spacing w:after="0"/>
              <w:rPr>
                <w:sz w:val="20"/>
                <w:szCs w:val="20"/>
                <w:color w:val="auto"/>
              </w:rPr>
            </w:pPr>
            <w:r>
              <w:rPr>
                <w:rFonts w:ascii="Arial" w:cs="Arial" w:eastAsia="Arial" w:hAnsi="Arial"/>
                <w:sz w:val="18"/>
                <w:szCs w:val="18"/>
                <w:color w:val="auto"/>
              </w:rPr>
              <w:t>XBRL Presentation Linkbase Documents</w:t>
            </w:r>
          </w:p>
        </w:tc>
        <w:tc>
          <w:tcPr>
            <w:tcW w:w="14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ANGIODYNAMICS, INC.</w:t>
            </w:r>
          </w:p>
        </w:tc>
      </w:tr>
      <w:tr>
        <w:trPr>
          <w:trHeight w:val="230"/>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March 31, 2021</w:t>
            </w:r>
          </w:p>
        </w:tc>
        <w:tc>
          <w:tcPr>
            <w:tcW w:w="798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 S /  JAMES C. CLEMMER</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James C. Clemmer, President,</w:t>
            </w:r>
          </w:p>
        </w:tc>
      </w:tr>
      <w:tr>
        <w:trPr>
          <w:trHeight w:val="175"/>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49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460" w:type="dxa"/>
            <w:vAlign w:val="bottom"/>
          </w:tcPr>
          <w:p>
            <w:pPr>
              <w:ind w:left="160"/>
              <w:spacing w:after="0"/>
              <w:rPr>
                <w:sz w:val="20"/>
                <w:szCs w:val="20"/>
                <w:color w:val="auto"/>
              </w:rPr>
            </w:pPr>
            <w:r>
              <w:rPr>
                <w:rFonts w:ascii="Arial" w:cs="Arial" w:eastAsia="Arial" w:hAnsi="Arial"/>
                <w:sz w:val="18"/>
                <w:szCs w:val="18"/>
                <w:color w:val="auto"/>
              </w:rPr>
              <w:t>March 31, 2021</w:t>
            </w:r>
          </w:p>
        </w:tc>
        <w:tc>
          <w:tcPr>
            <w:tcW w:w="7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S /  STEPHEN A. TROWBRIDGE</w:t>
            </w:r>
          </w:p>
        </w:tc>
      </w:tr>
      <w:tr>
        <w:trPr>
          <w:trHeight w:val="169"/>
        </w:trPr>
        <w:tc>
          <w:tcPr>
            <w:tcW w:w="5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9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Stephen A. Trowbridge, Executive Vice President,</w:t>
            </w:r>
          </w:p>
        </w:tc>
      </w:tr>
      <w:tr>
        <w:trPr>
          <w:trHeight w:val="175"/>
        </w:trPr>
        <w:tc>
          <w:tcPr>
            <w:tcW w:w="5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7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98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320" w:top="122" w:right="5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James C. Clemmer, certify that:</w:t>
      </w:r>
    </w:p>
    <w:p>
      <w:pPr>
        <w:spacing w:after="0" w:line="293" w:lineRule="exact"/>
        <w:rPr>
          <w:sz w:val="20"/>
          <w:szCs w:val="20"/>
          <w:color w:val="auto"/>
        </w:rPr>
      </w:pPr>
    </w:p>
    <w:p>
      <w:pPr>
        <w:ind w:left="540" w:hanging="49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40" w:right="220" w:hanging="494"/>
        <w:spacing w:after="0" w:line="22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200" w:hanging="494"/>
        <w:spacing w:after="0" w:line="248" w:lineRule="auto"/>
        <w:tabs>
          <w:tab w:leader="none" w:pos="5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220" w:hanging="494"/>
        <w:spacing w:after="0" w:line="22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ind w:left="540" w:right="180" w:hanging="494"/>
        <w:spacing w:after="0" w:line="22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40" w:right="960" w:hanging="494"/>
        <w:spacing w:after="0" w:line="264"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80" w:hanging="494"/>
        <w:spacing w:after="0" w:line="22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48" w:lineRule="auto"/>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3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60" w:hanging="494"/>
        <w:spacing w:after="0" w:line="23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ind w:right="9080" w:firstLine="8"/>
        <w:spacing w:after="0" w:line="340" w:lineRule="auto"/>
        <w:tabs>
          <w:tab w:leader="none" w:pos="95" w:val="left"/>
        </w:tabs>
        <w:numPr>
          <w:ilvl w:val="0"/>
          <w:numId w:val="41"/>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S / JAMES C. CLEMMER </w:t>
      </w:r>
      <w:r>
        <w:rPr>
          <w:rFonts w:ascii="Arial" w:cs="Arial" w:eastAsia="Arial" w:hAnsi="Arial"/>
          <w:sz w:val="15"/>
          <w:szCs w:val="15"/>
          <w:color w:val="auto"/>
        </w:rPr>
        <w:t>James C. Clemmer, President, Chief Executive Officer</w:t>
      </w:r>
    </w:p>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Stephen A. Trowbridge, certify that:</w:t>
      </w:r>
    </w:p>
    <w:p>
      <w:pPr>
        <w:spacing w:after="0" w:line="50" w:lineRule="exact"/>
        <w:rPr>
          <w:sz w:val="20"/>
          <w:szCs w:val="20"/>
          <w:color w:val="auto"/>
        </w:rPr>
      </w:pPr>
    </w:p>
    <w:p>
      <w:pPr>
        <w:ind w:left="540" w:hanging="49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AngioDynamics, Inc.;</w:t>
      </w:r>
    </w:p>
    <w:p>
      <w:pPr>
        <w:spacing w:after="0" w:line="23" w:lineRule="exact"/>
        <w:rPr>
          <w:rFonts w:ascii="Arial" w:cs="Arial" w:eastAsia="Arial" w:hAnsi="Arial"/>
          <w:sz w:val="18"/>
          <w:szCs w:val="18"/>
          <w:color w:val="auto"/>
        </w:rPr>
      </w:pPr>
    </w:p>
    <w:p>
      <w:pPr>
        <w:jc w:val="both"/>
        <w:ind w:left="540" w:right="220" w:hanging="494"/>
        <w:spacing w:after="0" w:line="22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40" w:right="200" w:hanging="494"/>
        <w:spacing w:after="0" w:line="248"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540" w:right="220" w:hanging="494"/>
        <w:spacing w:after="0" w:line="224"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540" w:right="420" w:hanging="494"/>
        <w:spacing w:after="0" w:line="224"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p>
      <w:pPr>
        <w:ind w:left="540" w:right="180" w:hanging="494"/>
        <w:spacing w:after="0" w:line="224"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jc w:val="both"/>
        <w:ind w:left="540" w:right="960" w:hanging="494"/>
        <w:spacing w:after="0" w:line="264"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80" w:hanging="494"/>
        <w:spacing w:after="0" w:line="224"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540" w:right="140" w:hanging="494"/>
        <w:spacing w:after="0" w:line="248"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540" w:right="380" w:hanging="494"/>
        <w:spacing w:after="0" w:line="23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540" w:right="360" w:hanging="494"/>
        <w:spacing w:after="0" w:line="234"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S / STEPHEN A. TROWBRIDGE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A. Trowbridge, 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ind w:left="340" w:right="2560"/>
        <w:spacing w:after="0" w:line="263" w:lineRule="auto"/>
        <w:rPr>
          <w:sz w:val="20"/>
          <w:szCs w:val="20"/>
          <w:color w:val="auto"/>
        </w:rPr>
      </w:pPr>
      <w:r>
        <w:rPr>
          <w:rFonts w:ascii="Arial" w:cs="Arial" w:eastAsia="Arial" w:hAnsi="Arial"/>
          <w:sz w:val="18"/>
          <w:szCs w:val="18"/>
          <w:color w:val="auto"/>
        </w:rPr>
        <w:t>CERTIFICATION OF CHIEF EXECUTIVE OFFICER PURSUANT TO TITLE 18, UNITED STATES CODE, SECTION 1350, AS ADOPTED PURSUANT TO SECTION 906 OF THE SARBANES-OXLEY ACT OF 2002</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James C. Clemmer, President, Chief Executive Officer and Director of ANGIODYNAMICS, Inc. (the "Company"), certify, pursuant to Section 906 of the Sarbanes-Oxley Act of 2002, 18 U.S.C. Section 1350, that, to the best of my knowledge:</w:t>
      </w:r>
    </w:p>
    <w:p>
      <w:pPr>
        <w:spacing w:after="0" w:line="238" w:lineRule="exact"/>
        <w:rPr>
          <w:sz w:val="20"/>
          <w:szCs w:val="20"/>
          <w:color w:val="auto"/>
        </w:rPr>
      </w:pPr>
    </w:p>
    <w:p>
      <w:pPr>
        <w:ind w:left="540" w:right="900" w:hanging="494"/>
        <w:spacing w:after="0" w:line="249"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February 28, 2021 (the "Report") fully complies with the requirements of Section 13(a) or 15(d) of the Securities Exchange Act of 1934 (15 U.S.C. 78m or 78o(d)); and</w:t>
      </w:r>
    </w:p>
    <w:p>
      <w:pPr>
        <w:ind w:left="540" w:hanging="494"/>
        <w:spacing w:after="0"/>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9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James C. Clemmer, President,</w:t>
      </w:r>
    </w:p>
    <w:p>
      <w:pPr>
        <w:ind w:left="1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56" w:lineRule="exact"/>
        <w:rPr>
          <w:sz w:val="20"/>
          <w:szCs w:val="20"/>
          <w:color w:val="auto"/>
        </w:rPr>
      </w:pPr>
    </w:p>
    <w:p>
      <w:pPr>
        <w:jc w:val="center"/>
        <w:ind w:left="340" w:right="2580"/>
        <w:spacing w:after="0" w:line="263" w:lineRule="auto"/>
        <w:rPr>
          <w:sz w:val="20"/>
          <w:szCs w:val="20"/>
          <w:color w:val="auto"/>
        </w:rPr>
      </w:pPr>
      <w:r>
        <w:rPr>
          <w:rFonts w:ascii="Arial" w:cs="Arial" w:eastAsia="Arial" w:hAnsi="Arial"/>
          <w:sz w:val="18"/>
          <w:szCs w:val="18"/>
          <w:color w:val="auto"/>
        </w:rPr>
        <w:t>CERTIFICATION OF CHIEF FINANCIAL OFFICER PURSUANT TO TITLE 18, UNITED STATES CODE, SECTION 1350, AS ADOPTED PURSUANT TO SECTION 906 OF THE SARBANES-OXLEY ACT OF 2002</w:t>
      </w:r>
    </w:p>
    <w:p>
      <w:pPr>
        <w:spacing w:after="0" w:line="2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I, Stephen A. Trowbridge, Senior Vice President, General Counsel and Interim Chief Financial Officer of ANGIODYNAMICS, Inc. (the "Company"), certify, pursuant to Section 906 of the Sarbanes-Oxley Act of 2002, 18 U.S.C. Section 1350, that, to the best of my knowledge:</w:t>
      </w:r>
    </w:p>
    <w:p>
      <w:pPr>
        <w:spacing w:after="0" w:line="214" w:lineRule="exact"/>
        <w:rPr>
          <w:sz w:val="20"/>
          <w:szCs w:val="20"/>
          <w:color w:val="auto"/>
        </w:rPr>
      </w:pPr>
    </w:p>
    <w:p>
      <w:pPr>
        <w:ind w:left="540" w:right="900" w:hanging="494"/>
        <w:spacing w:after="0" w:line="249"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fiscal quarter ended February 28, 2021 (the "Report") fully complies with the requirements of Section 13(a) or 15(d) of the Securities Exchange Act of 1934 (15 U.S.C. 78m or 78o(d)); and</w:t>
      </w:r>
    </w:p>
    <w:p>
      <w:pPr>
        <w:ind w:left="540" w:hanging="494"/>
        <w:spacing w:after="0"/>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2021</w:t>
      </w: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3549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A. Trowbridge, Executive Vice President,</w:t>
      </w: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3"/>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4"/>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decimal"/>
      <w:start w:val="5"/>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lowerLetter"/>
      <w:start w:val="1"/>
    </w:lvl>
  </w:abstractNum>
  <w:abstractNum w:abstractNumId="43">
    <w:nsid w:val="7A6D8D3C"/>
    <w:multiLevelType w:val="hybridMultilevel"/>
    <w:lvl w:ilvl="0">
      <w:lvlJc w:val="left"/>
      <w:lvlText w:val="%1."/>
      <w:numFmt w:val="decimal"/>
      <w:start w:val="5"/>
    </w:lvl>
  </w:abstractNum>
  <w:abstractNum w:abstractNumId="44">
    <w:nsid w:val="4B588F54"/>
    <w:multiLevelType w:val="hybridMultilevel"/>
    <w:lvl w:ilvl="0">
      <w:lvlJc w:val="left"/>
      <w:lvlText w:val="(%1)"/>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57" Type="http://schemas.openxmlformats.org/officeDocument/2006/relationships/hyperlink" Target="https://www.sec.gov/ix?doc=/Archives/edgar/data/1275187/000091412121000581/an55676910-8k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2021-03-31T11:12:35Z</dcterms:created>
  <dcterms:modified xsi:type="dcterms:W3CDTF">2021-03-31T11:12:35Z</dcterms:modified>
</cp:coreProperties>
</file>