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
        <w:spacing w:after="0"/>
        <w:rPr>
          <w:sz w:val="20"/>
          <w:szCs w:val="20"/>
          <w:color w:val="auto"/>
        </w:rPr>
      </w:pPr>
      <w:r>
        <w:rPr>
          <w:rFonts w:ascii="Arial" w:cs="Arial" w:eastAsia="Arial" w:hAnsi="Arial"/>
          <w:sz w:val="31"/>
          <w:szCs w:val="31"/>
          <w:b w:val="1"/>
          <w:bCs w:val="1"/>
          <w:color w:val="auto"/>
        </w:rPr>
        <w:t>UNITED STATES</w:t>
      </w:r>
    </w:p>
    <w:p>
      <w:pPr>
        <w:spacing w:after="0" w:line="43" w:lineRule="exact"/>
        <w:rPr>
          <w:sz w:val="24"/>
          <w:szCs w:val="24"/>
          <w:color w:val="auto"/>
        </w:rPr>
      </w:pPr>
    </w:p>
    <w:p>
      <w:pPr>
        <w:jc w:val="center"/>
        <w:ind w:right="-18"/>
        <w:spacing w:after="0"/>
        <w:rPr>
          <w:sz w:val="20"/>
          <w:szCs w:val="20"/>
          <w:color w:val="auto"/>
        </w:rPr>
      </w:pPr>
      <w:r>
        <w:rPr>
          <w:rFonts w:ascii="Arial" w:cs="Arial" w:eastAsia="Arial" w:hAnsi="Arial"/>
          <w:sz w:val="31"/>
          <w:szCs w:val="31"/>
          <w:b w:val="1"/>
          <w:bCs w:val="1"/>
          <w:color w:val="auto"/>
        </w:rPr>
        <w:t>SECURITIES AND EXCHANGE COMMISSION</w:t>
      </w:r>
    </w:p>
    <w:p>
      <w:pPr>
        <w:spacing w:after="0" w:line="8" w:lineRule="exact"/>
        <w:rPr>
          <w:sz w:val="24"/>
          <w:szCs w:val="24"/>
          <w:color w:val="auto"/>
        </w:rPr>
      </w:pPr>
    </w:p>
    <w:p>
      <w:pPr>
        <w:jc w:val="center"/>
        <w:ind w:right="-18"/>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46355</wp:posOffset>
            </wp:positionV>
            <wp:extent cx="25025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02535" cy="8255"/>
                    </a:xfrm>
                    <a:prstGeom prst="rect">
                      <a:avLst/>
                    </a:prstGeom>
                    <a:noFill/>
                  </pic:spPr>
                </pic:pic>
              </a:graphicData>
            </a:graphic>
          </wp:anchor>
        </w:drawing>
      </w:r>
    </w:p>
    <w:p>
      <w:pPr>
        <w:spacing w:after="0" w:line="129" w:lineRule="exact"/>
        <w:rPr>
          <w:sz w:val="24"/>
          <w:szCs w:val="24"/>
          <w:color w:val="auto"/>
        </w:rPr>
      </w:pPr>
    </w:p>
    <w:p>
      <w:pPr>
        <w:jc w:val="center"/>
        <w:ind w:right="-18"/>
        <w:spacing w:after="0"/>
        <w:rPr>
          <w:sz w:val="20"/>
          <w:szCs w:val="20"/>
          <w:color w:val="auto"/>
        </w:rPr>
      </w:pPr>
      <w:r>
        <w:rPr>
          <w:rFonts w:ascii="Arial" w:cs="Arial" w:eastAsia="Arial" w:hAnsi="Arial"/>
          <w:sz w:val="31"/>
          <w:szCs w:val="31"/>
          <w:b w:val="1"/>
          <w:bCs w:val="1"/>
          <w:color w:val="auto"/>
        </w:rPr>
        <w:t>FORM 10-K</w:t>
      </w:r>
    </w:p>
    <w:p>
      <w:pPr>
        <w:spacing w:after="0" w:line="220" w:lineRule="exact"/>
        <w:rPr>
          <w:sz w:val="24"/>
          <w:szCs w:val="24"/>
          <w:color w:val="auto"/>
        </w:rPr>
      </w:pPr>
    </w:p>
    <w:p>
      <w:pPr>
        <w:ind w:left="4179" w:right="2500" w:hanging="4179"/>
        <w:spacing w:after="0" w:line="224" w:lineRule="auto"/>
        <w:tabs>
          <w:tab w:leader="none" w:pos="663" w:val="left"/>
        </w:tabs>
        <w:numPr>
          <w:ilvl w:val="0"/>
          <w:numId w:val="1"/>
        </w:numPr>
        <w:rPr>
          <w:rFonts w:ascii="MS PGothic" w:cs="MS PGothic" w:eastAsia="MS PGothic" w:hAnsi="MS PGothic"/>
          <w:sz w:val="41"/>
          <w:szCs w:val="41"/>
          <w:color w:val="auto"/>
          <w:vertAlign w:val="subscript"/>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7"/>
          <w:szCs w:val="17"/>
          <w:b w:val="1"/>
          <w:bCs w:val="1"/>
          <w:color w:val="auto"/>
        </w:rPr>
        <w:t>For the fiscal year ended May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-426720</wp:posOffset>
            </wp:positionV>
            <wp:extent cx="25025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02535" cy="8255"/>
                    </a:xfrm>
                    <a:prstGeom prst="rect">
                      <a:avLst/>
                    </a:prstGeom>
                    <a:noFill/>
                  </pic:spPr>
                </pic:pic>
              </a:graphicData>
            </a:graphic>
          </wp:anchor>
        </w:drawing>
      </w:r>
    </w:p>
    <w:p>
      <w:pPr>
        <w:spacing w:after="0" w:line="196" w:lineRule="exact"/>
        <w:rPr>
          <w:sz w:val="24"/>
          <w:szCs w:val="24"/>
          <w:color w:val="auto"/>
        </w:rPr>
      </w:pPr>
    </w:p>
    <w:p>
      <w:pPr>
        <w:jc w:val="center"/>
        <w:ind w:right="-18"/>
        <w:spacing w:after="0"/>
        <w:rPr>
          <w:sz w:val="20"/>
          <w:szCs w:val="20"/>
          <w:color w:val="auto"/>
        </w:rPr>
      </w:pPr>
      <w:r>
        <w:rPr>
          <w:rFonts w:ascii="Arial" w:cs="Arial" w:eastAsia="Arial" w:hAnsi="Arial"/>
          <w:sz w:val="17"/>
          <w:szCs w:val="17"/>
          <w:b w:val="1"/>
          <w:bCs w:val="1"/>
          <w:color w:val="auto"/>
        </w:rPr>
        <w:t>OR</w:t>
      </w:r>
    </w:p>
    <w:p>
      <w:pPr>
        <w:spacing w:after="0" w:line="277" w:lineRule="exact"/>
        <w:rPr>
          <w:sz w:val="24"/>
          <w:szCs w:val="24"/>
          <w:color w:val="auto"/>
        </w:rPr>
      </w:pPr>
    </w:p>
    <w:p>
      <w:pPr>
        <w:ind w:left="679" w:hanging="666"/>
        <w:spacing w:after="0"/>
        <w:tabs>
          <w:tab w:leader="none" w:pos="679" w:val="left"/>
        </w:tabs>
        <w:numPr>
          <w:ilvl w:val="0"/>
          <w:numId w:val="2"/>
        </w:numPr>
        <w:rPr>
          <w:rFonts w:ascii="MS PGothic" w:cs="MS PGothic" w:eastAsia="MS PGothic" w:hAnsi="MS PGothic"/>
          <w:sz w:val="21"/>
          <w:szCs w:val="2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0" w:lineRule="exact"/>
        <w:rPr>
          <w:sz w:val="24"/>
          <w:szCs w:val="24"/>
          <w:color w:val="auto"/>
        </w:rPr>
      </w:pPr>
    </w:p>
    <w:p>
      <w:pPr>
        <w:ind w:left="3659"/>
        <w:spacing w:after="0"/>
        <w:tabs>
          <w:tab w:leader="none" w:pos="6659"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3768725</wp:posOffset>
            </wp:positionH>
            <wp:positionV relativeFrom="paragraph">
              <wp:posOffset>-5080</wp:posOffset>
            </wp:positionV>
            <wp:extent cx="1024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225" w:lineRule="exact"/>
        <w:rPr>
          <w:sz w:val="24"/>
          <w:szCs w:val="24"/>
          <w:color w:val="auto"/>
        </w:rPr>
      </w:pPr>
    </w:p>
    <w:p>
      <w:pPr>
        <w:jc w:val="center"/>
        <w:ind w:right="-18"/>
        <w:spacing w:after="0"/>
        <w:rPr>
          <w:sz w:val="20"/>
          <w:szCs w:val="20"/>
          <w:color w:val="auto"/>
        </w:rPr>
      </w:pPr>
      <w:r>
        <w:rPr>
          <w:rFonts w:ascii="Arial" w:cs="Arial" w:eastAsia="Arial" w:hAnsi="Arial"/>
          <w:sz w:val="17"/>
          <w:szCs w:val="17"/>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68580</wp:posOffset>
            </wp:positionV>
            <wp:extent cx="25025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2535" cy="8255"/>
                    </a:xfrm>
                    <a:prstGeom prst="rect">
                      <a:avLst/>
                    </a:prstGeom>
                    <a:noFill/>
                  </pic:spPr>
                </pic:pic>
              </a:graphicData>
            </a:graphic>
          </wp:anchor>
        </w:drawing>
      </w:r>
    </w:p>
    <w:p>
      <w:pPr>
        <w:spacing w:after="0" w:line="176" w:lineRule="exact"/>
        <w:rPr>
          <w:sz w:val="24"/>
          <w:szCs w:val="24"/>
          <w:color w:val="auto"/>
        </w:rPr>
      </w:pPr>
    </w:p>
    <w:p>
      <w:pPr>
        <w:jc w:val="center"/>
        <w:ind w:right="-18"/>
        <w:spacing w:after="0"/>
        <w:rPr>
          <w:sz w:val="20"/>
          <w:szCs w:val="20"/>
          <w:color w:val="auto"/>
        </w:rPr>
      </w:pPr>
      <w:r>
        <w:rPr>
          <w:rFonts w:ascii="Arial" w:cs="Arial" w:eastAsia="Arial" w:hAnsi="Arial"/>
          <w:sz w:val="41"/>
          <w:szCs w:val="41"/>
          <w:b w:val="1"/>
          <w:bCs w:val="1"/>
          <w:color w:val="auto"/>
        </w:rPr>
        <w:t>AngioDynamics, Inc.</w:t>
      </w:r>
    </w:p>
    <w:p>
      <w:pPr>
        <w:spacing w:after="0" w:line="43" w:lineRule="exact"/>
        <w:rPr>
          <w:sz w:val="24"/>
          <w:szCs w:val="24"/>
          <w:color w:val="auto"/>
        </w:rPr>
      </w:pPr>
    </w:p>
    <w:p>
      <w:pPr>
        <w:jc w:val="center"/>
        <w:ind w:right="-18"/>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1824990</wp:posOffset>
            </wp:positionH>
            <wp:positionV relativeFrom="paragraph">
              <wp:posOffset>148590</wp:posOffset>
            </wp:positionV>
            <wp:extent cx="3474085" cy="527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4085" cy="5270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tbl>
      <w:tblPr>
        <w:tblLayout w:type="fixed"/>
        <w:tblInd w:w="299"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760" w:type="dxa"/>
            <w:vAlign w:val="bottom"/>
            <w:gridSpan w:val="3"/>
          </w:tcPr>
          <w:p>
            <w:pPr>
              <w:jc w:val="center"/>
              <w:ind w:left="307"/>
              <w:spacing w:after="0"/>
              <w:rPr>
                <w:sz w:val="20"/>
                <w:szCs w:val="20"/>
                <w:color w:val="auto"/>
              </w:rPr>
            </w:pPr>
            <w:r>
              <w:rPr>
                <w:rFonts w:ascii="Arial" w:cs="Arial" w:eastAsia="Arial" w:hAnsi="Arial"/>
                <w:sz w:val="17"/>
                <w:szCs w:val="17"/>
                <w:b w:val="1"/>
                <w:bCs w:val="1"/>
                <w:color w:val="auto"/>
                <w:w w:val="93"/>
              </w:rPr>
              <w:t>Delaware</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center"/>
              <w:ind w:right="520"/>
              <w:spacing w:after="0"/>
              <w:rPr>
                <w:sz w:val="20"/>
                <w:szCs w:val="20"/>
                <w:color w:val="auto"/>
              </w:rPr>
            </w:pPr>
            <w:r>
              <w:rPr>
                <w:rFonts w:ascii="Arial" w:cs="Arial" w:eastAsia="Arial" w:hAnsi="Arial"/>
                <w:sz w:val="17"/>
                <w:szCs w:val="17"/>
                <w:b w:val="1"/>
                <w:bCs w:val="1"/>
                <w:color w:val="auto"/>
                <w:w w:val="92"/>
              </w:rPr>
              <w:t>11-3146460</w:t>
            </w:r>
          </w:p>
        </w:tc>
      </w:tr>
      <w:tr>
        <w:trPr>
          <w:trHeight w:val="139"/>
        </w:trPr>
        <w:tc>
          <w:tcPr>
            <w:tcW w:w="1380" w:type="dxa"/>
            <w:vAlign w:val="bottom"/>
          </w:tcPr>
          <w:p>
            <w:pPr>
              <w:spacing w:after="0"/>
              <w:rPr>
                <w:sz w:val="12"/>
                <w:szCs w:val="12"/>
                <w:color w:val="auto"/>
              </w:rPr>
            </w:pPr>
          </w:p>
        </w:tc>
        <w:tc>
          <w:tcPr>
            <w:tcW w:w="5140" w:type="dxa"/>
            <w:vAlign w:val="bottom"/>
            <w:gridSpan w:val="7"/>
          </w:tcPr>
          <w:p>
            <w:pPr>
              <w:jc w:val="center"/>
              <w:ind w:right="3020"/>
              <w:spacing w:after="0" w:line="139" w:lineRule="exact"/>
              <w:rPr>
                <w:sz w:val="20"/>
                <w:szCs w:val="20"/>
                <w:color w:val="auto"/>
              </w:rPr>
            </w:pPr>
            <w:r>
              <w:rPr>
                <w:rFonts w:ascii="Arial" w:cs="Arial" w:eastAsia="Arial" w:hAnsi="Arial"/>
                <w:sz w:val="14"/>
                <w:szCs w:val="14"/>
                <w:b w:val="1"/>
                <w:bCs w:val="1"/>
                <w:color w:val="auto"/>
                <w:w w:val="89"/>
              </w:rPr>
              <w:t>(State or other jurisdiction of</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2"/>
          </w:tcPr>
          <w:p>
            <w:pPr>
              <w:jc w:val="center"/>
              <w:ind w:right="920"/>
              <w:spacing w:after="0" w:line="139" w:lineRule="exact"/>
              <w:rPr>
                <w:sz w:val="20"/>
                <w:szCs w:val="20"/>
                <w:color w:val="auto"/>
              </w:rPr>
            </w:pPr>
            <w:r>
              <w:rPr>
                <w:rFonts w:ascii="Arial" w:cs="Arial" w:eastAsia="Arial" w:hAnsi="Arial"/>
                <w:sz w:val="14"/>
                <w:szCs w:val="14"/>
                <w:b w:val="1"/>
                <w:bCs w:val="1"/>
                <w:color w:val="auto"/>
                <w:w w:val="93"/>
              </w:rPr>
              <w:t>(I.R.S. Employer</w:t>
            </w:r>
          </w:p>
        </w:tc>
      </w:tr>
      <w:tr>
        <w:trPr>
          <w:trHeight w:val="179"/>
        </w:trPr>
        <w:tc>
          <w:tcPr>
            <w:tcW w:w="1380" w:type="dxa"/>
            <w:vAlign w:val="bottom"/>
          </w:tcPr>
          <w:p>
            <w:pPr>
              <w:spacing w:after="0"/>
              <w:rPr>
                <w:sz w:val="15"/>
                <w:szCs w:val="15"/>
                <w:color w:val="auto"/>
              </w:rPr>
            </w:pPr>
          </w:p>
        </w:tc>
        <w:tc>
          <w:tcPr>
            <w:tcW w:w="5140" w:type="dxa"/>
            <w:vAlign w:val="bottom"/>
            <w:gridSpan w:val="7"/>
          </w:tcPr>
          <w:p>
            <w:pPr>
              <w:jc w:val="center"/>
              <w:ind w:right="3020"/>
              <w:spacing w:after="0"/>
              <w:rPr>
                <w:sz w:val="20"/>
                <w:szCs w:val="20"/>
                <w:color w:val="auto"/>
              </w:rPr>
            </w:pPr>
            <w:r>
              <w:rPr>
                <w:rFonts w:ascii="Arial" w:cs="Arial" w:eastAsia="Arial" w:hAnsi="Arial"/>
                <w:sz w:val="14"/>
                <w:szCs w:val="14"/>
                <w:b w:val="1"/>
                <w:bCs w:val="1"/>
                <w:color w:val="auto"/>
                <w:w w:val="90"/>
              </w:rPr>
              <w:t>incorporation or organization)</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Identification No.)</w:t>
            </w:r>
          </w:p>
        </w:tc>
      </w:tr>
      <w:tr>
        <w:trPr>
          <w:trHeight w:val="511"/>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4"/>
          </w:tcPr>
          <w:p>
            <w:pPr>
              <w:jc w:val="center"/>
              <w:ind w:left="365"/>
              <w:spacing w:after="0"/>
              <w:rPr>
                <w:sz w:val="20"/>
                <w:szCs w:val="20"/>
                <w:color w:val="auto"/>
              </w:rPr>
            </w:pPr>
            <w:r>
              <w:rPr>
                <w:rFonts w:ascii="Arial" w:cs="Arial" w:eastAsia="Arial" w:hAnsi="Arial"/>
                <w:sz w:val="17"/>
                <w:szCs w:val="17"/>
                <w:b w:val="1"/>
                <w:bCs w:val="1"/>
                <w:color w:val="auto"/>
                <w:w w:val="94"/>
              </w:rPr>
              <w:t>14 Plaza Drive, Latham, New York 12110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79"/>
        </w:trPr>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00" w:type="dxa"/>
            <w:vAlign w:val="bottom"/>
            <w:gridSpan w:val="5"/>
          </w:tcPr>
          <w:p>
            <w:pPr>
              <w:jc w:val="center"/>
              <w:ind w:left="165"/>
              <w:spacing w:after="0"/>
              <w:rPr>
                <w:sz w:val="20"/>
                <w:szCs w:val="20"/>
                <w:color w:val="auto"/>
              </w:rPr>
            </w:pPr>
            <w:r>
              <w:rPr>
                <w:rFonts w:ascii="Arial" w:cs="Arial" w:eastAsia="Arial" w:hAnsi="Arial"/>
                <w:sz w:val="14"/>
                <w:szCs w:val="14"/>
                <w:b w:val="1"/>
                <w:bCs w:val="1"/>
                <w:color w:val="auto"/>
                <w:w w:val="87"/>
              </w:rPr>
              <w:t>(Address of principal executive offices and zip code)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391"/>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gridSpan w:val="4"/>
          </w:tcPr>
          <w:p>
            <w:pPr>
              <w:jc w:val="center"/>
              <w:ind w:left="854"/>
              <w:spacing w:after="0"/>
              <w:rPr>
                <w:sz w:val="20"/>
                <w:szCs w:val="20"/>
                <w:color w:val="auto"/>
              </w:rPr>
            </w:pPr>
            <w:r>
              <w:rPr>
                <w:rFonts w:ascii="Arial" w:cs="Arial" w:eastAsia="Arial" w:hAnsi="Arial"/>
                <w:sz w:val="17"/>
                <w:szCs w:val="17"/>
                <w:b w:val="1"/>
                <w:bCs w:val="1"/>
                <w:color w:val="auto"/>
                <w:w w:val="92"/>
              </w:rPr>
              <w:t>(518) 795-1400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79"/>
        </w:trPr>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80" w:type="dxa"/>
            <w:vAlign w:val="bottom"/>
            <w:gridSpan w:val="4"/>
          </w:tcPr>
          <w:p>
            <w:pPr>
              <w:jc w:val="center"/>
              <w:ind w:left="385"/>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32"/>
        </w:trPr>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Pr>
          <w:p>
            <w:pPr>
              <w:spacing w:after="0"/>
              <w:rPr>
                <w:sz w:val="20"/>
                <w:szCs w:val="20"/>
                <w:color w:val="auto"/>
              </w:rPr>
            </w:pPr>
          </w:p>
        </w:tc>
      </w:tr>
      <w:tr>
        <w:trPr>
          <w:trHeight w:val="343"/>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0"/>
          </w:tcPr>
          <w:p>
            <w:pPr>
              <w:jc w:val="center"/>
              <w:ind w:right="2520"/>
              <w:spacing w:after="0"/>
              <w:rPr>
                <w:sz w:val="20"/>
                <w:szCs w:val="20"/>
                <w:color w:val="auto"/>
              </w:rPr>
            </w:pPr>
            <w:r>
              <w:rPr>
                <w:rFonts w:ascii="Arial" w:cs="Arial" w:eastAsia="Arial" w:hAnsi="Arial"/>
                <w:sz w:val="17"/>
                <w:szCs w:val="17"/>
                <w:b w:val="1"/>
                <w:bCs w:val="1"/>
                <w:color w:val="auto"/>
                <w:w w:val="90"/>
              </w:rPr>
              <w:t>Securities registered pursuant to Section 12(b) of the Act:</w:t>
            </w:r>
          </w:p>
        </w:tc>
      </w:tr>
      <w:tr>
        <w:trPr>
          <w:trHeight w:val="168"/>
        </w:trPr>
        <w:tc>
          <w:tcPr>
            <w:tcW w:w="1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7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Trading Symbol</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r>
      <w:tr>
        <w:trPr>
          <w:trHeight w:val="189"/>
        </w:trPr>
        <w:tc>
          <w:tcPr>
            <w:tcW w:w="3140" w:type="dxa"/>
            <w:vAlign w:val="bottom"/>
            <w:gridSpan w:val="4"/>
          </w:tcPr>
          <w:p>
            <w:pPr>
              <w:jc w:val="center"/>
              <w:ind w:left="591"/>
              <w:spacing w:after="0"/>
              <w:rPr>
                <w:sz w:val="20"/>
                <w:szCs w:val="20"/>
                <w:color w:val="auto"/>
              </w:rPr>
            </w:pPr>
            <w:r>
              <w:rPr>
                <w:rFonts w:ascii="Arial" w:cs="Arial" w:eastAsia="Arial" w:hAnsi="Arial"/>
                <w:sz w:val="14"/>
                <w:szCs w:val="14"/>
                <w:b w:val="1"/>
                <w:bCs w:val="1"/>
                <w:color w:val="auto"/>
                <w:w w:val="88"/>
              </w:rPr>
              <w:t>Common Stock, par value $.01 per share</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9"/>
              </w:rPr>
              <w:t>ANGO</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NASDAQ Global Select Market</w:t>
            </w:r>
          </w:p>
        </w:tc>
      </w:tr>
      <w:tr>
        <w:trPr>
          <w:trHeight w:val="486"/>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0"/>
          </w:tcPr>
          <w:p>
            <w:pPr>
              <w:jc w:val="center"/>
              <w:ind w:right="2520"/>
              <w:spacing w:after="0"/>
              <w:rPr>
                <w:sz w:val="20"/>
                <w:szCs w:val="20"/>
                <w:color w:val="auto"/>
              </w:rPr>
            </w:pPr>
            <w:r>
              <w:rPr>
                <w:rFonts w:ascii="Arial" w:cs="Arial" w:eastAsia="Arial" w:hAnsi="Arial"/>
                <w:sz w:val="17"/>
                <w:szCs w:val="17"/>
                <w:b w:val="1"/>
                <w:bCs w:val="1"/>
                <w:color w:val="auto"/>
                <w:w w:val="90"/>
              </w:rPr>
              <w:t>Securities registered pursuant to Section 12(g) of the Act:</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7"/>
                <w:szCs w:val="17"/>
                <w:b w:val="1"/>
                <w:bCs w:val="1"/>
                <w:color w:val="auto"/>
                <w:w w:val="89"/>
              </w:rPr>
              <w:t>None</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79"/>
        </w:trPr>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(Title of Class)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32"/>
        </w:trPr>
        <w:tc>
          <w:tcPr>
            <w:tcW w:w="3340" w:type="dxa"/>
            <w:vAlign w:val="bottom"/>
            <w:gridSpan w:val="5"/>
          </w:tcPr>
          <w:p>
            <w:pPr>
              <w:spacing w:after="0"/>
              <w:rPr>
                <w:sz w:val="20"/>
                <w:szCs w:val="20"/>
                <w:color w:val="auto"/>
              </w:rPr>
            </w:pPr>
          </w:p>
        </w:tc>
        <w:tc>
          <w:tcPr>
            <w:tcW w:w="3180" w:type="dxa"/>
            <w:vAlign w:val="bottom"/>
            <w:tcBorders>
              <w:bottom w:val="single" w:sz="8" w:color="auto"/>
            </w:tcBorders>
            <w:gridSpan w:val="3"/>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gridSpan w:val="3"/>
          </w:tcPr>
          <w:p>
            <w:pPr>
              <w:spacing w:after="0"/>
              <w:rPr>
                <w:sz w:val="20"/>
                <w:szCs w:val="20"/>
                <w:color w:val="auto"/>
              </w:rPr>
            </w:pPr>
          </w:p>
        </w:tc>
      </w:tr>
      <w:tr>
        <w:trPr>
          <w:trHeight w:val="321"/>
        </w:trPr>
        <w:tc>
          <w:tcPr>
            <w:tcW w:w="6520" w:type="dxa"/>
            <w:vAlign w:val="bottom"/>
            <w:gridSpan w:val="8"/>
          </w:tcPr>
          <w:p>
            <w:pPr>
              <w:spacing w:after="0"/>
              <w:rPr>
                <w:sz w:val="20"/>
                <w:szCs w:val="20"/>
                <w:color w:val="auto"/>
              </w:rPr>
            </w:pPr>
            <w:r>
              <w:rPr>
                <w:rFonts w:ascii="Arial" w:cs="Arial" w:eastAsia="Arial" w:hAnsi="Arial"/>
                <w:sz w:val="14"/>
                <w:szCs w:val="14"/>
                <w:color w:val="auto"/>
                <w:w w:val="89"/>
              </w:rPr>
              <w:t>Indicate by check mark if the registrant is a well-known seasoned issuer, as defined in Rule 405 of the Securities Act.</w:t>
            </w:r>
          </w:p>
        </w:tc>
        <w:tc>
          <w:tcPr>
            <w:tcW w:w="300" w:type="dxa"/>
            <w:vAlign w:val="bottom"/>
          </w:tcPr>
          <w:p>
            <w:pPr>
              <w:ind w:left="100"/>
              <w:spacing w:after="0"/>
              <w:rPr>
                <w:sz w:val="20"/>
                <w:szCs w:val="20"/>
                <w:color w:val="auto"/>
              </w:rPr>
            </w:pPr>
            <w:r>
              <w:rPr>
                <w:rFonts w:ascii="Arial" w:cs="Arial" w:eastAsia="Arial" w:hAnsi="Arial"/>
                <w:sz w:val="14"/>
                <w:szCs w:val="14"/>
                <w:color w:val="auto"/>
                <w:w w:val="74"/>
              </w:rPr>
              <w:t>Yes</w:t>
            </w:r>
          </w:p>
        </w:tc>
        <w:tc>
          <w:tcPr>
            <w:tcW w:w="22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2960" w:type="dxa"/>
            <w:vAlign w:val="bottom"/>
            <w:gridSpan w:val="4"/>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20"/>
        </w:trPr>
        <w:tc>
          <w:tcPr>
            <w:tcW w:w="6520" w:type="dxa"/>
            <w:vAlign w:val="bottom"/>
            <w:gridSpan w:val="8"/>
          </w:tcPr>
          <w:p>
            <w:pPr>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No</w:t>
            </w:r>
          </w:p>
        </w:tc>
        <w:tc>
          <w:tcPr>
            <w:tcW w:w="2960" w:type="dxa"/>
            <w:vAlign w:val="bottom"/>
            <w:gridSpan w:val="4"/>
          </w:tcPr>
          <w:p>
            <w:pPr>
              <w:ind w:left="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6" w:lineRule="exact"/>
        <w:rPr>
          <w:sz w:val="24"/>
          <w:szCs w:val="24"/>
          <w:color w:val="auto"/>
        </w:rPr>
      </w:pPr>
    </w:p>
    <w:p>
      <w:pPr>
        <w:ind w:left="299"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 w:lineRule="exact"/>
        <w:rPr>
          <w:sz w:val="24"/>
          <w:szCs w:val="24"/>
          <w:color w:val="auto"/>
        </w:rPr>
      </w:pPr>
    </w:p>
    <w:p>
      <w:pPr>
        <w:ind w:left="299" w:right="200"/>
        <w:spacing w:after="0" w:line="180"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left="299"/>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6" w:lineRule="exact"/>
        <w:rPr>
          <w:sz w:val="24"/>
          <w:szCs w:val="24"/>
          <w:color w:val="auto"/>
        </w:rPr>
      </w:pPr>
    </w:p>
    <w:p>
      <w:pPr>
        <w:ind w:left="299" w:right="10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427990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79"/>
          </w:cols>
          <w:pgMar w:left="341" w:top="993" w:right="379" w:bottom="1440" w:gutter="0" w:footer="0" w:header="0"/>
        </w:sectPr>
      </w:pPr>
    </w:p>
    <w:bookmarkStart w:id="1" w:name="page2"/>
    <w:bookmarkEnd w:id="1"/>
    <w:tbl>
      <w:tblPr>
        <w:tblLayout w:type="fixed"/>
        <w:tblInd w:w="1860" w:type="dxa"/>
        <w:tblCellMar>
          <w:top w:w="0" w:type="dxa"/>
          <w:left w:w="0" w:type="dxa"/>
          <w:bottom w:w="0" w:type="dxa"/>
          <w:right w:w="0" w:type="dxa"/>
        </w:tblCellMar>
      </w:tblPr>
      <w:tr>
        <w:trPr>
          <w:trHeight w:val="182"/>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900" w:type="dxa"/>
            <w:vAlign w:val="bottom"/>
          </w:tcPr>
          <w:p>
            <w:pPr>
              <w:ind w:left="94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2"/>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5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900" w:type="dxa"/>
            <w:vAlign w:val="bottom"/>
          </w:tcPr>
          <w:p>
            <w:pPr>
              <w:ind w:left="94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5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81" w:lineRule="exact"/>
        <w:rPr>
          <w:sz w:val="20"/>
          <w:szCs w:val="20"/>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0"/>
          <w:szCs w:val="20"/>
          <w:color w:val="auto"/>
        </w:rPr>
      </w:pPr>
    </w:p>
    <w:p>
      <w:pPr>
        <w:spacing w:after="0" w:line="161" w:lineRule="exact"/>
        <w:tabs>
          <w:tab w:leader="none" w:pos="6380" w:val="left"/>
          <w:tab w:leader="none" w:pos="69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7"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As of November 30, 2020, the last business day of the registrant’s most recently completed second fiscal quarter, the aggregate market value of the registrant’s common stock held by non-affiliates was approximately $496,277,118 computed by reference to the last sale price of the common stock on that date as reported by The NASDAQ Global Select Market.</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As of July 26, 2021 there were 38,444,076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0"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The information required for Part III of this Annual Report on Form 10-K is incorporated by reference to the registrant’s Proxy Statement for its 2021 Annual Meeting of Stockholders to be filed within 120 days of the registrant's fiscal year ended May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441960</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20"/>
          </w:cols>
          <w:pgMar w:left="640" w:top="91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6"/>
        </w:trPr>
        <w:tc>
          <w:tcPr>
            <w:tcW w:w="1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0" w:type="dxa"/>
            <w:vAlign w:val="bottom"/>
            <w:gridSpan w:val="11"/>
          </w:tcPr>
          <w:p>
            <w:pPr>
              <w:jc w:val="center"/>
              <w:ind w:right="2840"/>
              <w:spacing w:after="0"/>
              <w:rPr>
                <w:sz w:val="20"/>
                <w:szCs w:val="20"/>
                <w:color w:val="auto"/>
              </w:rPr>
            </w:pPr>
            <w:r>
              <w:rPr>
                <w:rFonts w:ascii="Arial" w:cs="Arial" w:eastAsia="Arial" w:hAnsi="Arial"/>
                <w:sz w:val="17"/>
                <w:szCs w:val="17"/>
                <w:b w:val="1"/>
                <w:bCs w:val="1"/>
                <w:color w:val="auto"/>
                <w:w w:val="90"/>
              </w:rPr>
              <w:t>AngioDynamics, Inc. and Subsidiaries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8"/>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8"/>
          </w:tcPr>
          <w:p>
            <w:pPr>
              <w:jc w:val="center"/>
              <w:ind w:right="4060"/>
              <w:spacing w:after="0"/>
              <w:rPr>
                <w:sz w:val="20"/>
                <w:szCs w:val="20"/>
                <w:color w:val="auto"/>
              </w:rPr>
            </w:pPr>
            <w:r>
              <w:rPr>
                <w:rFonts w:ascii="Arial" w:cs="Arial" w:eastAsia="Arial" w:hAnsi="Arial"/>
                <w:sz w:val="17"/>
                <w:szCs w:val="17"/>
                <w:b w:val="1"/>
                <w:bCs w:val="1"/>
                <w:color w:val="auto"/>
              </w:rPr>
              <w:t>INDEX</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2"/>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0" w:type="dxa"/>
            <w:vAlign w:val="bottom"/>
            <w:gridSpan w:val="5"/>
          </w:tcPr>
          <w:p>
            <w:pPr>
              <w:ind w:left="160"/>
              <w:spacing w:after="0"/>
              <w:rPr>
                <w:sz w:val="20"/>
                <w:szCs w:val="20"/>
                <w:color w:val="auto"/>
              </w:rPr>
            </w:pPr>
            <w:r>
              <w:rPr>
                <w:rFonts w:ascii="Arial" w:cs="Arial" w:eastAsia="Arial" w:hAnsi="Arial"/>
                <w:sz w:val="14"/>
                <w:szCs w:val="14"/>
                <w:b w:val="1"/>
                <w:bCs w:val="1"/>
                <w:color w:val="auto"/>
              </w:rPr>
              <w:t>Page</w:t>
            </w:r>
          </w:p>
        </w:tc>
      </w:tr>
      <w:tr>
        <w:trPr>
          <w:trHeight w:val="208"/>
        </w:trPr>
        <w:tc>
          <w:tcPr>
            <w:tcW w:w="1480" w:type="dxa"/>
            <w:vAlign w:val="bottom"/>
          </w:tcPr>
          <w:p>
            <w:pPr>
              <w:ind w:left="20"/>
              <w:spacing w:after="0"/>
              <w:rPr>
                <w:sz w:val="20"/>
                <w:szCs w:val="20"/>
                <w:color w:val="auto"/>
              </w:rPr>
            </w:pPr>
            <w:r>
              <w:rPr>
                <w:rFonts w:ascii="Arial" w:cs="Arial" w:eastAsia="Arial" w:hAnsi="Arial"/>
                <w:sz w:val="17"/>
                <w:szCs w:val="17"/>
                <w:color w:val="auto"/>
              </w:rPr>
              <w:t>Part I:</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1"/>
        </w:trPr>
        <w:tc>
          <w:tcPr>
            <w:tcW w:w="1480" w:type="dxa"/>
            <w:vAlign w:val="bottom"/>
          </w:tcPr>
          <w:p>
            <w:pPr>
              <w:ind w:left="440"/>
              <w:spacing w:after="0" w:line="181" w:lineRule="exact"/>
              <w:rPr>
                <w:sz w:val="20"/>
                <w:szCs w:val="20"/>
                <w:color w:val="auto"/>
              </w:rPr>
            </w:pPr>
            <w:r>
              <w:rPr>
                <w:rFonts w:ascii="Arial" w:cs="Arial" w:eastAsia="Arial" w:hAnsi="Arial"/>
                <w:sz w:val="17"/>
                <w:szCs w:val="17"/>
                <w:color w:val="auto"/>
              </w:rPr>
              <w:t>Item 1.</w:t>
            </w:r>
          </w:p>
        </w:tc>
        <w:tc>
          <w:tcPr>
            <w:tcW w:w="9160" w:type="dxa"/>
            <w:vAlign w:val="bottom"/>
            <w:gridSpan w:val="20"/>
          </w:tcPr>
          <w:p>
            <w:pPr>
              <w:spacing w:after="0" w:line="181" w:lineRule="exact"/>
              <w:rPr>
                <w:rFonts w:ascii="Arial" w:cs="Arial" w:eastAsia="Arial" w:hAnsi="Arial"/>
                <w:sz w:val="17"/>
                <w:szCs w:val="17"/>
                <w:color w:val="0000FF"/>
              </w:rPr>
            </w:pPr>
            <w:hyperlink w:anchor="page4">
              <w:r>
                <w:rPr>
                  <w:rFonts w:ascii="Arial" w:cs="Arial" w:eastAsia="Arial" w:hAnsi="Arial"/>
                  <w:sz w:val="17"/>
                  <w:szCs w:val="17"/>
                  <w:color w:val="0000FF"/>
                </w:rPr>
                <w:t>Business</w:t>
              </w:r>
            </w:hyperlink>
          </w:p>
        </w:tc>
        <w:tc>
          <w:tcPr>
            <w:tcW w:w="580" w:type="dxa"/>
            <w:vAlign w:val="bottom"/>
            <w:gridSpan w:val="4"/>
          </w:tcPr>
          <w:p>
            <w:pPr>
              <w:jc w:val="right"/>
              <w:ind w:right="20"/>
              <w:spacing w:after="0" w:line="181" w:lineRule="exact"/>
              <w:rPr>
                <w:rFonts w:ascii="Arial" w:cs="Arial" w:eastAsia="Arial" w:hAnsi="Arial"/>
                <w:sz w:val="17"/>
                <w:szCs w:val="17"/>
                <w:color w:val="0000FF"/>
              </w:rPr>
            </w:pPr>
            <w:hyperlink w:anchor="page4">
              <w:r>
                <w:rPr>
                  <w:rFonts w:ascii="Arial" w:cs="Arial" w:eastAsia="Arial" w:hAnsi="Arial"/>
                  <w:sz w:val="17"/>
                  <w:szCs w:val="17"/>
                  <w:color w:val="0000FF"/>
                </w:rPr>
                <w:t>2</w:t>
              </w:r>
            </w:hyperlink>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1A.</w:t>
            </w:r>
          </w:p>
        </w:tc>
        <w:tc>
          <w:tcPr>
            <w:tcW w:w="9160" w:type="dxa"/>
            <w:vAlign w:val="bottom"/>
            <w:gridSpan w:val="20"/>
          </w:tcPr>
          <w:p>
            <w:pPr>
              <w:spacing w:after="0"/>
              <w:rPr>
                <w:rFonts w:ascii="Arial" w:cs="Arial" w:eastAsia="Arial" w:hAnsi="Arial"/>
                <w:sz w:val="17"/>
                <w:szCs w:val="17"/>
                <w:color w:val="0000FF"/>
              </w:rPr>
            </w:pPr>
            <w:hyperlink w:anchor="page17">
              <w:r>
                <w:rPr>
                  <w:rFonts w:ascii="Arial" w:cs="Arial" w:eastAsia="Arial" w:hAnsi="Arial"/>
                  <w:sz w:val="17"/>
                  <w:szCs w:val="17"/>
                  <w:color w:val="0000FF"/>
                </w:rPr>
                <w:t>Risk Factors</w:t>
              </w:r>
            </w:hyperlink>
          </w:p>
        </w:tc>
        <w:tc>
          <w:tcPr>
            <w:tcW w:w="580" w:type="dxa"/>
            <w:vAlign w:val="bottom"/>
            <w:gridSpan w:val="4"/>
          </w:tcPr>
          <w:p>
            <w:pPr>
              <w:jc w:val="right"/>
              <w:ind w:right="20"/>
              <w:spacing w:after="0"/>
              <w:rPr>
                <w:rFonts w:ascii="Arial" w:cs="Arial" w:eastAsia="Arial" w:hAnsi="Arial"/>
                <w:sz w:val="17"/>
                <w:szCs w:val="17"/>
                <w:color w:val="0000FF"/>
              </w:rPr>
            </w:pPr>
            <w:hyperlink w:anchor="page17">
              <w:r>
                <w:rPr>
                  <w:rFonts w:ascii="Arial" w:cs="Arial" w:eastAsia="Arial" w:hAnsi="Arial"/>
                  <w:sz w:val="17"/>
                  <w:szCs w:val="17"/>
                  <w:color w:val="0000FF"/>
                </w:rPr>
                <w:t>16</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1B.</w:t>
            </w:r>
          </w:p>
        </w:tc>
        <w:tc>
          <w:tcPr>
            <w:tcW w:w="1960" w:type="dxa"/>
            <w:vAlign w:val="bottom"/>
            <w:gridSpan w:val="9"/>
          </w:tcPr>
          <w:p>
            <w:pPr>
              <w:spacing w:after="0"/>
              <w:rPr>
                <w:rFonts w:ascii="Arial" w:cs="Arial" w:eastAsia="Arial" w:hAnsi="Arial"/>
                <w:sz w:val="17"/>
                <w:szCs w:val="17"/>
                <w:color w:val="0000FF"/>
                <w:w w:val="91"/>
              </w:rPr>
            </w:pPr>
            <w:hyperlink w:anchor="page31">
              <w:r>
                <w:rPr>
                  <w:rFonts w:ascii="Arial" w:cs="Arial" w:eastAsia="Arial" w:hAnsi="Arial"/>
                  <w:sz w:val="17"/>
                  <w:szCs w:val="17"/>
                  <w:color w:val="0000FF"/>
                  <w:w w:val="91"/>
                </w:rPr>
                <w:t>Unresolved Staff Comments</w:t>
              </w:r>
            </w:hyperlink>
          </w:p>
        </w:tc>
        <w:tc>
          <w:tcPr>
            <w:tcW w:w="7200" w:type="dxa"/>
            <w:vAlign w:val="bottom"/>
            <w:gridSpan w:val="11"/>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29</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2.</w:t>
            </w:r>
          </w:p>
        </w:tc>
        <w:tc>
          <w:tcPr>
            <w:tcW w:w="700" w:type="dxa"/>
            <w:vAlign w:val="bottom"/>
            <w:gridSpan w:val="2"/>
          </w:tcPr>
          <w:p>
            <w:pPr>
              <w:spacing w:after="0"/>
              <w:rPr>
                <w:rFonts w:ascii="Arial" w:cs="Arial" w:eastAsia="Arial" w:hAnsi="Arial"/>
                <w:sz w:val="17"/>
                <w:szCs w:val="17"/>
                <w:color w:val="0000FF"/>
                <w:w w:val="87"/>
              </w:rPr>
            </w:pPr>
            <w:hyperlink w:anchor="page31">
              <w:r>
                <w:rPr>
                  <w:rFonts w:ascii="Arial" w:cs="Arial" w:eastAsia="Arial" w:hAnsi="Arial"/>
                  <w:sz w:val="17"/>
                  <w:szCs w:val="17"/>
                  <w:color w:val="0000FF"/>
                  <w:w w:val="87"/>
                </w:rPr>
                <w:t>Properties</w:t>
              </w:r>
            </w:hyperlink>
          </w:p>
        </w:tc>
        <w:tc>
          <w:tcPr>
            <w:tcW w:w="1260" w:type="dxa"/>
            <w:vAlign w:val="bottom"/>
            <w:gridSpan w:val="7"/>
          </w:tcPr>
          <w:p>
            <w:pPr>
              <w:spacing w:after="0"/>
              <w:rPr>
                <w:sz w:val="17"/>
                <w:szCs w:val="17"/>
                <w:color w:val="auto"/>
              </w:rPr>
            </w:pPr>
          </w:p>
        </w:tc>
        <w:tc>
          <w:tcPr>
            <w:tcW w:w="7200" w:type="dxa"/>
            <w:vAlign w:val="bottom"/>
            <w:gridSpan w:val="11"/>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29</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3.</w:t>
            </w:r>
          </w:p>
        </w:tc>
        <w:tc>
          <w:tcPr>
            <w:tcW w:w="1640" w:type="dxa"/>
            <w:vAlign w:val="bottom"/>
            <w:gridSpan w:val="6"/>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Legal Proceedings</w:t>
              </w:r>
            </w:hyperlink>
          </w:p>
        </w:tc>
        <w:tc>
          <w:tcPr>
            <w:tcW w:w="752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29</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4.</w:t>
            </w:r>
          </w:p>
        </w:tc>
        <w:tc>
          <w:tcPr>
            <w:tcW w:w="9160" w:type="dxa"/>
            <w:vAlign w:val="bottom"/>
            <w:gridSpan w:val="20"/>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Mine Safety Disclosures</w:t>
              </w:r>
            </w:hyperlink>
          </w:p>
        </w:tc>
        <w:tc>
          <w:tcPr>
            <w:tcW w:w="580" w:type="dxa"/>
            <w:vAlign w:val="bottom"/>
            <w:gridSpan w:val="4"/>
          </w:tcPr>
          <w:p>
            <w:pPr>
              <w:jc w:val="right"/>
              <w:ind w:right="20"/>
              <w:spacing w:after="0"/>
              <w:rPr>
                <w:rFonts w:ascii="Arial" w:cs="Arial" w:eastAsia="Arial" w:hAnsi="Arial"/>
                <w:sz w:val="17"/>
                <w:szCs w:val="17"/>
                <w:color w:val="0000FF"/>
              </w:rPr>
            </w:pPr>
            <w:hyperlink w:anchor="page31">
              <w:r>
                <w:rPr>
                  <w:rFonts w:ascii="Arial" w:cs="Arial" w:eastAsia="Arial" w:hAnsi="Arial"/>
                  <w:sz w:val="17"/>
                  <w:szCs w:val="17"/>
                  <w:color w:val="0000FF"/>
                </w:rPr>
                <w:t>29</w:t>
              </w:r>
            </w:hyperlink>
          </w:p>
        </w:tc>
        <w:tc>
          <w:tcPr>
            <w:tcW w:w="20" w:type="dxa"/>
            <w:vAlign w:val="bottom"/>
          </w:tcPr>
          <w:p>
            <w:pPr>
              <w:spacing w:after="0"/>
              <w:rPr>
                <w:sz w:val="17"/>
                <w:szCs w:val="17"/>
                <w:color w:val="auto"/>
              </w:rPr>
            </w:pPr>
          </w:p>
        </w:tc>
      </w:tr>
      <w:tr>
        <w:trPr>
          <w:trHeight w:val="239"/>
        </w:trPr>
        <w:tc>
          <w:tcPr>
            <w:tcW w:w="1480" w:type="dxa"/>
            <w:vAlign w:val="bottom"/>
          </w:tcPr>
          <w:p>
            <w:pPr>
              <w:ind w:left="20"/>
              <w:spacing w:after="0"/>
              <w:rPr>
                <w:sz w:val="20"/>
                <w:szCs w:val="20"/>
                <w:color w:val="auto"/>
              </w:rPr>
            </w:pPr>
            <w:r>
              <w:rPr>
                <w:rFonts w:ascii="Arial" w:cs="Arial" w:eastAsia="Arial" w:hAnsi="Arial"/>
                <w:sz w:val="17"/>
                <w:szCs w:val="17"/>
                <w:color w:val="auto"/>
              </w:rPr>
              <w:t>Part II:</w:t>
            </w:r>
          </w:p>
        </w:tc>
        <w:tc>
          <w:tcPr>
            <w:tcW w:w="6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1"/>
        </w:trPr>
        <w:tc>
          <w:tcPr>
            <w:tcW w:w="1480" w:type="dxa"/>
            <w:vAlign w:val="bottom"/>
          </w:tcPr>
          <w:p>
            <w:pPr>
              <w:ind w:left="440"/>
              <w:spacing w:after="0" w:line="181" w:lineRule="exact"/>
              <w:rPr>
                <w:sz w:val="20"/>
                <w:szCs w:val="20"/>
                <w:color w:val="auto"/>
              </w:rPr>
            </w:pPr>
            <w:r>
              <w:rPr>
                <w:rFonts w:ascii="Arial" w:cs="Arial" w:eastAsia="Arial" w:hAnsi="Arial"/>
                <w:sz w:val="17"/>
                <w:szCs w:val="17"/>
                <w:color w:val="auto"/>
              </w:rPr>
              <w:t>Item 5.</w:t>
            </w:r>
          </w:p>
        </w:tc>
        <w:tc>
          <w:tcPr>
            <w:tcW w:w="9160" w:type="dxa"/>
            <w:vAlign w:val="bottom"/>
            <w:gridSpan w:val="20"/>
          </w:tcPr>
          <w:p>
            <w:pPr>
              <w:spacing w:after="0" w:line="181" w:lineRule="exact"/>
              <w:rPr>
                <w:rFonts w:ascii="Arial" w:cs="Arial" w:eastAsia="Arial" w:hAnsi="Arial"/>
                <w:sz w:val="17"/>
                <w:szCs w:val="17"/>
                <w:color w:val="0000FF"/>
              </w:rPr>
            </w:pPr>
            <w:hyperlink w:anchor="page32">
              <w:r>
                <w:rPr>
                  <w:rFonts w:ascii="Arial" w:cs="Arial" w:eastAsia="Arial" w:hAnsi="Arial"/>
                  <w:sz w:val="17"/>
                  <w:szCs w:val="17"/>
                  <w:color w:val="0000FF"/>
                </w:rPr>
                <w:t>Market for Registrant’s Common Equity, Related Stockholder Matters and Issuer Purchases of Equity</w:t>
              </w:r>
            </w:hyperlink>
          </w:p>
        </w:tc>
        <w:tc>
          <w:tcPr>
            <w:tcW w:w="580" w:type="dxa"/>
            <w:vAlign w:val="bottom"/>
            <w:gridSpan w:val="4"/>
          </w:tcPr>
          <w:p>
            <w:pPr>
              <w:jc w:val="right"/>
              <w:ind w:right="20"/>
              <w:spacing w:after="0" w:line="181" w:lineRule="exact"/>
              <w:rPr>
                <w:rFonts w:ascii="Arial" w:cs="Arial" w:eastAsia="Arial" w:hAnsi="Arial"/>
                <w:sz w:val="17"/>
                <w:szCs w:val="17"/>
                <w:color w:val="0000FF"/>
              </w:rPr>
            </w:pPr>
            <w:hyperlink w:anchor="page32">
              <w:r>
                <w:rPr>
                  <w:rFonts w:ascii="Arial" w:cs="Arial" w:eastAsia="Arial" w:hAnsi="Arial"/>
                  <w:sz w:val="17"/>
                  <w:szCs w:val="17"/>
                  <w:color w:val="0000FF"/>
                </w:rPr>
                <w:t>30</w:t>
              </w:r>
            </w:hyperlink>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6.</w:t>
            </w:r>
          </w:p>
        </w:tc>
        <w:tc>
          <w:tcPr>
            <w:tcW w:w="1640" w:type="dxa"/>
            <w:vAlign w:val="bottom"/>
            <w:gridSpan w:val="6"/>
          </w:tcPr>
          <w:p>
            <w:pPr>
              <w:spacing w:after="0"/>
              <w:rPr>
                <w:rFonts w:ascii="Arial" w:cs="Arial" w:eastAsia="Arial" w:hAnsi="Arial"/>
                <w:sz w:val="17"/>
                <w:szCs w:val="17"/>
                <w:color w:val="0000FF"/>
                <w:w w:val="90"/>
              </w:rPr>
            </w:pPr>
            <w:hyperlink w:anchor="page33">
              <w:r>
                <w:rPr>
                  <w:rFonts w:ascii="Arial" w:cs="Arial" w:eastAsia="Arial" w:hAnsi="Arial"/>
                  <w:sz w:val="17"/>
                  <w:szCs w:val="17"/>
                  <w:color w:val="0000FF"/>
                  <w:w w:val="90"/>
                </w:rPr>
                <w:t>Selected Financial Data</w:t>
              </w:r>
            </w:hyperlink>
          </w:p>
        </w:tc>
        <w:tc>
          <w:tcPr>
            <w:tcW w:w="5380" w:type="dxa"/>
            <w:vAlign w:val="bottom"/>
            <w:gridSpan w:val="13"/>
          </w:tcPr>
          <w:p>
            <w:pPr>
              <w:spacing w:after="0"/>
              <w:rPr>
                <w:sz w:val="17"/>
                <w:szCs w:val="17"/>
                <w:color w:val="auto"/>
              </w:rPr>
            </w:pPr>
          </w:p>
        </w:tc>
        <w:tc>
          <w:tcPr>
            <w:tcW w:w="2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33">
              <w:r>
                <w:rPr>
                  <w:rFonts w:ascii="Arial" w:cs="Arial" w:eastAsia="Arial" w:hAnsi="Arial"/>
                  <w:sz w:val="17"/>
                  <w:szCs w:val="17"/>
                  <w:color w:val="0000FF"/>
                  <w:w w:val="84"/>
                </w:rPr>
                <w:t>31</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7.</w:t>
            </w:r>
          </w:p>
        </w:tc>
        <w:tc>
          <w:tcPr>
            <w:tcW w:w="6200" w:type="dxa"/>
            <w:vAlign w:val="bottom"/>
            <w:gridSpan w:val="16"/>
          </w:tcPr>
          <w:p>
            <w:pPr>
              <w:spacing w:after="0"/>
              <w:rPr>
                <w:rFonts w:ascii="Arial" w:cs="Arial" w:eastAsia="Arial" w:hAnsi="Arial"/>
                <w:sz w:val="17"/>
                <w:szCs w:val="17"/>
                <w:color w:val="0000FF"/>
                <w:w w:val="92"/>
              </w:rPr>
            </w:pPr>
            <w:hyperlink w:anchor="page34">
              <w:r>
                <w:rPr>
                  <w:rFonts w:ascii="Arial" w:cs="Arial" w:eastAsia="Arial" w:hAnsi="Arial"/>
                  <w:sz w:val="17"/>
                  <w:szCs w:val="17"/>
                  <w:color w:val="0000FF"/>
                  <w:w w:val="92"/>
                </w:rPr>
                <w:t>Management’s Discussion and Analysis of Financial Condition and Results of Operations</w:t>
              </w:r>
            </w:hyperlink>
          </w:p>
        </w:tc>
        <w:tc>
          <w:tcPr>
            <w:tcW w:w="296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34">
              <w:r>
                <w:rPr>
                  <w:rFonts w:ascii="Arial" w:cs="Arial" w:eastAsia="Arial" w:hAnsi="Arial"/>
                  <w:sz w:val="17"/>
                  <w:szCs w:val="17"/>
                  <w:color w:val="0000FF"/>
                  <w:w w:val="84"/>
                </w:rPr>
                <w:t>32</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7A.</w:t>
            </w:r>
          </w:p>
        </w:tc>
        <w:tc>
          <w:tcPr>
            <w:tcW w:w="4180" w:type="dxa"/>
            <w:vAlign w:val="bottom"/>
            <w:gridSpan w:val="14"/>
          </w:tcPr>
          <w:p>
            <w:pPr>
              <w:spacing w:after="0"/>
              <w:rPr>
                <w:rFonts w:ascii="Arial" w:cs="Arial" w:eastAsia="Arial" w:hAnsi="Arial"/>
                <w:sz w:val="17"/>
                <w:szCs w:val="17"/>
                <w:color w:val="0000FF"/>
                <w:w w:val="93"/>
              </w:rPr>
            </w:pPr>
            <w:hyperlink w:anchor="page44">
              <w:r>
                <w:rPr>
                  <w:rFonts w:ascii="Arial" w:cs="Arial" w:eastAsia="Arial" w:hAnsi="Arial"/>
                  <w:sz w:val="17"/>
                  <w:szCs w:val="17"/>
                  <w:color w:val="0000FF"/>
                  <w:w w:val="93"/>
                </w:rPr>
                <w:t>Quantitative and Qualitative Disclosures About Market Risk</w:t>
              </w:r>
            </w:hyperlink>
          </w:p>
        </w:tc>
        <w:tc>
          <w:tcPr>
            <w:tcW w:w="2020" w:type="dxa"/>
            <w:vAlign w:val="bottom"/>
            <w:gridSpan w:val="2"/>
          </w:tcPr>
          <w:p>
            <w:pPr>
              <w:spacing w:after="0"/>
              <w:rPr>
                <w:sz w:val="17"/>
                <w:szCs w:val="17"/>
                <w:color w:val="auto"/>
              </w:rPr>
            </w:pPr>
          </w:p>
        </w:tc>
        <w:tc>
          <w:tcPr>
            <w:tcW w:w="296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44">
              <w:r>
                <w:rPr>
                  <w:rFonts w:ascii="Arial" w:cs="Arial" w:eastAsia="Arial" w:hAnsi="Arial"/>
                  <w:sz w:val="17"/>
                  <w:szCs w:val="17"/>
                  <w:color w:val="0000FF"/>
                  <w:w w:val="84"/>
                </w:rPr>
                <w:t>43</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8.</w:t>
            </w:r>
          </w:p>
        </w:tc>
        <w:tc>
          <w:tcPr>
            <w:tcW w:w="3920" w:type="dxa"/>
            <w:vAlign w:val="bottom"/>
            <w:gridSpan w:val="13"/>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Financial Statements and Supplementary Data</w:t>
              </w:r>
            </w:hyperlink>
          </w:p>
        </w:tc>
        <w:tc>
          <w:tcPr>
            <w:tcW w:w="260" w:type="dxa"/>
            <w:vAlign w:val="bottom"/>
          </w:tcPr>
          <w:p>
            <w:pPr>
              <w:spacing w:after="0"/>
              <w:rPr>
                <w:sz w:val="17"/>
                <w:szCs w:val="17"/>
                <w:color w:val="auto"/>
              </w:rPr>
            </w:pPr>
          </w:p>
        </w:tc>
        <w:tc>
          <w:tcPr>
            <w:tcW w:w="498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45">
              <w:r>
                <w:rPr>
                  <w:rFonts w:ascii="Arial" w:cs="Arial" w:eastAsia="Arial" w:hAnsi="Arial"/>
                  <w:sz w:val="17"/>
                  <w:szCs w:val="17"/>
                  <w:color w:val="0000FF"/>
                  <w:w w:val="84"/>
                </w:rPr>
                <w:t>43</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9.</w:t>
            </w:r>
          </w:p>
        </w:tc>
        <w:tc>
          <w:tcPr>
            <w:tcW w:w="7000" w:type="dxa"/>
            <w:vAlign w:val="bottom"/>
            <w:gridSpan w:val="18"/>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Changes in and Disagreements with Accountants on Accounting and Financial Disclosure</w:t>
              </w:r>
            </w:hyperlink>
          </w:p>
        </w:tc>
        <w:tc>
          <w:tcPr>
            <w:tcW w:w="21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45">
              <w:r>
                <w:rPr>
                  <w:rFonts w:ascii="Arial" w:cs="Arial" w:eastAsia="Arial" w:hAnsi="Arial"/>
                  <w:sz w:val="17"/>
                  <w:szCs w:val="17"/>
                  <w:color w:val="0000FF"/>
                  <w:w w:val="84"/>
                </w:rPr>
                <w:t>43</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9A.</w:t>
            </w:r>
          </w:p>
        </w:tc>
        <w:tc>
          <w:tcPr>
            <w:tcW w:w="1700" w:type="dxa"/>
            <w:vAlign w:val="bottom"/>
            <w:gridSpan w:val="7"/>
          </w:tcPr>
          <w:p>
            <w:pPr>
              <w:spacing w:after="0"/>
              <w:rPr>
                <w:rFonts w:ascii="Arial" w:cs="Arial" w:eastAsia="Arial" w:hAnsi="Arial"/>
                <w:sz w:val="17"/>
                <w:szCs w:val="17"/>
                <w:color w:val="0000FF"/>
                <w:w w:val="89"/>
              </w:rPr>
            </w:pPr>
            <w:hyperlink w:anchor="page46">
              <w:r>
                <w:rPr>
                  <w:rFonts w:ascii="Arial" w:cs="Arial" w:eastAsia="Arial" w:hAnsi="Arial"/>
                  <w:sz w:val="17"/>
                  <w:szCs w:val="17"/>
                  <w:color w:val="0000FF"/>
                  <w:w w:val="89"/>
                </w:rPr>
                <w:t>Controls and Procedures</w:t>
              </w:r>
            </w:hyperlink>
          </w:p>
        </w:tc>
        <w:tc>
          <w:tcPr>
            <w:tcW w:w="5300" w:type="dxa"/>
            <w:vAlign w:val="bottom"/>
            <w:gridSpan w:val="11"/>
          </w:tcPr>
          <w:p>
            <w:pPr>
              <w:spacing w:after="0"/>
              <w:rPr>
                <w:sz w:val="17"/>
                <w:szCs w:val="17"/>
                <w:color w:val="auto"/>
              </w:rPr>
            </w:pPr>
          </w:p>
        </w:tc>
        <w:tc>
          <w:tcPr>
            <w:tcW w:w="21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46">
              <w:r>
                <w:rPr>
                  <w:rFonts w:ascii="Arial" w:cs="Arial" w:eastAsia="Arial" w:hAnsi="Arial"/>
                  <w:sz w:val="17"/>
                  <w:szCs w:val="17"/>
                  <w:color w:val="0000FF"/>
                  <w:w w:val="84"/>
                </w:rPr>
                <w:t>44</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9B.</w:t>
            </w:r>
          </w:p>
        </w:tc>
        <w:tc>
          <w:tcPr>
            <w:tcW w:w="1700" w:type="dxa"/>
            <w:vAlign w:val="bottom"/>
            <w:gridSpan w:val="7"/>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Other Information</w:t>
              </w:r>
            </w:hyperlink>
          </w:p>
        </w:tc>
        <w:tc>
          <w:tcPr>
            <w:tcW w:w="7460" w:type="dxa"/>
            <w:vAlign w:val="bottom"/>
            <w:gridSpan w:val="13"/>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48">
              <w:r>
                <w:rPr>
                  <w:rFonts w:ascii="Arial" w:cs="Arial" w:eastAsia="Arial" w:hAnsi="Arial"/>
                  <w:sz w:val="17"/>
                  <w:szCs w:val="17"/>
                  <w:color w:val="0000FF"/>
                  <w:w w:val="84"/>
                </w:rPr>
                <w:t>46</w:t>
              </w:r>
            </w:hyperlink>
          </w:p>
        </w:tc>
        <w:tc>
          <w:tcPr>
            <w:tcW w:w="20" w:type="dxa"/>
            <w:vAlign w:val="bottom"/>
          </w:tcPr>
          <w:p>
            <w:pPr>
              <w:spacing w:after="0"/>
              <w:rPr>
                <w:sz w:val="17"/>
                <w:szCs w:val="17"/>
                <w:color w:val="auto"/>
              </w:rPr>
            </w:pPr>
          </w:p>
        </w:tc>
      </w:tr>
      <w:tr>
        <w:trPr>
          <w:trHeight w:val="239"/>
        </w:trPr>
        <w:tc>
          <w:tcPr>
            <w:tcW w:w="1480" w:type="dxa"/>
            <w:vAlign w:val="bottom"/>
          </w:tcPr>
          <w:p>
            <w:pPr>
              <w:ind w:left="20"/>
              <w:spacing w:after="0"/>
              <w:rPr>
                <w:sz w:val="20"/>
                <w:szCs w:val="20"/>
                <w:color w:val="auto"/>
              </w:rPr>
            </w:pPr>
            <w:r>
              <w:rPr>
                <w:rFonts w:ascii="Arial" w:cs="Arial" w:eastAsia="Arial" w:hAnsi="Arial"/>
                <w:sz w:val="17"/>
                <w:szCs w:val="17"/>
                <w:color w:val="auto"/>
              </w:rPr>
              <w:t>Part III:</w:t>
            </w:r>
          </w:p>
        </w:tc>
        <w:tc>
          <w:tcPr>
            <w:tcW w:w="6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1"/>
        </w:trPr>
        <w:tc>
          <w:tcPr>
            <w:tcW w:w="1480" w:type="dxa"/>
            <w:vAlign w:val="bottom"/>
          </w:tcPr>
          <w:p>
            <w:pPr>
              <w:ind w:left="440"/>
              <w:spacing w:after="0" w:line="181" w:lineRule="exact"/>
              <w:rPr>
                <w:sz w:val="20"/>
                <w:szCs w:val="20"/>
                <w:color w:val="auto"/>
              </w:rPr>
            </w:pPr>
            <w:r>
              <w:rPr>
                <w:rFonts w:ascii="Arial" w:cs="Arial" w:eastAsia="Arial" w:hAnsi="Arial"/>
                <w:sz w:val="17"/>
                <w:szCs w:val="17"/>
                <w:color w:val="auto"/>
              </w:rPr>
              <w:t>Item 10.</w:t>
            </w:r>
          </w:p>
        </w:tc>
        <w:tc>
          <w:tcPr>
            <w:tcW w:w="9160" w:type="dxa"/>
            <w:vAlign w:val="bottom"/>
            <w:gridSpan w:val="20"/>
          </w:tcPr>
          <w:p>
            <w:pPr>
              <w:spacing w:after="0" w:line="181" w:lineRule="exact"/>
              <w:rPr>
                <w:rFonts w:ascii="Arial" w:cs="Arial" w:eastAsia="Arial" w:hAnsi="Arial"/>
                <w:sz w:val="17"/>
                <w:szCs w:val="17"/>
                <w:color w:val="0000FF"/>
              </w:rPr>
            </w:pPr>
            <w:hyperlink w:anchor="page49">
              <w:r>
                <w:rPr>
                  <w:rFonts w:ascii="Arial" w:cs="Arial" w:eastAsia="Arial" w:hAnsi="Arial"/>
                  <w:sz w:val="17"/>
                  <w:szCs w:val="17"/>
                  <w:color w:val="0000FF"/>
                </w:rPr>
                <w:t>Directors, Executive Officers and Corporate Governance</w:t>
              </w:r>
            </w:hyperlink>
          </w:p>
        </w:tc>
        <w:tc>
          <w:tcPr>
            <w:tcW w:w="580" w:type="dxa"/>
            <w:vAlign w:val="bottom"/>
            <w:gridSpan w:val="4"/>
          </w:tcPr>
          <w:p>
            <w:pPr>
              <w:jc w:val="right"/>
              <w:ind w:right="20"/>
              <w:spacing w:after="0" w:line="181" w:lineRule="exact"/>
              <w:rPr>
                <w:rFonts w:ascii="Arial" w:cs="Arial" w:eastAsia="Arial" w:hAnsi="Arial"/>
                <w:sz w:val="17"/>
                <w:szCs w:val="17"/>
                <w:color w:val="0000FF"/>
              </w:rPr>
            </w:pPr>
            <w:hyperlink w:anchor="page49">
              <w:r>
                <w:rPr>
                  <w:rFonts w:ascii="Arial" w:cs="Arial" w:eastAsia="Arial" w:hAnsi="Arial"/>
                  <w:sz w:val="17"/>
                  <w:szCs w:val="17"/>
                  <w:color w:val="0000FF"/>
                </w:rPr>
                <w:t>47</w:t>
              </w:r>
            </w:hyperlink>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11.</w:t>
            </w:r>
          </w:p>
        </w:tc>
        <w:tc>
          <w:tcPr>
            <w:tcW w:w="3920" w:type="dxa"/>
            <w:vAlign w:val="bottom"/>
            <w:gridSpan w:val="13"/>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Executive Compensation</w:t>
              </w:r>
            </w:hyperlink>
          </w:p>
        </w:tc>
        <w:tc>
          <w:tcPr>
            <w:tcW w:w="524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49">
              <w:r>
                <w:rPr>
                  <w:rFonts w:ascii="Arial" w:cs="Arial" w:eastAsia="Arial" w:hAnsi="Arial"/>
                  <w:sz w:val="17"/>
                  <w:szCs w:val="17"/>
                  <w:color w:val="0000FF"/>
                  <w:w w:val="84"/>
                </w:rPr>
                <w:t>47</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12.</w:t>
            </w:r>
          </w:p>
        </w:tc>
        <w:tc>
          <w:tcPr>
            <w:tcW w:w="9160" w:type="dxa"/>
            <w:vAlign w:val="bottom"/>
            <w:gridSpan w:val="20"/>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Security Ownership of Certain Beneficial Owners and Management and Related Stockholder Matters</w:t>
              </w:r>
            </w:hyperlink>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49">
              <w:r>
                <w:rPr>
                  <w:rFonts w:ascii="Arial" w:cs="Arial" w:eastAsia="Arial" w:hAnsi="Arial"/>
                  <w:sz w:val="17"/>
                  <w:szCs w:val="17"/>
                  <w:color w:val="0000FF"/>
                  <w:w w:val="84"/>
                </w:rPr>
                <w:t>47</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74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13.</w:t>
            </w:r>
          </w:p>
        </w:tc>
        <w:tc>
          <w:tcPr>
            <w:tcW w:w="9160" w:type="dxa"/>
            <w:vAlign w:val="bottom"/>
            <w:gridSpan w:val="20"/>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Certain Relationships and Related Transactions, and Director Independence</w:t>
              </w:r>
            </w:hyperlink>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49">
              <w:r>
                <w:rPr>
                  <w:rFonts w:ascii="Arial" w:cs="Arial" w:eastAsia="Arial" w:hAnsi="Arial"/>
                  <w:sz w:val="17"/>
                  <w:szCs w:val="17"/>
                  <w:color w:val="0000FF"/>
                  <w:w w:val="84"/>
                </w:rPr>
                <w:t>47</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74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380" w:type="dxa"/>
            <w:vAlign w:val="bottom"/>
            <w:gridSpan w:val="9"/>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1480" w:type="dxa"/>
            <w:vAlign w:val="bottom"/>
          </w:tcPr>
          <w:p>
            <w:pPr>
              <w:ind w:left="440"/>
              <w:spacing w:after="0"/>
              <w:rPr>
                <w:sz w:val="20"/>
                <w:szCs w:val="20"/>
                <w:color w:val="auto"/>
              </w:rPr>
            </w:pPr>
            <w:r>
              <w:rPr>
                <w:rFonts w:ascii="Arial" w:cs="Arial" w:eastAsia="Arial" w:hAnsi="Arial"/>
                <w:sz w:val="17"/>
                <w:szCs w:val="17"/>
                <w:color w:val="auto"/>
              </w:rPr>
              <w:t>Item 14.</w:t>
            </w:r>
          </w:p>
        </w:tc>
        <w:tc>
          <w:tcPr>
            <w:tcW w:w="9160" w:type="dxa"/>
            <w:vAlign w:val="bottom"/>
            <w:gridSpan w:val="20"/>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Principal Accounting Fees and Services</w:t>
              </w:r>
            </w:hyperlink>
          </w:p>
        </w:tc>
        <w:tc>
          <w:tcPr>
            <w:tcW w:w="380" w:type="dxa"/>
            <w:vAlign w:val="bottom"/>
          </w:tcPr>
          <w:p>
            <w:pPr>
              <w:spacing w:after="0"/>
              <w:rPr>
                <w:sz w:val="17"/>
                <w:szCs w:val="17"/>
                <w:color w:val="auto"/>
              </w:rPr>
            </w:pPr>
          </w:p>
        </w:tc>
        <w:tc>
          <w:tcPr>
            <w:tcW w:w="200" w:type="dxa"/>
            <w:vAlign w:val="bottom"/>
            <w:gridSpan w:val="3"/>
          </w:tcPr>
          <w:p>
            <w:pPr>
              <w:jc w:val="right"/>
              <w:ind w:right="20"/>
              <w:spacing w:after="0"/>
              <w:rPr>
                <w:rFonts w:ascii="Arial" w:cs="Arial" w:eastAsia="Arial" w:hAnsi="Arial"/>
                <w:sz w:val="17"/>
                <w:szCs w:val="17"/>
                <w:color w:val="0000FF"/>
                <w:w w:val="84"/>
              </w:rPr>
            </w:pPr>
            <w:hyperlink w:anchor="page49">
              <w:r>
                <w:rPr>
                  <w:rFonts w:ascii="Arial" w:cs="Arial" w:eastAsia="Arial" w:hAnsi="Arial"/>
                  <w:sz w:val="17"/>
                  <w:szCs w:val="17"/>
                  <w:color w:val="0000FF"/>
                  <w:w w:val="84"/>
                </w:rPr>
                <w:t>47</w:t>
              </w:r>
            </w:hyperlink>
          </w:p>
        </w:tc>
        <w:tc>
          <w:tcPr>
            <w:tcW w:w="20" w:type="dxa"/>
            <w:vAlign w:val="bottom"/>
          </w:tcPr>
          <w:p>
            <w:pPr>
              <w:spacing w:after="0"/>
              <w:rPr>
                <w:sz w:val="17"/>
                <w:szCs w:val="17"/>
                <w:color w:val="auto"/>
              </w:rPr>
            </w:pPr>
          </w:p>
        </w:tc>
      </w:tr>
      <w:tr>
        <w:trPr>
          <w:trHeight w:val="239"/>
        </w:trPr>
        <w:tc>
          <w:tcPr>
            <w:tcW w:w="1480" w:type="dxa"/>
            <w:vAlign w:val="bottom"/>
          </w:tcPr>
          <w:p>
            <w:pPr>
              <w:ind w:left="20"/>
              <w:spacing w:after="0"/>
              <w:rPr>
                <w:sz w:val="20"/>
                <w:szCs w:val="20"/>
                <w:color w:val="auto"/>
              </w:rPr>
            </w:pPr>
            <w:r>
              <w:rPr>
                <w:rFonts w:ascii="Arial" w:cs="Arial" w:eastAsia="Arial" w:hAnsi="Arial"/>
                <w:sz w:val="17"/>
                <w:szCs w:val="17"/>
                <w:color w:val="auto"/>
              </w:rPr>
              <w:t>Part IV:</w:t>
            </w:r>
          </w:p>
        </w:tc>
        <w:tc>
          <w:tcPr>
            <w:tcW w:w="6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1"/>
        </w:trPr>
        <w:tc>
          <w:tcPr>
            <w:tcW w:w="1480" w:type="dxa"/>
            <w:vAlign w:val="bottom"/>
          </w:tcPr>
          <w:p>
            <w:pPr>
              <w:ind w:left="440"/>
              <w:spacing w:after="0" w:line="181" w:lineRule="exact"/>
              <w:rPr>
                <w:sz w:val="20"/>
                <w:szCs w:val="20"/>
                <w:color w:val="auto"/>
              </w:rPr>
            </w:pPr>
            <w:r>
              <w:rPr>
                <w:rFonts w:ascii="Arial" w:cs="Arial" w:eastAsia="Arial" w:hAnsi="Arial"/>
                <w:sz w:val="17"/>
                <w:szCs w:val="17"/>
                <w:color w:val="auto"/>
              </w:rPr>
              <w:t>Item 15.</w:t>
            </w:r>
          </w:p>
        </w:tc>
        <w:tc>
          <w:tcPr>
            <w:tcW w:w="2780" w:type="dxa"/>
            <w:vAlign w:val="bottom"/>
            <w:gridSpan w:val="11"/>
          </w:tcPr>
          <w:p>
            <w:pPr>
              <w:spacing w:after="0" w:line="181" w:lineRule="exact"/>
              <w:rPr>
                <w:rFonts w:ascii="Arial" w:cs="Arial" w:eastAsia="Arial" w:hAnsi="Arial"/>
                <w:sz w:val="17"/>
                <w:szCs w:val="17"/>
                <w:color w:val="0000FF"/>
                <w:w w:val="90"/>
              </w:rPr>
            </w:pPr>
            <w:hyperlink w:anchor="page50">
              <w:r>
                <w:rPr>
                  <w:rFonts w:ascii="Arial" w:cs="Arial" w:eastAsia="Arial" w:hAnsi="Arial"/>
                  <w:sz w:val="17"/>
                  <w:szCs w:val="17"/>
                  <w:color w:val="0000FF"/>
                  <w:w w:val="90"/>
                </w:rPr>
                <w:t>Exhibits, Financial Statement Schedules</w:t>
              </w:r>
            </w:hyperlink>
          </w:p>
        </w:tc>
        <w:tc>
          <w:tcPr>
            <w:tcW w:w="638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3"/>
          </w:tcPr>
          <w:p>
            <w:pPr>
              <w:jc w:val="right"/>
              <w:ind w:right="20"/>
              <w:spacing w:after="0" w:line="181" w:lineRule="exact"/>
              <w:rPr>
                <w:rFonts w:ascii="Arial" w:cs="Arial" w:eastAsia="Arial" w:hAnsi="Arial"/>
                <w:sz w:val="17"/>
                <w:szCs w:val="17"/>
                <w:color w:val="0000FF"/>
                <w:w w:val="84"/>
              </w:rPr>
            </w:pPr>
            <w:hyperlink w:anchor="page50">
              <w:r>
                <w:rPr>
                  <w:rFonts w:ascii="Arial" w:cs="Arial" w:eastAsia="Arial" w:hAnsi="Arial"/>
                  <w:sz w:val="17"/>
                  <w:szCs w:val="17"/>
                  <w:color w:val="0000FF"/>
                  <w:w w:val="84"/>
                </w:rPr>
                <w:t>48</w:t>
              </w:r>
            </w:hyperlink>
          </w:p>
        </w:tc>
        <w:tc>
          <w:tcPr>
            <w:tcW w:w="20" w:type="dxa"/>
            <w:vAlign w:val="bottom"/>
          </w:tcPr>
          <w:p>
            <w:pPr>
              <w:spacing w:after="0"/>
              <w:rPr>
                <w:sz w:val="17"/>
                <w:szCs w:val="17"/>
                <w:color w:val="auto"/>
              </w:rPr>
            </w:pPr>
          </w:p>
        </w:tc>
      </w:tr>
      <w:tr>
        <w:trPr>
          <w:trHeight w:val="842"/>
        </w:trPr>
        <w:tc>
          <w:tcPr>
            <w:tcW w:w="1480" w:type="dxa"/>
            <w:vAlign w:val="bottom"/>
          </w:tcPr>
          <w:p>
            <w:pPr>
              <w:spacing w:after="0"/>
              <w:rPr>
                <w:sz w:val="24"/>
                <w:szCs w:val="24"/>
                <w:color w:val="auto"/>
              </w:rPr>
            </w:pPr>
          </w:p>
        </w:tc>
        <w:tc>
          <w:tcPr>
            <w:tcW w:w="2780" w:type="dxa"/>
            <w:vAlign w:val="bottom"/>
            <w:tcBorders>
              <w:top w:val="single" w:sz="8" w:color="0000FF"/>
            </w:tcBorders>
            <w:gridSpan w:val="11"/>
          </w:tcPr>
          <w:p>
            <w:pPr>
              <w:spacing w:after="0"/>
              <w:rPr>
                <w:sz w:val="24"/>
                <w:szCs w:val="24"/>
                <w:color w:val="auto"/>
              </w:rPr>
            </w:pPr>
          </w:p>
        </w:tc>
        <w:tc>
          <w:tcPr>
            <w:tcW w:w="2440" w:type="dxa"/>
            <w:vAlign w:val="bottom"/>
            <w:gridSpan w:val="4"/>
          </w:tcPr>
          <w:p>
            <w:pPr>
              <w:jc w:val="center"/>
              <w:ind w:left="194"/>
              <w:spacing w:after="0"/>
              <w:rPr>
                <w:sz w:val="20"/>
                <w:szCs w:val="20"/>
                <w:color w:val="auto"/>
              </w:rPr>
            </w:pPr>
            <w:r>
              <w:rPr>
                <w:rFonts w:ascii="Arial" w:cs="Arial" w:eastAsia="Arial" w:hAnsi="Arial"/>
                <w:sz w:val="17"/>
                <w:szCs w:val="17"/>
                <w:color w:val="auto"/>
                <w:w w:val="84"/>
              </w:rPr>
              <w:t>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14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 w:name="page4"/>
    <w:bookmarkEnd w:id="3"/>
    <w:p>
      <w:pPr>
        <w:ind w:left="5400"/>
        <w:spacing w:after="0"/>
        <w:rPr>
          <w:sz w:val="20"/>
          <w:szCs w:val="20"/>
          <w:color w:val="auto"/>
        </w:rPr>
      </w:pPr>
      <w:r>
        <w:rPr>
          <w:rFonts w:ascii="Arial" w:cs="Arial" w:eastAsia="Arial" w:hAnsi="Arial"/>
          <w:sz w:val="17"/>
          <w:szCs w:val="17"/>
          <w:b w:val="1"/>
          <w:bCs w:val="1"/>
          <w:color w:val="auto"/>
        </w:rPr>
        <w:t>Part I</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Unless otherwise indicated in this report, "AngioDynamics," the "Company," "we," "our" or "us" refers to AngioDynamics, Inc and our consolidated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Regarding Forward-Looking Statements</w:t>
      </w:r>
    </w:p>
    <w:p>
      <w:pPr>
        <w:spacing w:after="0" w:line="174" w:lineRule="exact"/>
        <w:rPr>
          <w:sz w:val="20"/>
          <w:szCs w:val="20"/>
          <w:color w:val="auto"/>
        </w:rPr>
      </w:pPr>
    </w:p>
    <w:p>
      <w:pPr>
        <w:ind w:firstLine="389"/>
        <w:spacing w:after="0" w:line="274" w:lineRule="auto"/>
        <w:rPr>
          <w:sz w:val="20"/>
          <w:szCs w:val="20"/>
          <w:color w:val="auto"/>
        </w:rPr>
      </w:pPr>
      <w:r>
        <w:rPr>
          <w:rFonts w:ascii="Arial" w:cs="Arial" w:eastAsia="Arial" w:hAnsi="Arial"/>
          <w:sz w:val="16"/>
          <w:szCs w:val="16"/>
          <w:color w:val="auto"/>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words such as “expects,” “reaffirms,” “intends,” “anticipates,” “plans,” “believes,” “seeks,” “estimates,” “projects,”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our expectations, expressed or implied.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our ability to integrate purchased businesses and other factors including natural disasters and pandemics (such as the scope, scale and duration of the impact of COVID-19). Other risks and uncertainties include, but are not limited to, the factors described from time to time in our reports filed with the Securities and Exchange Commission (the "SEC").</w:t>
      </w:r>
    </w:p>
    <w:p>
      <w:pPr>
        <w:spacing w:after="0" w:line="124" w:lineRule="exact"/>
        <w:rPr>
          <w:sz w:val="20"/>
          <w:szCs w:val="20"/>
          <w:color w:val="auto"/>
        </w:rPr>
      </w:pPr>
    </w:p>
    <w:p>
      <w:pPr>
        <w:ind w:right="100" w:firstLine="389"/>
        <w:spacing w:after="0" w:line="301" w:lineRule="auto"/>
        <w:rPr>
          <w:sz w:val="20"/>
          <w:szCs w:val="20"/>
          <w:color w:val="auto"/>
        </w:rPr>
      </w:pPr>
      <w:r>
        <w:rPr>
          <w:rFonts w:ascii="Arial" w:cs="Arial" w:eastAsia="Arial" w:hAnsi="Arial"/>
          <w:sz w:val="15"/>
          <w:szCs w:val="15"/>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Regarding Trademarks</w:t>
      </w:r>
    </w:p>
    <w:p>
      <w:pPr>
        <w:spacing w:after="0" w:line="174" w:lineRule="exact"/>
        <w:rPr>
          <w:sz w:val="20"/>
          <w:szCs w:val="20"/>
          <w:color w:val="auto"/>
        </w:rPr>
      </w:pPr>
    </w:p>
    <w:p>
      <w:pPr>
        <w:ind w:right="120" w:firstLine="389"/>
        <w:spacing w:after="0" w:line="264" w:lineRule="auto"/>
        <w:rPr>
          <w:sz w:val="20"/>
          <w:szCs w:val="20"/>
          <w:color w:val="auto"/>
        </w:rPr>
      </w:pPr>
      <w:r>
        <w:rPr>
          <w:rFonts w:ascii="Arial" w:cs="Arial" w:eastAsia="Arial" w:hAnsi="Arial"/>
          <w:sz w:val="17"/>
          <w:szCs w:val="17"/>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4" w:lineRule="exact"/>
        <w:rPr>
          <w:sz w:val="20"/>
          <w:szCs w:val="20"/>
          <w:color w:val="auto"/>
        </w:rPr>
      </w:pPr>
    </w:p>
    <w:p>
      <w:pPr>
        <w:ind w:right="60" w:firstLine="373"/>
        <w:spacing w:after="0" w:line="269" w:lineRule="auto"/>
        <w:rPr>
          <w:sz w:val="20"/>
          <w:szCs w:val="20"/>
          <w:color w:val="auto"/>
        </w:rPr>
      </w:pPr>
      <w:r>
        <w:rPr>
          <w:rFonts w:ascii="Arial" w:cs="Arial" w:eastAsia="Arial" w:hAnsi="Arial"/>
          <w:sz w:val="17"/>
          <w:szCs w:val="17"/>
          <w:color w:val="auto"/>
        </w:rPr>
        <w:t>AngioDynamics, Inc. designs, manufactures and sells a wide range of medical, surgical and diagnostic devices used by professional healthcare providers for the treatment of peripheral vascular disease, vascular access and for use in oncology and surgical settings. Our devices are generally used in minimally invasive, image-guided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w:t>
      </w:r>
    </w:p>
    <w:p>
      <w:pPr>
        <w:spacing w:after="0" w:line="174" w:lineRule="exact"/>
        <w:rPr>
          <w:sz w:val="20"/>
          <w:szCs w:val="20"/>
          <w:color w:val="auto"/>
        </w:rPr>
      </w:pPr>
    </w:p>
    <w:p>
      <w:pPr>
        <w:ind w:right="80" w:firstLine="373"/>
        <w:spacing w:after="0" w:line="264" w:lineRule="auto"/>
        <w:rPr>
          <w:sz w:val="20"/>
          <w:szCs w:val="20"/>
          <w:color w:val="auto"/>
        </w:rPr>
      </w:pPr>
      <w:r>
        <w:rPr>
          <w:rFonts w:ascii="Arial" w:cs="Arial" w:eastAsia="Arial" w:hAnsi="Arial"/>
          <w:sz w:val="17"/>
          <w:szCs w:val="17"/>
          <w:color w:val="auto"/>
        </w:rPr>
        <w:t>AngioDynamics was founded in Queensbury, N.Y., U.S., in 1988 and began manufacturing and shipping product in the early 1990s. The Company is headquartered in Latham, N.Y., with manufacturing primarily out of the Queensbury facility. Initially dedicated to the research and development of products used in interventional radiology, the Company soon became well established as a producer of diagnostic catheters for non-coronary angiography and thrombolytic delivery systems.</w:t>
      </w:r>
    </w:p>
    <w:p>
      <w:pPr>
        <w:spacing w:after="0" w:line="125" w:lineRule="exact"/>
        <w:rPr>
          <w:sz w:val="20"/>
          <w:szCs w:val="20"/>
          <w:color w:val="auto"/>
        </w:rPr>
      </w:pPr>
    </w:p>
    <w:p>
      <w:pPr>
        <w:ind w:right="60" w:firstLine="373"/>
        <w:spacing w:after="0" w:line="305" w:lineRule="auto"/>
        <w:rPr>
          <w:sz w:val="20"/>
          <w:szCs w:val="20"/>
          <w:color w:val="auto"/>
        </w:rPr>
      </w:pPr>
      <w:r>
        <w:rPr>
          <w:rFonts w:ascii="Arial" w:cs="Arial" w:eastAsia="Arial" w:hAnsi="Arial"/>
          <w:sz w:val="15"/>
          <w:szCs w:val="15"/>
          <w:color w:val="auto"/>
        </w:rPr>
        <w:t>The Company grew over the following years as a result of acquisitions of companies including RITA Medical Systems in January 2007, Oncobionic in May 2008, Vortex Medical, Inc. in October 2012, Clinical Devices in August 2013, the assets of Diomed in June 2008 and the assets of Microsulis Medical Limited in January 2013. These acquisitions added product lines including ablation and NanoKnife systems, vascular access products, angiographic products and accessories, dialysis products, drainage products, thrombolytic products, embolization products and venous products. In May 2012, the Company acquired Navilyst Medical's Fluid Management business, which the Company sold in May 2019 to Medline Industries, Inc. pursuant to an asset purchase agreement.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4" w:name="page5"/>
    <w:bookmarkEnd w:id="4"/>
    <w:p>
      <w:pPr>
        <w:ind w:right="40" w:firstLine="373"/>
        <w:spacing w:after="0" w:line="264" w:lineRule="auto"/>
        <w:rPr>
          <w:sz w:val="20"/>
          <w:szCs w:val="20"/>
          <w:color w:val="auto"/>
        </w:rPr>
      </w:pPr>
      <w:r>
        <w:rPr>
          <w:rFonts w:ascii="Arial" w:cs="Arial" w:eastAsia="Arial" w:hAnsi="Arial"/>
          <w:sz w:val="17"/>
          <w:szCs w:val="17"/>
          <w:color w:val="auto"/>
        </w:rPr>
        <w:t>In August 2018, the Company acquired the BioSentry product line from Surgical Specialties, LLC. In September 2018, the Company acquired RadiaDyne, which included endorectal and vaginal balloons. On October 2, 2019, the Company acquired Eximo Medical, Ltd., a pre-commercial stage medical device company and its proprietary 355nm laser atherectomy technology (now called Auryon), which treats Peripheral Artery Disease. On December 17, 2019, the Company acquired the C3 Wave tip location asset from Medical Components Inc.</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AngioDynamics is publicly traded on the NASDAQ stock exchange under the symbol ANGO.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174" w:lineRule="exact"/>
        <w:rPr>
          <w:sz w:val="20"/>
          <w:szCs w:val="20"/>
          <w:color w:val="auto"/>
        </w:rPr>
      </w:pPr>
    </w:p>
    <w:p>
      <w:pPr>
        <w:ind w:right="120" w:firstLine="373"/>
        <w:spacing w:after="0" w:line="269" w:lineRule="auto"/>
        <w:rPr>
          <w:sz w:val="20"/>
          <w:szCs w:val="20"/>
          <w:color w:val="auto"/>
        </w:rPr>
      </w:pPr>
      <w:r>
        <w:rPr>
          <w:rFonts w:ascii="Arial" w:cs="Arial" w:eastAsia="Arial" w:hAnsi="Arial"/>
          <w:sz w:val="17"/>
          <w:szCs w:val="17"/>
          <w:color w:val="auto"/>
        </w:rPr>
        <w:t>Our product offerings fall within three Global Business Units (GBUs): Endovascular Therapies (formerly, Vascular Interventions and Therapies ("VIT")), Oncology/Surgery ("OS") and Vascular Access ("VA"). All products discussed below have been cleared for sale in the United States by the Food and Drug Administration. International regulatory clearances vary by product and jurisdiction.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Endovascular Therapies Products</w:t>
      </w:r>
    </w:p>
    <w:p>
      <w:pPr>
        <w:spacing w:after="0" w:line="174" w:lineRule="exact"/>
        <w:rPr>
          <w:sz w:val="20"/>
          <w:szCs w:val="20"/>
          <w:color w:val="auto"/>
        </w:rPr>
      </w:pPr>
    </w:p>
    <w:p>
      <w:pPr>
        <w:ind w:firstLine="373"/>
        <w:spacing w:after="0" w:line="284" w:lineRule="auto"/>
        <w:rPr>
          <w:sz w:val="20"/>
          <w:szCs w:val="20"/>
          <w:color w:val="auto"/>
        </w:rPr>
      </w:pPr>
      <w:r>
        <w:rPr>
          <w:rFonts w:ascii="Arial" w:cs="Arial" w:eastAsia="Arial" w:hAnsi="Arial"/>
          <w:sz w:val="17"/>
          <w:szCs w:val="17"/>
          <w:color w:val="auto"/>
        </w:rPr>
        <w:t>AngioDynamics’ Endovascular Therapies product offerings support the medical areas of Thrombus Management, Atherectomy, Peripheral Products (Core) and Venous Insufficiency.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Thrombus Management</w:t>
      </w:r>
    </w:p>
    <w:p>
      <w:pPr>
        <w:spacing w:after="0" w:line="168" w:lineRule="exact"/>
        <w:rPr>
          <w:sz w:val="20"/>
          <w:szCs w:val="20"/>
          <w:color w:val="auto"/>
        </w:rPr>
      </w:pPr>
    </w:p>
    <w:p>
      <w:pPr>
        <w:jc w:val="both"/>
        <w:ind w:right="300" w:firstLine="373"/>
        <w:spacing w:after="0" w:line="269" w:lineRule="auto"/>
        <w:rPr>
          <w:sz w:val="20"/>
          <w:szCs w:val="20"/>
          <w:color w:val="auto"/>
        </w:rPr>
      </w:pPr>
      <w:r>
        <w:rPr>
          <w:rFonts w:ascii="Arial" w:cs="Arial" w:eastAsia="Arial" w:hAnsi="Arial"/>
          <w:sz w:val="17"/>
          <w:szCs w:val="17"/>
          <w:color w:val="auto"/>
        </w:rPr>
        <w:t>Our Thrombus Management portfolio includes the proprietary AngioVac venous drainage cannula and circuit, as well as catheter directed thrombolytic devices, including the Uni-Fuse system, the Uni-Fuse+ system, the Pulse Spray system and SpeedLyser infusion catheters. AngioDynamics offers a range of options when treating thrombus and removing fresh, soft thrombi or emboli.</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AngioVac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15240</wp:posOffset>
            </wp:positionV>
            <wp:extent cx="1720850" cy="1482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0850" cy="1482090"/>
                    </a:xfrm>
                    <a:prstGeom prst="rect">
                      <a:avLst/>
                    </a:prstGeom>
                    <a:noFill/>
                  </pic:spPr>
                </pic:pic>
              </a:graphicData>
            </a:graphic>
          </wp:anchor>
        </w:drawing>
      </w:r>
    </w:p>
    <w:p>
      <w:pPr>
        <w:spacing w:after="0" w:line="5" w:lineRule="exact"/>
        <w:rPr>
          <w:sz w:val="20"/>
          <w:szCs w:val="20"/>
          <w:color w:val="auto"/>
        </w:rPr>
      </w:pPr>
    </w:p>
    <w:p>
      <w:pPr>
        <w:jc w:val="both"/>
        <w:ind w:right="6000" w:firstLine="373"/>
        <w:spacing w:after="0" w:line="295" w:lineRule="auto"/>
        <w:rPr>
          <w:sz w:val="20"/>
          <w:szCs w:val="20"/>
          <w:color w:val="auto"/>
        </w:rPr>
      </w:pPr>
      <w:r>
        <w:rPr>
          <w:rFonts w:ascii="Arial" w:cs="Arial" w:eastAsia="Arial" w:hAnsi="Arial"/>
          <w:sz w:val="15"/>
          <w:szCs w:val="15"/>
          <w:color w:val="auto"/>
        </w:rPr>
        <w:t>Our AngioVac venous drainage system includes a Venous Drainage Cannula and Extracorporeal Circuit. The cannula is indicated for use as a venous drainage cannula and for removal of fresh, soft thrombi or emboli during extracorporeal bypass. The AngioVac circuit is indicated for use in procedures requiring extracorporeal circulatory support for periods of up to six hours. AngioVac devices are for use with other manufacturers’ off-the-shelf pump, filter and reinfusion cannula, to facilitate venous drainage as part of an extracorporeal bypass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300" w:firstLine="373"/>
        <w:spacing w:after="0" w:line="294" w:lineRule="auto"/>
        <w:rPr>
          <w:sz w:val="20"/>
          <w:szCs w:val="20"/>
          <w:color w:val="auto"/>
        </w:rPr>
      </w:pPr>
      <w:r>
        <w:rPr>
          <w:rFonts w:ascii="Arial" w:cs="Arial" w:eastAsia="Arial" w:hAnsi="Arial"/>
          <w:sz w:val="16"/>
          <w:szCs w:val="16"/>
          <w:color w:val="auto"/>
        </w:rPr>
        <w:t>The AngioVac venous drainage cannula is a 22 French flat coil-reinforced cannula designed with a proprietary self-expanding nitinol reinforced funnel shaped distal tip. The funnel shaped tip enhances venous drainage flow when the distal tip is exposed by retracting the sheath, helps prevent clogging of the cannula with commonly encountered undesirable intravascular material, and facilitates embolic removal of such extraneous material.</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Auryon</w:t>
      </w:r>
    </w:p>
    <w:p>
      <w:pPr>
        <w:spacing w:after="0" w:line="168" w:lineRule="exact"/>
        <w:rPr>
          <w:sz w:val="20"/>
          <w:szCs w:val="20"/>
          <w:color w:val="auto"/>
        </w:rPr>
      </w:pPr>
    </w:p>
    <w:p>
      <w:pPr>
        <w:ind w:right="5720" w:firstLine="373"/>
        <w:spacing w:after="0" w:line="298" w:lineRule="auto"/>
        <w:rPr>
          <w:sz w:val="20"/>
          <w:szCs w:val="20"/>
          <w:color w:val="auto"/>
        </w:rPr>
      </w:pPr>
      <w:r>
        <w:rPr>
          <w:rFonts w:ascii="Arial" w:cs="Arial" w:eastAsia="Arial" w:hAnsi="Arial"/>
          <w:sz w:val="15"/>
          <w:szCs w:val="15"/>
          <w:color w:val="auto"/>
        </w:rPr>
        <w:t>The Auryon Atherectomy System is one of our latest advancement in peripheral arterial disease. The Auryon system is designed to deliver an optimized wavelength, pulse width, and amplitude to remove lesions while preserving vessel wall endothelium. Additionally, the Auryon system includes aspiration which enhances the safety of the procedure. Regardless of lesion type, the Auryon system provides exceptional safety and efficacy. The Auryon system is indicated for use in the treatment, including atherectomy, of infrainguinal stenoses and occlusions, including in-stent restenosis (ISR).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-1079500</wp:posOffset>
            </wp:positionV>
            <wp:extent cx="2338070" cy="1506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8070" cy="150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27" w:right="459" w:bottom="1440" w:gutter="0" w:footer="0" w:header="0"/>
        </w:sectPr>
      </w:pPr>
    </w:p>
    <w:bookmarkStart w:id="5" w:name="page6"/>
    <w:bookmarkEnd w:id="5"/>
    <w:p>
      <w:pPr>
        <w:spacing w:after="0"/>
        <w:rPr>
          <w:sz w:val="20"/>
          <w:szCs w:val="20"/>
          <w:color w:val="auto"/>
        </w:rPr>
      </w:pPr>
      <w:r>
        <w:rPr>
          <w:rFonts w:ascii="Arial" w:cs="Arial" w:eastAsia="Arial" w:hAnsi="Arial"/>
          <w:sz w:val="17"/>
          <w:szCs w:val="17"/>
          <w:i w:val="1"/>
          <w:iCs w:val="1"/>
          <w:color w:val="auto"/>
        </w:rPr>
        <w:t>Thrombolytic Catheters</w:t>
      </w:r>
    </w:p>
    <w:p>
      <w:pPr>
        <w:spacing w:after="0" w:line="168" w:lineRule="exact"/>
        <w:rPr>
          <w:sz w:val="20"/>
          <w:szCs w:val="20"/>
          <w:color w:val="auto"/>
        </w:rPr>
      </w:pPr>
    </w:p>
    <w:p>
      <w:pPr>
        <w:jc w:val="both"/>
        <w:ind w:right="100" w:firstLine="373"/>
        <w:spacing w:after="0" w:line="321" w:lineRule="auto"/>
        <w:rPr>
          <w:sz w:val="20"/>
          <w:szCs w:val="20"/>
          <w:color w:val="auto"/>
        </w:rPr>
      </w:pPr>
      <w:r>
        <w:rPr>
          <w:rFonts w:ascii="Arial" w:cs="Arial" w:eastAsia="Arial" w:hAnsi="Arial"/>
          <w:sz w:val="15"/>
          <w:szCs w:val="15"/>
          <w:color w:val="auto"/>
        </w:rPr>
        <w:t>Thrombolytic catheters are used to deliver thrombolytic agents, which are drugs that dissolve blood clots in hemodialysis access grafts, arteries, veins and surgical bypass grafts. AngioDynamics’ Uni-Fuse infusion catheter features pressure response outlets, a proprietary, time-tested slit technology that provides a consistent, even distribution of fluid volume along the entire length of the infusion pattern, resulting in a 12-fold advantage over standard side-hole catheters.</w:t>
      </w:r>
    </w:p>
    <w:p>
      <w:pPr>
        <w:spacing w:after="0" w:line="86" w:lineRule="exact"/>
        <w:rPr>
          <w:sz w:val="20"/>
          <w:szCs w:val="20"/>
          <w:color w:val="auto"/>
        </w:rPr>
      </w:pPr>
    </w:p>
    <w:p>
      <w:pPr>
        <w:ind w:right="340" w:firstLine="373"/>
        <w:spacing w:after="0" w:line="284" w:lineRule="auto"/>
        <w:rPr>
          <w:sz w:val="20"/>
          <w:szCs w:val="20"/>
          <w:color w:val="auto"/>
        </w:rPr>
      </w:pPr>
      <w:r>
        <w:rPr>
          <w:rFonts w:ascii="Arial" w:cs="Arial" w:eastAsia="Arial" w:hAnsi="Arial"/>
          <w:sz w:val="17"/>
          <w:szCs w:val="17"/>
          <w:color w:val="auto"/>
        </w:rPr>
        <w:t>We also offer the Pulse-Spray infusion system for high pressure, pulsed delivery of lytic agents to shorten treatment time, and the SpeedLyser infusion system built for dialysis grafts and fistulas.¹</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Peripheral Products (Core)</w:t>
      </w:r>
    </w:p>
    <w:p>
      <w:pPr>
        <w:spacing w:after="0" w:line="168" w:lineRule="exact"/>
        <w:rPr>
          <w:sz w:val="20"/>
          <w:szCs w:val="20"/>
          <w:color w:val="auto"/>
        </w:rPr>
      </w:pPr>
    </w:p>
    <w:p>
      <w:pPr>
        <w:ind w:right="80" w:firstLine="373"/>
        <w:spacing w:after="0" w:line="284" w:lineRule="auto"/>
        <w:rPr>
          <w:sz w:val="20"/>
          <w:szCs w:val="20"/>
          <w:color w:val="auto"/>
        </w:rPr>
      </w:pPr>
      <w:r>
        <w:rPr>
          <w:rFonts w:ascii="Arial" w:cs="Arial" w:eastAsia="Arial" w:hAnsi="Arial"/>
          <w:sz w:val="17"/>
          <w:szCs w:val="17"/>
          <w:color w:val="auto"/>
        </w:rPr>
        <w:t>We offer a comprehensive portfolio for minimally invasive peripheral products. Product categories include an extensive line of angiographic catheters and diagnostic and interventional guidewires, percutaneous drainage catheters and coaxial micro-introducer kits.</w:t>
      </w:r>
    </w:p>
    <w:p>
      <w:pPr>
        <w:spacing w:after="0" w:line="123" w:lineRule="exact"/>
        <w:rPr>
          <w:sz w:val="20"/>
          <w:szCs w:val="20"/>
          <w:color w:val="auto"/>
        </w:rPr>
      </w:pPr>
    </w:p>
    <w:p>
      <w:pPr>
        <w:ind w:left="480" w:hanging="103"/>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4"/>
          <w:szCs w:val="14"/>
          <w:color w:val="auto"/>
        </w:rPr>
        <w:t>Yusuf SW, et al. Immediate and Early Follow-up Results of Pulse Spray Thrombolysis in Patients with Peripheral Ischaemia. British Journal of Surgery 1995; 82:338-340.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Angiographic Products and Accessories</w:t>
      </w:r>
    </w:p>
    <w:p>
      <w:pPr>
        <w:spacing w:after="0" w:line="168" w:lineRule="exact"/>
        <w:rPr>
          <w:sz w:val="20"/>
          <w:szCs w:val="20"/>
          <w:color w:val="auto"/>
        </w:rPr>
      </w:pPr>
    </w:p>
    <w:p>
      <w:pPr>
        <w:ind w:right="100" w:firstLine="373"/>
        <w:spacing w:after="0" w:line="269" w:lineRule="auto"/>
        <w:rPr>
          <w:sz w:val="20"/>
          <w:szCs w:val="20"/>
          <w:color w:val="auto"/>
        </w:rPr>
      </w:pPr>
      <w:r>
        <w:rPr>
          <w:rFonts w:ascii="Arial" w:cs="Arial" w:eastAsia="Arial" w:hAnsi="Arial"/>
          <w:sz w:val="17"/>
          <w:szCs w:val="17"/>
          <w:color w:val="auto"/>
        </w:rPr>
        <w:t>Angiographic products and accessories are used during peripheral diagnostic and interventional procedures. These products permit physicians to reach targeted locations to deliver contrast media for visualization purposes and therapeutic agents and devices, such as percutaneous transluminal angioplasty (PTA) balloons. Angiographic products consist of angiographic catheters and guidewires.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angiographic catheter line includes the following brands, all with radiopaque tips to assure excellent visibility under fluoroscopy:</w:t>
      </w:r>
    </w:p>
    <w:p>
      <w:pPr>
        <w:spacing w:after="0" w:line="168" w:lineRule="exact"/>
        <w:rPr>
          <w:sz w:val="20"/>
          <w:szCs w:val="20"/>
          <w:color w:val="auto"/>
        </w:rPr>
      </w:pPr>
    </w:p>
    <w:p>
      <w:pPr>
        <w:jc w:val="both"/>
        <w:ind w:left="620" w:right="40" w:hanging="305"/>
        <w:spacing w:after="0" w:line="276" w:lineRule="auto"/>
        <w:tabs>
          <w:tab w:leader="none" w:pos="616" w:val="left"/>
        </w:tabs>
        <w:numPr>
          <w:ilvl w:val="0"/>
          <w:numId w:val="4"/>
        </w:numPr>
        <w:rPr>
          <w:rFonts w:ascii="Arial" w:cs="Arial" w:eastAsia="Arial" w:hAnsi="Arial"/>
          <w:sz w:val="16"/>
          <w:szCs w:val="16"/>
          <w:color w:val="auto"/>
        </w:rPr>
      </w:pPr>
      <w:r>
        <w:rPr>
          <w:rFonts w:ascii="Arial" w:cs="Arial" w:eastAsia="Arial" w:hAnsi="Arial"/>
          <w:sz w:val="16"/>
          <w:szCs w:val="16"/>
          <w:color w:val="auto"/>
        </w:rPr>
        <w:t>Soft-Vu flush catheters are available in flush and selective varieties. Flush catheters are used in procedures where a high flow of contrast is required for “big picture” diagnostics. Anomalies discovered through a flush angiogram may require further investigation into a vessel of interest. Soft-Vu selective catheters are used to gain access to smaller or more distal vessels and advance the catheter or wire into the diseased section.</w:t>
      </w:r>
    </w:p>
    <w:p>
      <w:pPr>
        <w:ind w:left="620" w:right="20" w:hanging="305"/>
        <w:spacing w:after="0" w:line="25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Accu-Vu sizing catheters feature radiopaque marker bands at the distal (farthest away) portion of the catheter to provide a highly accurate measurement of the patient’s anatomy. This enables precise measurement for interventional devices such as stents.</w:t>
      </w:r>
    </w:p>
    <w:p>
      <w:pPr>
        <w:spacing w:after="0" w:line="1" w:lineRule="exact"/>
        <w:rPr>
          <w:rFonts w:ascii="Arial" w:cs="Arial" w:eastAsia="Arial" w:hAnsi="Arial"/>
          <w:sz w:val="17"/>
          <w:szCs w:val="17"/>
          <w:color w:val="auto"/>
        </w:rPr>
      </w:pPr>
    </w:p>
    <w:p>
      <w:pPr>
        <w:ind w:left="620" w:hanging="305"/>
        <w:spacing w:after="0" w:line="25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AngiOptic catheters have total catheter radiopacity, ensuring tip-to-hub visibility. This catheter is also constructed with a firm tip material that enhances stability during high-flow injections, providing excellent pushability.</w:t>
      </w:r>
    </w:p>
    <w:p>
      <w:pPr>
        <w:spacing w:after="0" w:line="1" w:lineRule="exact"/>
        <w:rPr>
          <w:rFonts w:ascii="Arial" w:cs="Arial" w:eastAsia="Arial" w:hAnsi="Arial"/>
          <w:sz w:val="17"/>
          <w:szCs w:val="17"/>
          <w:color w:val="auto"/>
        </w:rPr>
      </w:pPr>
    </w:p>
    <w:p>
      <w:pPr>
        <w:ind w:left="620" w:right="540" w:hanging="305"/>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Mariner catheters have a hydrophilic coating that, when combined with water, reduces friction. This makes insertion potentially easier and more comfortable for the patient, and can also be used for advancing through tortuous anatomy.</w:t>
      </w:r>
    </w:p>
    <w:p>
      <w:pPr>
        <w:spacing w:after="0" w:line="120" w:lineRule="exact"/>
        <w:rPr>
          <w:sz w:val="20"/>
          <w:szCs w:val="20"/>
          <w:color w:val="auto"/>
        </w:rPr>
      </w:pPr>
    </w:p>
    <w:p>
      <w:pPr>
        <w:ind w:right="380" w:firstLine="373"/>
        <w:spacing w:after="0" w:line="284" w:lineRule="auto"/>
        <w:rPr>
          <w:sz w:val="20"/>
          <w:szCs w:val="20"/>
          <w:color w:val="auto"/>
        </w:rPr>
      </w:pPr>
      <w:r>
        <w:rPr>
          <w:rFonts w:ascii="Arial" w:cs="Arial" w:eastAsia="Arial" w:hAnsi="Arial"/>
          <w:sz w:val="17"/>
          <w:szCs w:val="17"/>
          <w:color w:val="auto"/>
        </w:rPr>
        <w:t>AngioDynamics guidewires include Nit-Vu (featuring a kink-resistant NiTi alloy core facilitating smooth navigation through tortuous vasculature and accurate wire control) and PTFE (Polytetrafluoroethylene) Coated diagnostic guidewires (fixed core and movable core).</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AngioDynamics catheters and guidewires are available in more than 500 tip configurations and lengths.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Drainage Products</w:t>
      </w:r>
    </w:p>
    <w:p>
      <w:pPr>
        <w:spacing w:after="0" w:line="168" w:lineRule="exact"/>
        <w:rPr>
          <w:sz w:val="20"/>
          <w:szCs w:val="20"/>
          <w:color w:val="auto"/>
        </w:rPr>
      </w:pPr>
    </w:p>
    <w:p>
      <w:pPr>
        <w:ind w:right="100" w:firstLine="373"/>
        <w:spacing w:after="0" w:line="269" w:lineRule="auto"/>
        <w:rPr>
          <w:sz w:val="20"/>
          <w:szCs w:val="20"/>
          <w:color w:val="auto"/>
        </w:rPr>
      </w:pPr>
      <w:r>
        <w:rPr>
          <w:rFonts w:ascii="Arial" w:cs="Arial" w:eastAsia="Arial" w:hAnsi="Arial"/>
          <w:sz w:val="17"/>
          <w:szCs w:val="17"/>
          <w:color w:val="auto"/>
        </w:rPr>
        <w:t>Drainage products percutaneously drain abscesses and other fluid pockets. An abscess is a tender inflamed mass that typically must be drained by a physician. AngioDynamics offers two brands of drainage catheters for multi-purpose/general, nephrostomy and biliary drainage: Total Abscession and Exodus. Each offer features and benefits depending on case presentation and physician preferences.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 Access Kits</w:t>
      </w:r>
    </w:p>
    <w:p>
      <w:pPr>
        <w:spacing w:after="0" w:line="168" w:lineRule="exact"/>
        <w:rPr>
          <w:sz w:val="20"/>
          <w:szCs w:val="20"/>
          <w:color w:val="auto"/>
        </w:rPr>
      </w:pPr>
    </w:p>
    <w:p>
      <w:pPr>
        <w:ind w:right="220" w:firstLine="373"/>
        <w:spacing w:after="0" w:line="294" w:lineRule="auto"/>
        <w:rPr>
          <w:sz w:val="20"/>
          <w:szCs w:val="20"/>
          <w:color w:val="auto"/>
        </w:rPr>
      </w:pPr>
      <w:r>
        <w:rPr>
          <w:rFonts w:ascii="Arial" w:cs="Arial" w:eastAsia="Arial" w:hAnsi="Arial"/>
          <w:sz w:val="16"/>
          <w:szCs w:val="16"/>
          <w:color w:val="auto"/>
        </w:rPr>
        <w:t>Our Micro Access sets provide interventional physicians a smaller introducer system for minimally-invasive procedures. Our Micro Access product line provides physicians with the means to choose from the wide selection of configurations, including guidewire, needle and introducer options. Two lines are available in stiff/standard, 10cm or 15cm and echogenic for visibility under ultrasound guidance: Micro Introducer Kit and Ministick Max.</w:t>
      </w:r>
    </w:p>
    <w:p>
      <w:pPr>
        <w:spacing w:after="0" w:line="117" w:lineRule="exact"/>
        <w:rPr>
          <w:sz w:val="20"/>
          <w:szCs w:val="20"/>
          <w:color w:val="auto"/>
        </w:rPr>
      </w:pPr>
    </w:p>
    <w:p>
      <w:pPr>
        <w:ind w:left="480" w:hanging="103"/>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4"/>
          <w:szCs w:val="14"/>
          <w:color w:val="auto"/>
        </w:rPr>
        <w:t>Yusuf SW, et al. Immediate and Early Follow-up Results of Pulse Spray Thrombolysis in Patients with Peripheral Ischaemia. British Journal of Surgery 1995; 82:338-340.</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01" w:lineRule="exact"/>
        <w:rPr>
          <w:rFonts w:ascii="Arial" w:cs="Arial" w:eastAsia="Arial" w:hAnsi="Arial"/>
          <w:sz w:val="15"/>
          <w:szCs w:val="15"/>
          <w:color w:val="auto"/>
        </w:rPr>
      </w:pPr>
    </w:p>
    <w:p>
      <w:pPr>
        <w:ind w:left="5580"/>
        <w:spacing w:after="0"/>
        <w:rPr>
          <w:rFonts w:ascii="Arial" w:cs="Arial" w:eastAsia="Arial" w:hAnsi="Arial"/>
          <w:sz w:val="15"/>
          <w:szCs w:val="15"/>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27" w:right="459" w:bottom="1440" w:gutter="0" w:footer="0" w:header="0"/>
        </w:sectPr>
      </w:pPr>
    </w:p>
    <w:bookmarkStart w:id="6" w:name="page7"/>
    <w:bookmarkEnd w:id="6"/>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Venous Insufficiency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VenaCure EVLT laser system</w:t>
      </w:r>
    </w:p>
    <w:p>
      <w:pPr>
        <w:spacing w:after="0" w:line="168" w:lineRule="exact"/>
        <w:rPr>
          <w:sz w:val="20"/>
          <w:szCs w:val="20"/>
          <w:color w:val="auto"/>
        </w:rPr>
      </w:pPr>
    </w:p>
    <w:p>
      <w:pPr>
        <w:ind w:right="5880" w:firstLine="373"/>
        <w:spacing w:after="0" w:line="258" w:lineRule="auto"/>
        <w:rPr>
          <w:sz w:val="20"/>
          <w:szCs w:val="20"/>
          <w:color w:val="auto"/>
        </w:rPr>
      </w:pPr>
      <w:r>
        <w:rPr>
          <w:rFonts w:ascii="Arial" w:cs="Arial" w:eastAsia="Arial" w:hAnsi="Arial"/>
          <w:sz w:val="17"/>
          <w:szCs w:val="17"/>
          <w:color w:val="auto"/>
        </w:rPr>
        <w:t>Our VenaCure EVLT system products are used in endovascular laser procedures to treat superficial venous disease (varicose veins). Superficial venous disease is a malfunction of one or more valves in the leg veins whereby blood refluxes or does not return to the heart, thereby pooling in the legs and leading to symptoms such as pain, swelling and ulcerations. The VenaCure EVLT system uses laser energy to stop the reflux by ablating (collapsing and destroying) the affected vein. Blood is then re-routed to other healthy veins.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-1059180</wp:posOffset>
            </wp:positionV>
            <wp:extent cx="2651125" cy="130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1125" cy="130048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procedure is minimally invasive and generally takes less than an hour, typically allowing the patient to quickly return to normal activities.</w:t>
      </w:r>
    </w:p>
    <w:p>
      <w:pPr>
        <w:spacing w:after="0" w:line="168" w:lineRule="exact"/>
        <w:rPr>
          <w:sz w:val="20"/>
          <w:szCs w:val="20"/>
          <w:color w:val="auto"/>
        </w:rPr>
      </w:pPr>
    </w:p>
    <w:p>
      <w:pPr>
        <w:ind w:right="160" w:firstLine="373"/>
        <w:spacing w:after="0" w:line="260" w:lineRule="auto"/>
        <w:rPr>
          <w:sz w:val="20"/>
          <w:szCs w:val="20"/>
          <w:color w:val="auto"/>
        </w:rPr>
      </w:pPr>
      <w:r>
        <w:rPr>
          <w:rFonts w:ascii="Arial" w:cs="Arial" w:eastAsia="Arial" w:hAnsi="Arial"/>
          <w:sz w:val="17"/>
          <w:szCs w:val="17"/>
          <w:color w:val="auto"/>
        </w:rPr>
        <w:t>The VenaCure EVLT system is sold as a system that includes diode laser hardware and procedure kits which include disposable laser fiber components, an access sheath, access wires and needles. Our VenaCure EVLT 1470 nanometer wavelength laser allows physicians to more efficiently heat the vein wall using lower power settings thereby reducing the risk of collateral damage. The NeverTouch tip fiber eliminates laser tip contact with the vein wall, which in turn minimizes perforations of the vein wall that typically result in less pain and bruising as compared to traditional bare-tip fibers. The NeverTouch tip also maximizes ultrasonic visibility, making it easier for physicians to use. Procedure kits are available in a variety of lengths and configurations to accommodate varied patient anatomies.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VenaCure EVLT system comes with a comprehensive physician training program and extensive marketing support.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Oncology/Surgery Products</w:t>
      </w:r>
    </w:p>
    <w:p>
      <w:pPr>
        <w:spacing w:after="0" w:line="174" w:lineRule="exact"/>
        <w:rPr>
          <w:sz w:val="20"/>
          <w:szCs w:val="20"/>
          <w:color w:val="auto"/>
        </w:rPr>
      </w:pPr>
    </w:p>
    <w:p>
      <w:pPr>
        <w:ind w:right="240" w:firstLine="373"/>
        <w:spacing w:after="0" w:line="354" w:lineRule="auto"/>
        <w:rPr>
          <w:sz w:val="20"/>
          <w:szCs w:val="20"/>
          <w:color w:val="auto"/>
        </w:rPr>
      </w:pPr>
      <w:r>
        <w:rPr>
          <w:rFonts w:ascii="Arial" w:cs="Arial" w:eastAsia="Arial" w:hAnsi="Arial"/>
          <w:sz w:val="15"/>
          <w:szCs w:val="15"/>
          <w:color w:val="auto"/>
        </w:rPr>
        <w:t>AngioDynamics offers a range of comprehensive ablation technologies, including thermal tissue ablation systems (microwave energy and radiofrequency energy), surgical resection and the Irreversible Electroporation ("IRE") technology, the NanoKnife System, an innovative alternative to thermal ablation.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IRE Ablation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NanoKnife</w:t>
      </w:r>
    </w:p>
    <w:p>
      <w:pPr>
        <w:spacing w:after="0" w:line="168" w:lineRule="exact"/>
        <w:rPr>
          <w:sz w:val="20"/>
          <w:szCs w:val="20"/>
          <w:color w:val="auto"/>
        </w:rPr>
      </w:pPr>
    </w:p>
    <w:p>
      <w:pPr>
        <w:ind w:right="5920" w:firstLine="373"/>
        <w:spacing w:after="0" w:line="258" w:lineRule="auto"/>
        <w:rPr>
          <w:sz w:val="20"/>
          <w:szCs w:val="20"/>
          <w:color w:val="auto"/>
        </w:rPr>
      </w:pPr>
      <w:r>
        <w:rPr>
          <w:rFonts w:ascii="Arial" w:cs="Arial" w:eastAsia="Arial" w:hAnsi="Arial"/>
          <w:sz w:val="17"/>
          <w:szCs w:val="17"/>
          <w:color w:val="auto"/>
        </w:rPr>
        <w:t>The NanoKnife Ablation System is an alternative to traditional thermal ablation that received 510(k) clearance from the Food and Drug Administration for the surgical ablation of soft tissue. The NanoKnife Ablation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the NanoKnife Ablation System does not achieve tissue ablation using thermal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-1226820</wp:posOffset>
            </wp:positionV>
            <wp:extent cx="2708275" cy="1350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08275" cy="13500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firstLine="373"/>
        <w:spacing w:after="0" w:line="286" w:lineRule="auto"/>
        <w:rPr>
          <w:sz w:val="20"/>
          <w:szCs w:val="20"/>
          <w:color w:val="auto"/>
        </w:rPr>
      </w:pPr>
      <w:r>
        <w:rPr>
          <w:rFonts w:ascii="Arial" w:cs="Arial" w:eastAsia="Arial" w:hAnsi="Arial"/>
          <w:sz w:val="16"/>
          <w:szCs w:val="16"/>
          <w:color w:val="auto"/>
        </w:rPr>
        <w:t>The NanoKnife Ablation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The energy delivery is hyperechoic and can be monitored under real-time ultrasound.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Microwave Ablation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Solero Microwave Tissue Ablation (MTA) System</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Solero MTA System features the Solero Microwave (MW)</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Generator and the specially designed Solero MW Applicators. The solid state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Solero MW Generator with a 2.45 GHz operating frequency can power up to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140W for optimized power delivery and fast ablations. The Solero MW</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Applicator’s optimized ceramic tip diffuses MW energy nearly spherically,</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and its patented cooling channel with thermocouple provides real-time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monitoring to help protect non-targeted tissue during the ablation. In addition,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the Solero MTA System offers physicians scalability with a single applicator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designed for multiple, predictable ablation volumes by varying time and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wattage. Solero is a single applicator system able to complete up to a 5 cm</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ablation in six (6) minutes at maximum power.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firstLine="373"/>
        <w:spacing w:after="0" w:line="284" w:lineRule="auto"/>
        <w:rPr>
          <w:sz w:val="20"/>
          <w:szCs w:val="20"/>
          <w:color w:val="auto"/>
        </w:rPr>
      </w:pPr>
      <w:r>
        <w:rPr>
          <w:rFonts w:ascii="Arial" w:cs="Arial" w:eastAsia="Arial" w:hAnsi="Arial"/>
          <w:sz w:val="17"/>
          <w:szCs w:val="17"/>
          <w:color w:val="auto"/>
        </w:rPr>
        <w:t>The Solero MTA System and Accessories are indicated for the ablation of soft tissue during open procedures. The Solero MTA System is not intended for cardiac use.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Radiofrequency Ablation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StarBurst Radiofrequency Ablation Devices</w:t>
      </w:r>
    </w:p>
    <w:p>
      <w:pPr>
        <w:spacing w:after="0" w:line="168" w:lineRule="exact"/>
        <w:rPr>
          <w:sz w:val="20"/>
          <w:szCs w:val="20"/>
          <w:color w:val="auto"/>
        </w:rPr>
      </w:pPr>
    </w:p>
    <w:p>
      <w:pPr>
        <w:ind w:firstLine="373"/>
        <w:spacing w:after="0" w:line="264" w:lineRule="auto"/>
        <w:rPr>
          <w:sz w:val="20"/>
          <w:szCs w:val="20"/>
          <w:color w:val="auto"/>
        </w:rPr>
      </w:pPr>
      <w:r>
        <w:rPr>
          <w:rFonts w:ascii="Arial" w:cs="Arial" w:eastAsia="Arial" w:hAnsi="Arial"/>
          <w:sz w:val="17"/>
          <w:szCs w:val="17"/>
          <w:color w:val="auto"/>
        </w:rPr>
        <w:t>Radiofrequency Ablation (RFA) products use radiofrequency energy to provide a minimally invasive approach to ablating solid cancerous or benign tumors. Our StarBurst Radiofrequency Ablation devices deliver radiofrequency energy to raise the temperature of cells above 45-50°C, causing cellular death. The physician inserts the disposable needle electrode device into the targeted body tissue, typically under ultrasound, CT or Magnetic Resonance Imaging (MRI) guidance.</w:t>
      </w:r>
    </w:p>
    <w:p>
      <w:pPr>
        <w:spacing w:after="0" w:line="125" w:lineRule="exact"/>
        <w:rPr>
          <w:sz w:val="20"/>
          <w:szCs w:val="20"/>
          <w:color w:val="auto"/>
        </w:rPr>
      </w:pPr>
    </w:p>
    <w:p>
      <w:pPr>
        <w:ind w:right="60" w:firstLine="373"/>
        <w:spacing w:after="0" w:line="269" w:lineRule="auto"/>
        <w:rPr>
          <w:sz w:val="20"/>
          <w:szCs w:val="20"/>
          <w:color w:val="auto"/>
        </w:rPr>
      </w:pPr>
      <w:r>
        <w:rPr>
          <w:rFonts w:ascii="Arial" w:cs="Arial" w:eastAsia="Arial" w:hAnsi="Arial"/>
          <w:sz w:val="17"/>
          <w:szCs w:val="17"/>
          <w:color w:val="auto"/>
        </w:rPr>
        <w:t>During the procedure, our system automatically adjusts the amount of energy delivered in order to maintain the temperature necessary to ablate the targeted tissue. For a typical 5 cm ablation using our StarBurst Xli-enhanced disposable device, the ablation process takes approximately ten (10) minutes. The RFA system consists of a radiofrequency generator and a family of disposable devices.</w:t>
      </w:r>
    </w:p>
    <w:p>
      <w:pPr>
        <w:spacing w:after="0" w:line="121" w:lineRule="exact"/>
        <w:rPr>
          <w:sz w:val="20"/>
          <w:szCs w:val="20"/>
          <w:color w:val="auto"/>
        </w:rPr>
      </w:pPr>
    </w:p>
    <w:p>
      <w:pPr>
        <w:ind w:right="60" w:firstLine="373"/>
        <w:spacing w:after="0" w:line="294" w:lineRule="auto"/>
        <w:rPr>
          <w:sz w:val="20"/>
          <w:szCs w:val="20"/>
          <w:color w:val="auto"/>
        </w:rPr>
      </w:pPr>
      <w:r>
        <w:rPr>
          <w:rFonts w:ascii="Arial" w:cs="Arial" w:eastAsia="Arial" w:hAnsi="Arial"/>
          <w:sz w:val="16"/>
          <w:szCs w:val="16"/>
          <w:color w:val="auto"/>
        </w:rPr>
        <w:t>In addition to thermal ablation systems and the NanoKnife Ablation System, AngioDynamics also offers Habib 4X Surgical Resection devices that are used in minimally invasive laparoscopic surgery procedures in surgical specialties such as Hepato-Biliary, GI, Surgical Oncology, Transplant Surgery and Urology (Partial Nephrectomy Resections). It is clinically indicated to assist in coagulation of tissue during intraoperative and laparoscopic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BioSentry Tract Sealant System</w:t>
      </w:r>
    </w:p>
    <w:p>
      <w:pPr>
        <w:spacing w:after="0" w:line="168" w:lineRule="exact"/>
        <w:rPr>
          <w:sz w:val="20"/>
          <w:szCs w:val="20"/>
          <w:color w:val="auto"/>
        </w:rPr>
      </w:pPr>
    </w:p>
    <w:p>
      <w:pPr>
        <w:ind w:right="100" w:firstLine="373"/>
        <w:spacing w:after="0" w:line="279" w:lineRule="auto"/>
        <w:rPr>
          <w:sz w:val="20"/>
          <w:szCs w:val="20"/>
          <w:color w:val="auto"/>
        </w:rPr>
      </w:pPr>
      <w:r>
        <w:rPr>
          <w:rFonts w:ascii="Arial" w:cs="Arial" w:eastAsia="Arial" w:hAnsi="Arial"/>
          <w:sz w:val="16"/>
          <w:szCs w:val="16"/>
          <w:color w:val="auto"/>
        </w:rPr>
        <w:t>The BioSentry tract sealant system deploys a self-expanding hydrogel plug into the pleural space following a percutaneous lung biopsy, creating an airtight seal that closes the pleural puncture. Depth markings provide accurate and consistent placement based on CT-guided measurements, while the depth adjustment wheel and locking mechanisms ensure proper plug deployment. The hydrogel plug is made from a synthetic tissue-friendly polymer that fully reabsorbs into the body and the coaxial adapter mates with a coaxial needle to ensure a proper fit and delivery of the plug. The BioSentry Tract Sealant System is indicated for sealing pleural punctures to significantly reduce the risk of pneumothoraxes (air leaks) associated with percutaneous, transthoracic needle lung biopsies and to provide accuracy in marking a biopsy location for visualization during surgical resection.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IsoLoc Endorectal Balloon</w:t>
      </w:r>
    </w:p>
    <w:p>
      <w:pPr>
        <w:spacing w:after="0" w:line="168" w:lineRule="exact"/>
        <w:rPr>
          <w:sz w:val="20"/>
          <w:szCs w:val="20"/>
          <w:color w:val="auto"/>
        </w:rPr>
      </w:pPr>
    </w:p>
    <w:p>
      <w:pPr>
        <w:ind w:right="160" w:firstLine="373"/>
        <w:spacing w:after="0" w:line="284" w:lineRule="auto"/>
        <w:rPr>
          <w:sz w:val="20"/>
          <w:szCs w:val="20"/>
          <w:color w:val="auto"/>
        </w:rPr>
      </w:pPr>
      <w:r>
        <w:rPr>
          <w:rFonts w:ascii="Arial" w:cs="Arial" w:eastAsia="Arial" w:hAnsi="Arial"/>
          <w:sz w:val="17"/>
          <w:szCs w:val="17"/>
          <w:color w:val="auto"/>
        </w:rPr>
        <w:t>The IsoLoc Endorectal Balloon's unique, customer-driven design is the result of collaborations with Radiation Oncologists, Therapists and Physicists with one goal in mind, to create a new standard for endorectal balloons (ERB) in the oncology space.</w:t>
      </w:r>
    </w:p>
    <w:p>
      <w:pPr>
        <w:spacing w:after="0" w:line="108" w:lineRule="exact"/>
        <w:rPr>
          <w:sz w:val="20"/>
          <w:szCs w:val="20"/>
          <w:color w:val="auto"/>
        </w:rPr>
      </w:pPr>
    </w:p>
    <w:p>
      <w:pPr>
        <w:ind w:right="100" w:firstLine="373"/>
        <w:spacing w:after="0" w:line="264" w:lineRule="auto"/>
        <w:rPr>
          <w:sz w:val="20"/>
          <w:szCs w:val="20"/>
          <w:color w:val="auto"/>
        </w:rPr>
      </w:pPr>
      <w:r>
        <w:rPr>
          <w:rFonts w:ascii="Arial" w:cs="Arial" w:eastAsia="Arial" w:hAnsi="Arial"/>
          <w:sz w:val="17"/>
          <w:szCs w:val="17"/>
          <w:color w:val="auto"/>
        </w:rPr>
        <w:t>The design of the IsoLoc device not only addresses patient comfort, but also simplifies three challenging clinical scenarios that many physicians face when using radiation therapy for and/or in relation to the prostate. First, it's gas-release tip removes rectal gas and reduces prostate motion for gaseous patients. Secondly, the structure of the ERB aids in defining the anatomy for difficult planning scenarios with post-radical patients. Lastly, the IsoLoc device repositions and lifts the bowel in patients that have a low-lying bowel.</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Alatus Vaginal Balloon Packing System</w:t>
      </w:r>
    </w:p>
    <w:p>
      <w:pPr>
        <w:spacing w:after="0" w:line="168" w:lineRule="exact"/>
        <w:rPr>
          <w:sz w:val="20"/>
          <w:szCs w:val="20"/>
          <w:color w:val="auto"/>
        </w:rPr>
      </w:pPr>
    </w:p>
    <w:p>
      <w:pPr>
        <w:ind w:right="120" w:firstLine="373"/>
        <w:spacing w:after="0" w:line="294" w:lineRule="auto"/>
        <w:rPr>
          <w:sz w:val="20"/>
          <w:szCs w:val="20"/>
          <w:color w:val="auto"/>
        </w:rPr>
      </w:pPr>
      <w:r>
        <w:rPr>
          <w:rFonts w:ascii="Arial" w:cs="Arial" w:eastAsia="Arial" w:hAnsi="Arial"/>
          <w:sz w:val="16"/>
          <w:szCs w:val="16"/>
          <w:color w:val="auto"/>
        </w:rPr>
        <w:t>The Alatus device was developed with the patient's comfort in mind and to assist the physician to move healthy tissue away from the radiation treatment field. Prior to the Alatus device, the clinician would push gauze into the vagina to move the bladder and bowel away from the radiation treatment field. Inserting gauze into the vagina can be uncomfortable before treatment and unpleasant at the end of treatment as it tends to dry out before removing.</w:t>
      </w:r>
    </w:p>
    <w:p>
      <w:pPr>
        <w:spacing w:after="0" w:line="102" w:lineRule="exact"/>
        <w:rPr>
          <w:sz w:val="20"/>
          <w:szCs w:val="20"/>
          <w:color w:val="auto"/>
        </w:rPr>
      </w:pPr>
    </w:p>
    <w:p>
      <w:pPr>
        <w:ind w:right="160" w:firstLine="373"/>
        <w:spacing w:after="0" w:line="284" w:lineRule="auto"/>
        <w:rPr>
          <w:sz w:val="20"/>
          <w:szCs w:val="20"/>
          <w:color w:val="auto"/>
        </w:rPr>
      </w:pPr>
      <w:r>
        <w:rPr>
          <w:rFonts w:ascii="Arial" w:cs="Arial" w:eastAsia="Arial" w:hAnsi="Arial"/>
          <w:sz w:val="17"/>
          <w:szCs w:val="17"/>
          <w:color w:val="auto"/>
        </w:rPr>
        <w:t>Studies have shown, relative to traditional gauze packing, the Alatus device offers a more comfortable procedure for the patient, reduces the need for post-procedural pain medication and moves healthy tissue away from the radiation field.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Vascular Access Products</w:t>
      </w:r>
    </w:p>
    <w:p>
      <w:pPr>
        <w:spacing w:after="0" w:line="174" w:lineRule="exact"/>
        <w:rPr>
          <w:sz w:val="20"/>
          <w:szCs w:val="20"/>
          <w:color w:val="auto"/>
        </w:rPr>
      </w:pPr>
    </w:p>
    <w:p>
      <w:pPr>
        <w:ind w:right="120" w:firstLine="373"/>
        <w:spacing w:after="0" w:line="310" w:lineRule="auto"/>
        <w:rPr>
          <w:sz w:val="20"/>
          <w:szCs w:val="20"/>
          <w:color w:val="auto"/>
        </w:rPr>
      </w:pPr>
      <w:r>
        <w:rPr>
          <w:rFonts w:ascii="Arial" w:cs="Arial" w:eastAsia="Arial" w:hAnsi="Arial"/>
          <w:sz w:val="15"/>
          <w:szCs w:val="15"/>
          <w:color w:val="auto"/>
        </w:rPr>
        <w:t>Our portfolio of Vascular Access products includes a broad offering of peripherally inserted central catheters (PICCs), midline catheters, implantable ports, dialysis catheters and related accessories and supplies. These products are used primarily to deliver short-term drug therapies, such as chemotherapeutic agents and antibiotics, into the central venous system. Delivery to the circulatory system allows drugs to mix with a large volume of blood as compared to intravenous drug delivery into a superficial vessel. Our Vascular Access product family also includes the proprietary BioFlo catheter and C3 Wave tip location.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BioFlo</w:t>
      </w:r>
    </w:p>
    <w:p>
      <w:pPr>
        <w:spacing w:after="0" w:line="25" w:lineRule="exact"/>
        <w:rPr>
          <w:sz w:val="20"/>
          <w:szCs w:val="20"/>
          <w:color w:val="auto"/>
        </w:rPr>
      </w:pPr>
    </w:p>
    <w:p>
      <w:pPr>
        <w:ind w:right="5820" w:firstLine="373"/>
        <w:spacing w:after="0" w:line="256" w:lineRule="auto"/>
        <w:rPr>
          <w:sz w:val="20"/>
          <w:szCs w:val="20"/>
          <w:color w:val="auto"/>
        </w:rPr>
      </w:pPr>
      <w:r>
        <w:rPr>
          <w:rFonts w:ascii="Arial" w:cs="Arial" w:eastAsia="Arial" w:hAnsi="Arial"/>
          <w:sz w:val="17"/>
          <w:szCs w:val="17"/>
          <w:color w:val="auto"/>
        </w:rPr>
        <w:t>AngioDynamics offers the BioFlo catheter, the only catheter on the market with Endexo Technology, a material more resistant to thrombus accumulation, in vitro (based on platelet count). Endexo Technology is a permanent and non-eluting polymer that is “blended” into the polyurethane from which the catheter is made. It is present throughout the catheter, including the extraluminal, intraluminal and cut catheter surface of the tip. Endexo Technology remains present for the life of the catheter. The BioFlo catheter’s long-term durability and efficacy is intended to provide clinicians a high degree of safety and confidence in providing better patient care and improved patient outcomes. BioFlo catheters are available across the Vascular Access family of products, including PICCs, midlines, ports and dialysis catheters.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-1489710</wp:posOffset>
            </wp:positionV>
            <wp:extent cx="2708275" cy="1350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08275" cy="135001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Midlines</w:t>
      </w:r>
    </w:p>
    <w:p>
      <w:pPr>
        <w:spacing w:after="0" w:line="168" w:lineRule="exact"/>
        <w:rPr>
          <w:sz w:val="20"/>
          <w:szCs w:val="20"/>
          <w:color w:val="auto"/>
        </w:rPr>
      </w:pPr>
    </w:p>
    <w:p>
      <w:pPr>
        <w:ind w:right="180" w:firstLine="373"/>
        <w:spacing w:after="0" w:line="317" w:lineRule="auto"/>
        <w:rPr>
          <w:sz w:val="20"/>
          <w:szCs w:val="20"/>
          <w:color w:val="auto"/>
        </w:rPr>
      </w:pPr>
      <w:r>
        <w:rPr>
          <w:rFonts w:ascii="Arial" w:cs="Arial" w:eastAsia="Arial" w:hAnsi="Arial"/>
          <w:sz w:val="16"/>
          <w:szCs w:val="16"/>
          <w:color w:val="auto"/>
        </w:rPr>
        <w:t>Midline catheters are inserted via the same veins used for PICC placement in the middle third of the upper arm; however, the midline catheter is advanced and placed so that the catheter tip is level or near the level of the axilla and distal to the shoulder. Our Midline product offerings include:</w:t>
      </w:r>
    </w:p>
    <w:p>
      <w:pPr>
        <w:spacing w:after="0" w:line="84" w:lineRule="exact"/>
        <w:rPr>
          <w:sz w:val="20"/>
          <w:szCs w:val="20"/>
          <w:color w:val="auto"/>
        </w:rPr>
      </w:pPr>
    </w:p>
    <w:p>
      <w:pPr>
        <w:ind w:left="620" w:right="40" w:hanging="305"/>
        <w:spacing w:after="0" w:line="284"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BioFlo Midline</w:t>
      </w:r>
      <w:r>
        <w:rPr>
          <w:rFonts w:ascii="Arial" w:cs="Arial" w:eastAsia="Arial" w:hAnsi="Arial"/>
          <w:sz w:val="17"/>
          <w:szCs w:val="17"/>
          <w:color w:val="auto"/>
        </w:rPr>
        <w:t>: Our BioFlo Midline Catheter which incorporates Endexo Technology, is an effective solution to preserving a patient’s peripheral access.</w:t>
      </w:r>
      <w:r>
        <w:rPr>
          <w:rFonts w:ascii="Arial" w:cs="Arial" w:eastAsia="Arial" w:hAnsi="Arial"/>
          <w:sz w:val="17"/>
          <w:szCs w:val="17"/>
          <w:i w:val="1"/>
          <w:iCs w:val="1"/>
          <w:color w:val="auto"/>
        </w:rPr>
        <w:t xml:space="preserve"> </w:t>
      </w:r>
      <w:r>
        <w:rPr>
          <w:rFonts w:ascii="Arial" w:cs="Arial" w:eastAsia="Arial" w:hAnsi="Arial"/>
          <w:sz w:val="17"/>
          <w:szCs w:val="17"/>
          <w:color w:val="auto"/>
        </w:rPr>
        <w:t>It provides a cost-effective alternative to multiple IV site rotations for patients who need short-term venous access.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PICCs</w:t>
      </w:r>
    </w:p>
    <w:p>
      <w:pPr>
        <w:spacing w:after="0" w:line="168" w:lineRule="exact"/>
        <w:rPr>
          <w:sz w:val="20"/>
          <w:szCs w:val="20"/>
          <w:color w:val="auto"/>
        </w:rPr>
      </w:pPr>
    </w:p>
    <w:p>
      <w:pPr>
        <w:ind w:right="100" w:firstLine="373"/>
        <w:spacing w:after="0" w:line="269" w:lineRule="auto"/>
        <w:rPr>
          <w:sz w:val="20"/>
          <w:szCs w:val="20"/>
          <w:color w:val="auto"/>
        </w:rPr>
      </w:pPr>
      <w:r>
        <w:rPr>
          <w:rFonts w:ascii="Arial" w:cs="Arial" w:eastAsia="Arial" w:hAnsi="Arial"/>
          <w:sz w:val="17"/>
          <w:szCs w:val="17"/>
          <w:color w:val="auto"/>
        </w:rPr>
        <w:t>A peripherally inserted central catheter, or PICC, is a long thin catheter that is inserted into a peripheral vein, typically in the upper arm, and advanced until the catheter tip terminates in a large vein in the chest near the heart to obtain intravenous access. PICCs can typically be used for prolonged periods of time and provide an alternative to central venous catheters. Our PICC product offerings include:</w:t>
      </w:r>
    </w:p>
    <w:p>
      <w:pPr>
        <w:spacing w:after="0" w:line="121" w:lineRule="exact"/>
        <w:rPr>
          <w:sz w:val="20"/>
          <w:szCs w:val="20"/>
          <w:color w:val="auto"/>
        </w:rPr>
      </w:pPr>
    </w:p>
    <w:p>
      <w:pPr>
        <w:ind w:left="620" w:hanging="305"/>
        <w:spacing w:after="0" w:line="25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BioFlo PICC</w:t>
      </w:r>
      <w:r>
        <w:rPr>
          <w:rFonts w:ascii="Arial" w:cs="Arial" w:eastAsia="Arial" w:hAnsi="Arial"/>
          <w:sz w:val="17"/>
          <w:szCs w:val="17"/>
          <w:color w:val="auto"/>
        </w:rPr>
        <w:t>: Our BioFlo PICC line is the only power injectable PICC available that incorporates Endexo Technology into the manufacturing and design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catheter. Advanced features such as large lumen diameters allow the BioFlo PICC to deliver the power injection flow rates required for contrast-enhanced Computed Tomography (CT) scans compatible with up to 325 psi CT injections.</w:t>
      </w:r>
    </w:p>
    <w:p>
      <w:pPr>
        <w:spacing w:after="0" w:line="2" w:lineRule="exact"/>
        <w:rPr>
          <w:rFonts w:ascii="Arial" w:cs="Arial" w:eastAsia="Arial" w:hAnsi="Arial"/>
          <w:sz w:val="17"/>
          <w:szCs w:val="17"/>
          <w:color w:val="auto"/>
        </w:rPr>
      </w:pPr>
    </w:p>
    <w:p>
      <w:pPr>
        <w:jc w:val="both"/>
        <w:ind w:left="620" w:right="240" w:hanging="305"/>
        <w:spacing w:after="0" w:line="254"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Xcela PICC</w:t>
      </w:r>
      <w:r>
        <w:rPr>
          <w:rFonts w:ascii="Arial" w:cs="Arial" w:eastAsia="Arial" w:hAnsi="Arial"/>
          <w:sz w:val="17"/>
          <w:szCs w:val="17"/>
          <w:color w:val="auto"/>
        </w:rPr>
        <w:t>: The Xcela PICC line is designed to provide a high degree of safety, ease and confidence in patient care. Advanced features such as large</w:t>
      </w:r>
      <w:r>
        <w:rPr>
          <w:rFonts w:ascii="Arial" w:cs="Arial" w:eastAsia="Arial" w:hAnsi="Arial"/>
          <w:sz w:val="17"/>
          <w:szCs w:val="17"/>
          <w:i w:val="1"/>
          <w:iCs w:val="1"/>
          <w:color w:val="auto"/>
        </w:rPr>
        <w:t xml:space="preserve"> </w:t>
      </w:r>
      <w:r>
        <w:rPr>
          <w:rFonts w:ascii="Arial" w:cs="Arial" w:eastAsia="Arial" w:hAnsi="Arial"/>
          <w:sz w:val="17"/>
          <w:szCs w:val="17"/>
          <w:color w:val="auto"/>
        </w:rPr>
        <w:t>lumen diameters allow the Xcela PICC to deliver the power injection flow rates required for contrast-enhanced CTs compatible with up to 325 psi CT injections.</w:t>
      </w:r>
    </w:p>
    <w:p>
      <w:pPr>
        <w:spacing w:after="0" w:line="1" w:lineRule="exact"/>
        <w:rPr>
          <w:rFonts w:ascii="Arial" w:cs="Arial" w:eastAsia="Arial" w:hAnsi="Arial"/>
          <w:sz w:val="17"/>
          <w:szCs w:val="17"/>
          <w:color w:val="auto"/>
        </w:rPr>
      </w:pPr>
    </w:p>
    <w:p>
      <w:pPr>
        <w:ind w:left="620" w:right="200" w:hanging="305"/>
        <w:spacing w:after="0" w:line="26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PASV Valve Technology: </w:t>
      </w:r>
      <w:r>
        <w:rPr>
          <w:rFonts w:ascii="Arial" w:cs="Arial" w:eastAsia="Arial" w:hAnsi="Arial"/>
          <w:sz w:val="17"/>
          <w:szCs w:val="17"/>
          <w:color w:val="auto"/>
        </w:rPr>
        <w:t>The PASV Valve Technology is available in both BioFlo and Xcela lines and is designed to automatically resist backflow and</w:t>
      </w:r>
      <w:r>
        <w:rPr>
          <w:rFonts w:ascii="Arial" w:cs="Arial" w:eastAsia="Arial" w:hAnsi="Arial"/>
          <w:sz w:val="17"/>
          <w:szCs w:val="17"/>
          <w:i w:val="1"/>
          <w:iCs w:val="1"/>
          <w:color w:val="auto"/>
        </w:rPr>
        <w:t xml:space="preserve"> </w:t>
      </w:r>
      <w:r>
        <w:rPr>
          <w:rFonts w:ascii="Arial" w:cs="Arial" w:eastAsia="Arial" w:hAnsi="Arial"/>
          <w:sz w:val="17"/>
          <w:szCs w:val="17"/>
          <w:color w:val="auto"/>
        </w:rPr>
        <w:t>reduce blood reflux that could lead to catheter-related complications.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C3 Wave PICC tip location system</w:t>
      </w:r>
    </w:p>
    <w:p>
      <w:pPr>
        <w:spacing w:after="0" w:line="168" w:lineRule="exact"/>
        <w:rPr>
          <w:sz w:val="20"/>
          <w:szCs w:val="20"/>
          <w:color w:val="auto"/>
        </w:rPr>
      </w:pPr>
    </w:p>
    <w:p>
      <w:pPr>
        <w:ind w:right="40" w:firstLine="373"/>
        <w:spacing w:after="0" w:line="284" w:lineRule="auto"/>
        <w:rPr>
          <w:sz w:val="20"/>
          <w:szCs w:val="20"/>
          <w:color w:val="auto"/>
        </w:rPr>
      </w:pPr>
      <w:r>
        <w:rPr>
          <w:rFonts w:ascii="Arial" w:cs="Arial" w:eastAsia="Arial" w:hAnsi="Arial"/>
          <w:sz w:val="17"/>
          <w:szCs w:val="17"/>
          <w:color w:val="auto"/>
        </w:rPr>
        <w:t>The C3 Wave system is our innovative, wireless, app-based ECG system eliminates the need for a confirmatory chest x-ray of PICC tip placement, allowing greater patient access to the Company’s proprietary BioFlo PICCs.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Ports</w:t>
      </w:r>
    </w:p>
    <w:p>
      <w:pPr>
        <w:spacing w:after="0" w:line="168" w:lineRule="exact"/>
        <w:rPr>
          <w:sz w:val="20"/>
          <w:szCs w:val="20"/>
          <w:color w:val="auto"/>
        </w:rPr>
      </w:pPr>
    </w:p>
    <w:p>
      <w:pPr>
        <w:ind w:firstLine="373"/>
        <w:spacing w:after="0" w:line="260" w:lineRule="auto"/>
        <w:rPr>
          <w:sz w:val="20"/>
          <w:szCs w:val="20"/>
          <w:color w:val="auto"/>
        </w:rPr>
      </w:pPr>
      <w:r>
        <w:rPr>
          <w:rFonts w:ascii="Arial" w:cs="Arial" w:eastAsia="Arial" w:hAnsi="Arial"/>
          <w:sz w:val="17"/>
          <w:szCs w:val="17"/>
          <w:color w:val="auto"/>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 Our port products and accessories include:</w:t>
      </w:r>
    </w:p>
    <w:p>
      <w:pPr>
        <w:spacing w:after="0" w:line="130" w:lineRule="exact"/>
        <w:rPr>
          <w:sz w:val="20"/>
          <w:szCs w:val="20"/>
          <w:color w:val="auto"/>
        </w:rPr>
      </w:pPr>
    </w:p>
    <w:p>
      <w:pPr>
        <w:ind w:left="620" w:right="120" w:hanging="305"/>
        <w:spacing w:after="0" w:line="25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BioFlo Port</w:t>
      </w:r>
      <w:r>
        <w:rPr>
          <w:rFonts w:ascii="Arial" w:cs="Arial" w:eastAsia="Arial" w:hAnsi="Arial"/>
          <w:sz w:val="17"/>
          <w:szCs w:val="17"/>
          <w:color w:val="auto"/>
        </w:rPr>
        <w:t>: Our BioFlo Port was the first port available featuring a catheter with Endexo Technology. Advanced features of the BioFlo Port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 profile and catheter options, a large septum area for ease of access and the ability to administer contrast through a CT injection for purposes of imaging.</w:t>
      </w:r>
    </w:p>
    <w:p>
      <w:pPr>
        <w:spacing w:after="0" w:line="2" w:lineRule="exact"/>
        <w:rPr>
          <w:rFonts w:ascii="Arial" w:cs="Arial" w:eastAsia="Arial" w:hAnsi="Arial"/>
          <w:sz w:val="17"/>
          <w:szCs w:val="17"/>
          <w:color w:val="auto"/>
        </w:rPr>
      </w:pPr>
    </w:p>
    <w:p>
      <w:pPr>
        <w:ind w:left="620" w:hanging="305"/>
        <w:spacing w:after="0" w:line="254"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SmartPort, SmartPort+, SmartPort Plastic</w:t>
      </w:r>
      <w:r>
        <w:rPr>
          <w:rFonts w:ascii="Arial" w:cs="Arial" w:eastAsia="Arial" w:hAnsi="Arial"/>
          <w:sz w:val="17"/>
          <w:szCs w:val="17"/>
          <w:color w:val="auto"/>
        </w:rPr>
        <w:t>: The SmartPort power-injectable port with Vortex technology offers the ability for a clinician to access a vein</w:t>
      </w:r>
      <w:r>
        <w:rPr>
          <w:rFonts w:ascii="Arial" w:cs="Arial" w:eastAsia="Arial" w:hAnsi="Arial"/>
          <w:sz w:val="17"/>
          <w:szCs w:val="17"/>
          <w:i w:val="1"/>
          <w:iCs w:val="1"/>
          <w:color w:val="auto"/>
        </w:rPr>
        <w:t xml:space="preserve"> </w:t>
      </w:r>
      <w:r>
        <w:rPr>
          <w:rFonts w:ascii="Arial" w:cs="Arial" w:eastAsia="Arial" w:hAnsi="Arial"/>
          <w:sz w:val="17"/>
          <w:szCs w:val="17"/>
          <w:color w:val="auto"/>
        </w:rPr>
        <w:t>for both the delivery of medications or fluids and for administering power-injected contrast to perform a CT scan. The ability to access a port for power-injected contrast studies eliminates the need for additional needle sticks in the patient’s arm and wrist veins. Once implanted, repeated access to the bloodstream can be accomplished with greater ease and less discomfort. Our SmartPort port line is available in standard, mini and low-profiles to accommodate more patient anatomies. The SmartPort+ port line combines Vortex technology with BioFlo catheters. In addition to the three titanium port body sizes, there is a plastic port body.</w:t>
      </w:r>
    </w:p>
    <w:p>
      <w:pPr>
        <w:spacing w:after="0" w:line="3" w:lineRule="exact"/>
        <w:rPr>
          <w:rFonts w:ascii="Arial" w:cs="Arial" w:eastAsia="Arial" w:hAnsi="Arial"/>
          <w:sz w:val="17"/>
          <w:szCs w:val="17"/>
          <w:color w:val="auto"/>
        </w:rPr>
      </w:pPr>
    </w:p>
    <w:p>
      <w:pPr>
        <w:jc w:val="both"/>
        <w:ind w:left="620" w:right="120" w:hanging="305"/>
        <w:spacing w:after="0" w:line="288" w:lineRule="auto"/>
        <w:tabs>
          <w:tab w:leader="none" w:pos="616"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Vortex: </w:t>
      </w:r>
      <w:r>
        <w:rPr>
          <w:rFonts w:ascii="Arial" w:cs="Arial" w:eastAsia="Arial" w:hAnsi="Arial"/>
          <w:sz w:val="15"/>
          <w:szCs w:val="15"/>
          <w:color w:val="auto"/>
        </w:rPr>
        <w:t>Our Vortex port technology line of ports is a clear-flow port technology that, we believe, revolutionized port design. With its rounded chamber,</w:t>
      </w:r>
      <w:r>
        <w:rPr>
          <w:rFonts w:ascii="Arial" w:cs="Arial" w:eastAsia="Arial" w:hAnsi="Arial"/>
          <w:sz w:val="15"/>
          <w:szCs w:val="15"/>
          <w:i w:val="1"/>
          <w:iCs w:val="1"/>
          <w:color w:val="auto"/>
        </w:rPr>
        <w:t xml:space="preserve"> </w:t>
      </w:r>
      <w:r>
        <w:rPr>
          <w:rFonts w:ascii="Arial" w:cs="Arial" w:eastAsia="Arial" w:hAnsi="Arial"/>
          <w:sz w:val="15"/>
          <w:szCs w:val="15"/>
          <w:color w:val="auto"/>
        </w:rPr>
        <w:t>the Vortex port is designed to have no sludge-harboring corners or dead spaces. This product line consists of titanium, plastic and dual-lumen offerings.</w:t>
      </w:r>
    </w:p>
    <w:p>
      <w:pPr>
        <w:ind w:left="620" w:right="200" w:hanging="305"/>
        <w:spacing w:after="0" w:line="254"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PASV Valve Technology: </w:t>
      </w:r>
      <w:r>
        <w:rPr>
          <w:rFonts w:ascii="Arial" w:cs="Arial" w:eastAsia="Arial" w:hAnsi="Arial"/>
          <w:sz w:val="17"/>
          <w:szCs w:val="17"/>
          <w:color w:val="auto"/>
        </w:rPr>
        <w:t>The PASV Valve Technology is designed to automatically resist backflow and reduce blood reflux that could lead to catheter-related complications.</w:t>
      </w:r>
    </w:p>
    <w:p>
      <w:pPr>
        <w:spacing w:after="0" w:line="1" w:lineRule="exact"/>
        <w:rPr>
          <w:rFonts w:ascii="Arial" w:cs="Arial" w:eastAsia="Arial" w:hAnsi="Arial"/>
          <w:sz w:val="17"/>
          <w:szCs w:val="17"/>
          <w:color w:val="auto"/>
        </w:rPr>
      </w:pPr>
    </w:p>
    <w:p>
      <w:pPr>
        <w:ind w:left="620" w:right="420" w:hanging="305"/>
        <w:spacing w:after="0" w:line="26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LifeGuard: </w:t>
      </w:r>
      <w:r>
        <w:rPr>
          <w:rFonts w:ascii="Arial" w:cs="Arial" w:eastAsia="Arial" w:hAnsi="Arial"/>
          <w:sz w:val="17"/>
          <w:szCs w:val="17"/>
          <w:color w:val="auto"/>
        </w:rPr>
        <w:t>The LifeGuard Safety Infusion Set and The LifeGuard Vision are used to infuse our ports and complement our port and vascular access</w:t>
      </w:r>
      <w:r>
        <w:rPr>
          <w:rFonts w:ascii="Arial" w:cs="Arial" w:eastAsia="Arial" w:hAnsi="Arial"/>
          <w:sz w:val="17"/>
          <w:szCs w:val="17"/>
          <w:i w:val="1"/>
          <w:iCs w:val="1"/>
          <w:color w:val="auto"/>
        </w:rPr>
        <w:t xml:space="preserve"> </w:t>
      </w:r>
      <w:r>
        <w:rPr>
          <w:rFonts w:ascii="Arial" w:cs="Arial" w:eastAsia="Arial" w:hAnsi="Arial"/>
          <w:sz w:val="17"/>
          <w:szCs w:val="17"/>
          <w:color w:val="auto"/>
        </w:rPr>
        <w:t>catheters. The needles’ low profile design is intended to allow clinicians to easily dress the site.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Dialysis Products</w:t>
      </w:r>
    </w:p>
    <w:p>
      <w:pPr>
        <w:spacing w:after="0" w:line="168" w:lineRule="exact"/>
        <w:rPr>
          <w:sz w:val="20"/>
          <w:szCs w:val="20"/>
          <w:color w:val="auto"/>
        </w:rPr>
      </w:pPr>
    </w:p>
    <w:p>
      <w:pPr>
        <w:ind w:right="120" w:firstLine="373"/>
        <w:spacing w:after="0" w:line="269" w:lineRule="auto"/>
        <w:rPr>
          <w:sz w:val="20"/>
          <w:szCs w:val="20"/>
          <w:color w:val="auto"/>
        </w:rPr>
      </w:pPr>
      <w:r>
        <w:rPr>
          <w:rFonts w:ascii="Arial" w:cs="Arial" w:eastAsia="Arial" w:hAnsi="Arial"/>
          <w:sz w:val="17"/>
          <w:szCs w:val="17"/>
          <w:color w:val="auto"/>
        </w:rPr>
        <w:t>We market an extensive line of dialysis products that provide short and long-term vascular access for dialysis patients. Dialysis, or cleaning of the blood, is necessary in conditions such as acute renal failure, chronic renal failure and end-stage renal disease (ESRD). We currently offer a variety of dialysis catheters, including:</w:t>
      </w:r>
    </w:p>
    <w:p>
      <w:pPr>
        <w:spacing w:after="0" w:line="121" w:lineRule="exact"/>
        <w:rPr>
          <w:sz w:val="20"/>
          <w:szCs w:val="20"/>
          <w:color w:val="auto"/>
        </w:rPr>
      </w:pPr>
    </w:p>
    <w:p>
      <w:pPr>
        <w:ind w:left="620" w:right="460" w:hanging="305"/>
        <w:spacing w:after="0" w:line="25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BioFlo DuraMax</w:t>
      </w:r>
      <w:r>
        <w:rPr>
          <w:rFonts w:ascii="Arial" w:cs="Arial" w:eastAsia="Arial" w:hAnsi="Arial"/>
          <w:sz w:val="17"/>
          <w:szCs w:val="17"/>
          <w:color w:val="auto"/>
        </w:rPr>
        <w:t>: Our BioFlo DuraMax dialysis catheter is the only dialysis catheter with Endexo Technology. Advanced features of the BioFlo</w:t>
      </w:r>
      <w:r>
        <w:rPr>
          <w:rFonts w:ascii="Arial" w:cs="Arial" w:eastAsia="Arial" w:hAnsi="Arial"/>
          <w:sz w:val="17"/>
          <w:szCs w:val="17"/>
          <w:i w:val="1"/>
          <w:iCs w:val="1"/>
          <w:color w:val="auto"/>
        </w:rPr>
        <w:t xml:space="preserve"> </w:t>
      </w:r>
      <w:r>
        <w:rPr>
          <w:rFonts w:ascii="Arial" w:cs="Arial" w:eastAsia="Arial" w:hAnsi="Arial"/>
          <w:sz w:val="17"/>
          <w:szCs w:val="17"/>
          <w:color w:val="auto"/>
        </w:rPr>
        <w:t>DuraMax dialysis catheter include large inner diameter lumens designed for long term patency, a proprietary guidewire lumen to facilitate catheter exchanges and Curved Tip Technology that allows the catheter to self-center in the Superior Vena Cava (SVC).</w:t>
      </w:r>
    </w:p>
    <w:p>
      <w:pPr>
        <w:spacing w:after="0" w:line="2" w:lineRule="exact"/>
        <w:rPr>
          <w:rFonts w:ascii="Arial" w:cs="Arial" w:eastAsia="Arial" w:hAnsi="Arial"/>
          <w:sz w:val="17"/>
          <w:szCs w:val="17"/>
          <w:color w:val="auto"/>
        </w:rPr>
      </w:pPr>
    </w:p>
    <w:p>
      <w:pPr>
        <w:ind w:left="620" w:hanging="305"/>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DuraMax: </w:t>
      </w:r>
      <w:r>
        <w:rPr>
          <w:rFonts w:ascii="Arial" w:cs="Arial" w:eastAsia="Arial" w:hAnsi="Arial"/>
          <w:sz w:val="17"/>
          <w:szCs w:val="17"/>
          <w:color w:val="auto"/>
        </w:rPr>
        <w:t>The DuraMax catheter is a stepped-tip catheter designed to improve ease of use, dialysis efficiency and overall patient outcomes.</w:t>
      </w:r>
    </w:p>
    <w:p>
      <w:pPr>
        <w:spacing w:after="0" w:line="155" w:lineRule="exact"/>
        <w:rPr>
          <w:sz w:val="20"/>
          <w:szCs w:val="20"/>
          <w:color w:val="auto"/>
        </w:rPr>
      </w:pPr>
    </w:p>
    <w:p>
      <w:pPr>
        <w:ind w:right="560" w:firstLine="373"/>
        <w:spacing w:after="0" w:line="354" w:lineRule="auto"/>
        <w:rPr>
          <w:sz w:val="20"/>
          <w:szCs w:val="20"/>
          <w:color w:val="auto"/>
        </w:rPr>
      </w:pPr>
      <w:r>
        <w:rPr>
          <w:rFonts w:ascii="Arial" w:cs="Arial" w:eastAsia="Arial" w:hAnsi="Arial"/>
          <w:sz w:val="15"/>
          <w:szCs w:val="15"/>
          <w:color w:val="auto"/>
        </w:rPr>
        <w:t>In addition, AngioDynamics also offers other renal therapies, including our DuraFlow Chronic Hemodialysis Catheter, Schon Chronic Hemodialysis Catheter, EVENMORE Chronic Hemodialysis Catheter, EMBOSAFE Valved Splitable Sheath Dilator and Perchik Button Suture Retention Device.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&amp; DEVELOPMENT</w:t>
      </w:r>
    </w:p>
    <w:p>
      <w:pPr>
        <w:spacing w:after="0" w:line="174" w:lineRule="exact"/>
        <w:rPr>
          <w:sz w:val="20"/>
          <w:szCs w:val="20"/>
          <w:color w:val="auto"/>
        </w:rPr>
      </w:pPr>
    </w:p>
    <w:p>
      <w:pPr>
        <w:ind w:firstLine="373"/>
        <w:spacing w:after="0" w:line="260" w:lineRule="auto"/>
        <w:rPr>
          <w:sz w:val="20"/>
          <w:szCs w:val="20"/>
          <w:color w:val="auto"/>
        </w:rPr>
      </w:pPr>
      <w:r>
        <w:rPr>
          <w:rFonts w:ascii="Arial" w:cs="Arial" w:eastAsia="Arial" w:hAnsi="Arial"/>
          <w:sz w:val="17"/>
          <w:szCs w:val="17"/>
          <w:color w:val="auto"/>
        </w:rPr>
        <w:t>Our growth depends in large part on the continuous introduction of new and innovative products, together with ongoing enhancements to our existing products. This happens through internal product development, technology licensing, strategic alliances and acquisitions. Our R&amp;D teams work closely with our marketing teams, sales force and regulatory and compliance teams to incorporate customer feedback into our development and design process. We believe that we have a reputation among interventional physicians as a strong partner for developing high quality products because of our tradition of close physician collaboration, dedicated market focus, responsiveness and execution capabilities for product development and commercialization. We recognize the importance of, and intend to continue to make investments in, research and development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COMPETITION</w:t>
      </w:r>
    </w:p>
    <w:p>
      <w:pPr>
        <w:spacing w:after="0" w:line="174" w:lineRule="exact"/>
        <w:rPr>
          <w:sz w:val="20"/>
          <w:szCs w:val="20"/>
          <w:color w:val="auto"/>
        </w:rPr>
      </w:pPr>
    </w:p>
    <w:p>
      <w:pPr>
        <w:ind w:right="160" w:firstLine="373"/>
        <w:spacing w:after="0" w:line="269" w:lineRule="auto"/>
        <w:rPr>
          <w:sz w:val="20"/>
          <w:szCs w:val="20"/>
          <w:color w:val="auto"/>
        </w:rPr>
      </w:pPr>
      <w:r>
        <w:rPr>
          <w:rFonts w:ascii="Arial" w:cs="Arial" w:eastAsia="Arial" w:hAnsi="Arial"/>
          <w:sz w:val="17"/>
          <w:szCs w:val="17"/>
          <w:color w:val="auto"/>
        </w:rPr>
        <w:t>We encounter significant competition across our product lines and in each market in which our products are sold. These markets are characterized by rapid change resulting from technological advances, scientific discoveries and changing customer needs and expectations. We face competitors, ranging from large manufacturers with multiple business lines, to small manufacturers that offer a limited selection of products.</w:t>
      </w:r>
    </w:p>
    <w:p>
      <w:pPr>
        <w:spacing w:after="0" w:line="121" w:lineRule="exact"/>
        <w:rPr>
          <w:sz w:val="20"/>
          <w:szCs w:val="20"/>
          <w:color w:val="auto"/>
        </w:rPr>
      </w:pPr>
    </w:p>
    <w:p>
      <w:pPr>
        <w:ind w:firstLine="373"/>
        <w:spacing w:after="0" w:line="269" w:lineRule="auto"/>
        <w:rPr>
          <w:sz w:val="20"/>
          <w:szCs w:val="20"/>
          <w:color w:val="auto"/>
        </w:rPr>
      </w:pPr>
      <w:r>
        <w:rPr>
          <w:rFonts w:ascii="Arial" w:cs="Arial" w:eastAsia="Arial" w:hAnsi="Arial"/>
          <w:sz w:val="17"/>
          <w:szCs w:val="17"/>
          <w:color w:val="auto"/>
        </w:rPr>
        <w:t>Our primary device competitors include: Boston Scientific Corporation; Cook Medical; Medical Components, Inc. (MedComp); TeleFlex Medical; Becton Dickinson; Smiths Medical, a subsidiary of Smiths Group plc; Medtronic; Merit Medical; Terumo Medical Corporation; Johnson and Johnson; Philips Healthcare; Inari Medical; Varian Medical Systems and Total Vein Systems.</w:t>
      </w:r>
    </w:p>
    <w:p>
      <w:pPr>
        <w:spacing w:after="0" w:line="121" w:lineRule="exact"/>
        <w:rPr>
          <w:sz w:val="20"/>
          <w:szCs w:val="20"/>
          <w:color w:val="auto"/>
        </w:rPr>
      </w:pPr>
    </w:p>
    <w:p>
      <w:pPr>
        <w:ind w:right="140" w:firstLine="373"/>
        <w:spacing w:after="0" w:line="301" w:lineRule="auto"/>
        <w:rPr>
          <w:sz w:val="20"/>
          <w:szCs w:val="20"/>
          <w:color w:val="auto"/>
        </w:rPr>
      </w:pPr>
      <w:r>
        <w:rPr>
          <w:rFonts w:ascii="Arial" w:cs="Arial" w:eastAsia="Arial" w:hAnsi="Arial"/>
          <w:sz w:val="15"/>
          <w:szCs w:val="15"/>
          <w:color w:val="auto"/>
        </w:rPr>
        <w:t>We believe our products compete primarily based on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attract and retain skilled personnel, obtain patent or other protection for our products, obtain required regulatory and reimbursement approvals, manufacture and successfully market our products either directly or through outside parties, and maintain sufficient inventory to meet customer demand.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74" w:lineRule="exact"/>
        <w:rPr>
          <w:sz w:val="20"/>
          <w:szCs w:val="20"/>
          <w:color w:val="auto"/>
        </w:rPr>
      </w:pPr>
    </w:p>
    <w:p>
      <w:pPr>
        <w:ind w:right="120" w:firstLine="373"/>
        <w:spacing w:after="0" w:line="264" w:lineRule="auto"/>
        <w:rPr>
          <w:sz w:val="20"/>
          <w:szCs w:val="20"/>
          <w:color w:val="auto"/>
        </w:rPr>
      </w:pPr>
      <w:r>
        <w:rPr>
          <w:rFonts w:ascii="Arial" w:cs="Arial" w:eastAsia="Arial" w:hAnsi="Arial"/>
          <w:sz w:val="17"/>
          <w:szCs w:val="17"/>
          <w:color w:val="auto"/>
        </w:rPr>
        <w:t>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 We focus our sales and marketing efforts on interventional radiologists, interventional cardiologists, vascular surgeons, urologists, interventional and surgical oncologists and critical care nurses.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74" w:lineRule="exact"/>
        <w:rPr>
          <w:sz w:val="20"/>
          <w:szCs w:val="20"/>
          <w:color w:val="auto"/>
        </w:rPr>
      </w:pPr>
    </w:p>
    <w:p>
      <w:pPr>
        <w:ind w:firstLine="373"/>
        <w:spacing w:after="0" w:line="262" w:lineRule="auto"/>
        <w:rPr>
          <w:sz w:val="20"/>
          <w:szCs w:val="20"/>
          <w:color w:val="auto"/>
        </w:rPr>
      </w:pPr>
      <w:r>
        <w:rPr>
          <w:rFonts w:ascii="Arial" w:cs="Arial" w:eastAsia="Arial" w:hAnsi="Arial"/>
          <w:sz w:val="17"/>
          <w:szCs w:val="17"/>
          <w:color w:val="auto"/>
        </w:rPr>
        <w:t>We manufacture certain proprietary components and products and then assemble, inspect, test and package our finished products. By designing and manufacturing many of our products from raw materials, and assembling and testing our subassemblies and products, we believe that we are able to maintain better quality control, ensure compliance with applicable regulatory standards and our internal specifications, and limit outside access to our proprietary technology. We have custom-designed proprietary manufacturing and processing equipment and have developed proprietary enhancements for existing production machinery.</w:t>
      </w:r>
    </w:p>
    <w:p>
      <w:pPr>
        <w:spacing w:after="0" w:line="126" w:lineRule="exact"/>
        <w:rPr>
          <w:sz w:val="20"/>
          <w:szCs w:val="20"/>
          <w:color w:val="auto"/>
        </w:rPr>
      </w:pPr>
    </w:p>
    <w:p>
      <w:pPr>
        <w:ind w:right="140" w:firstLine="373"/>
        <w:spacing w:after="0" w:line="279" w:lineRule="auto"/>
        <w:rPr>
          <w:sz w:val="20"/>
          <w:szCs w:val="20"/>
          <w:color w:val="auto"/>
        </w:rPr>
      </w:pPr>
      <w:r>
        <w:rPr>
          <w:rFonts w:ascii="Arial" w:cs="Arial" w:eastAsia="Arial" w:hAnsi="Arial"/>
          <w:sz w:val="16"/>
          <w:szCs w:val="16"/>
          <w:color w:val="auto"/>
        </w:rPr>
        <w:t>We manufacture most of our products from two owned manufacturing properties, one in Queensbury, NY and one small facility in Glens Falls, NY, providing capabilities which include manufacturing, service, offices, engineering and research and we lease distribution warehouses. These facilities are registered with the FDA and have been certified to ISO 13485 standards. ISO 13485 is a quality system standard that satisfies European Union regulatory requirements, thus allowing us to market and sell our products in European Union countries. AngioDynamics is certified under the Medical Device Single Audit Program ("MDSAP") which allows a recognized auditing organization to conduct a single regulatory audit of a medical device manufacturer to satisfy the relevant requirements of the regulatory authorities participating in the program. International partners that are participating in the MDSAP include:</w:t>
      </w:r>
    </w:p>
    <w:p>
      <w:pPr>
        <w:spacing w:after="0" w:line="117" w:lineRule="exact"/>
        <w:rPr>
          <w:sz w:val="20"/>
          <w:szCs w:val="20"/>
          <w:color w:val="auto"/>
        </w:rPr>
      </w:pPr>
    </w:p>
    <w:p>
      <w:pPr>
        <w:ind w:left="620" w:hanging="305"/>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Therapeutic Goods Administration of Australia</w:t>
      </w:r>
    </w:p>
    <w:p>
      <w:pPr>
        <w:spacing w:after="0" w:line="24" w:lineRule="exact"/>
        <w:rPr>
          <w:rFonts w:ascii="Arial" w:cs="Arial" w:eastAsia="Arial" w:hAnsi="Arial"/>
          <w:sz w:val="17"/>
          <w:szCs w:val="17"/>
          <w:color w:val="auto"/>
        </w:rPr>
      </w:pPr>
    </w:p>
    <w:p>
      <w:pPr>
        <w:ind w:left="620" w:hanging="305"/>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Brazil’s Agência Nacional de Vigilância Sanitária</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Health Canada</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Japan’s Ministry of Health, Labour and Welfare, and the Japanese Pharmaceuticals and Medical Devices Agency</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U.S. Food and Drug Administration</w:t>
      </w:r>
    </w:p>
    <w:p>
      <w:pPr>
        <w:spacing w:after="0" w:line="155" w:lineRule="exact"/>
        <w:rPr>
          <w:sz w:val="20"/>
          <w:szCs w:val="20"/>
          <w:color w:val="auto"/>
        </w:rPr>
      </w:pPr>
    </w:p>
    <w:p>
      <w:pPr>
        <w:ind w:right="380" w:firstLine="373"/>
        <w:spacing w:after="0" w:line="269" w:lineRule="auto"/>
        <w:rPr>
          <w:sz w:val="20"/>
          <w:szCs w:val="20"/>
          <w:color w:val="auto"/>
        </w:rPr>
      </w:pPr>
      <w:r>
        <w:rPr>
          <w:rFonts w:ascii="Arial" w:cs="Arial" w:eastAsia="Arial" w:hAnsi="Arial"/>
          <w:sz w:val="17"/>
          <w:szCs w:val="17"/>
          <w:color w:val="auto"/>
        </w:rPr>
        <w:t>Our manufacturing facilities are subject to periodic inspections by regulatory authorities to ensure compliance with domestic and non-U.S. regulatory requirements. See “Government Regulation” section of this Item 1 for additional information. See Part I, Item 2 "Properties" of this report for details on each manufacturing location.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Historically, we ship the majority of products within 24-48 hours of receiving an order.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1" w:name="page12"/>
    <w:bookmarkEnd w:id="11"/>
    <w:p>
      <w:pPr>
        <w:ind w:left="40"/>
        <w:spacing w:after="0"/>
        <w:rPr>
          <w:sz w:val="20"/>
          <w:szCs w:val="20"/>
          <w:color w:val="auto"/>
        </w:rPr>
      </w:pPr>
      <w:r>
        <w:rPr>
          <w:rFonts w:ascii="Arial" w:cs="Arial" w:eastAsia="Arial" w:hAnsi="Arial"/>
          <w:sz w:val="17"/>
          <w:szCs w:val="17"/>
          <w:b w:val="1"/>
          <w:bCs w:val="1"/>
          <w:color w:val="auto"/>
        </w:rPr>
        <w:t>INTELLECTUAL PROPERTY</w:t>
      </w:r>
    </w:p>
    <w:p>
      <w:pPr>
        <w:spacing w:after="0" w:line="174" w:lineRule="exact"/>
        <w:rPr>
          <w:sz w:val="20"/>
          <w:szCs w:val="20"/>
          <w:color w:val="auto"/>
        </w:rPr>
      </w:pPr>
    </w:p>
    <w:p>
      <w:pPr>
        <w:ind w:firstLine="373"/>
        <w:spacing w:after="0" w:line="278" w:lineRule="auto"/>
        <w:rPr>
          <w:sz w:val="20"/>
          <w:szCs w:val="20"/>
          <w:color w:val="auto"/>
        </w:rPr>
      </w:pPr>
      <w:r>
        <w:rPr>
          <w:rFonts w:ascii="Arial" w:cs="Arial" w:eastAsia="Arial" w:hAnsi="Arial"/>
          <w:sz w:val="16"/>
          <w:szCs w:val="16"/>
          <w:color w:val="auto"/>
        </w:rPr>
        <w:t>Patents, trademarks and other proprietary rights are very important to our business. We also rely upon trade secrets, manufacturing know-how, technological innovations and licensing opportunities to maintain and improve our competitive position. We regularly monitor and review third-party proprietary rights, including patents and patent applications, as available, to aid in the development of our intellectual property strategy, avoid infringement of third-party proprietary rights, and identify licensing opportunities. The Company owns an extensive portfolio of patents and patent applications in the United States and in certain foreign countries. The portfolio also includes exclusive licenses to third party patents and applications. Most of our products are sold under the AngioDynamics trade name or trademark. Additionally, products are sold under product trademarks and/or registered product trademarks owned by AngioDynamics, Inc., or an affiliate or subsidiary. Some products contain trademarks of companies other than AngioDynamics.</w:t>
      </w:r>
    </w:p>
    <w:p>
      <w:pPr>
        <w:spacing w:after="0" w:line="116" w:lineRule="exact"/>
        <w:rPr>
          <w:sz w:val="20"/>
          <w:szCs w:val="20"/>
          <w:color w:val="auto"/>
        </w:rPr>
      </w:pPr>
    </w:p>
    <w:p>
      <w:pPr>
        <w:ind w:right="280" w:firstLine="373"/>
        <w:spacing w:after="0" w:line="284" w:lineRule="auto"/>
        <w:rPr>
          <w:sz w:val="20"/>
          <w:szCs w:val="20"/>
          <w:color w:val="auto"/>
        </w:rPr>
      </w:pPr>
      <w:r>
        <w:rPr>
          <w:rFonts w:ascii="Arial" w:cs="Arial" w:eastAsia="Arial" w:hAnsi="Arial"/>
          <w:sz w:val="17"/>
          <w:szCs w:val="17"/>
          <w:color w:val="auto"/>
        </w:rPr>
        <w:t>See Part I. Item 3 "Legal Proceedings" and Note 17 to the consolidated financial statements in this Annual Report on Form 10-K for additional details on litigation regarding proprietary technology.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74" w:lineRule="exact"/>
        <w:rPr>
          <w:sz w:val="20"/>
          <w:szCs w:val="20"/>
          <w:color w:val="auto"/>
        </w:rPr>
      </w:pPr>
    </w:p>
    <w:p>
      <w:pPr>
        <w:ind w:right="120" w:firstLine="373"/>
        <w:spacing w:after="0" w:line="260" w:lineRule="auto"/>
        <w:rPr>
          <w:sz w:val="20"/>
          <w:szCs w:val="20"/>
          <w:color w:val="auto"/>
        </w:rPr>
      </w:pPr>
      <w:r>
        <w:rPr>
          <w:rFonts w:ascii="Arial" w:cs="Arial" w:eastAsia="Arial" w:hAnsi="Arial"/>
          <w:sz w:val="17"/>
          <w:szCs w:val="17"/>
          <w:color w:val="auto"/>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those products. The medical device industry is also susceptible to significant product liability claims. These claims may be brought by individuals seeking relief on their own behalf or 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"Legal Proceedings" and Note 17 to the consolidated financial statements in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74" w:lineRule="exact"/>
        <w:rPr>
          <w:sz w:val="20"/>
          <w:szCs w:val="20"/>
          <w:color w:val="auto"/>
        </w:rPr>
      </w:pPr>
    </w:p>
    <w:p>
      <w:pPr>
        <w:ind w:right="20" w:firstLine="373"/>
        <w:spacing w:after="0" w:line="284" w:lineRule="auto"/>
        <w:rPr>
          <w:sz w:val="20"/>
          <w:szCs w:val="20"/>
          <w:color w:val="auto"/>
        </w:rPr>
      </w:pPr>
      <w:r>
        <w:rPr>
          <w:rFonts w:ascii="Arial" w:cs="Arial" w:eastAsia="Arial" w:hAnsi="Arial"/>
          <w:sz w:val="17"/>
          <w:szCs w:val="17"/>
          <w:color w:val="auto"/>
        </w:rPr>
        <w:t>The products we manufacture and market are subject to regulation by the United States Food and Drug Administration (FDA) under the Federal Food, Drug, and Cosmetic Act, or FDCA, and international regulations in our specific target markets.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United States FDA Regulation</w:t>
      </w:r>
    </w:p>
    <w:p>
      <w:pPr>
        <w:spacing w:after="0" w:line="174" w:lineRule="exact"/>
        <w:rPr>
          <w:sz w:val="20"/>
          <w:szCs w:val="20"/>
          <w:color w:val="auto"/>
        </w:rPr>
      </w:pPr>
    </w:p>
    <w:p>
      <w:pPr>
        <w:ind w:right="540" w:firstLine="373"/>
        <w:spacing w:after="0" w:line="284" w:lineRule="auto"/>
        <w:rPr>
          <w:sz w:val="20"/>
          <w:szCs w:val="20"/>
          <w:color w:val="auto"/>
        </w:rPr>
      </w:pPr>
      <w:r>
        <w:rPr>
          <w:rFonts w:ascii="Arial" w:cs="Arial" w:eastAsia="Arial" w:hAnsi="Arial"/>
          <w:sz w:val="17"/>
          <w:szCs w:val="17"/>
          <w:color w:val="auto"/>
        </w:rPr>
        <w:t>Before a new medical device can be introduced into the market, a manufacturer generally must obtain marketing clearance or approval from the FDA through either a 510(k) submission (a premarket notification) or a premarket approval application (PMA).</w:t>
      </w:r>
    </w:p>
    <w:p>
      <w:pPr>
        <w:spacing w:after="0" w:line="108" w:lineRule="exact"/>
        <w:rPr>
          <w:sz w:val="20"/>
          <w:szCs w:val="20"/>
          <w:color w:val="auto"/>
        </w:rPr>
      </w:pPr>
    </w:p>
    <w:p>
      <w:pPr>
        <w:ind w:right="140" w:firstLine="373"/>
        <w:spacing w:after="0" w:line="277" w:lineRule="auto"/>
        <w:rPr>
          <w:sz w:val="20"/>
          <w:szCs w:val="20"/>
          <w:color w:val="auto"/>
        </w:rPr>
      </w:pPr>
      <w:r>
        <w:rPr>
          <w:rFonts w:ascii="Arial" w:cs="Arial" w:eastAsia="Arial" w:hAnsi="Arial"/>
          <w:sz w:val="16"/>
          <w:szCs w:val="16"/>
          <w:color w:val="auto"/>
        </w:rPr>
        <w:t>The 510(k) procedure is available only in particular circumstances. The 510(k) clearance procedure is available only if a manufacturer can establish that its device is “substantially equivalent” in intended use and in safety and effectiveness to a “predicate device,” which is a legally marketed device with 510(k) clearance in class I or II or pre-amendment status based upon products commercially distributed on or before May 28, 1976. After a device receives 510(k) clearance, any modification that could significantly affect its safety or effectiveness, or that would constitute a major change in its intended use, requires a new 510(k) clearance. The 510(k) clearance procedure including questions and responses may take up to 12 months. In some cases, supporting clinical data may be required.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new or modified device products. If a device cannot demonstrate substantial equivalence, it may be subject to either a de novo submission or a PMA.</w:t>
      </w:r>
    </w:p>
    <w:p>
      <w:pPr>
        <w:spacing w:after="0" w:line="116" w:lineRule="exact"/>
        <w:rPr>
          <w:sz w:val="20"/>
          <w:szCs w:val="20"/>
          <w:color w:val="auto"/>
        </w:rPr>
      </w:pPr>
    </w:p>
    <w:p>
      <w:pPr>
        <w:ind w:firstLine="373"/>
        <w:spacing w:after="0" w:line="258" w:lineRule="auto"/>
        <w:rPr>
          <w:sz w:val="20"/>
          <w:szCs w:val="20"/>
          <w:color w:val="auto"/>
        </w:rPr>
      </w:pPr>
      <w:r>
        <w:rPr>
          <w:rFonts w:ascii="Arial" w:cs="Arial" w:eastAsia="Arial" w:hAnsi="Arial"/>
          <w:sz w:val="17"/>
          <w:szCs w:val="17"/>
          <w:color w:val="auto"/>
        </w:rPr>
        <w:t>The PMA application procedure is more comprehensive than the 510(k) procedure and typically takes more time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significant changes are made to a device, its manufacturing or labeling, a PMA supplement containing additional information must be filed for prior FDA approval.</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Historically, our products have been introduced into the market using the 510(k) procedure.</w:t>
      </w:r>
    </w:p>
    <w:p>
      <w:pPr>
        <w:spacing w:after="0" w:line="168" w:lineRule="exact"/>
        <w:rPr>
          <w:sz w:val="20"/>
          <w:szCs w:val="20"/>
          <w:color w:val="auto"/>
        </w:rPr>
      </w:pPr>
    </w:p>
    <w:p>
      <w:pPr>
        <w:ind w:right="420" w:firstLine="373"/>
        <w:spacing w:after="0" w:line="284" w:lineRule="auto"/>
        <w:rPr>
          <w:sz w:val="20"/>
          <w:szCs w:val="20"/>
          <w:color w:val="auto"/>
        </w:rPr>
      </w:pPr>
      <w:r>
        <w:rPr>
          <w:rFonts w:ascii="Arial" w:cs="Arial" w:eastAsia="Arial" w:hAnsi="Arial"/>
          <w:sz w:val="17"/>
          <w:szCs w:val="17"/>
          <w:color w:val="auto"/>
        </w:rPr>
        <w:t>The process of FDA submissions requires extensive validations and testing which requires a significant amount of time and financial resources. Recent changes in both regulations and FDA perspectives have increased both time and testing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2" w:name="page13"/>
    <w:bookmarkEnd w:id="12"/>
    <w:p>
      <w:pPr>
        <w:ind w:right="60"/>
        <w:spacing w:after="0" w:line="264" w:lineRule="auto"/>
        <w:rPr>
          <w:sz w:val="20"/>
          <w:szCs w:val="20"/>
          <w:color w:val="auto"/>
        </w:rPr>
      </w:pPr>
      <w:r>
        <w:rPr>
          <w:rFonts w:ascii="Arial" w:cs="Arial" w:eastAsia="Arial" w:hAnsi="Arial"/>
          <w:sz w:val="17"/>
          <w:szCs w:val="17"/>
          <w:color w:val="auto"/>
        </w:rPr>
        <w:t>requirements, which have caused and are expected to continue to cause significant delays and increased costs for clearances and approvals. The increased focus by the FDA on such issues as chemical identification of all colorants, non-acceptance of certain colorants (certain forms of carbon black) and other concerns, continue to cause challenges and delays. In addition, changes to existing products call into question previously approved devices and result in additional costs for testing and material analysis.</w:t>
      </w:r>
    </w:p>
    <w:p>
      <w:pPr>
        <w:spacing w:after="0" w:line="125" w:lineRule="exact"/>
        <w:rPr>
          <w:sz w:val="20"/>
          <w:szCs w:val="20"/>
          <w:color w:val="auto"/>
        </w:rPr>
      </w:pPr>
    </w:p>
    <w:p>
      <w:pPr>
        <w:ind w:right="20" w:firstLine="373"/>
        <w:spacing w:after="0" w:line="275" w:lineRule="auto"/>
        <w:rPr>
          <w:sz w:val="20"/>
          <w:szCs w:val="20"/>
          <w:color w:val="auto"/>
        </w:rPr>
      </w:pPr>
      <w:r>
        <w:rPr>
          <w:rFonts w:ascii="Arial" w:cs="Arial" w:eastAsia="Arial" w:hAnsi="Arial"/>
          <w:sz w:val="16"/>
          <w:szCs w:val="16"/>
          <w:color w:val="auto"/>
        </w:rPr>
        <w:t>The devices manufactured by us are also subject to the QSR, which imposes elaborate testing, control, documentation and other quality assurance procedures. Every phase of production, including raw materials, components and subassembly, manufacturing, testing, quality control, labeling, tracing of consignees after distribution and follow-up and reporting of complaint information is governed by the FDA’s QSR.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Failure to maintain compliance with the QSR may result in the issuance of one or more Forms 483 or warning letters, and could potentially result in a consent decree. Failure to maintain the QSR appropriately could result in the issuance of further warning letters. In addition, non-compliance with applicable FDA requirements can result in, among other things, fines, injunctions, civil penalties, recall or seizure of products, total or partial suspension of production, failure of the FDA to grant marketing approvals, inability to obtain clearances or approvals for products, withdrawal of marketing approvals, a recommendation by the FDA to disallow us to enter into government contracts, and/or criminal prosecutions. The FDA also has the authority to request repair, replacement or refund of the cost of any device manufactured or distributed by us.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U.S. Regulatory Bodies</w:t>
      </w:r>
    </w:p>
    <w:p>
      <w:pPr>
        <w:spacing w:after="0" w:line="174" w:lineRule="exact"/>
        <w:rPr>
          <w:sz w:val="20"/>
          <w:szCs w:val="20"/>
          <w:color w:val="auto"/>
        </w:rPr>
      </w:pPr>
    </w:p>
    <w:p>
      <w:pPr>
        <w:ind w:firstLine="373"/>
        <w:spacing w:after="0" w:line="259" w:lineRule="auto"/>
        <w:rPr>
          <w:sz w:val="20"/>
          <w:szCs w:val="20"/>
          <w:color w:val="auto"/>
        </w:rPr>
      </w:pPr>
      <w:r>
        <w:rPr>
          <w:rFonts w:ascii="Arial" w:cs="Arial" w:eastAsia="Arial" w:hAnsi="Arial"/>
          <w:sz w:val="17"/>
          <w:szCs w:val="17"/>
          <w:color w:val="auto"/>
        </w:rPr>
        <w:t>We and our products are subject to a variety of state and local laws in those jurisdictions where our products are, or will be, marketed. We and our products are also subject to a variety of 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International Regulation</w:t>
      </w:r>
    </w:p>
    <w:p>
      <w:pPr>
        <w:spacing w:after="0" w:line="174" w:lineRule="exact"/>
        <w:rPr>
          <w:sz w:val="20"/>
          <w:szCs w:val="20"/>
          <w:color w:val="auto"/>
        </w:rPr>
      </w:pPr>
    </w:p>
    <w:p>
      <w:pPr>
        <w:ind w:right="20" w:firstLine="373"/>
        <w:spacing w:after="0" w:line="258" w:lineRule="auto"/>
        <w:rPr>
          <w:sz w:val="20"/>
          <w:szCs w:val="20"/>
          <w:color w:val="auto"/>
        </w:rPr>
      </w:pPr>
      <w:r>
        <w:rPr>
          <w:rFonts w:ascii="Arial" w:cs="Arial" w:eastAsia="Arial" w:hAnsi="Arial"/>
          <w:sz w:val="17"/>
          <w:szCs w:val="17"/>
          <w:color w:val="auto"/>
        </w:rPr>
        <w:t>Internationally, all of our current products are considered medical devices under applicable regulatory regimes, and we anticipate that this will be true for all of our future products. Sales of medical devices are subject to regulatory requirements in many countries. The regulatory review process may vary greatly from country to country. For example, the European Union has a dedicated set of regulations regarding medical devices, specifically regulating their design, manufacturing, clinical trials, labeling and adverse event reporting. Devices that comply with those requirements are entitled to bear a Conformité Européenne, or CE Mark, indicating that the device conforms to the essential requirements of the applicable directives and can be commercially distributed in countries that are members of the European Union. Similar regulations are in place for Canada, Japan, China and most other countries. In some cases, we rely on our international distributors to obtain regulatory approvals, complete product registrations, comply with clinical trial requirements and complete those steps that are customarily taken in the applicable jurisdictions.</w:t>
      </w:r>
    </w:p>
    <w:p>
      <w:pPr>
        <w:spacing w:after="0" w:line="134" w:lineRule="exact"/>
        <w:rPr>
          <w:sz w:val="20"/>
          <w:szCs w:val="20"/>
          <w:color w:val="auto"/>
        </w:rPr>
      </w:pPr>
    </w:p>
    <w:p>
      <w:pPr>
        <w:ind w:right="40" w:firstLine="373"/>
        <w:spacing w:after="0" w:line="269" w:lineRule="auto"/>
        <w:rPr>
          <w:sz w:val="20"/>
          <w:szCs w:val="20"/>
          <w:color w:val="auto"/>
        </w:rPr>
      </w:pPr>
      <w:r>
        <w:rPr>
          <w:rFonts w:ascii="Arial" w:cs="Arial" w:eastAsia="Arial" w:hAnsi="Arial"/>
          <w:sz w:val="17"/>
          <w:szCs w:val="17"/>
          <w:color w:val="auto"/>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21" w:lineRule="exact"/>
        <w:rPr>
          <w:sz w:val="20"/>
          <w:szCs w:val="20"/>
          <w:color w:val="auto"/>
        </w:rPr>
      </w:pPr>
    </w:p>
    <w:p>
      <w:pPr>
        <w:jc w:val="both"/>
        <w:ind w:right="320" w:firstLine="373"/>
        <w:spacing w:after="0" w:line="321" w:lineRule="auto"/>
        <w:rPr>
          <w:sz w:val="20"/>
          <w:szCs w:val="20"/>
          <w:color w:val="auto"/>
        </w:rPr>
      </w:pPr>
      <w:r>
        <w:rPr>
          <w:rFonts w:ascii="Arial" w:cs="Arial" w:eastAsia="Arial" w:hAnsi="Arial"/>
          <w:sz w:val="15"/>
          <w:szCs w:val="15"/>
          <w:color w:val="auto"/>
        </w:rPr>
        <w:t>The process of obtaining approval to distribute medical products is costly and time-consuming in virtually all the major markets where we sell medical devices. We cannot assure that any new medical devices we develop will be approved in a timely or cost-effective manner or approved at all. There can be no assurance that new laws or regulations regarding the release or sale of medical devices will not delay or prevent sale of our current or future products.</w:t>
      </w:r>
    </w:p>
    <w:p>
      <w:pPr>
        <w:spacing w:after="0" w:line="80" w:lineRule="exact"/>
        <w:rPr>
          <w:sz w:val="20"/>
          <w:szCs w:val="20"/>
          <w:color w:val="auto"/>
        </w:rPr>
      </w:pPr>
    </w:p>
    <w:p>
      <w:pPr>
        <w:ind w:right="3280"/>
        <w:spacing w:after="0" w:line="449" w:lineRule="auto"/>
        <w:rPr>
          <w:sz w:val="20"/>
          <w:szCs w:val="20"/>
          <w:color w:val="auto"/>
        </w:rPr>
      </w:pPr>
      <w:r>
        <w:rPr>
          <w:rFonts w:ascii="Arial" w:cs="Arial" w:eastAsia="Arial" w:hAnsi="Arial"/>
          <w:sz w:val="17"/>
          <w:szCs w:val="17"/>
          <w:b w:val="1"/>
          <w:bCs w:val="1"/>
          <w:color w:val="auto"/>
        </w:rPr>
        <w:t xml:space="preserve">THIRD-PARTY REIMBURSEMENT AND ANTI-FRAUD AND CORRUPT PRACTICES REGULATION </w:t>
      </w:r>
      <w:r>
        <w:rPr>
          <w:rFonts w:ascii="Arial" w:cs="Arial" w:eastAsia="Arial" w:hAnsi="Arial"/>
          <w:sz w:val="17"/>
          <w:szCs w:val="17"/>
          <w:b w:val="1"/>
          <w:bCs w:val="1"/>
          <w:u w:val="single" w:color="auto"/>
          <w:color w:val="auto"/>
        </w:rPr>
        <w:t>United States</w:t>
      </w:r>
    </w:p>
    <w:p>
      <w:pPr>
        <w:spacing w:after="0" w:line="1" w:lineRule="exact"/>
        <w:rPr>
          <w:sz w:val="20"/>
          <w:szCs w:val="20"/>
          <w:color w:val="auto"/>
        </w:rPr>
      </w:pPr>
    </w:p>
    <w:p>
      <w:pPr>
        <w:ind w:right="20" w:firstLine="373"/>
        <w:spacing w:after="0" w:line="286" w:lineRule="auto"/>
        <w:rPr>
          <w:sz w:val="20"/>
          <w:szCs w:val="20"/>
          <w:color w:val="auto"/>
        </w:rPr>
      </w:pPr>
      <w:r>
        <w:rPr>
          <w:rFonts w:ascii="Arial" w:cs="Arial" w:eastAsia="Arial" w:hAnsi="Arial"/>
          <w:sz w:val="16"/>
          <w:szCs w:val="16"/>
          <w:color w:val="auto"/>
        </w:rPr>
        <w:t>The delivery of our devices is subject to regulation by the Department of Health and Human Services (HHS) and comparable state and non-U.S. agencies responsible for reimbursement and regulation of health care items and services. U.S. laws and regulations are imposed primarily in conjunction with the Medicare and Medicaid programs, as well as the government’s interest in regulating the quality and cost of health care. Foreign governments also impose regulations in conjunction with their health care reimbursement programs and the delivery of health care items and services.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13" w:name="page14"/>
    <w:bookmarkEnd w:id="13"/>
    <w:p>
      <w:pPr>
        <w:ind w:right="20" w:firstLine="373"/>
        <w:spacing w:after="0" w:line="257" w:lineRule="auto"/>
        <w:rPr>
          <w:sz w:val="20"/>
          <w:szCs w:val="20"/>
          <w:color w:val="auto"/>
        </w:rPr>
      </w:pPr>
      <w:r>
        <w:rPr>
          <w:rFonts w:ascii="Arial" w:cs="Arial" w:eastAsia="Arial" w:hAnsi="Arial"/>
          <w:sz w:val="17"/>
          <w:szCs w:val="17"/>
          <w:color w:val="auto"/>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including or rewarding referrals of items or services reimbursable by a federal health care program, subject to certain safe harbor exceptions; (2) the False Claims Act which prohibits the submission of false or otherwise improper claims for payment to a federally-funded health care program, including claims resulting from a violation 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 anti-kickback, and anti-self-referral and insurance laws that apply to state-funded Medicaid and other health care programs and private third-party payers. In addition, the U.S. Foreign Corrupt Practices Act (FCPA) can be used to prosecute companies in the U.S. for arrangements with physicians or other parties outside the U.S. if the physician or party is a government official of another country and the arrangement violates the law of that country.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International</w:t>
      </w:r>
    </w:p>
    <w:p>
      <w:pPr>
        <w:spacing w:after="0" w:line="174" w:lineRule="exact"/>
        <w:rPr>
          <w:sz w:val="20"/>
          <w:szCs w:val="20"/>
          <w:color w:val="auto"/>
        </w:rPr>
      </w:pPr>
    </w:p>
    <w:p>
      <w:pPr>
        <w:ind w:firstLine="373"/>
        <w:spacing w:after="0" w:line="282" w:lineRule="auto"/>
        <w:rPr>
          <w:sz w:val="20"/>
          <w:szCs w:val="20"/>
          <w:color w:val="auto"/>
        </w:rPr>
      </w:pPr>
      <w:r>
        <w:rPr>
          <w:rFonts w:ascii="Arial" w:cs="Arial" w:eastAsia="Arial" w:hAnsi="Arial"/>
          <w:sz w:val="16"/>
          <w:szCs w:val="16"/>
          <w:color w:val="auto"/>
        </w:rPr>
        <w:t>Our success in international markets will depend largely upon the availability of reimbursement from the third-party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U.S., we generally rely on our distributors to obtain reimbursement approval in the countries in which they will sell our products. There can be no assurance that reimbursement approvals will be received. See Part I. Item 1A "Risk Factors" in this Annual Report on Form 10-K.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w:t>
      </w:r>
    </w:p>
    <w:p>
      <w:pPr>
        <w:spacing w:after="0" w:line="174" w:lineRule="exact"/>
        <w:rPr>
          <w:sz w:val="20"/>
          <w:szCs w:val="20"/>
          <w:color w:val="auto"/>
        </w:rPr>
      </w:pPr>
    </w:p>
    <w:p>
      <w:pPr>
        <w:ind w:right="420" w:firstLine="373"/>
        <w:spacing w:after="0" w:line="269" w:lineRule="auto"/>
        <w:rPr>
          <w:sz w:val="20"/>
          <w:szCs w:val="20"/>
          <w:color w:val="auto"/>
        </w:rPr>
      </w:pPr>
      <w:r>
        <w:rPr>
          <w:rFonts w:ascii="Arial" w:cs="Arial" w:eastAsia="Arial" w:hAnsi="Arial"/>
          <w:sz w:val="17"/>
          <w:szCs w:val="17"/>
          <w:color w:val="auto"/>
        </w:rPr>
        <w:t>Our product liability insurance coverage is limited to a maximum of $10 million per product liability claim and an annual aggregate policy limit of $10 million, subject to a self-insured retention of $500,000 per occurrence and $2 million in the aggregate. The policy covers, subject to policy conditions and exclusions, claims of bodily injury and property damage from any product sold or manufactured by us.</w:t>
      </w:r>
    </w:p>
    <w:p>
      <w:pPr>
        <w:spacing w:after="0" w:line="121" w:lineRule="exact"/>
        <w:rPr>
          <w:sz w:val="20"/>
          <w:szCs w:val="20"/>
          <w:color w:val="auto"/>
        </w:rPr>
      </w:pPr>
    </w:p>
    <w:p>
      <w:pPr>
        <w:ind w:right="120" w:firstLine="373"/>
        <w:spacing w:after="0" w:line="264" w:lineRule="auto"/>
        <w:rPr>
          <w:sz w:val="20"/>
          <w:szCs w:val="20"/>
          <w:color w:val="auto"/>
        </w:rPr>
      </w:pPr>
      <w:r>
        <w:rPr>
          <w:rFonts w:ascii="Arial" w:cs="Arial" w:eastAsia="Arial" w:hAnsi="Arial"/>
          <w:sz w:val="17"/>
          <w:szCs w:val="17"/>
          <w:color w:val="auto"/>
        </w:rPr>
        <w:t>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 See Part I. Item 1A "Risk Factors" in this Annual Report on Form 10-K.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HEALTH AND SAFETY</w:t>
      </w:r>
    </w:p>
    <w:p>
      <w:pPr>
        <w:spacing w:after="0" w:line="174" w:lineRule="exact"/>
        <w:rPr>
          <w:sz w:val="20"/>
          <w:szCs w:val="20"/>
          <w:color w:val="auto"/>
        </w:rPr>
      </w:pPr>
    </w:p>
    <w:p>
      <w:pPr>
        <w:ind w:firstLine="373"/>
        <w:spacing w:after="0" w:line="279" w:lineRule="auto"/>
        <w:rPr>
          <w:sz w:val="20"/>
          <w:szCs w:val="20"/>
          <w:color w:val="auto"/>
        </w:rPr>
      </w:pPr>
      <w:r>
        <w:rPr>
          <w:rFonts w:ascii="Arial" w:cs="Arial" w:eastAsia="Arial" w:hAnsi="Arial"/>
          <w:sz w:val="16"/>
          <w:szCs w:val="16"/>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Our operations are also subject to laws and regulations related to occupational health and safety. We maintain safety, training and maintenance programs as part of our ongoing efforts to ensure compliance with applicable laws and regulations. Although we believe that we have complied with environmental, health and safety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74" w:lineRule="exact"/>
        <w:rPr>
          <w:sz w:val="20"/>
          <w:szCs w:val="20"/>
          <w:color w:val="auto"/>
        </w:rPr>
      </w:pPr>
    </w:p>
    <w:p>
      <w:pPr>
        <w:ind w:right="40" w:firstLine="373"/>
        <w:spacing w:after="0" w:line="278" w:lineRule="auto"/>
        <w:rPr>
          <w:sz w:val="20"/>
          <w:szCs w:val="20"/>
          <w:color w:val="auto"/>
        </w:rPr>
      </w:pPr>
      <w:r>
        <w:rPr>
          <w:rFonts w:ascii="Arial" w:cs="Arial" w:eastAsia="Arial" w:hAnsi="Arial"/>
          <w:sz w:val="16"/>
          <w:szCs w:val="16"/>
          <w:color w:val="auto"/>
        </w:rPr>
        <w:t>As of May 31, 2021, we had approximately 800 full time employees. None of our employees are represented by a labor union and we have never experienced a work stoppage. In the highly competitive medical device industry, we consider attracting, developing, and retaining talented people in technical, operational, marketing, sales, research, management and other positions to be critical to our long-term growth strategy. Our ability to recruit and retain such talent depends on several factors, including compensation and benefits, talent development, career opportunities and work environment. Our goal is to create a diverse and inclusive culture that encourages an environment where employees feel welcomed, respected and valued. We are an equal opportunity/affirmative action employer committed to making employment decisions without regard to race, religion, ethnicity or national origin, gender, sexual orientation, gender identity or expression, age, disability, protected veteran status or any other characteristics protected by law.</w:t>
      </w:r>
    </w:p>
    <w:p>
      <w:pPr>
        <w:spacing w:after="0" w:line="116" w:lineRule="exact"/>
        <w:rPr>
          <w:sz w:val="20"/>
          <w:szCs w:val="20"/>
          <w:color w:val="auto"/>
        </w:rPr>
      </w:pPr>
    </w:p>
    <w:p>
      <w:pPr>
        <w:ind w:right="80" w:firstLine="373"/>
        <w:spacing w:after="0" w:line="264" w:lineRule="auto"/>
        <w:rPr>
          <w:sz w:val="20"/>
          <w:szCs w:val="20"/>
          <w:color w:val="auto"/>
        </w:rPr>
      </w:pPr>
      <w:r>
        <w:rPr>
          <w:rFonts w:ascii="Arial" w:cs="Arial" w:eastAsia="Arial" w:hAnsi="Arial"/>
          <w:sz w:val="17"/>
          <w:szCs w:val="17"/>
          <w:color w:val="auto"/>
        </w:rPr>
        <w:t>The engagement of our workforce is crucial to delivering on our competitive strategy, and we place high importance on informed and engaged employees. We communicate frequently and transparently with our employees through a variety of communication methods, including video and written communications, town hall meetings and our company intranet. As a result of the COVID-19 pandemic, we also further strengthened our communication platforms. Our employee communications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4" w:name="page15"/>
    <w:bookmarkEnd w:id="14"/>
    <w:p>
      <w:pPr>
        <w:ind w:right="380"/>
        <w:spacing w:after="0" w:line="284" w:lineRule="auto"/>
        <w:rPr>
          <w:sz w:val="20"/>
          <w:szCs w:val="20"/>
          <w:color w:val="auto"/>
        </w:rPr>
      </w:pPr>
      <w:r>
        <w:rPr>
          <w:rFonts w:ascii="Arial" w:cs="Arial" w:eastAsia="Arial" w:hAnsi="Arial"/>
          <w:sz w:val="17"/>
          <w:szCs w:val="17"/>
          <w:color w:val="auto"/>
        </w:rPr>
        <w:t>during the pandemic have kept our employees informed on critical priorities, important actions being taken by management in response to the pandemic and continued efforts to protect employee health, safety and well-being.</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Officers of the Company</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certain information with respect to our executive officers.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Age</w:t>
            </w:r>
          </w:p>
        </w:tc>
        <w:tc>
          <w:tcPr>
            <w:tcW w:w="4960" w:type="dxa"/>
            <w:vAlign w:val="bottom"/>
            <w:gridSpan w:val="3"/>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39"/>
        </w:trPr>
        <w:tc>
          <w:tcPr>
            <w:tcW w:w="2680" w:type="dxa"/>
            <w:vAlign w:val="bottom"/>
            <w:gridSpan w:val="2"/>
          </w:tcPr>
          <w:p>
            <w:pPr>
              <w:spacing w:after="0"/>
              <w:rPr>
                <w:sz w:val="20"/>
                <w:szCs w:val="20"/>
                <w:color w:val="auto"/>
              </w:rPr>
            </w:pPr>
            <w:r>
              <w:rPr>
                <w:rFonts w:ascii="Arial" w:cs="Arial" w:eastAsia="Arial" w:hAnsi="Arial"/>
                <w:sz w:val="17"/>
                <w:szCs w:val="17"/>
                <w:color w:val="auto"/>
              </w:rPr>
              <w:t>James C. Clemmer</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200" w:type="dxa"/>
            <w:vAlign w:val="bottom"/>
          </w:tcPr>
          <w:p>
            <w:pPr>
              <w:spacing w:after="0"/>
              <w:rPr>
                <w:sz w:val="20"/>
                <w:szCs w:val="20"/>
                <w:color w:val="auto"/>
              </w:rPr>
            </w:pPr>
          </w:p>
        </w:tc>
        <w:tc>
          <w:tcPr>
            <w:tcW w:w="4960" w:type="dxa"/>
            <w:vAlign w:val="bottom"/>
            <w:gridSpan w:val="3"/>
          </w:tcPr>
          <w:p>
            <w:pPr>
              <w:ind w:left="180"/>
              <w:spacing w:after="0"/>
              <w:rPr>
                <w:sz w:val="20"/>
                <w:szCs w:val="20"/>
                <w:color w:val="auto"/>
              </w:rPr>
            </w:pPr>
            <w:r>
              <w:rPr>
                <w:rFonts w:ascii="Arial" w:cs="Arial" w:eastAsia="Arial" w:hAnsi="Arial"/>
                <w:sz w:val="17"/>
                <w:szCs w:val="17"/>
                <w:color w:val="auto"/>
              </w:rPr>
              <w:t>President and Chief Executive Officer</w:t>
            </w:r>
          </w:p>
        </w:tc>
      </w:tr>
      <w:tr>
        <w:trPr>
          <w:trHeight w:val="220"/>
        </w:trPr>
        <w:tc>
          <w:tcPr>
            <w:tcW w:w="2680" w:type="dxa"/>
            <w:vAlign w:val="bottom"/>
            <w:gridSpan w:val="2"/>
          </w:tcPr>
          <w:p>
            <w:pPr>
              <w:spacing w:after="0"/>
              <w:rPr>
                <w:sz w:val="20"/>
                <w:szCs w:val="20"/>
                <w:color w:val="auto"/>
              </w:rPr>
            </w:pPr>
            <w:r>
              <w:rPr>
                <w:rFonts w:ascii="Arial" w:cs="Arial" w:eastAsia="Arial" w:hAnsi="Arial"/>
                <w:sz w:val="17"/>
                <w:szCs w:val="17"/>
                <w:color w:val="auto"/>
              </w:rPr>
              <w:t>Stephen A. Trowbridge</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200" w:type="dxa"/>
            <w:vAlign w:val="bottom"/>
          </w:tcPr>
          <w:p>
            <w:pPr>
              <w:spacing w:after="0"/>
              <w:rPr>
                <w:sz w:val="19"/>
                <w:szCs w:val="19"/>
                <w:color w:val="auto"/>
              </w:rPr>
            </w:pPr>
          </w:p>
        </w:tc>
        <w:tc>
          <w:tcPr>
            <w:tcW w:w="4960" w:type="dxa"/>
            <w:vAlign w:val="bottom"/>
            <w:gridSpan w:val="3"/>
          </w:tcPr>
          <w:p>
            <w:pPr>
              <w:ind w:left="180"/>
              <w:spacing w:after="0"/>
              <w:rPr>
                <w:sz w:val="20"/>
                <w:szCs w:val="20"/>
                <w:color w:val="auto"/>
              </w:rPr>
            </w:pPr>
            <w:r>
              <w:rPr>
                <w:rFonts w:ascii="Arial" w:cs="Arial" w:eastAsia="Arial" w:hAnsi="Arial"/>
                <w:sz w:val="17"/>
                <w:szCs w:val="17"/>
                <w:color w:val="auto"/>
              </w:rPr>
              <w:t>Executive Vice President and Chief Financial Officer</w:t>
            </w:r>
          </w:p>
        </w:tc>
      </w:tr>
      <w:tr>
        <w:trPr>
          <w:trHeight w:val="220"/>
        </w:trPr>
        <w:tc>
          <w:tcPr>
            <w:tcW w:w="2680" w:type="dxa"/>
            <w:vAlign w:val="bottom"/>
            <w:gridSpan w:val="2"/>
          </w:tcPr>
          <w:p>
            <w:pPr>
              <w:spacing w:after="0"/>
              <w:rPr>
                <w:sz w:val="20"/>
                <w:szCs w:val="20"/>
                <w:color w:val="auto"/>
              </w:rPr>
            </w:pPr>
            <w:r>
              <w:rPr>
                <w:rFonts w:ascii="Arial" w:cs="Arial" w:eastAsia="Arial" w:hAnsi="Arial"/>
                <w:sz w:val="17"/>
                <w:szCs w:val="17"/>
                <w:color w:val="auto"/>
              </w:rPr>
              <w:t>Marna Bronfen-Moore</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54</w:t>
            </w:r>
          </w:p>
        </w:tc>
        <w:tc>
          <w:tcPr>
            <w:tcW w:w="200" w:type="dxa"/>
            <w:vAlign w:val="bottom"/>
          </w:tcPr>
          <w:p>
            <w:pPr>
              <w:spacing w:after="0"/>
              <w:rPr>
                <w:sz w:val="19"/>
                <w:szCs w:val="19"/>
                <w:color w:val="auto"/>
              </w:rPr>
            </w:pPr>
          </w:p>
        </w:tc>
        <w:tc>
          <w:tcPr>
            <w:tcW w:w="4960" w:type="dxa"/>
            <w:vAlign w:val="bottom"/>
            <w:gridSpan w:val="3"/>
          </w:tcPr>
          <w:p>
            <w:pPr>
              <w:ind w:left="180"/>
              <w:spacing w:after="0"/>
              <w:rPr>
                <w:sz w:val="20"/>
                <w:szCs w:val="20"/>
                <w:color w:val="auto"/>
              </w:rPr>
            </w:pPr>
            <w:r>
              <w:rPr>
                <w:rFonts w:ascii="Arial" w:cs="Arial" w:eastAsia="Arial" w:hAnsi="Arial"/>
                <w:sz w:val="17"/>
                <w:szCs w:val="17"/>
                <w:color w:val="auto"/>
              </w:rPr>
              <w:t>Senior Vice President, Human Resources</w:t>
            </w:r>
          </w:p>
        </w:tc>
      </w:tr>
      <w:tr>
        <w:trPr>
          <w:trHeight w:val="220"/>
        </w:trPr>
        <w:tc>
          <w:tcPr>
            <w:tcW w:w="2680" w:type="dxa"/>
            <w:vAlign w:val="bottom"/>
            <w:gridSpan w:val="2"/>
          </w:tcPr>
          <w:p>
            <w:pPr>
              <w:spacing w:after="0"/>
              <w:rPr>
                <w:sz w:val="20"/>
                <w:szCs w:val="20"/>
                <w:color w:val="auto"/>
              </w:rPr>
            </w:pPr>
            <w:r>
              <w:rPr>
                <w:rFonts w:ascii="Arial" w:cs="Arial" w:eastAsia="Arial" w:hAnsi="Arial"/>
                <w:sz w:val="17"/>
                <w:szCs w:val="17"/>
                <w:color w:val="auto"/>
              </w:rPr>
              <w:t>Chad T. Campbell</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50</w:t>
            </w:r>
          </w:p>
        </w:tc>
        <w:tc>
          <w:tcPr>
            <w:tcW w:w="200" w:type="dxa"/>
            <w:vAlign w:val="bottom"/>
          </w:tcPr>
          <w:p>
            <w:pPr>
              <w:spacing w:after="0"/>
              <w:rPr>
                <w:sz w:val="19"/>
                <w:szCs w:val="19"/>
                <w:color w:val="auto"/>
              </w:rPr>
            </w:pPr>
          </w:p>
        </w:tc>
        <w:tc>
          <w:tcPr>
            <w:tcW w:w="4960" w:type="dxa"/>
            <w:vAlign w:val="bottom"/>
            <w:gridSpan w:val="3"/>
          </w:tcPr>
          <w:p>
            <w:pPr>
              <w:ind w:left="180"/>
              <w:spacing w:after="0"/>
              <w:rPr>
                <w:sz w:val="20"/>
                <w:szCs w:val="20"/>
                <w:color w:val="auto"/>
              </w:rPr>
            </w:pPr>
            <w:r>
              <w:rPr>
                <w:rFonts w:ascii="Arial" w:cs="Arial" w:eastAsia="Arial" w:hAnsi="Arial"/>
                <w:sz w:val="17"/>
                <w:szCs w:val="17"/>
                <w:color w:val="auto"/>
              </w:rPr>
              <w:t>Senior Vice President and General Manager, Vascular Access</w:t>
            </w:r>
          </w:p>
        </w:tc>
      </w:tr>
      <w:tr>
        <w:trPr>
          <w:trHeight w:val="220"/>
        </w:trPr>
        <w:tc>
          <w:tcPr>
            <w:tcW w:w="2680" w:type="dxa"/>
            <w:vAlign w:val="bottom"/>
            <w:gridSpan w:val="2"/>
          </w:tcPr>
          <w:p>
            <w:pPr>
              <w:spacing w:after="0"/>
              <w:rPr>
                <w:sz w:val="20"/>
                <w:szCs w:val="20"/>
                <w:color w:val="auto"/>
              </w:rPr>
            </w:pPr>
            <w:r>
              <w:rPr>
                <w:rFonts w:ascii="Arial" w:cs="Arial" w:eastAsia="Arial" w:hAnsi="Arial"/>
                <w:sz w:val="17"/>
                <w:szCs w:val="17"/>
                <w:color w:val="auto"/>
              </w:rPr>
              <w:t>Scott Centea</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200" w:type="dxa"/>
            <w:vAlign w:val="bottom"/>
          </w:tcPr>
          <w:p>
            <w:pPr>
              <w:spacing w:after="0"/>
              <w:rPr>
                <w:sz w:val="19"/>
                <w:szCs w:val="19"/>
                <w:color w:val="auto"/>
              </w:rPr>
            </w:pPr>
          </w:p>
        </w:tc>
        <w:tc>
          <w:tcPr>
            <w:tcW w:w="4960" w:type="dxa"/>
            <w:vAlign w:val="bottom"/>
            <w:gridSpan w:val="3"/>
          </w:tcPr>
          <w:p>
            <w:pPr>
              <w:ind w:left="180"/>
              <w:spacing w:after="0"/>
              <w:rPr>
                <w:sz w:val="20"/>
                <w:szCs w:val="20"/>
                <w:color w:val="auto"/>
              </w:rPr>
            </w:pPr>
            <w:r>
              <w:rPr>
                <w:rFonts w:ascii="Arial" w:cs="Arial" w:eastAsia="Arial" w:hAnsi="Arial"/>
                <w:sz w:val="17"/>
                <w:szCs w:val="17"/>
                <w:color w:val="auto"/>
                <w:w w:val="90"/>
              </w:rPr>
              <w:t>Senior Vice President and General Manager, Endovascular Therapies</w:t>
            </w:r>
          </w:p>
        </w:tc>
      </w:tr>
      <w:tr>
        <w:trPr>
          <w:trHeight w:val="220"/>
        </w:trPr>
        <w:tc>
          <w:tcPr>
            <w:tcW w:w="2680" w:type="dxa"/>
            <w:vAlign w:val="bottom"/>
            <w:gridSpan w:val="2"/>
          </w:tcPr>
          <w:p>
            <w:pPr>
              <w:spacing w:after="0"/>
              <w:rPr>
                <w:sz w:val="20"/>
                <w:szCs w:val="20"/>
                <w:color w:val="auto"/>
              </w:rPr>
            </w:pPr>
            <w:r>
              <w:rPr>
                <w:rFonts w:ascii="Arial" w:cs="Arial" w:eastAsia="Arial" w:hAnsi="Arial"/>
                <w:sz w:val="17"/>
                <w:szCs w:val="17"/>
                <w:color w:val="auto"/>
              </w:rPr>
              <w:t>Benjamin H. Davis</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56</w:t>
            </w:r>
          </w:p>
        </w:tc>
        <w:tc>
          <w:tcPr>
            <w:tcW w:w="200" w:type="dxa"/>
            <w:vAlign w:val="bottom"/>
          </w:tcPr>
          <w:p>
            <w:pPr>
              <w:spacing w:after="0"/>
              <w:rPr>
                <w:sz w:val="19"/>
                <w:szCs w:val="19"/>
                <w:color w:val="auto"/>
              </w:rPr>
            </w:pPr>
          </w:p>
        </w:tc>
        <w:tc>
          <w:tcPr>
            <w:tcW w:w="4960" w:type="dxa"/>
            <w:vAlign w:val="bottom"/>
            <w:gridSpan w:val="3"/>
          </w:tcPr>
          <w:p>
            <w:pPr>
              <w:ind w:left="180"/>
              <w:spacing w:after="0"/>
              <w:rPr>
                <w:sz w:val="20"/>
                <w:szCs w:val="20"/>
                <w:color w:val="auto"/>
              </w:rPr>
            </w:pPr>
            <w:r>
              <w:rPr>
                <w:rFonts w:ascii="Arial" w:cs="Arial" w:eastAsia="Arial" w:hAnsi="Arial"/>
                <w:sz w:val="17"/>
                <w:szCs w:val="17"/>
                <w:color w:val="auto"/>
              </w:rPr>
              <w:t>Senior Vice President, Business Development</w:t>
            </w:r>
          </w:p>
        </w:tc>
      </w:tr>
      <w:tr>
        <w:trPr>
          <w:trHeight w:val="220"/>
        </w:trPr>
        <w:tc>
          <w:tcPr>
            <w:tcW w:w="2680" w:type="dxa"/>
            <w:vAlign w:val="bottom"/>
            <w:gridSpan w:val="2"/>
          </w:tcPr>
          <w:p>
            <w:pPr>
              <w:spacing w:after="0"/>
              <w:rPr>
                <w:sz w:val="20"/>
                <w:szCs w:val="20"/>
                <w:color w:val="auto"/>
              </w:rPr>
            </w:pPr>
            <w:r>
              <w:rPr>
                <w:rFonts w:ascii="Arial" w:cs="Arial" w:eastAsia="Arial" w:hAnsi="Arial"/>
                <w:sz w:val="17"/>
                <w:szCs w:val="17"/>
                <w:color w:val="auto"/>
              </w:rPr>
              <w:t>David D. Helsel</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200" w:type="dxa"/>
            <w:vAlign w:val="bottom"/>
          </w:tcPr>
          <w:p>
            <w:pPr>
              <w:spacing w:after="0"/>
              <w:rPr>
                <w:sz w:val="19"/>
                <w:szCs w:val="19"/>
                <w:color w:val="auto"/>
              </w:rPr>
            </w:pPr>
          </w:p>
        </w:tc>
        <w:tc>
          <w:tcPr>
            <w:tcW w:w="4960" w:type="dxa"/>
            <w:vAlign w:val="bottom"/>
            <w:gridSpan w:val="3"/>
          </w:tcPr>
          <w:p>
            <w:pPr>
              <w:ind w:left="180"/>
              <w:spacing w:after="0"/>
              <w:rPr>
                <w:sz w:val="20"/>
                <w:szCs w:val="20"/>
                <w:color w:val="auto"/>
              </w:rPr>
            </w:pPr>
            <w:r>
              <w:rPr>
                <w:rFonts w:ascii="Arial" w:cs="Arial" w:eastAsia="Arial" w:hAnsi="Arial"/>
                <w:sz w:val="17"/>
                <w:szCs w:val="17"/>
                <w:color w:val="auto"/>
              </w:rPr>
              <w:t>Senior Vice President, Global Operations</w:t>
            </w:r>
          </w:p>
        </w:tc>
      </w:tr>
      <w:tr>
        <w:trPr>
          <w:trHeight w:val="220"/>
        </w:trPr>
        <w:tc>
          <w:tcPr>
            <w:tcW w:w="2680" w:type="dxa"/>
            <w:vAlign w:val="bottom"/>
            <w:gridSpan w:val="2"/>
          </w:tcPr>
          <w:p>
            <w:pPr>
              <w:spacing w:after="0"/>
              <w:rPr>
                <w:sz w:val="20"/>
                <w:szCs w:val="20"/>
                <w:color w:val="auto"/>
              </w:rPr>
            </w:pPr>
            <w:r>
              <w:rPr>
                <w:rFonts w:ascii="Arial" w:cs="Arial" w:eastAsia="Arial" w:hAnsi="Arial"/>
                <w:sz w:val="17"/>
                <w:szCs w:val="17"/>
                <w:color w:val="auto"/>
              </w:rPr>
              <w:t>Warren G. Nighan</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52</w:t>
            </w:r>
          </w:p>
        </w:tc>
        <w:tc>
          <w:tcPr>
            <w:tcW w:w="200" w:type="dxa"/>
            <w:vAlign w:val="bottom"/>
          </w:tcPr>
          <w:p>
            <w:pPr>
              <w:spacing w:after="0"/>
              <w:rPr>
                <w:sz w:val="19"/>
                <w:szCs w:val="19"/>
                <w:color w:val="auto"/>
              </w:rPr>
            </w:pPr>
          </w:p>
        </w:tc>
        <w:tc>
          <w:tcPr>
            <w:tcW w:w="4960" w:type="dxa"/>
            <w:vAlign w:val="bottom"/>
            <w:gridSpan w:val="3"/>
          </w:tcPr>
          <w:p>
            <w:pPr>
              <w:ind w:left="180"/>
              <w:spacing w:after="0"/>
              <w:rPr>
                <w:sz w:val="20"/>
                <w:szCs w:val="20"/>
                <w:color w:val="auto"/>
              </w:rPr>
            </w:pPr>
            <w:r>
              <w:rPr>
                <w:rFonts w:ascii="Arial" w:cs="Arial" w:eastAsia="Arial" w:hAnsi="Arial"/>
                <w:sz w:val="17"/>
                <w:szCs w:val="17"/>
                <w:color w:val="auto"/>
              </w:rPr>
              <w:t>Senior Vice President, Quality and Regulatory Affairs</w:t>
            </w:r>
          </w:p>
        </w:tc>
      </w:tr>
      <w:tr>
        <w:trPr>
          <w:trHeight w:val="220"/>
        </w:trPr>
        <w:tc>
          <w:tcPr>
            <w:tcW w:w="2680" w:type="dxa"/>
            <w:vAlign w:val="bottom"/>
            <w:gridSpan w:val="2"/>
          </w:tcPr>
          <w:p>
            <w:pPr>
              <w:spacing w:after="0"/>
              <w:rPr>
                <w:sz w:val="20"/>
                <w:szCs w:val="20"/>
                <w:color w:val="auto"/>
              </w:rPr>
            </w:pPr>
            <w:r>
              <w:rPr>
                <w:rFonts w:ascii="Arial" w:cs="Arial" w:eastAsia="Arial" w:hAnsi="Arial"/>
                <w:sz w:val="17"/>
                <w:szCs w:val="17"/>
                <w:color w:val="auto"/>
              </w:rPr>
              <w:t>Laura Piccinini</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200" w:type="dxa"/>
            <w:vAlign w:val="bottom"/>
          </w:tcPr>
          <w:p>
            <w:pPr>
              <w:spacing w:after="0"/>
              <w:rPr>
                <w:sz w:val="19"/>
                <w:szCs w:val="19"/>
                <w:color w:val="auto"/>
              </w:rPr>
            </w:pPr>
          </w:p>
        </w:tc>
        <w:tc>
          <w:tcPr>
            <w:tcW w:w="4960" w:type="dxa"/>
            <w:vAlign w:val="bottom"/>
            <w:gridSpan w:val="3"/>
          </w:tcPr>
          <w:p>
            <w:pPr>
              <w:ind w:left="180"/>
              <w:spacing w:after="0"/>
              <w:rPr>
                <w:sz w:val="20"/>
                <w:szCs w:val="20"/>
                <w:color w:val="auto"/>
              </w:rPr>
            </w:pPr>
            <w:r>
              <w:rPr>
                <w:rFonts w:ascii="Arial" w:cs="Arial" w:eastAsia="Arial" w:hAnsi="Arial"/>
                <w:sz w:val="17"/>
                <w:szCs w:val="17"/>
                <w:color w:val="auto"/>
              </w:rPr>
              <w:t>Senior Vice President and General Manager, International</w:t>
            </w:r>
          </w:p>
        </w:tc>
      </w:tr>
      <w:tr>
        <w:trPr>
          <w:trHeight w:val="220"/>
        </w:trPr>
        <w:tc>
          <w:tcPr>
            <w:tcW w:w="2680" w:type="dxa"/>
            <w:vAlign w:val="bottom"/>
            <w:gridSpan w:val="2"/>
          </w:tcPr>
          <w:p>
            <w:pPr>
              <w:spacing w:after="0"/>
              <w:rPr>
                <w:sz w:val="20"/>
                <w:szCs w:val="20"/>
                <w:color w:val="auto"/>
              </w:rPr>
            </w:pPr>
            <w:r>
              <w:rPr>
                <w:rFonts w:ascii="Arial" w:cs="Arial" w:eastAsia="Arial" w:hAnsi="Arial"/>
                <w:sz w:val="17"/>
                <w:szCs w:val="17"/>
                <w:color w:val="auto"/>
              </w:rPr>
              <w:t>Richard Rosenzweig</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54</w:t>
            </w:r>
          </w:p>
        </w:tc>
        <w:tc>
          <w:tcPr>
            <w:tcW w:w="200" w:type="dxa"/>
            <w:vAlign w:val="bottom"/>
          </w:tcPr>
          <w:p>
            <w:pPr>
              <w:spacing w:after="0"/>
              <w:rPr>
                <w:sz w:val="19"/>
                <w:szCs w:val="19"/>
                <w:color w:val="auto"/>
              </w:rPr>
            </w:pPr>
          </w:p>
        </w:tc>
        <w:tc>
          <w:tcPr>
            <w:tcW w:w="4960" w:type="dxa"/>
            <w:vAlign w:val="bottom"/>
            <w:gridSpan w:val="3"/>
          </w:tcPr>
          <w:p>
            <w:pPr>
              <w:ind w:left="180"/>
              <w:spacing w:after="0"/>
              <w:rPr>
                <w:sz w:val="20"/>
                <w:szCs w:val="20"/>
                <w:color w:val="auto"/>
              </w:rPr>
            </w:pPr>
            <w:r>
              <w:rPr>
                <w:rFonts w:ascii="Arial" w:cs="Arial" w:eastAsia="Arial" w:hAnsi="Arial"/>
                <w:sz w:val="17"/>
                <w:szCs w:val="17"/>
                <w:color w:val="auto"/>
              </w:rPr>
              <w:t>Senior Vice President, General Counsel and Secretary</w:t>
            </w:r>
          </w:p>
        </w:tc>
      </w:tr>
    </w:tbl>
    <w:p>
      <w:pPr>
        <w:spacing w:after="0" w:line="234" w:lineRule="exact"/>
        <w:rPr>
          <w:sz w:val="20"/>
          <w:szCs w:val="20"/>
          <w:color w:val="auto"/>
        </w:rPr>
      </w:pPr>
    </w:p>
    <w:p>
      <w:pPr>
        <w:ind w:firstLine="373"/>
        <w:spacing w:after="0" w:line="277" w:lineRule="auto"/>
        <w:rPr>
          <w:sz w:val="20"/>
          <w:szCs w:val="20"/>
          <w:color w:val="auto"/>
        </w:rPr>
      </w:pPr>
      <w:r>
        <w:rPr>
          <w:rFonts w:ascii="Arial" w:cs="Arial" w:eastAsia="Arial" w:hAnsi="Arial"/>
          <w:sz w:val="16"/>
          <w:szCs w:val="16"/>
          <w:i w:val="1"/>
          <w:iCs w:val="1"/>
          <w:color w:val="auto"/>
        </w:rPr>
        <w:t xml:space="preserve">James C. Clemmer </w:t>
      </w:r>
      <w:r>
        <w:rPr>
          <w:rFonts w:ascii="Arial" w:cs="Arial" w:eastAsia="Arial" w:hAnsi="Arial"/>
          <w:sz w:val="16"/>
          <w:szCs w:val="16"/>
          <w:color w:val="auto"/>
        </w:rPr>
        <w:t>became our President and Chief Executive Officer in April 2016. Prior to joining AngioDynamics, Mr. Clemmer served as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$1.8 billion medical supplies segment at Covidien plc. where he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(which was acquired by Tyco International in 1994), where he managed the U.S. business across five divisions and built the strategic plan for the medical supplies segment before Covidien was spun off from Tyco. Mr. Clemmer began his career at Sage Products, Inc. Mr. Clemmer currently serves on the Board of Directors for AngioDynamics and previously served on the Board of Directors for Lantheus Medical Imaging. Mr. Clemmer is a graduate of the Massachusetts College of Liberal Arts, where he served as interim president from August 2015 until March 2016.</w:t>
      </w:r>
    </w:p>
    <w:p>
      <w:pPr>
        <w:spacing w:after="0" w:line="116" w:lineRule="exact"/>
        <w:rPr>
          <w:sz w:val="20"/>
          <w:szCs w:val="20"/>
          <w:color w:val="auto"/>
        </w:rPr>
      </w:pPr>
    </w:p>
    <w:p>
      <w:pPr>
        <w:ind w:right="200" w:firstLine="373"/>
        <w:spacing w:after="0" w:line="299" w:lineRule="auto"/>
        <w:rPr>
          <w:sz w:val="20"/>
          <w:szCs w:val="20"/>
          <w:color w:val="auto"/>
        </w:rPr>
      </w:pPr>
      <w:r>
        <w:rPr>
          <w:rFonts w:ascii="Arial" w:cs="Arial" w:eastAsia="Arial" w:hAnsi="Arial"/>
          <w:sz w:val="15"/>
          <w:szCs w:val="15"/>
          <w:i w:val="1"/>
          <w:iCs w:val="1"/>
          <w:color w:val="auto"/>
        </w:rPr>
        <w:t xml:space="preserve">Stephen A. Trowbridge </w:t>
      </w:r>
      <w:r>
        <w:rPr>
          <w:rFonts w:ascii="Arial" w:cs="Arial" w:eastAsia="Arial" w:hAnsi="Arial"/>
          <w:sz w:val="15"/>
          <w:szCs w:val="15"/>
          <w:color w:val="auto"/>
        </w:rPr>
        <w:t>was appointed Executive Vice President and Chief Financial Officer in February 2020, having served as Interim Chief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since October 2019. Prior to his appointment as Chief Financial Officer, he served as the Company’s Senior Vice President and General Counsel. He joined AngioDynamics in June 2008 as Corporate Counsel. In addition to serving as the Company’s CFO and managing the finance functions, Mr. Trowbridge also managed the Legal function on an interim basis until January 30, 2021. Prior to AngioDynamics, Mr. Trowbridge served as Corporate Counsel at Philips Healthcare and Intermagnetics General Corporation. Mr. Trowbridge began his career with Cadwalader, Wickersham &amp; Taft LLP in the firm’s Mergers and Acquisitions and Securities Group. Mr. Trowbridge received a Bachelor of Science in Science and Technology Studies from Rensselaer Polytechnic Institute, a Juris Doctor from the University of Pennsylvania Law School, and a Master of Business Administration from Duke University’s Fuqua School of Business.</w:t>
      </w:r>
    </w:p>
    <w:p>
      <w:pPr>
        <w:spacing w:after="0" w:line="103" w:lineRule="exact"/>
        <w:rPr>
          <w:sz w:val="20"/>
          <w:szCs w:val="20"/>
          <w:color w:val="auto"/>
        </w:rPr>
      </w:pPr>
    </w:p>
    <w:p>
      <w:pPr>
        <w:ind w:right="20" w:firstLine="373"/>
        <w:spacing w:after="0" w:line="299" w:lineRule="auto"/>
        <w:rPr>
          <w:sz w:val="20"/>
          <w:szCs w:val="20"/>
          <w:color w:val="auto"/>
        </w:rPr>
      </w:pPr>
      <w:r>
        <w:rPr>
          <w:rFonts w:ascii="Arial" w:cs="Arial" w:eastAsia="Arial" w:hAnsi="Arial"/>
          <w:sz w:val="15"/>
          <w:szCs w:val="15"/>
          <w:i w:val="1"/>
          <w:iCs w:val="1"/>
          <w:color w:val="auto"/>
        </w:rPr>
        <w:t xml:space="preserve">Marna I. Bronfen-Moore </w:t>
      </w:r>
      <w:r>
        <w:rPr>
          <w:rFonts w:ascii="Arial" w:cs="Arial" w:eastAsia="Arial" w:hAnsi="Arial"/>
          <w:sz w:val="15"/>
          <w:szCs w:val="15"/>
          <w:color w:val="auto"/>
        </w:rPr>
        <w:t>joined AngioDynamics as the Senior Vice President of Human Resources in September 2019 bringing with her over 20 years of</w:t>
      </w:r>
      <w:r>
        <w:rPr>
          <w:rFonts w:ascii="Arial" w:cs="Arial" w:eastAsia="Arial" w:hAnsi="Arial"/>
          <w:sz w:val="15"/>
          <w:szCs w:val="15"/>
          <w:i w:val="1"/>
          <w:iCs w:val="1"/>
          <w:color w:val="auto"/>
        </w:rPr>
        <w:t xml:space="preserve"> </w:t>
      </w:r>
      <w:r>
        <w:rPr>
          <w:rFonts w:ascii="Arial" w:cs="Arial" w:eastAsia="Arial" w:hAnsi="Arial"/>
          <w:sz w:val="15"/>
          <w:szCs w:val="15"/>
          <w:color w:val="auto"/>
        </w:rPr>
        <w:t>experience in the medical device industry. Prior to joining AngioDynamics, Ms. Bronfen-Moore spent almost three years at Hologic as the Vice President, Global Human Resources, for both the Corporate Functions and Asia Pacific. Before Hologic, Ms. Bronfen-Moore served as Vice President, Human Resources for Global Operations, Quality, and Regulatory at Haemonetics, Director, Human Resources for Boston Scientific, and in various leadership roles of increasing responsibility at C. R. Bard, Inc. Ms. Bronfen-Moore began her professional career as the Head of Human Resources for Burrows Paper Corporation. Ms. Bronfen-Moore holds a Bachelor of Arts degree from Purdue University in Psychology, Master of Science in Industrial/Organizational Psychology from Rensselaer Polytechnic Institute, and completed all of the coursework requirements for a PhD in Management from Rensselaer Polytechnic Institute.</w:t>
      </w:r>
    </w:p>
    <w:p>
      <w:pPr>
        <w:spacing w:after="0" w:line="103" w:lineRule="exact"/>
        <w:rPr>
          <w:sz w:val="20"/>
          <w:szCs w:val="20"/>
          <w:color w:val="auto"/>
        </w:rPr>
      </w:pPr>
    </w:p>
    <w:p>
      <w:pPr>
        <w:ind w:right="20" w:firstLine="373"/>
        <w:spacing w:after="0" w:line="260" w:lineRule="auto"/>
        <w:rPr>
          <w:sz w:val="20"/>
          <w:szCs w:val="20"/>
          <w:color w:val="auto"/>
        </w:rPr>
      </w:pPr>
      <w:r>
        <w:rPr>
          <w:rFonts w:ascii="Arial" w:cs="Arial" w:eastAsia="Arial" w:hAnsi="Arial"/>
          <w:sz w:val="17"/>
          <w:szCs w:val="17"/>
          <w:i w:val="1"/>
          <w:iCs w:val="1"/>
          <w:color w:val="auto"/>
        </w:rPr>
        <w:t xml:space="preserve">Chad T. Campbell </w:t>
      </w:r>
      <w:r>
        <w:rPr>
          <w:rFonts w:ascii="Arial" w:cs="Arial" w:eastAsia="Arial" w:hAnsi="Arial"/>
          <w:sz w:val="17"/>
          <w:szCs w:val="17"/>
          <w:color w:val="auto"/>
        </w:rPr>
        <w:t>joined AngioDynamics in May 2016 as the Senior Vice President and General Manager for the Vascular Access Global Business Unit. In</w:t>
      </w:r>
      <w:r>
        <w:rPr>
          <w:rFonts w:ascii="Arial" w:cs="Arial" w:eastAsia="Arial" w:hAnsi="Arial"/>
          <w:sz w:val="17"/>
          <w:szCs w:val="17"/>
          <w:i w:val="1"/>
          <w:iCs w:val="1"/>
          <w:color w:val="auto"/>
        </w:rPr>
        <w:t xml:space="preserve"> </w:t>
      </w:r>
      <w:r>
        <w:rPr>
          <w:rFonts w:ascii="Arial" w:cs="Arial" w:eastAsia="Arial" w:hAnsi="Arial"/>
          <w:sz w:val="17"/>
          <w:szCs w:val="17"/>
          <w:color w:val="auto"/>
        </w:rPr>
        <w:t>his role, Mr. Campbell oversees research and development and global commercialization of the Global Business Unit’s portfolio. Mr. Campbell joined AngioDynamics from Medtronic where he served as the Vice President of Marketing for the Patient Care and Safety business after serving as the Vice President of Marketing for the SharpSafety business at Covidien (Medtronic). During his tenure at Covidien, Mr. Campbell also held roles including Director of Marketing, Area Vice President of Sales, Region Manager, Product Manager and Account Manager. Mr. Campbell received a Bachelor of Arts from the University of Kentucky.</w:t>
      </w:r>
    </w:p>
    <w:p>
      <w:pPr>
        <w:spacing w:after="0" w:line="130" w:lineRule="exact"/>
        <w:rPr>
          <w:sz w:val="20"/>
          <w:szCs w:val="20"/>
          <w:color w:val="auto"/>
        </w:rPr>
      </w:pPr>
    </w:p>
    <w:p>
      <w:pPr>
        <w:ind w:right="180" w:firstLine="373"/>
        <w:spacing w:after="0" w:line="284" w:lineRule="auto"/>
        <w:rPr>
          <w:sz w:val="20"/>
          <w:szCs w:val="20"/>
          <w:color w:val="auto"/>
        </w:rPr>
      </w:pPr>
      <w:r>
        <w:rPr>
          <w:rFonts w:ascii="Arial" w:cs="Arial" w:eastAsia="Arial" w:hAnsi="Arial"/>
          <w:sz w:val="17"/>
          <w:szCs w:val="17"/>
          <w:i w:val="1"/>
          <w:iCs w:val="1"/>
          <w:color w:val="auto"/>
        </w:rPr>
        <w:t xml:space="preserve">Scott Centea </w:t>
      </w:r>
      <w:r>
        <w:rPr>
          <w:rFonts w:ascii="Arial" w:cs="Arial" w:eastAsia="Arial" w:hAnsi="Arial"/>
          <w:sz w:val="17"/>
          <w:szCs w:val="17"/>
          <w:color w:val="auto"/>
        </w:rPr>
        <w:t>joined AngioDynamics in 2005 as a sales representative serving the Carolinas. During his tenure, he has served in a variety of positions with</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responsibility including VP of Corporate Accounts where he was in charge of</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bookmarkStart w:id="15" w:name="page16"/>
    <w:bookmarkEnd w:id="15"/>
    <w:p>
      <w:pPr>
        <w:ind w:right="200"/>
        <w:spacing w:after="0" w:line="264" w:lineRule="auto"/>
        <w:rPr>
          <w:sz w:val="20"/>
          <w:szCs w:val="20"/>
          <w:color w:val="auto"/>
        </w:rPr>
      </w:pPr>
      <w:r>
        <w:rPr>
          <w:rFonts w:ascii="Arial" w:cs="Arial" w:eastAsia="Arial" w:hAnsi="Arial"/>
          <w:sz w:val="17"/>
          <w:szCs w:val="17"/>
          <w:color w:val="auto"/>
        </w:rPr>
        <w:t>leading a team of individuals to execute Health System Purchasing Contracts. From there Mr. Centea assumed the role of VP of Marketing for Endovascular Therapies, before being promoted into his most recent and current role as Sr. Vice President/General Manager of Endovascular Therapies and Peripheral Artery Disease. Mr. Centea currently holds board positions with the American Venous Forum (AVF) and the Capital District American Heart Association. Mr. Centea holds a Bachelor of Arts in Communications from Newberry College.</w:t>
      </w:r>
    </w:p>
    <w:p>
      <w:pPr>
        <w:spacing w:after="0" w:line="125" w:lineRule="exact"/>
        <w:rPr>
          <w:sz w:val="20"/>
          <w:szCs w:val="20"/>
          <w:color w:val="auto"/>
        </w:rPr>
      </w:pPr>
    </w:p>
    <w:p>
      <w:pPr>
        <w:ind w:firstLine="373"/>
        <w:spacing w:after="0" w:line="310" w:lineRule="auto"/>
        <w:rPr>
          <w:sz w:val="20"/>
          <w:szCs w:val="20"/>
          <w:color w:val="auto"/>
        </w:rPr>
      </w:pPr>
      <w:r>
        <w:rPr>
          <w:rFonts w:ascii="Arial" w:cs="Arial" w:eastAsia="Arial" w:hAnsi="Arial"/>
          <w:sz w:val="15"/>
          <w:szCs w:val="15"/>
          <w:i w:val="1"/>
          <w:iCs w:val="1"/>
          <w:color w:val="auto"/>
        </w:rPr>
        <w:t xml:space="preserve">Benjamin H. Davis </w:t>
      </w:r>
      <w:r>
        <w:rPr>
          <w:rFonts w:ascii="Arial" w:cs="Arial" w:eastAsia="Arial" w:hAnsi="Arial"/>
          <w:sz w:val="15"/>
          <w:szCs w:val="15"/>
          <w:color w:val="auto"/>
        </w:rPr>
        <w:t>joined AngioDynamics as Senior Vice President of Business Development in March 2015. Prior to joining AngioDynamics, Mr. Davis</w:t>
      </w:r>
      <w:r>
        <w:rPr>
          <w:rFonts w:ascii="Arial" w:cs="Arial" w:eastAsia="Arial" w:hAnsi="Arial"/>
          <w:sz w:val="15"/>
          <w:szCs w:val="15"/>
          <w:i w:val="1"/>
          <w:iCs w:val="1"/>
          <w:color w:val="auto"/>
        </w:rPr>
        <w:t xml:space="preserve"> </w:t>
      </w:r>
      <w:r>
        <w:rPr>
          <w:rFonts w:ascii="Arial" w:cs="Arial" w:eastAsia="Arial" w:hAnsi="Arial"/>
          <w:sz w:val="15"/>
          <w:szCs w:val="15"/>
          <w:color w:val="auto"/>
        </w:rPr>
        <w:t>most recently was the Vice President of Business Integration at C. R. Bard, Inc. where he also served as the Divisional Head of Business Development from 2004-2013. Before joining C. R. Bard, Inc., Mr. Davis held the position of Chief Financial Officer and Treasurer at Axya Medical Inc. He holds a Bachelor of Science in Business Administration from Bryant College and Master in Business Administration in Finance from Bentley University Graduate School of Business.</w:t>
      </w:r>
    </w:p>
    <w:p>
      <w:pPr>
        <w:spacing w:after="0" w:line="94" w:lineRule="exact"/>
        <w:rPr>
          <w:sz w:val="20"/>
          <w:szCs w:val="20"/>
          <w:color w:val="auto"/>
        </w:rPr>
      </w:pPr>
    </w:p>
    <w:p>
      <w:pPr>
        <w:ind w:right="20" w:firstLine="373"/>
        <w:spacing w:after="0" w:line="260" w:lineRule="auto"/>
        <w:rPr>
          <w:sz w:val="20"/>
          <w:szCs w:val="20"/>
          <w:color w:val="auto"/>
        </w:rPr>
      </w:pPr>
      <w:r>
        <w:rPr>
          <w:rFonts w:ascii="Arial" w:cs="Arial" w:eastAsia="Arial" w:hAnsi="Arial"/>
          <w:sz w:val="17"/>
          <w:szCs w:val="17"/>
          <w:i w:val="1"/>
          <w:iCs w:val="1"/>
          <w:color w:val="auto"/>
        </w:rPr>
        <w:t xml:space="preserve">David D. Helsel </w:t>
      </w:r>
      <w:r>
        <w:rPr>
          <w:rFonts w:ascii="Arial" w:cs="Arial" w:eastAsia="Arial" w:hAnsi="Arial"/>
          <w:sz w:val="17"/>
          <w:szCs w:val="17"/>
          <w:color w:val="auto"/>
        </w:rPr>
        <w:t>currently serves as Senior Vice President of Global Operations and has been with AngioDynamics since December 2017. Prior to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AngioDynamics he was Senior Vice President, Global Supply Chain, at Hill-Rom Holdings for almost three years. Before that, Mr. Helsel worked at Haemonetics for three years where he served as Executive Vice President for Global Manufacturing and also spent almost nineteen years in various positions with increasing responsibility at Covidien, including Vice President of Operations for the Surgical Solutions Division and Medical Supplies Division. An expert in Lean and Six Sigma, Mr. Helsel also served as Global Director of Operational Excellence, supporting sixty-three manufacturing facilities. Mr. Helsel holds a Bachelor of Science in Mechanical Engineering from LeTourneau University.</w:t>
      </w:r>
    </w:p>
    <w:p>
      <w:pPr>
        <w:spacing w:after="0" w:line="130" w:lineRule="exact"/>
        <w:rPr>
          <w:sz w:val="20"/>
          <w:szCs w:val="20"/>
          <w:color w:val="auto"/>
        </w:rPr>
      </w:pPr>
    </w:p>
    <w:p>
      <w:pPr>
        <w:ind w:firstLine="373"/>
        <w:spacing w:after="0" w:line="260" w:lineRule="auto"/>
        <w:rPr>
          <w:sz w:val="20"/>
          <w:szCs w:val="20"/>
          <w:color w:val="auto"/>
        </w:rPr>
      </w:pPr>
      <w:r>
        <w:rPr>
          <w:rFonts w:ascii="Arial" w:cs="Arial" w:eastAsia="Arial" w:hAnsi="Arial"/>
          <w:sz w:val="17"/>
          <w:szCs w:val="17"/>
          <w:i w:val="1"/>
          <w:iCs w:val="1"/>
          <w:color w:val="auto"/>
        </w:rPr>
        <w:t xml:space="preserve">Warren G. Nighan </w:t>
      </w:r>
      <w:r>
        <w:rPr>
          <w:rFonts w:ascii="Arial" w:cs="Arial" w:eastAsia="Arial" w:hAnsi="Arial"/>
          <w:sz w:val="17"/>
          <w:szCs w:val="17"/>
          <w:color w:val="auto"/>
        </w:rPr>
        <w:t>joined AngioDynamics as the Senior Vice President of Quality and Regulatory Affairs in April 2017. Before joining AngioDynamics, Mr.</w:t>
      </w:r>
      <w:r>
        <w:rPr>
          <w:rFonts w:ascii="Arial" w:cs="Arial" w:eastAsia="Arial" w:hAnsi="Arial"/>
          <w:sz w:val="17"/>
          <w:szCs w:val="17"/>
          <w:i w:val="1"/>
          <w:iCs w:val="1"/>
          <w:color w:val="auto"/>
        </w:rPr>
        <w:t xml:space="preserve"> </w:t>
      </w:r>
      <w:r>
        <w:rPr>
          <w:rFonts w:ascii="Arial" w:cs="Arial" w:eastAsia="Arial" w:hAnsi="Arial"/>
          <w:sz w:val="17"/>
          <w:szCs w:val="17"/>
          <w:color w:val="auto"/>
        </w:rPr>
        <w:t>Nighan was a quality and regulatory consultant to clients in FDA-regulated industries, specializing in execution and management of quality systems implementation and remediation. Previously, Mr. Nighan served as the Executive Vice President of Global Clinical, Quality Affairs and Regulatory Affairs at Haemonetics Corporation, Vice President of Quality/Regulatory/Clinical/Technical Services at St. Jude Medical’s Atrial Fibrillation Division, and Corporate Vice President of Quality/Compliance at Tyco Healthcare/Covidien (Medtronic). Mr. Nighan earned a Bachelor and Master of Science in Nursing from Northeastern University’s Bouvé College of Health Sciences.</w:t>
      </w:r>
    </w:p>
    <w:p>
      <w:pPr>
        <w:spacing w:after="0" w:line="130" w:lineRule="exact"/>
        <w:rPr>
          <w:sz w:val="20"/>
          <w:szCs w:val="20"/>
          <w:color w:val="auto"/>
        </w:rPr>
      </w:pPr>
    </w:p>
    <w:p>
      <w:pPr>
        <w:ind w:firstLine="373"/>
        <w:spacing w:after="0" w:line="279" w:lineRule="auto"/>
        <w:rPr>
          <w:sz w:val="20"/>
          <w:szCs w:val="20"/>
          <w:color w:val="auto"/>
        </w:rPr>
      </w:pPr>
      <w:r>
        <w:rPr>
          <w:rFonts w:ascii="Arial" w:cs="Arial" w:eastAsia="Arial" w:hAnsi="Arial"/>
          <w:sz w:val="16"/>
          <w:szCs w:val="16"/>
          <w:i w:val="1"/>
          <w:iCs w:val="1"/>
          <w:color w:val="auto"/>
        </w:rPr>
        <w:t xml:space="preserve">Laura Piccinini </w:t>
      </w:r>
      <w:r>
        <w:rPr>
          <w:rFonts w:ascii="Arial" w:cs="Arial" w:eastAsia="Arial" w:hAnsi="Arial"/>
          <w:sz w:val="16"/>
          <w:szCs w:val="16"/>
          <w:color w:val="auto"/>
        </w:rPr>
        <w:t>joined AngioDynamics as Senior Vice President and General Manager for International in June 2021. Ms. Piccinini brings more than 25</w:t>
      </w:r>
      <w:r>
        <w:rPr>
          <w:rFonts w:ascii="Arial" w:cs="Arial" w:eastAsia="Arial" w:hAnsi="Arial"/>
          <w:sz w:val="16"/>
          <w:szCs w:val="16"/>
          <w:i w:val="1"/>
          <w:iCs w:val="1"/>
          <w:color w:val="auto"/>
        </w:rPr>
        <w:t xml:space="preserve"> </w:t>
      </w:r>
      <w:r>
        <w:rPr>
          <w:rFonts w:ascii="Arial" w:cs="Arial" w:eastAsia="Arial" w:hAnsi="Arial"/>
          <w:sz w:val="16"/>
          <w:szCs w:val="16"/>
          <w:color w:val="auto"/>
        </w:rPr>
        <w:t>years of experience in leadership roles in the Medical Device industry, with an extensive background in the field of respiratory and surgical care. From June 2020 to June 2021, she served as CEO and a member of the Board of Directors for Respiratory Motion, Inc. Prior to that, from 2017 to 2020, she served as Global Head of Commercial Operations for the Implants business unit at Nobel Biocare Systems, then a Danaher subsidiary now part of Envista Holdings. From 2015 to 2017, Ms. Piccinini served as President of EMEA at Covidien and prior to that at Stryker. Ms. Piccinini is a graduate of the Parma University of Medicine, where she received a nursing degree with specializations in ICU, Anesthesia, and First Aid as a Helicopter Flight Coordinator.</w:t>
      </w:r>
    </w:p>
    <w:p>
      <w:pPr>
        <w:spacing w:after="0" w:line="117" w:lineRule="exact"/>
        <w:rPr>
          <w:sz w:val="20"/>
          <w:szCs w:val="20"/>
          <w:color w:val="auto"/>
        </w:rPr>
      </w:pPr>
    </w:p>
    <w:p>
      <w:pPr>
        <w:ind w:right="20" w:firstLine="373"/>
        <w:spacing w:after="0" w:line="258" w:lineRule="auto"/>
        <w:rPr>
          <w:sz w:val="20"/>
          <w:szCs w:val="20"/>
          <w:color w:val="auto"/>
        </w:rPr>
      </w:pPr>
      <w:r>
        <w:rPr>
          <w:rFonts w:ascii="Arial" w:cs="Arial" w:eastAsia="Arial" w:hAnsi="Arial"/>
          <w:sz w:val="17"/>
          <w:szCs w:val="17"/>
          <w:i w:val="1"/>
          <w:iCs w:val="1"/>
          <w:color w:val="auto"/>
        </w:rPr>
        <w:t>Richard C. Rosenzwei</w:t>
      </w:r>
      <w:r>
        <w:rPr>
          <w:rFonts w:ascii="Arial" w:cs="Arial" w:eastAsia="Arial" w:hAnsi="Arial"/>
          <w:sz w:val="17"/>
          <w:szCs w:val="17"/>
          <w:color w:val="auto"/>
        </w:rPr>
        <w:t>g joined AngioDynamics as Senior Vice President General Counsel and Secretary in February 2021. Mr. Rosenzweig brings to his role</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20 years of experience in executive leadership providing legal guidance, governance and compliance oversight, and strategic business direction to global medical device and health care companies, including C. R. Bard for more than ten years where he most recently served as Vice President, Law, and Assistant Secretary, Phibro Animal Health Corporation and Impath, Inc. as Senior Vice President, General Counsel and Secretary, and Johnson &amp; Johnson as Director, Licensing and Acquisitions. Prior to AngioDynamics, Mr. Rosenzweig advised companies in the medical device industry as an independent consultant on corporate development initiatives. Mr. Rosenzweig received his Bachelor of Arts in Psychology from Brandeis University and his Juris Doctor from Boston University School of Law. He is an advisor to TEAMFund, an impact investment fund, serves as Vice Chair and Chair-Elect of the Director’s Leadership Council of the Rutgers Cancer Institute of New Jersey, and is a member of the Director’s Leadership Council for Rutgers Biomedical and Health Sciences, an academic medical center.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4" w:lineRule="exact"/>
        <w:rPr>
          <w:sz w:val="20"/>
          <w:szCs w:val="20"/>
          <w:color w:val="auto"/>
        </w:rPr>
      </w:pPr>
    </w:p>
    <w:p>
      <w:pPr>
        <w:ind w:right="1400" w:firstLine="373"/>
        <w:spacing w:after="0" w:line="284" w:lineRule="auto"/>
        <w:rPr>
          <w:sz w:val="20"/>
          <w:szCs w:val="20"/>
          <w:color w:val="auto"/>
        </w:rPr>
      </w:pPr>
      <w:r>
        <w:rPr>
          <w:rFonts w:ascii="Arial" w:cs="Arial" w:eastAsia="Arial" w:hAnsi="Arial"/>
          <w:sz w:val="17"/>
          <w:szCs w:val="17"/>
          <w:color w:val="auto"/>
        </w:rPr>
        <w:t xml:space="preserve">Our corporate headquarters is located at 14 Plaza Drive, Latham, New York 12110. Our phone number is (518) 795-1400. Our website is </w:t>
      </w:r>
      <w:r>
        <w:rPr>
          <w:rFonts w:ascii="Arial" w:cs="Arial" w:eastAsia="Arial" w:hAnsi="Arial"/>
          <w:sz w:val="17"/>
          <w:szCs w:val="17"/>
          <w:i w:val="1"/>
          <w:iCs w:val="1"/>
          <w:color w:val="auto"/>
        </w:rPr>
        <w:t>www.angiodynamics.com</w:t>
      </w:r>
      <w:r>
        <w:rPr>
          <w:rFonts w:ascii="Arial" w:cs="Arial" w:eastAsia="Arial" w:hAnsi="Arial"/>
          <w:sz w:val="17"/>
          <w:szCs w:val="17"/>
          <w:color w:val="auto"/>
        </w:rPr>
        <w:t>.</w:t>
      </w:r>
    </w:p>
    <w:p>
      <w:pPr>
        <w:spacing w:after="0" w:line="108" w:lineRule="exact"/>
        <w:rPr>
          <w:sz w:val="20"/>
          <w:szCs w:val="20"/>
          <w:color w:val="auto"/>
        </w:rPr>
      </w:pPr>
    </w:p>
    <w:p>
      <w:pPr>
        <w:ind w:right="180" w:firstLine="373"/>
        <w:spacing w:after="0" w:line="279" w:lineRule="auto"/>
        <w:rPr>
          <w:sz w:val="20"/>
          <w:szCs w:val="20"/>
          <w:color w:val="auto"/>
        </w:rPr>
      </w:pPr>
      <w:r>
        <w:rPr>
          <w:rFonts w:ascii="Arial" w:cs="Arial" w:eastAsia="Arial" w:hAnsi="Arial"/>
          <w:sz w:val="16"/>
          <w:szCs w:val="16"/>
          <w:color w:val="auto"/>
        </w:rPr>
        <w:t>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 the SEC. In addition, our website includes, among other things, charters of the various committees of our Board of Directors and our code of business conduct and ethics applicable to all employees, officers and directors. Within the time period required by the SEC, we will post on our website any amendment to the code of business conduct and ethics and any waiver applicable to any executive officer, director or senior financial officer. We use our website as a means of disclosing material non-public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7"/>
          <w:szCs w:val="17"/>
          <w:color w:val="auto"/>
        </w:rPr>
        <w:t>information and for complying with our disclosure obligations under Regulation FD. Accordingly, investors should monitor our website, in addition to following our press releases, SEC filings and public conference calls and webcasts. We use these channels as well as social media and blogs to communicate with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website. Any stockholder also may obtain copies of these documents, free of charge, by sending a request in writing to our Corporate headquarters, Attention: Saleem Cheeks. Information on our website or connected to our website is not incorporated by reference into this Annual Report on Form 10-K.</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74" w:lineRule="exact"/>
        <w:rPr>
          <w:sz w:val="20"/>
          <w:szCs w:val="20"/>
          <w:color w:val="auto"/>
        </w:rPr>
      </w:pPr>
    </w:p>
    <w:p>
      <w:pPr>
        <w:jc w:val="both"/>
        <w:ind w:right="180" w:firstLine="373"/>
        <w:spacing w:after="0" w:line="310" w:lineRule="auto"/>
        <w:rPr>
          <w:sz w:val="20"/>
          <w:szCs w:val="20"/>
          <w:color w:val="auto"/>
        </w:rPr>
      </w:pPr>
      <w:r>
        <w:rPr>
          <w:rFonts w:ascii="Arial" w:cs="Arial" w:eastAsia="Arial" w:hAnsi="Arial"/>
          <w:sz w:val="15"/>
          <w:szCs w:val="15"/>
          <w:color w:val="auto"/>
        </w:rPr>
        <w:t>In addition to the other information contained in this Annual Report on Form 10-K and in our other filings with the Securities and Exchange Commission, the following risk factors should be considered carefully by investors in evaluating our business. Our financial and operating results are subject to a number of risks and uncertainties, including those set forth below, many of which are not within our control. Our business, financial condition, results of operations and/or liquidity could be materially and adversely affected by any of these risks or by additional risks not presently known to us or that we currently deem immaterial.</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51" w:lineRule="exact"/>
        <w:rPr>
          <w:sz w:val="20"/>
          <w:szCs w:val="20"/>
          <w:color w:val="auto"/>
        </w:rPr>
      </w:pPr>
    </w:p>
    <w:p>
      <w:pPr>
        <w:ind w:right="20"/>
        <w:spacing w:after="0" w:line="397" w:lineRule="auto"/>
        <w:rPr>
          <w:sz w:val="20"/>
          <w:szCs w:val="20"/>
          <w:color w:val="auto"/>
        </w:rPr>
      </w:pPr>
      <w:r>
        <w:rPr>
          <w:rFonts w:ascii="Arial" w:cs="Arial" w:eastAsia="Arial" w:hAnsi="Arial"/>
          <w:sz w:val="14"/>
          <w:szCs w:val="14"/>
          <w:b w:val="1"/>
          <w:bCs w:val="1"/>
          <w:i w:val="1"/>
          <w:iCs w:val="1"/>
          <w:color w:val="auto"/>
        </w:rPr>
        <w:t>We face intense competition in the medical device industry which continues to experience consolidation. We may be unable to compete effectively with respect to technological innovation and price which may have a material adverse effect on our revenues, financial condition, results of operations and/or liquidity.</w:t>
      </w:r>
    </w:p>
    <w:p>
      <w:pPr>
        <w:spacing w:after="0" w:line="116" w:lineRule="exact"/>
        <w:rPr>
          <w:sz w:val="20"/>
          <w:szCs w:val="20"/>
          <w:color w:val="auto"/>
        </w:rPr>
      </w:pPr>
    </w:p>
    <w:p>
      <w:pPr>
        <w:ind w:right="80" w:firstLine="373"/>
        <w:spacing w:after="0" w:line="299" w:lineRule="auto"/>
        <w:rPr>
          <w:sz w:val="20"/>
          <w:szCs w:val="20"/>
          <w:color w:val="auto"/>
        </w:rPr>
      </w:pPr>
      <w:r>
        <w:rPr>
          <w:rFonts w:ascii="Arial" w:cs="Arial" w:eastAsia="Arial" w:hAnsi="Arial"/>
          <w:sz w:val="15"/>
          <w:szCs w:val="15"/>
          <w:color w:val="auto"/>
        </w:rPr>
        <w:t>The markets for our products are highly competitive and we expect competition to continue to intensify. The medical device industry is characterized by rapid technological change, frequent product introductions and evolving customer requirements. Our customers consider many factors when choosing products, including technology, features and benefits, quality, reliability, ease of use, clinical or economic outcomes, availability, price and customer service. We face competition globally from a wide range of companies, many of whom have substantially greater financial, marketing and other resources than us. We may not be able to compete effectively, and we may lose market share to our competitors. Our primary device competitors include: Boston Scientific Corporation; Cook Medical; Medical Components, Inc. (MedComp); TeleFlex Medical; Becton Dickinson; Smiths Medical, a subsidiary of Smiths Group plc; Medtronic; Merit Medical; Terumo Medical Corporation; Johnson and Johnson; Philips Healthcare; Inari Medical; Varian Medical Systems and Total Vein Systems.</w:t>
      </w:r>
    </w:p>
    <w:p>
      <w:pPr>
        <w:spacing w:after="0" w:line="103" w:lineRule="exact"/>
        <w:rPr>
          <w:sz w:val="20"/>
          <w:szCs w:val="20"/>
          <w:color w:val="auto"/>
        </w:rPr>
      </w:pPr>
    </w:p>
    <w:p>
      <w:pPr>
        <w:ind w:right="80" w:firstLine="373"/>
        <w:spacing w:after="0" w:line="278" w:lineRule="auto"/>
        <w:rPr>
          <w:sz w:val="20"/>
          <w:szCs w:val="20"/>
          <w:color w:val="auto"/>
        </w:rPr>
      </w:pPr>
      <w:r>
        <w:rPr>
          <w:rFonts w:ascii="Arial" w:cs="Arial" w:eastAsia="Arial" w:hAnsi="Arial"/>
          <w:sz w:val="16"/>
          <w:szCs w:val="16"/>
          <w:color w:val="auto"/>
        </w:rPr>
        <w:t>Our competitors may succeed in adapting faster than us to changing customer needs or requirements, in developing and introducing technologies and products earlier, in obtaining patent protection (which could create barriers to market entry for us) or regulatory clearance earlier, or in commercializing new products or technologies more rapidly than us. Our competitors may also develop products and technologies that are superior to ours or that otherwise could render our products obsolete or noncompetitive. The trend of increased consolidation in the medical technology industry has resulted in companies with greater scale and market power, intensifying competition and increasing pricing pressure. We may also face competition from providers of other medical therapies, such as pharmaceutical companies, that may offer non-surgical therapies for conditions that are currently, or in the future may be, treated using our products. If we are not able to compete effectively, our market share and revenue may decline.</w:t>
      </w:r>
    </w:p>
    <w:p>
      <w:pPr>
        <w:spacing w:after="0" w:line="116" w:lineRule="exact"/>
        <w:rPr>
          <w:sz w:val="20"/>
          <w:szCs w:val="20"/>
          <w:color w:val="auto"/>
        </w:rPr>
      </w:pPr>
    </w:p>
    <w:p>
      <w:pPr>
        <w:ind w:right="20" w:firstLine="373"/>
        <w:spacing w:after="0" w:line="260" w:lineRule="auto"/>
        <w:rPr>
          <w:sz w:val="20"/>
          <w:szCs w:val="20"/>
          <w:color w:val="auto"/>
        </w:rPr>
      </w:pPr>
      <w:r>
        <w:rPr>
          <w:rFonts w:ascii="Arial" w:cs="Arial" w:eastAsia="Arial" w:hAnsi="Arial"/>
          <w:sz w:val="17"/>
          <w:szCs w:val="17"/>
          <w:color w:val="auto"/>
        </w:rPr>
        <w:t>In addition, the increasing purchasing power of health systems, group purchasing organizations (“GPOs”) and integrated health delivery networks (“IDNs”), together with increased competition and declining reimbursement rates, has resulted increasingly with the Company competing on the basis of price.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our inability to retain contracts with our customers, or acquire additional contracts, could have a material adverse effect on our business, financial condition, results of operations and/or liquidity.</w:t>
      </w:r>
    </w:p>
    <w:p>
      <w:pPr>
        <w:spacing w:after="0" w:line="130"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b w:val="1"/>
          <w:bCs w:val="1"/>
          <w:i w:val="1"/>
          <w:iCs w:val="1"/>
          <w:color w:val="auto"/>
        </w:rPr>
        <w:t>Our inability to continue to effectively develop, acquire and/or market new products and technologies could have a material adverse effect on our business, financial condition and/or results of operations.</w:t>
      </w:r>
    </w:p>
    <w:p>
      <w:pPr>
        <w:spacing w:after="0" w:line="108" w:lineRule="exact"/>
        <w:rPr>
          <w:sz w:val="20"/>
          <w:szCs w:val="20"/>
          <w:color w:val="auto"/>
        </w:rPr>
      </w:pPr>
    </w:p>
    <w:p>
      <w:pPr>
        <w:ind w:firstLine="373"/>
        <w:spacing w:after="0" w:line="295" w:lineRule="auto"/>
        <w:rPr>
          <w:sz w:val="20"/>
          <w:szCs w:val="20"/>
          <w:color w:val="auto"/>
        </w:rPr>
      </w:pPr>
      <w:r>
        <w:rPr>
          <w:rFonts w:ascii="Arial" w:cs="Arial" w:eastAsia="Arial" w:hAnsi="Arial"/>
          <w:sz w:val="15"/>
          <w:szCs w:val="15"/>
          <w:color w:val="auto"/>
        </w:rPr>
        <w:t>The market for our devices is characterized by rapid technological change, new product introductions, technological improvements, changes in physician requirements and evolving industry standards. Product life cycles are relatively short because medical device manufacturers continually develop more effective and less expensive versions of existing devices in response to physician demand. We engage in product development and improvement programs to maintain and improve our competitive position. Our products are technologically complex and these programs involve significant planning, market studies, investment in research and development, clinical trials and regulatory clearances or approvals and may require more time and expense than anticipated to bring such products to market. We may not, however, be successful in enhancing existing products, or developing new products or technologies that will achieve regulatory approval, be developed or manufactured in a cost-effective manner, obtain appropriate intellectual property protection or receive market acceptance. We also may be unable to recover all or a meaningful part of our investment in these products or technologies. Additionally, there can be no assurance that the size of the markets in which we compete will increase above existing levels or not decline, that we will be able to maintain, gain or regain market share or that we can compete effectively on the basis of price or that the number of procedures in which our products are used will increase above existing levels or not decline.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8" w:name="page19"/>
    <w:bookmarkEnd w:id="18"/>
    <w:p>
      <w:pPr>
        <w:ind w:right="20" w:firstLine="373"/>
        <w:spacing w:after="0" w:line="277" w:lineRule="auto"/>
        <w:rPr>
          <w:sz w:val="20"/>
          <w:szCs w:val="20"/>
          <w:color w:val="auto"/>
        </w:rPr>
      </w:pPr>
      <w:r>
        <w:rPr>
          <w:rFonts w:ascii="Arial" w:cs="Arial" w:eastAsia="Arial" w:hAnsi="Arial"/>
          <w:sz w:val="16"/>
          <w:szCs w:val="16"/>
          <w:color w:val="auto"/>
        </w:rPr>
        <w:t xml:space="preserve">In particular, the future prospects of many of our high growth products, such as the NanoKnife system, the AngioVac system and the Auryon system, rely on continued market development and continued generation of clinical data pursuant to clinical trials conducted by us, our competitors or other third parties. If the results of these trials are not what we expect or fail to generate meaningful clinical data, it may adversely impact our ability to obtain product approvals. If any of these products fail to achieve clinical acceptance or are perceived unfavorably by the market, it could severely limit our ability to drive revenue growth, which could have a material adverse effect on our business, financial condition, results of operations and/or liquidity. See Risk Factor titled </w:t>
      </w:r>
      <w:r>
        <w:rPr>
          <w:rFonts w:ascii="Arial" w:cs="Arial" w:eastAsia="Arial" w:hAnsi="Arial"/>
          <w:sz w:val="16"/>
          <w:szCs w:val="16"/>
          <w:i w:val="1"/>
          <w:iCs w:val="1"/>
          <w:color w:val="auto"/>
        </w:rPr>
        <w:t>“Our business and prospects</w:t>
      </w:r>
      <w:r>
        <w:rPr>
          <w:rFonts w:ascii="Arial" w:cs="Arial" w:eastAsia="Arial" w:hAnsi="Arial"/>
          <w:sz w:val="16"/>
          <w:szCs w:val="16"/>
          <w:color w:val="auto"/>
        </w:rPr>
        <w:t xml:space="preserve"> </w:t>
      </w:r>
      <w:r>
        <w:rPr>
          <w:rFonts w:ascii="Arial" w:cs="Arial" w:eastAsia="Arial" w:hAnsi="Arial"/>
          <w:sz w:val="16"/>
          <w:szCs w:val="16"/>
          <w:i w:val="1"/>
          <w:iCs w:val="1"/>
          <w:color w:val="auto"/>
        </w:rPr>
        <w:t>rely heavily upon our ability to successfully complete clinical trials, including our NanoKnife DIRECT Clinical study, our Auryon Pathfinder study and clinical studies for AngioVac. We may choose to, or may be required to, suspend, repeat or terminate our clinical trials if they are not conducted in accordance with regulatory requirements, the results are negative or inconclusive or the trials are not well designed.”</w:t>
      </w:r>
    </w:p>
    <w:p>
      <w:pPr>
        <w:spacing w:after="0" w:line="116" w:lineRule="exact"/>
        <w:rPr>
          <w:sz w:val="20"/>
          <w:szCs w:val="20"/>
          <w:color w:val="auto"/>
        </w:rPr>
      </w:pPr>
    </w:p>
    <w:p>
      <w:pPr>
        <w:ind w:right="40" w:firstLine="373"/>
        <w:spacing w:after="0" w:line="298" w:lineRule="auto"/>
        <w:rPr>
          <w:sz w:val="20"/>
          <w:szCs w:val="20"/>
          <w:color w:val="auto"/>
        </w:rPr>
      </w:pPr>
      <w:r>
        <w:rPr>
          <w:rFonts w:ascii="Arial" w:cs="Arial" w:eastAsia="Arial" w:hAnsi="Arial"/>
          <w:sz w:val="15"/>
          <w:szCs w:val="15"/>
          <w:color w:val="auto"/>
        </w:rPr>
        <w:t>As part of our business strategy, we expect to continue to engage in business development activities which includes selectively evaluating and pursuing the acquisition of complementary businesses, technologies and products. These activities may result in substantial investment of our time and financial resources and competition for targets may be significant. We may not be able to identify appropriate acquisition candidates, consummate transactions, obtain agreements with favorable terms or obtain any necessary financing or regulatory approvals. Further, once a business is acquired, any inability to successfully integrate the business or achieve anticipated cost savings or operating synergies, decreases in customer loyalty or product orders, failure to retain and develop its workforce, failure to establish and maintain appropriate controls, higher or unanticipated expenses, or unknown or contingent liabilities could adversely affect our ability to realize the anticipated benefits of any acquisition. The evaluation and integration of an acquired business, whether or not successful, requires significant efforts which may result in additional expenses and divert the attention of our management and technical personnel from other projects.</w:t>
      </w:r>
    </w:p>
    <w:p>
      <w:pPr>
        <w:spacing w:after="0" w:line="102" w:lineRule="exact"/>
        <w:rPr>
          <w:sz w:val="20"/>
          <w:szCs w:val="20"/>
          <w:color w:val="auto"/>
        </w:rPr>
      </w:pPr>
    </w:p>
    <w:p>
      <w:pPr>
        <w:ind w:right="80" w:firstLine="373"/>
        <w:spacing w:after="0" w:line="305" w:lineRule="auto"/>
        <w:rPr>
          <w:sz w:val="20"/>
          <w:szCs w:val="20"/>
          <w:color w:val="auto"/>
        </w:rPr>
      </w:pPr>
      <w:r>
        <w:rPr>
          <w:rFonts w:ascii="Arial" w:cs="Arial" w:eastAsia="Arial" w:hAnsi="Arial"/>
          <w:sz w:val="15"/>
          <w:szCs w:val="15"/>
          <w:color w:val="auto"/>
        </w:rPr>
        <w:t>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 These transactions are inherently risky and may not enhance our financial position or results of operations or create value for our shareholders as they are based on projections and assumptions which are uncertain and subject to change and there can be no assurance that any past or future transaction will be successful.</w:t>
      </w:r>
    </w:p>
    <w:p>
      <w:pPr>
        <w:spacing w:after="0" w:line="97" w:lineRule="exact"/>
        <w:rPr>
          <w:sz w:val="20"/>
          <w:szCs w:val="20"/>
          <w:color w:val="auto"/>
        </w:rPr>
      </w:pPr>
    </w:p>
    <w:p>
      <w:pPr>
        <w:ind w:firstLine="373"/>
        <w:spacing w:after="0" w:line="264" w:lineRule="auto"/>
        <w:rPr>
          <w:sz w:val="20"/>
          <w:szCs w:val="20"/>
          <w:color w:val="auto"/>
        </w:rPr>
      </w:pPr>
      <w:r>
        <w:rPr>
          <w:rFonts w:ascii="Arial" w:cs="Arial" w:eastAsia="Arial" w:hAnsi="Arial"/>
          <w:sz w:val="17"/>
          <w:szCs w:val="17"/>
          <w:color w:val="auto"/>
        </w:rPr>
        <w:t>If we fail to develop and successfully manufacture and launch new products, generate satisfactory clinical results, provide sufficient economic value, enhance existing products, or identify, acquire and integrate complementary businesses, technologies and products or if we experience a decrease in market size or market share or declines in average selling price or procedural volumes, or otherwise fail to compete effectively, we may not achieve our growth goals, which could have a material adverse effect on our business, financial condition and/or results of operations.</w:t>
      </w:r>
    </w:p>
    <w:p>
      <w:pPr>
        <w:spacing w:after="0" w:line="125"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b w:val="1"/>
          <w:bCs w:val="1"/>
          <w:i w:val="1"/>
          <w:iCs w:val="1"/>
          <w:color w:val="auto"/>
        </w:rPr>
        <w:t>If we do not maintain our reputation with interventional physicians, interventional and surgical oncologists and critical care nurses our growth will be limited and our business could be harmed.</w:t>
      </w:r>
    </w:p>
    <w:p>
      <w:pPr>
        <w:spacing w:after="0" w:line="108" w:lineRule="exact"/>
        <w:rPr>
          <w:sz w:val="20"/>
          <w:szCs w:val="20"/>
          <w:color w:val="auto"/>
        </w:rPr>
      </w:pPr>
    </w:p>
    <w:p>
      <w:pPr>
        <w:ind w:right="20" w:firstLine="373"/>
        <w:spacing w:after="0" w:line="260" w:lineRule="auto"/>
        <w:rPr>
          <w:sz w:val="20"/>
          <w:szCs w:val="20"/>
          <w:color w:val="auto"/>
        </w:rPr>
      </w:pPr>
      <w:r>
        <w:rPr>
          <w:rFonts w:ascii="Arial" w:cs="Arial" w:eastAsia="Arial" w:hAnsi="Arial"/>
          <w:sz w:val="17"/>
          <w:szCs w:val="17"/>
          <w:color w:val="auto"/>
        </w:rPr>
        <w:t>Physicians typically influence the medical device purchasing decisions of the hospitals and other healthcare institutions in which they practice. Consequently, our reputation with interventional physicians, interventional and surgical oncologists and critical care nurses is crucial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and cause our growth to be limited and our business to be harmed, which could have a material adverse effect on our business, financial condition, results of operations and/or liquidity.</w:t>
      </w:r>
    </w:p>
    <w:p>
      <w:pPr>
        <w:spacing w:after="0" w:line="130" w:lineRule="exact"/>
        <w:rPr>
          <w:sz w:val="20"/>
          <w:szCs w:val="20"/>
          <w:color w:val="auto"/>
        </w:rPr>
      </w:pPr>
    </w:p>
    <w:p>
      <w:pPr>
        <w:ind w:right="140"/>
        <w:spacing w:after="0" w:line="317" w:lineRule="auto"/>
        <w:rPr>
          <w:sz w:val="20"/>
          <w:szCs w:val="20"/>
          <w:color w:val="auto"/>
        </w:rPr>
      </w:pPr>
      <w:r>
        <w:rPr>
          <w:rFonts w:ascii="Arial" w:cs="Arial" w:eastAsia="Arial" w:hAnsi="Arial"/>
          <w:sz w:val="16"/>
          <w:szCs w:val="16"/>
          <w:b w:val="1"/>
          <w:bCs w:val="1"/>
          <w:i w:val="1"/>
          <w:iCs w:val="1"/>
          <w:color w:val="auto"/>
        </w:rPr>
        <w:t>Our business and prospects depend heavily on the NanoKnife system, which is currently approved for the surgical ablation of soft tissue. If we are unable to secure expanded specific regulatory approvals for the NanoKnife system, our business and prospects may be materially harmed.</w:t>
      </w:r>
    </w:p>
    <w:p>
      <w:pPr>
        <w:spacing w:after="0" w:line="84" w:lineRule="exact"/>
        <w:rPr>
          <w:sz w:val="20"/>
          <w:szCs w:val="20"/>
          <w:color w:val="auto"/>
        </w:rPr>
      </w:pPr>
    </w:p>
    <w:p>
      <w:pPr>
        <w:ind w:right="20" w:firstLine="373"/>
        <w:spacing w:after="0" w:line="259" w:lineRule="auto"/>
        <w:rPr>
          <w:sz w:val="20"/>
          <w:szCs w:val="20"/>
          <w:color w:val="auto"/>
        </w:rPr>
      </w:pPr>
      <w:r>
        <w:rPr>
          <w:rFonts w:ascii="Arial" w:cs="Arial" w:eastAsia="Arial" w:hAnsi="Arial"/>
          <w:sz w:val="17"/>
          <w:szCs w:val="17"/>
          <w:color w:val="auto"/>
        </w:rPr>
        <w:t>Our NanoKnife System is indicated for the surgical ablation of soft tissue. The long-term prospects for our NanoKnife business may rely on securing expanded indications for specific disease states and treatments. Based on our current indication, our ability to promote the NanoKnife system and provide training with respect to the use of the NanoKnife system is limited to the surgical ablation of soft tissue. In the fourth quarter of our 2019, we received approval from the FDA to initiate our DIRECT clinical trial to study the use of the NanoKnife system for the treatment of Stage III pancreatic cancer. If we are not able to successfully complete this trial and secure clearances or approvals for expanded indications for our NanoKnife system, including for the treatment of Stage III pancreatic cancer, or if expanded indications are significantly delayed or limited, our business and prospects may be materially harmed and we may need to delay our initiatives or even significantly curtail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operations, which could have a material adverse effect on our business, financial condition, results of operations and/or liquidity.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prospects rely heavily upon our ability to successfully complete clinical trials, including, but not limited to, our NanoKnife DIRECT clinical</w:t>
      </w:r>
    </w:p>
    <w:p>
      <w:pPr>
        <w:spacing w:after="0" w:line="7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i w:val="1"/>
          <w:iCs w:val="1"/>
          <w:color w:val="auto"/>
        </w:rPr>
        <w:t>study, our NanoKnife PRESERVE clinical study, our Auryon Pathfinder study and clinical studies for AngioVac. We may choose to, or may be required to, suspend, repeat or terminate our clinical trials if they are not conducted in accordance with regulatory requirements, the results are negative or inconclusive or the trials are not well designed.</w:t>
      </w:r>
    </w:p>
    <w:p>
      <w:pPr>
        <w:spacing w:after="0" w:line="121" w:lineRule="exact"/>
        <w:rPr>
          <w:sz w:val="20"/>
          <w:szCs w:val="20"/>
          <w:color w:val="auto"/>
        </w:rPr>
      </w:pPr>
    </w:p>
    <w:p>
      <w:pPr>
        <w:ind w:right="180" w:firstLine="373"/>
        <w:spacing w:after="0" w:line="278" w:lineRule="auto"/>
        <w:rPr>
          <w:sz w:val="20"/>
          <w:szCs w:val="20"/>
          <w:color w:val="auto"/>
        </w:rPr>
      </w:pPr>
      <w:r>
        <w:rPr>
          <w:rFonts w:ascii="Arial" w:cs="Arial" w:eastAsia="Arial" w:hAnsi="Arial"/>
          <w:sz w:val="16"/>
          <w:szCs w:val="16"/>
          <w:color w:val="auto"/>
        </w:rPr>
        <w:t>Clinical trials must be conducted in accordance with the applicable laws and regulations in the jurisdictions in which the clinical trials are conducted, including FDA’s current Good Clinical Practices. The clinical trials are subject to oversight by the FDA, regulatory agencies in other jurisdictions, ethics committees and institutional review boards at the medical institutions where the clinical trials are conducted. Clinical trial protocols may require a large number of patients to be enrolled in the trials. Patient enrollment is a function of many factors, including the size of the patient population for the target indication, the proximity of patients to clinical sites, the eligibility criteria for the trial, the existence of competing clinical trials and the availability of alternative or new treatments. Clinical trials may be suspended by the FDA or by a regulatory agency in another jurisdiction at any time if the FDA or the regulatory agency finds deficiencies in the conduct of these trials or it is believed that these trials expose patients to unacceptable health risks.</w:t>
      </w:r>
    </w:p>
    <w:p>
      <w:pPr>
        <w:spacing w:after="0" w:line="116" w:lineRule="exact"/>
        <w:rPr>
          <w:sz w:val="20"/>
          <w:szCs w:val="20"/>
          <w:color w:val="auto"/>
        </w:rPr>
      </w:pPr>
    </w:p>
    <w:p>
      <w:pPr>
        <w:ind w:right="100" w:firstLine="373"/>
        <w:spacing w:after="0" w:line="262" w:lineRule="auto"/>
        <w:rPr>
          <w:sz w:val="20"/>
          <w:szCs w:val="20"/>
          <w:color w:val="auto"/>
        </w:rPr>
      </w:pPr>
      <w:r>
        <w:rPr>
          <w:rFonts w:ascii="Arial" w:cs="Arial" w:eastAsia="Arial" w:hAnsi="Arial"/>
          <w:sz w:val="17"/>
          <w:szCs w:val="17"/>
          <w:color w:val="auto"/>
        </w:rPr>
        <w:t>We, the FDA or regulatory agencies in other jurisdictions might delay or terminate our clinical trials for various reasons, including insufficient patient enrollment, fatalities, unforeseen adverse side effects by enrolled patients or the development of new therapies that require us to revise or amend our clinical trial protocols. Patients may be discouraged from enrolling in our clinical trials if the trial protocol requires them to undergo extensive follow-up to assess safety and effectiveness, if they determine that the treatments received under the trial protocols are not attractive or involve unacceptable risks or discomforts or if they participate in contemporaneous clinical trials of competing products.</w:t>
      </w:r>
    </w:p>
    <w:p>
      <w:pPr>
        <w:spacing w:after="0" w:line="126" w:lineRule="exact"/>
        <w:rPr>
          <w:sz w:val="20"/>
          <w:szCs w:val="20"/>
          <w:color w:val="auto"/>
        </w:rPr>
      </w:pPr>
    </w:p>
    <w:p>
      <w:pPr>
        <w:jc w:val="both"/>
        <w:ind w:right="100" w:firstLine="373"/>
        <w:spacing w:after="0" w:line="269" w:lineRule="auto"/>
        <w:rPr>
          <w:sz w:val="20"/>
          <w:szCs w:val="20"/>
          <w:color w:val="auto"/>
        </w:rPr>
      </w:pPr>
      <w:r>
        <w:rPr>
          <w:rFonts w:ascii="Arial" w:cs="Arial" w:eastAsia="Arial" w:hAnsi="Arial"/>
          <w:sz w:val="17"/>
          <w:szCs w:val="17"/>
          <w:color w:val="auto"/>
        </w:rPr>
        <w:t>In addition, we rely on contract research organizations, or CROs, with respect to conducting our clinical trials. We may experience significant cost overruns associated with, and we may encounter difficulties managing, these CROs. Termination of our clinical trials or significant delays in completing our clinical trials could have a material adverse effect on our business, financial condition, results of operations and/or liquidity.</w:t>
      </w:r>
    </w:p>
    <w:p>
      <w:pPr>
        <w:spacing w:after="0" w:line="121"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b w:val="1"/>
          <w:bCs w:val="1"/>
          <w:i w:val="1"/>
          <w:iCs w:val="1"/>
          <w:color w:val="auto"/>
        </w:rPr>
        <w:t>If we are unable to convince customers that our products can improve the cost structure of their business, our revenue growth and profitability may be materially and adversely impacted.</w:t>
      </w:r>
    </w:p>
    <w:p>
      <w:pPr>
        <w:spacing w:after="0" w:line="108" w:lineRule="exact"/>
        <w:rPr>
          <w:sz w:val="20"/>
          <w:szCs w:val="20"/>
          <w:color w:val="auto"/>
        </w:rPr>
      </w:pPr>
    </w:p>
    <w:p>
      <w:pPr>
        <w:ind w:right="40" w:firstLine="373"/>
        <w:spacing w:after="0" w:line="275" w:lineRule="auto"/>
        <w:rPr>
          <w:sz w:val="20"/>
          <w:szCs w:val="20"/>
          <w:color w:val="auto"/>
        </w:rPr>
      </w:pPr>
      <w:r>
        <w:rPr>
          <w:rFonts w:ascii="Arial" w:cs="Arial" w:eastAsia="Arial" w:hAnsi="Arial"/>
          <w:sz w:val="16"/>
          <w:szCs w:val="16"/>
          <w:color w:val="auto"/>
        </w:rPr>
        <w:t>Worldwide initiatives to contain healthcare costs have led governments and the private sector to enact cost containment efforts as a means of managing 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Simultaneously, hospitals are redefining their role in health care delivery as many assume much more risk and control of the total cost of patient care. To successfully make this transformation, health systems are consolidating, purchasing or partnering with physicians and post-acute care providers, while also narrowing networks thus allowing greater control over outcomes. This has created an increasing level of price sensitivity among customers for our products and could have a material adverse effect on our business, financial condition, results of operations and/or liquidity.</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single and limited source suppliers which subjects our business and results of operations to risks of supplier business interruptions.</w:t>
      </w:r>
    </w:p>
    <w:p>
      <w:pPr>
        <w:spacing w:after="0" w:line="191" w:lineRule="exact"/>
        <w:rPr>
          <w:sz w:val="20"/>
          <w:szCs w:val="20"/>
          <w:color w:val="auto"/>
        </w:rPr>
      </w:pPr>
    </w:p>
    <w:p>
      <w:pPr>
        <w:ind w:right="20" w:firstLine="373"/>
        <w:spacing w:after="0" w:line="278" w:lineRule="auto"/>
        <w:rPr>
          <w:sz w:val="20"/>
          <w:szCs w:val="20"/>
          <w:color w:val="auto"/>
        </w:rPr>
      </w:pPr>
      <w:r>
        <w:rPr>
          <w:rFonts w:ascii="Arial" w:cs="Arial" w:eastAsia="Arial" w:hAnsi="Arial"/>
          <w:sz w:val="16"/>
          <w:szCs w:val="16"/>
          <w:color w:val="auto"/>
        </w:rPr>
        <w:t>We currently purchase significant amounts of several key products and product components from single and limited source suppliers and anticipate that we will do so for future products as well. Any delays in delivery of or shortages in those or other products and components could interrupt and delay manufacturing of our products and result in the cancellation of orders for our products. Any or all of these suppliers could discontinue the manufacture or supply of these products and components at any time. 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backlogs, increased prices for our products or increased design and manufacturing costs.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0" w:name="page21"/>
    <w:bookmarkEnd w:id="20"/>
    <w:p>
      <w:pPr>
        <w:ind w:right="140" w:firstLine="373"/>
        <w:spacing w:after="0" w:line="269" w:lineRule="auto"/>
        <w:rPr>
          <w:sz w:val="20"/>
          <w:szCs w:val="20"/>
          <w:color w:val="auto"/>
        </w:rPr>
      </w:pPr>
      <w:r>
        <w:rPr>
          <w:rFonts w:ascii="Arial" w:cs="Arial" w:eastAsia="Arial" w:hAnsi="Arial"/>
          <w:sz w:val="17"/>
          <w:szCs w:val="17"/>
          <w:color w:val="auto"/>
        </w:rPr>
        <w:t>In addition, we purchase certain products as a distributor for the manufacturer of those products. Any constraint or interruption in the supply of finished products that we distribute could materially impact our ability to sell products, and have a material adverse effect on our business, financial condition, results of operations and/or liquidity.</w:t>
      </w:r>
    </w:p>
    <w:p>
      <w:pPr>
        <w:spacing w:after="0" w:line="121" w:lineRule="exact"/>
        <w:rPr>
          <w:sz w:val="20"/>
          <w:szCs w:val="20"/>
          <w:color w:val="auto"/>
        </w:rPr>
      </w:pPr>
    </w:p>
    <w:p>
      <w:pPr>
        <w:ind w:right="220"/>
        <w:spacing w:after="0" w:line="397" w:lineRule="auto"/>
        <w:rPr>
          <w:sz w:val="20"/>
          <w:szCs w:val="20"/>
          <w:color w:val="auto"/>
        </w:rPr>
      </w:pPr>
      <w:r>
        <w:rPr>
          <w:rFonts w:ascii="Arial" w:cs="Arial" w:eastAsia="Arial" w:hAnsi="Arial"/>
          <w:sz w:val="14"/>
          <w:szCs w:val="14"/>
          <w:b w:val="1"/>
          <w:bCs w:val="1"/>
          <w:i w:val="1"/>
          <w:iCs w:val="1"/>
          <w:color w:val="auto"/>
        </w:rPr>
        <w:t>We are heavily dependent on third-party distributors to generate a substantial portion of our international revenues and are at the risk of these distributors also selling for our competitors, failing to be financially viable and failing to effectively distribute our products in compliance with applicable laws.</w:t>
      </w:r>
    </w:p>
    <w:p>
      <w:pPr>
        <w:spacing w:after="0" w:line="38" w:lineRule="exact"/>
        <w:rPr>
          <w:sz w:val="20"/>
          <w:szCs w:val="20"/>
          <w:color w:val="auto"/>
        </w:rPr>
      </w:pPr>
    </w:p>
    <w:p>
      <w:pPr>
        <w:ind w:firstLine="373"/>
        <w:spacing w:after="0" w:line="274" w:lineRule="auto"/>
        <w:rPr>
          <w:sz w:val="20"/>
          <w:szCs w:val="20"/>
          <w:color w:val="auto"/>
        </w:rPr>
      </w:pPr>
      <w:r>
        <w:rPr>
          <w:rFonts w:ascii="Arial" w:cs="Arial" w:eastAsia="Arial" w:hAnsi="Arial"/>
          <w:sz w:val="16"/>
          <w:szCs w:val="16"/>
          <w:color w:val="auto"/>
        </w:rPr>
        <w:t>Outside of North America we rely heavily on third party distributors, either on a country-by-country basis or on a multi-country, regional basis, to market, sell and distribute our products where we do not have a direct sales and marketing presence (including, among others, China, Japan, Brazil, the Middle East and many European countries). As such, our revenue, if any, depends on the terms of such arrangements and the distributors’ efforts. These efforts may turn out not to be sufficient and our third-party distributors may not effectively sell our products. International distributors accounted for approximately 64% of international revenues for the fiscal year ended May 31, 2021. If we are unable to maintain our relationships or establish direct sales capabilities on acceptable terms or at all, we may lose significant revenue or be unable to achieve our growth aspirations. In certain circumstances, distributors may also sell competing products,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financial condition, results of operations and/or liquidity. In addition, there is a risk that our distributors will not be financially viable due to current economic and/or regulatory events in their respective countries or remit payments to us in a timely manner. If our distributors fail to comply with applicable laws or fail to effectively market and sell our products, our financial condition and results of operations could be materially and adversely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secure adequate reimbursement for our products could materially impair our ability to grow revenue and drive profitability.</w:t>
      </w:r>
    </w:p>
    <w:p>
      <w:pPr>
        <w:spacing w:after="0" w:line="168" w:lineRule="exact"/>
        <w:rPr>
          <w:sz w:val="20"/>
          <w:szCs w:val="20"/>
          <w:color w:val="auto"/>
        </w:rPr>
      </w:pPr>
    </w:p>
    <w:p>
      <w:pPr>
        <w:ind w:right="20" w:firstLine="373"/>
        <w:spacing w:after="0" w:line="258" w:lineRule="auto"/>
        <w:rPr>
          <w:sz w:val="20"/>
          <w:szCs w:val="20"/>
          <w:color w:val="auto"/>
        </w:rPr>
      </w:pPr>
      <w:r>
        <w:rPr>
          <w:rFonts w:ascii="Arial" w:cs="Arial" w:eastAsia="Arial" w:hAnsi="Arial"/>
          <w:sz w:val="17"/>
          <w:szCs w:val="17"/>
          <w:color w:val="auto"/>
        </w:rPr>
        <w:t>Our products are used in medical procedures and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The ability of our customers to obtain appropriate reimbursement for products and services from third-party payors is critical to the success of medical device companies because it affects which products customers purchase and the prices they are willing to pay. 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including Medicare and managed care companies, will cover the cost of the device and related procedures. Even if coverage is available, third-party payors may place restrictions on the circumstances where they provide coverage or may offer reimbursement that is not sufficient to cover the cost of our products.</w:t>
      </w:r>
    </w:p>
    <w:p>
      <w:pPr>
        <w:spacing w:after="0" w:line="131" w:lineRule="exact"/>
        <w:rPr>
          <w:sz w:val="20"/>
          <w:szCs w:val="20"/>
          <w:color w:val="auto"/>
        </w:rPr>
      </w:pPr>
    </w:p>
    <w:p>
      <w:pPr>
        <w:ind w:right="100" w:firstLine="373"/>
        <w:spacing w:after="0" w:line="264" w:lineRule="auto"/>
        <w:rPr>
          <w:sz w:val="20"/>
          <w:szCs w:val="20"/>
          <w:color w:val="auto"/>
        </w:rPr>
      </w:pPr>
      <w:r>
        <w:rPr>
          <w:rFonts w:ascii="Arial" w:cs="Arial" w:eastAsia="Arial" w:hAnsi="Arial"/>
          <w:sz w:val="17"/>
          <w:szCs w:val="17"/>
          <w:color w:val="auto"/>
        </w:rPr>
        <w:t>Third-party payors who cover the cost of medical products or equipment, in addition to allowing a general charge for the procedure, often maintain lists of exclusive suppliers or approved lists of products deemed to be cost-effective. If our products are not on approved lists of third-party payors, healthcare providers must determine if the additional cost and effort required in obtaining prior authorization, and the uncertainty of actually obtaining coverage, is justified by any perceived clinical benefits from using our products.</w:t>
      </w:r>
    </w:p>
    <w:p>
      <w:pPr>
        <w:spacing w:after="0" w:line="125" w:lineRule="exact"/>
        <w:rPr>
          <w:sz w:val="20"/>
          <w:szCs w:val="20"/>
          <w:color w:val="auto"/>
        </w:rPr>
      </w:pPr>
    </w:p>
    <w:p>
      <w:pPr>
        <w:ind w:right="120" w:firstLine="373"/>
        <w:spacing w:after="0" w:line="299" w:lineRule="auto"/>
        <w:rPr>
          <w:sz w:val="20"/>
          <w:szCs w:val="20"/>
          <w:color w:val="auto"/>
        </w:rPr>
      </w:pPr>
      <w:r>
        <w:rPr>
          <w:rFonts w:ascii="Arial" w:cs="Arial" w:eastAsia="Arial" w:hAnsi="Arial"/>
          <w:sz w:val="15"/>
          <w:szCs w:val="15"/>
          <w:color w:val="auto"/>
        </w:rPr>
        <w:t>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not be separately reimbursed. If hospitals and physicians cannot obtain adequate reimbursement for our products or the procedures in which they are used, this could have a material adverse effect on our business, financial condition, results of operations and/or liquidity.</w:t>
      </w:r>
    </w:p>
    <w:p>
      <w:pPr>
        <w:spacing w:after="0" w:line="103" w:lineRule="exact"/>
        <w:rPr>
          <w:sz w:val="20"/>
          <w:szCs w:val="20"/>
          <w:color w:val="auto"/>
        </w:rPr>
      </w:pPr>
    </w:p>
    <w:p>
      <w:pPr>
        <w:ind w:right="20" w:firstLine="373"/>
        <w:spacing w:after="0" w:line="286" w:lineRule="auto"/>
        <w:rPr>
          <w:sz w:val="20"/>
          <w:szCs w:val="20"/>
          <w:color w:val="auto"/>
        </w:rPr>
      </w:pPr>
      <w:r>
        <w:rPr>
          <w:rFonts w:ascii="Arial" w:cs="Arial" w:eastAsia="Arial" w:hAnsi="Arial"/>
          <w:sz w:val="16"/>
          <w:szCs w:val="16"/>
          <w:color w:val="auto"/>
        </w:rPr>
        <w:t>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 our products. Even when we develop a promising new product, we may find limited demand for the product unless reimbursement approval is obtained from private and governmental third-party payors. Changes in healthcare systems in the United States or elsewhere in a manner that significantly reduces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21" w:name="page22"/>
    <w:bookmarkEnd w:id="21"/>
    <w:p>
      <w:pPr>
        <w:ind w:right="140"/>
        <w:spacing w:after="0" w:line="269" w:lineRule="auto"/>
        <w:rPr>
          <w:sz w:val="20"/>
          <w:szCs w:val="20"/>
          <w:color w:val="auto"/>
        </w:rPr>
      </w:pPr>
      <w:r>
        <w:rPr>
          <w:rFonts w:ascii="Arial" w:cs="Arial" w:eastAsia="Arial" w:hAnsi="Arial"/>
          <w:sz w:val="17"/>
          <w:szCs w:val="17"/>
          <w:color w:val="auto"/>
        </w:rPr>
        <w:t>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a product liability claim is brought against us or our product liability insurance coverage is inadequate, our business could be harmed.</w:t>
      </w:r>
    </w:p>
    <w:p>
      <w:pPr>
        <w:spacing w:after="0" w:line="168" w:lineRule="exact"/>
        <w:rPr>
          <w:sz w:val="20"/>
          <w:szCs w:val="20"/>
          <w:color w:val="auto"/>
        </w:rPr>
      </w:pPr>
    </w:p>
    <w:p>
      <w:pPr>
        <w:ind w:right="40" w:firstLine="373"/>
        <w:spacing w:after="0" w:line="258" w:lineRule="auto"/>
        <w:rPr>
          <w:sz w:val="20"/>
          <w:szCs w:val="20"/>
          <w:color w:val="auto"/>
        </w:rPr>
      </w:pPr>
      <w:r>
        <w:rPr>
          <w:rFonts w:ascii="Arial" w:cs="Arial" w:eastAsia="Arial" w:hAnsi="Arial"/>
          <w:sz w:val="17"/>
          <w:szCs w:val="17"/>
          <w:color w:val="auto"/>
        </w:rPr>
        <w:t>The design, manufacture and marketing of the types of medical devices we sell entail an inherent risk of product liability. Our products are used by physicians to treat seriously ill patients. We are periodically subject to product liability claims, and patients or customers may in the future bring claims against us in a number of circumstances and for a number of reasons, including if our products were misused, if a component of our product fails, if our manufacture or design was flawed, if the product produced unsatisfactory results or if the instructions for use and operating manuals and disclosure of product related risks for our products were found to be inadequate. In addition, individuals or groups seeking to represent a class may file suit against us. The outcome of litigation, particularly class action lawsuits, is difficult to assess or quantify. Plaintiffs in these types of lawsuits often seek recovery of very large or indeterminate amounts, including not only actual damages, but also punitive damages. The magnitude of the potential losses relating to these lawsuits may remain unknown for substantial periods of time.</w:t>
      </w:r>
    </w:p>
    <w:p>
      <w:pPr>
        <w:spacing w:after="0" w:line="134" w:lineRule="exact"/>
        <w:rPr>
          <w:sz w:val="20"/>
          <w:szCs w:val="20"/>
          <w:color w:val="auto"/>
        </w:rPr>
      </w:pPr>
    </w:p>
    <w:p>
      <w:pPr>
        <w:ind w:firstLine="373"/>
        <w:spacing w:after="0" w:line="258" w:lineRule="auto"/>
        <w:rPr>
          <w:sz w:val="20"/>
          <w:szCs w:val="20"/>
          <w:color w:val="auto"/>
        </w:rPr>
      </w:pPr>
      <w:r>
        <w:rPr>
          <w:rFonts w:ascii="Arial" w:cs="Arial" w:eastAsia="Arial" w:hAnsi="Arial"/>
          <w:sz w:val="17"/>
          <w:szCs w:val="17"/>
          <w:color w:val="auto"/>
        </w:rPr>
        <w:t>We carry a product liability policy with a limit of $10.0 million per product liability claim and an aggregate policy limit of $10.0 million, subject to a self-insured retention of $0.5 million per occurrence and $2.0 million in the aggregate. We believe, based on claims made against us in the past, our existing product liability insurance coverage is reasonably adequate to protect us 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results of operations and/or liquidity could be negatively impacted. Further, such claims may require us to recall some of our products, which could result in significant costs to us.</w:t>
      </w:r>
    </w:p>
    <w:p>
      <w:pPr>
        <w:spacing w:after="0" w:line="134"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b w:val="1"/>
          <w:bCs w:val="1"/>
          <w:i w:val="1"/>
          <w:iCs w:val="1"/>
          <w:color w:val="auto"/>
        </w:rPr>
        <w:t>International and national economic and industry conditions constantly change, and could materially and adversely affect our business, financial condition and results of operations.</w:t>
      </w:r>
    </w:p>
    <w:p>
      <w:pPr>
        <w:spacing w:after="0" w:line="108" w:lineRule="exact"/>
        <w:rPr>
          <w:sz w:val="20"/>
          <w:szCs w:val="20"/>
          <w:color w:val="auto"/>
        </w:rPr>
      </w:pPr>
    </w:p>
    <w:p>
      <w:pPr>
        <w:ind w:right="20" w:firstLine="373"/>
        <w:spacing w:after="0" w:line="264" w:lineRule="auto"/>
        <w:rPr>
          <w:sz w:val="20"/>
          <w:szCs w:val="20"/>
          <w:color w:val="auto"/>
        </w:rPr>
      </w:pPr>
      <w:r>
        <w:rPr>
          <w:rFonts w:ascii="Arial" w:cs="Arial" w:eastAsia="Arial" w:hAnsi="Arial"/>
          <w:sz w:val="17"/>
          <w:szCs w:val="17"/>
          <w:color w:val="auto"/>
        </w:rPr>
        <w:t>Our business, financial condition and results of operation are affected by many changing economic, industry and other conditions beyond our control. Actual or potential changes in international, national, regional and local economic, business and financial conditions, including recession, inflation and trade protection measures, creditworthiness of our customers, may negatively affect consumer preferences, perceptions, spending patterns or demographic trends, any of which could adversely affect our business, financial condition, results of operations and/or liquidity.</w:t>
      </w:r>
    </w:p>
    <w:p>
      <w:pPr>
        <w:spacing w:after="0" w:line="125" w:lineRule="exact"/>
        <w:rPr>
          <w:sz w:val="20"/>
          <w:szCs w:val="20"/>
          <w:color w:val="auto"/>
        </w:rPr>
      </w:pPr>
    </w:p>
    <w:p>
      <w:pPr>
        <w:ind w:firstLine="373"/>
        <w:spacing w:after="0" w:line="260" w:lineRule="auto"/>
        <w:rPr>
          <w:sz w:val="20"/>
          <w:szCs w:val="20"/>
          <w:color w:val="auto"/>
        </w:rPr>
      </w:pPr>
      <w:r>
        <w:rPr>
          <w:rFonts w:ascii="Arial" w:cs="Arial" w:eastAsia="Arial" w:hAnsi="Arial"/>
          <w:sz w:val="17"/>
          <w:szCs w:val="17"/>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may put further pressure on economic conditions in the United States and abroad. The global economy has been periodically impacted by the effects of global economic downturns (such as recently related to COVID-19). There can be no assurance that there will not be further such events or deterioration in the global economy. These economic conditions make it more difficult for us to accurately forecast and plan our future business activities.</w:t>
      </w:r>
    </w:p>
    <w:p>
      <w:pPr>
        <w:spacing w:after="0" w:line="130" w:lineRule="exact"/>
        <w:rPr>
          <w:sz w:val="20"/>
          <w:szCs w:val="20"/>
          <w:color w:val="auto"/>
        </w:rPr>
      </w:pPr>
    </w:p>
    <w:p>
      <w:pPr>
        <w:ind w:right="320" w:firstLine="373"/>
        <w:spacing w:after="0" w:line="286" w:lineRule="auto"/>
        <w:rPr>
          <w:sz w:val="20"/>
          <w:szCs w:val="20"/>
          <w:color w:val="auto"/>
        </w:rPr>
      </w:pPr>
      <w:r>
        <w:rPr>
          <w:rFonts w:ascii="Arial" w:cs="Arial" w:eastAsia="Arial" w:hAnsi="Arial"/>
          <w:sz w:val="16"/>
          <w:szCs w:val="16"/>
          <w:color w:val="auto"/>
        </w:rPr>
        <w:t>Sales outside the U.S. accounted for approximately 19% of our net sales during our fiscal year ended May 31, 2021. We anticipate that sales from international operations will continue to represent a significant portion of our total sales, and we intend to continue our expansion into emerging and/or faster-growing markets outside the U.S. Our sales and profitability from our international operations are subject to risks and uncertainties that could have a material adverse effect on our business, financial condition and/or results of operations, many of which we cannot predict, including:</w:t>
      </w:r>
    </w:p>
    <w:p>
      <w:pPr>
        <w:spacing w:after="0" w:line="108" w:lineRule="exact"/>
        <w:rPr>
          <w:sz w:val="20"/>
          <w:szCs w:val="20"/>
          <w:color w:val="auto"/>
        </w:rPr>
      </w:pPr>
    </w:p>
    <w:p>
      <w:pPr>
        <w:ind w:left="620" w:hanging="305"/>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fluctuations in currency exchange rates which may, in some instances affect spending behavior and reduce cash flows and revenue outside the U.S.;</w:t>
      </w:r>
    </w:p>
    <w:p>
      <w:pPr>
        <w:spacing w:after="0" w:line="35" w:lineRule="exact"/>
        <w:rPr>
          <w:rFonts w:ascii="Arial" w:cs="Arial" w:eastAsia="Arial" w:hAnsi="Arial"/>
          <w:sz w:val="16"/>
          <w:szCs w:val="16"/>
          <w:color w:val="auto"/>
        </w:rPr>
      </w:pPr>
    </w:p>
    <w:p>
      <w:pPr>
        <w:ind w:left="620" w:hanging="305"/>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healthcare reform legislation;</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multiple non-U.S. regulatory requirements that are subject to change and could restrict our ability to manufacture and sell our products;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local product preferences and product requirements;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longer-term receivables than are typical in the U.S. and/or the ability to obtain payment;</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trade protection measures and import or export licensing requirements;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less intellectual property protection in some countries outside the U.S. than exists in the U.S.;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different labor regulations and workforce instability;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 w:name="page23"/>
    <w:bookmarkEnd w:id="22"/>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potential payment of U.S. income taxes on earnings of certain foreign subsidiaries subject to U.S. taxation upon repatriation;</w:t>
      </w:r>
    </w:p>
    <w:p>
      <w:pPr>
        <w:spacing w:after="0" w:line="24" w:lineRule="exact"/>
        <w:rPr>
          <w:rFonts w:ascii="Arial" w:cs="Arial" w:eastAsia="Arial" w:hAnsi="Arial"/>
          <w:sz w:val="17"/>
          <w:szCs w:val="17"/>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expiration and non-renewal of foreign tax rulings;</w:t>
      </w:r>
    </w:p>
    <w:p>
      <w:pPr>
        <w:spacing w:after="0" w:line="11" w:lineRule="exact"/>
        <w:rPr>
          <w:rFonts w:ascii="Arial" w:cs="Arial" w:eastAsia="Arial" w:hAnsi="Arial"/>
          <w:sz w:val="17"/>
          <w:szCs w:val="17"/>
          <w:color w:val="auto"/>
        </w:rPr>
      </w:pPr>
    </w:p>
    <w:p>
      <w:pPr>
        <w:ind w:left="620" w:right="40" w:hanging="305"/>
        <w:spacing w:after="0" w:line="254"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potential negative consequences from changes in or interpretation of tax laws, including changes in our effective tax rate or the applicable tax rate in one or more jurisdictions; and</w:t>
      </w:r>
    </w:p>
    <w:p>
      <w:pPr>
        <w:spacing w:after="0" w:line="1" w:lineRule="exact"/>
        <w:rPr>
          <w:rFonts w:ascii="Arial" w:cs="Arial" w:eastAsia="Arial" w:hAnsi="Arial"/>
          <w:sz w:val="17"/>
          <w:szCs w:val="17"/>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economic instability and inflation, recession or interest rate fluctuations.</w:t>
      </w:r>
    </w:p>
    <w:p>
      <w:pPr>
        <w:spacing w:after="0" w:line="233" w:lineRule="exact"/>
        <w:rPr>
          <w:sz w:val="20"/>
          <w:szCs w:val="20"/>
          <w:color w:val="auto"/>
        </w:rPr>
      </w:pPr>
    </w:p>
    <w:p>
      <w:pPr>
        <w:ind w:firstLine="373"/>
        <w:spacing w:after="0" w:line="262" w:lineRule="auto"/>
        <w:rPr>
          <w:sz w:val="20"/>
          <w:szCs w:val="20"/>
          <w:color w:val="auto"/>
        </w:rPr>
      </w:pPr>
      <w:r>
        <w:rPr>
          <w:rFonts w:ascii="Arial" w:cs="Arial" w:eastAsia="Arial" w:hAnsi="Arial"/>
          <w:sz w:val="17"/>
          <w:szCs w:val="17"/>
          <w:color w:val="auto"/>
        </w:rPr>
        <w:t>In addition, the United Kingdom’s (“UK”) departure from the European Union (“EU”) (commonly known as “Brexit”) has created uncertainties affecting business operations in the UK, the EU and a number of other countries, including with respect to compliance with the regulatory regimes regarding the labeling and registration of the products we sell in these markets. While we have taken proactive steps to mitigate possible disruption to our operations, we could face increased costs, volatility in exchange rates, market instability and other risks, depending on the effects of existing and future agreements between the UK and EU regarding Brexit and the future EU/UK trading relationship.</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if we cannot hire or retain qualified personnel.</w:t>
      </w:r>
    </w:p>
    <w:p>
      <w:pPr>
        <w:spacing w:after="0" w:line="168" w:lineRule="exact"/>
        <w:rPr>
          <w:sz w:val="20"/>
          <w:szCs w:val="20"/>
          <w:color w:val="auto"/>
        </w:rPr>
      </w:pPr>
    </w:p>
    <w:p>
      <w:pPr>
        <w:ind w:right="100" w:firstLine="373"/>
        <w:spacing w:after="0" w:line="279" w:lineRule="auto"/>
        <w:rPr>
          <w:sz w:val="20"/>
          <w:szCs w:val="20"/>
          <w:color w:val="auto"/>
        </w:rPr>
      </w:pPr>
      <w:r>
        <w:rPr>
          <w:rFonts w:ascii="Arial" w:cs="Arial" w:eastAsia="Arial" w:hAnsi="Arial"/>
          <w:sz w:val="16"/>
          <w:szCs w:val="16"/>
          <w:color w:val="auto"/>
        </w:rPr>
        <w:t>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CEO. Our ability to maintain and expand our business may be impaired if we are unable to retain our current key personnel or hire or retain other qualified personnel in the future, including personnel for our manufacturing facilities. If we are not able to hire and retain personnel in our manufacturing facilities, we may not meet our production demand. In addition, our sales force is highly talented and there is competition in the sales industry which could have an adverse effect on our business if there is significant turnover.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profitably, our business, financial results and stock price could suffer.</w:t>
      </w:r>
    </w:p>
    <w:p>
      <w:pPr>
        <w:spacing w:after="0" w:line="168" w:lineRule="exact"/>
        <w:rPr>
          <w:sz w:val="20"/>
          <w:szCs w:val="20"/>
          <w:color w:val="auto"/>
        </w:rPr>
      </w:pPr>
    </w:p>
    <w:p>
      <w:pPr>
        <w:ind w:right="20" w:firstLine="373"/>
        <w:spacing w:after="0" w:line="264" w:lineRule="auto"/>
        <w:rPr>
          <w:sz w:val="20"/>
          <w:szCs w:val="20"/>
          <w:color w:val="auto"/>
        </w:rPr>
      </w:pPr>
      <w:r>
        <w:rPr>
          <w:rFonts w:ascii="Arial" w:cs="Arial" w:eastAsia="Arial" w:hAnsi="Arial"/>
          <w:sz w:val="17"/>
          <w:szCs w:val="17"/>
          <w:color w:val="auto"/>
        </w:rPr>
        <w:t>Our future financial results will depend in part on our ability to profitably manage our growth. Management will need to maintain existing customers and attract new customers, recruit, retain and effectively manage employees, as well as expand operations and integrate customer support and financial control systems. If integration-related expenses and capital expenditure requirements are greater than anticipated or if we are unable to manage our growth profitably, our financial results and the market price of our common stock may decline.</w:t>
      </w:r>
    </w:p>
    <w:p>
      <w:pPr>
        <w:spacing w:after="0" w:line="125" w:lineRule="exact"/>
        <w:rPr>
          <w:sz w:val="20"/>
          <w:szCs w:val="20"/>
          <w:color w:val="auto"/>
        </w:rPr>
      </w:pPr>
    </w:p>
    <w:p>
      <w:pPr>
        <w:ind w:right="140" w:firstLine="373"/>
        <w:spacing w:after="0" w:line="262" w:lineRule="auto"/>
        <w:rPr>
          <w:sz w:val="20"/>
          <w:szCs w:val="20"/>
          <w:color w:val="auto"/>
        </w:rPr>
      </w:pPr>
      <w:r>
        <w:rPr>
          <w:rFonts w:ascii="Arial" w:cs="Arial" w:eastAsia="Arial" w:hAnsi="Arial"/>
          <w:sz w:val="17"/>
          <w:szCs w:val="17"/>
          <w:color w:val="auto"/>
        </w:rPr>
        <w:t>In recent years we have begun to implement operational excellence initiatives which include a number of restructuring, realignment and cost reduction initiatives. We may not realize the benefits of these initiatives to the extent or on the timing we anticipated and the ongoing difficulties in implementing these measures may be greater than anticipated, which could cause us to incur additional costs or result in business disruptions. In addition, if these measures are not successful or sustainable, we may undertake additional realignment and cost reduction efforts, which could result in significant additional charges and adversely impact our ability to achieve our other strategic goals and business plans.</w:t>
      </w:r>
    </w:p>
    <w:p>
      <w:pPr>
        <w:spacing w:after="0" w:line="12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We may fail to attract additional capital necessary to expand our business or may incur additional indebtedness which, together with our current indebtedness levels, could impose operating and financial restrictions on us as a result of debt service obligations which could significantly limit our ability to execute our business strategy or curtail our growth.</w:t>
      </w:r>
    </w:p>
    <w:p>
      <w:pPr>
        <w:spacing w:after="0" w:line="121" w:lineRule="exact"/>
        <w:rPr>
          <w:sz w:val="20"/>
          <w:szCs w:val="20"/>
          <w:color w:val="auto"/>
        </w:rPr>
      </w:pPr>
    </w:p>
    <w:p>
      <w:pPr>
        <w:ind w:right="40" w:firstLine="373"/>
        <w:spacing w:after="0" w:line="264" w:lineRule="auto"/>
        <w:rPr>
          <w:sz w:val="20"/>
          <w:szCs w:val="20"/>
          <w:color w:val="auto"/>
        </w:rPr>
      </w:pPr>
      <w:r>
        <w:rPr>
          <w:rFonts w:ascii="Arial" w:cs="Arial" w:eastAsia="Arial" w:hAnsi="Arial"/>
          <w:sz w:val="17"/>
          <w:szCs w:val="17"/>
          <w:color w:val="auto"/>
        </w:rPr>
        <w:t>We may require additional capital to expand our business. If cash generated internally is insufficient to fund capital requirements, we may require additional debt or equity financing. In addition, we may require financing to fund any significant acquisitions we may seek to make. Disruptions in the capital markets have previously resulted, and could again result, in volatility, decreased liquidity, and widening of credit spreads, which could make needed financing either unavailable or available on terms unsatisfactory to us which could result in significant stockholder dilution.</w:t>
      </w:r>
    </w:p>
    <w:p>
      <w:pPr>
        <w:spacing w:after="0" w:line="125" w:lineRule="exact"/>
        <w:rPr>
          <w:sz w:val="20"/>
          <w:szCs w:val="20"/>
          <w:color w:val="auto"/>
        </w:rPr>
      </w:pPr>
    </w:p>
    <w:p>
      <w:pPr>
        <w:ind w:right="40" w:firstLine="373"/>
        <w:spacing w:after="0" w:line="258" w:lineRule="auto"/>
        <w:rPr>
          <w:sz w:val="20"/>
          <w:szCs w:val="20"/>
          <w:color w:val="auto"/>
        </w:rPr>
      </w:pPr>
      <w:r>
        <w:rPr>
          <w:rFonts w:ascii="Arial" w:cs="Arial" w:eastAsia="Arial" w:hAnsi="Arial"/>
          <w:sz w:val="17"/>
          <w:szCs w:val="17"/>
          <w:color w:val="auto"/>
        </w:rPr>
        <w:t>We may incur additional indebtedness or draw additional amounts on our existing credit facilities in the future subject to limitations contained in the agreements governing our debt. The interest rate on potential borrowings could be a floating rate which could expose us to the risk of increased interest expense in the future. The terms of indebtedness could require us to comply with certain financial maintenance covenants. In addition, the terms of our existing indebtedness include, and any future indebtedness could include, covenants restricting or limiting our ability to take certain actions. These covenants could adversely affect our ability to obtain additional financing, to finance future operations, to pursue certain business opportunities or take certain corporate actions. The covenants could also restrict our flexibility in planning for changes in our business and the industry and could make us more vulnerable to economic downturns and adverse developments, could limit our flexibility in planning for, or reacting to, changes and opportunities in the markets in which we compete, could place us at a competitive disadvantage compared to our competitors that have less debt or could require us to dedicate a substantial portion of our cash flow to service our debt.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3" w:name="page24"/>
    <w:bookmarkEnd w:id="23"/>
    <w:p>
      <w:pPr>
        <w:ind w:right="40" w:firstLine="373"/>
        <w:spacing w:after="0" w:line="258" w:lineRule="auto"/>
        <w:rPr>
          <w:sz w:val="20"/>
          <w:szCs w:val="20"/>
          <w:color w:val="auto"/>
        </w:rPr>
      </w:pPr>
      <w:r>
        <w:rPr>
          <w:rFonts w:ascii="Arial" w:cs="Arial" w:eastAsia="Arial" w:hAnsi="Arial"/>
          <w:sz w:val="17"/>
          <w:szCs w:val="17"/>
          <w:color w:val="auto"/>
        </w:rPr>
        <w:t>Our ability to meet our cash requirements, including our debt service obligations, could be dependent upon our operating performance, which would be subject to general economic and competitive conditions and to financial, business and other factors affecting our operations, many of which could be beyond our control. We cannot provide assurance that our business operations would generate sufficient cash flows from operations to fund potential cash requirements and debt service obligations. If our operating results, cash flow or capital resources prove inadequate, we could face substantial liquidity problems and might be required to dispose of material assets or operations to meet our debt and other obligations. If we incurred indebtedness and were unable to service our debt, we could be forced to reduce or delay planned expansions and capital expenditures, sell assets, restructure or refinance our debt or seek additional equity capital, and we could be unable to take any of these actions on satisfactory terms or in a timely manner. Further, any of these actions may not be sufficient to allow us to service our potential debt obligations or could have an adverse impact on our business. Our potential debt agreements could limit our ability to take certain of these actions. Our failure to generate sufficient operating cash flow to pay our potential debts or to successfully undertake any of these actions could have a material adverse effect on us.</w:t>
      </w:r>
    </w:p>
    <w:p>
      <w:pPr>
        <w:spacing w:after="0" w:line="129"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i w:val="1"/>
          <w:iCs w:val="1"/>
          <w:color w:val="auto"/>
        </w:rPr>
        <w:t>Our goodwill, intangible assets and fixed assets are subject to potential impairment; we have recorded significant goodwill impairment charges and may be required to record additional charges to future earnings if our goodwill or intangible assets become impaired.</w:t>
      </w:r>
    </w:p>
    <w:p>
      <w:pPr>
        <w:spacing w:after="0" w:line="108" w:lineRule="exact"/>
        <w:rPr>
          <w:sz w:val="20"/>
          <w:szCs w:val="20"/>
          <w:color w:val="auto"/>
        </w:rPr>
      </w:pPr>
    </w:p>
    <w:p>
      <w:pPr>
        <w:ind w:right="120" w:firstLine="373"/>
        <w:spacing w:after="0" w:line="264" w:lineRule="auto"/>
        <w:rPr>
          <w:sz w:val="20"/>
          <w:szCs w:val="20"/>
          <w:color w:val="auto"/>
        </w:rPr>
      </w:pPr>
      <w:r>
        <w:rPr>
          <w:rFonts w:ascii="Arial" w:cs="Arial" w:eastAsia="Arial" w:hAnsi="Arial"/>
          <w:sz w:val="17"/>
          <w:szCs w:val="17"/>
          <w:color w:val="auto"/>
        </w:rPr>
        <w:t>A significant portion of our assets consists of goodwill, intangible assets and fixed assets, the carrying value of which may be reduced if we determine that those assets are impaired, including intangible assets from recent acquisitions. During the fourth quarter of fiscal year 2021, the Company made the decision to abandon the OARtrac product technology and trademark. This resulted in an impairment charge of $14.0 million. The impairment charge is recorded in "Acquisition, restructuring and other items, net", on the Consolidated Statement of Operations (see Note 19).</w:t>
      </w:r>
    </w:p>
    <w:p>
      <w:pPr>
        <w:spacing w:after="0" w:line="125" w:lineRule="exact"/>
        <w:rPr>
          <w:sz w:val="20"/>
          <w:szCs w:val="20"/>
          <w:color w:val="auto"/>
        </w:rPr>
      </w:pPr>
    </w:p>
    <w:p>
      <w:pPr>
        <w:ind w:firstLine="373"/>
        <w:spacing w:after="0" w:line="275" w:lineRule="auto"/>
        <w:rPr>
          <w:sz w:val="20"/>
          <w:szCs w:val="20"/>
          <w:color w:val="auto"/>
        </w:rPr>
      </w:pPr>
      <w:r>
        <w:rPr>
          <w:rFonts w:ascii="Arial" w:cs="Arial" w:eastAsia="Arial" w:hAnsi="Arial"/>
          <w:sz w:val="16"/>
          <w:szCs w:val="16"/>
          <w:color w:val="auto"/>
        </w:rPr>
        <w:t>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quarterly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we test intangible assets for impairment based on estimates of future cash flows.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When testing for impairment of definite-lived intangible assets held for use, the Company groups assets at the lowest level for which cash flows are separately identifiable. The Company operates as a single asset group. If an intangible asset is considered to be impaired, the amount of the impairment will equal the excess of the carrying value over the fair value of the asset.</w:t>
      </w:r>
    </w:p>
    <w:p>
      <w:pPr>
        <w:spacing w:after="0" w:line="122" w:lineRule="exact"/>
        <w:rPr>
          <w:sz w:val="20"/>
          <w:szCs w:val="20"/>
          <w:color w:val="auto"/>
        </w:rPr>
      </w:pPr>
    </w:p>
    <w:p>
      <w:pPr>
        <w:ind w:right="60" w:firstLine="373"/>
        <w:spacing w:after="0" w:line="282" w:lineRule="auto"/>
        <w:rPr>
          <w:sz w:val="20"/>
          <w:szCs w:val="20"/>
          <w:color w:val="auto"/>
        </w:rPr>
      </w:pPr>
      <w:r>
        <w:rPr>
          <w:rFonts w:ascii="Arial" w:cs="Arial" w:eastAsia="Arial" w:hAnsi="Arial"/>
          <w:sz w:val="16"/>
          <w:szCs w:val="16"/>
          <w:color w:val="auto"/>
        </w:rPr>
        <w:t>Goodwill is required to be tested for impairment at least annually. We review our single reporting unit for potential goodwill impairment in the third fiscal quarter of each year as part of our annual goodwill impairment testing, and more often if an event or circumstance occurs making it likely that impairment exists. The annual goodwill impairment review performed in December 2020 indicated no goodwill impairments. In fiscal year 2020, we recorded a goodwill impairment loss of $158.6 million. If actual results differ from the assumptions and estimates used in the goodwill and intangible asset calculations, we could incur future impairment or amortization charges, which could negatively impact our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limited in our ability to utilize, or may not be able to utilize, net operating loss carryforwards to reduce our future tax liability.</w:t>
      </w:r>
    </w:p>
    <w:p>
      <w:pPr>
        <w:spacing w:after="0" w:line="168" w:lineRule="exact"/>
        <w:rPr>
          <w:sz w:val="20"/>
          <w:szCs w:val="20"/>
          <w:color w:val="auto"/>
        </w:rPr>
      </w:pPr>
    </w:p>
    <w:p>
      <w:pPr>
        <w:ind w:right="60" w:firstLine="373"/>
        <w:spacing w:after="0" w:line="277" w:lineRule="auto"/>
        <w:rPr>
          <w:sz w:val="20"/>
          <w:szCs w:val="20"/>
          <w:color w:val="auto"/>
        </w:rPr>
      </w:pPr>
      <w:r>
        <w:rPr>
          <w:rFonts w:ascii="Arial" w:cs="Arial" w:eastAsia="Arial" w:hAnsi="Arial"/>
          <w:sz w:val="16"/>
          <w:szCs w:val="16"/>
          <w:color w:val="auto"/>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2021 after considering IRC Section 382 limitations are $134.6 million. The expiration of the Federal net operating loss carryforwards is as follows: $8.6 million between 2022 and 2023, $79.4 million between 2028 and 2037 and $46.6 million indefinitely. Our state net operating loss carryforwards as of May 31, 2021 after considering remaining IRC Section 382 limitations are $20.0 million which expire in various years from 2029 to 2041. Future ownership changes within the meaning of IRC Section 382 may also subject our tax loss carryforwards to annual limitations which would restrict our ability to use them to offset our taxable income in periods following the ownership changes. See Note 10 to our consolidated financial statements included in our Annual Report on Form 10-K for the fiscal year ended May 31, 2021 for a further discussion of our tax loss carryovers.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24" w:name="page25"/>
    <w:bookmarkEnd w:id="24"/>
    <w:p>
      <w:pPr>
        <w:ind w:right="20"/>
        <w:spacing w:after="0" w:line="284" w:lineRule="auto"/>
        <w:rPr>
          <w:sz w:val="20"/>
          <w:szCs w:val="20"/>
          <w:color w:val="auto"/>
        </w:rPr>
      </w:pPr>
      <w:r>
        <w:rPr>
          <w:rFonts w:ascii="Arial" w:cs="Arial" w:eastAsia="Arial" w:hAnsi="Arial"/>
          <w:sz w:val="17"/>
          <w:szCs w:val="17"/>
          <w:b w:val="1"/>
          <w:bCs w:val="1"/>
          <w:i w:val="1"/>
          <w:iCs w:val="1"/>
          <w:color w:val="auto"/>
        </w:rPr>
        <w:t>A cyber-attack or other breach of our information technology systems could have a material adverse effect on our business, financial condition and/or results of operations.</w:t>
      </w:r>
    </w:p>
    <w:p>
      <w:pPr>
        <w:spacing w:after="0" w:line="108" w:lineRule="exact"/>
        <w:rPr>
          <w:sz w:val="20"/>
          <w:szCs w:val="20"/>
          <w:color w:val="auto"/>
        </w:rPr>
      </w:pPr>
    </w:p>
    <w:p>
      <w:pPr>
        <w:ind w:right="120" w:firstLine="373"/>
        <w:spacing w:after="0" w:line="279"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cyber-attacks, malicious intrusions, breakdowns, destructions, losses of data privacy, or other significant disruptions. Our information systems require an ongoing commitment of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 with our products or our proprietary information.</w:t>
      </w:r>
    </w:p>
    <w:p>
      <w:pPr>
        <w:spacing w:after="0" w:line="117" w:lineRule="exact"/>
        <w:rPr>
          <w:sz w:val="20"/>
          <w:szCs w:val="20"/>
          <w:color w:val="auto"/>
        </w:rPr>
      </w:pPr>
    </w:p>
    <w:p>
      <w:pPr>
        <w:ind w:firstLine="373"/>
        <w:spacing w:after="0" w:line="259" w:lineRule="auto"/>
        <w:rPr>
          <w:sz w:val="20"/>
          <w:szCs w:val="20"/>
          <w:color w:val="auto"/>
        </w:rPr>
      </w:pPr>
      <w:r>
        <w:rPr>
          <w:rFonts w:ascii="Arial" w:cs="Arial" w:eastAsia="Arial" w:hAnsi="Arial"/>
          <w:sz w:val="17"/>
          <w:szCs w:val="17"/>
          <w:color w:val="auto"/>
        </w:rPr>
        <w:t>Any failure by us to maintain or protect our information technology systems and data integrity, including from cyber-attacks, ransomware, intrusions or other breaches, could result in the unauthorized access to patient data and personally identifiable information, theft of intellectual property,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and/or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disaster at our manufacturing facilities or those of our suppliers could disrupt our ability to manufacture our products for a substantial amount of time.</w:t>
      </w:r>
    </w:p>
    <w:p>
      <w:pPr>
        <w:spacing w:after="0" w:line="191" w:lineRule="exact"/>
        <w:rPr>
          <w:sz w:val="20"/>
          <w:szCs w:val="20"/>
          <w:color w:val="auto"/>
        </w:rPr>
      </w:pPr>
    </w:p>
    <w:p>
      <w:pPr>
        <w:ind w:right="60" w:firstLine="373"/>
        <w:spacing w:after="0" w:line="278" w:lineRule="auto"/>
        <w:rPr>
          <w:sz w:val="20"/>
          <w:szCs w:val="20"/>
          <w:color w:val="auto"/>
        </w:rPr>
      </w:pPr>
      <w:r>
        <w:rPr>
          <w:rFonts w:ascii="Arial" w:cs="Arial" w:eastAsia="Arial" w:hAnsi="Arial"/>
          <w:sz w:val="16"/>
          <w:szCs w:val="16"/>
          <w:color w:val="auto"/>
        </w:rPr>
        <w:t>We conduct our manufacturing and assembly at facilities in Queensbury, New York and Glens Falls, New York. It would be difficult, expensive and time-consuming to transfer resources from one facility to the other and/or replace or repair these facilities or manufacturing equipment if they were significantly affected by a disaster. Additionally, we might be forced to rely on third-party manufacturers or delay production of our products. Insurance for damage to our properties and the disruption of our business from disasters may not be sufficient to cover all of our potential losses and may not continue to be available to us on acceptable terms, or at all. If one of our principal suppliers were to experience a similar disaster, uninsured loss or under-insured loss, we might not be able to obtain adequate alternative sources of supplies or products. Any significant uninsured loss, prolonged or repeated disruption, or inability to operate experienced by us or any of our principal suppliers could cause significant harm to our business, financial condition, results of operations and/or liquidity.</w:t>
      </w:r>
    </w:p>
    <w:p>
      <w:pPr>
        <w:spacing w:after="0" w:line="11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i w:val="1"/>
          <w:iCs w:val="1"/>
          <w:color w:val="auto"/>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spacing w:after="0" w:line="121" w:lineRule="exact"/>
        <w:rPr>
          <w:sz w:val="20"/>
          <w:szCs w:val="20"/>
          <w:color w:val="auto"/>
        </w:rPr>
      </w:pPr>
    </w:p>
    <w:p>
      <w:pPr>
        <w:ind w:firstLine="373"/>
        <w:spacing w:after="0" w:line="277" w:lineRule="auto"/>
        <w:rPr>
          <w:sz w:val="20"/>
          <w:szCs w:val="20"/>
          <w:color w:val="auto"/>
        </w:rPr>
      </w:pPr>
      <w:r>
        <w:rPr>
          <w:rFonts w:ascii="Arial" w:cs="Arial" w:eastAsia="Arial" w:hAnsi="Arial"/>
          <w:sz w:val="16"/>
          <w:szCs w:val="16"/>
          <w:color w:val="auto"/>
        </w:rPr>
        <w:t>Our amended and restated certificate of incorporation and our amended and restated bylaws contain provisions that may enable our management to resist a change in control. For example, our Board of Directors is classified so that not all members of our Board of Directors are elected at one time and our Board of Directors is authorized, without prior stockholder approval, to create and issue “blank check” preferred stock with rights senior to those of our common stock and stockholder action by written consent is prohibited. We are also subject to the provisions of Section 203 of the Delaware General Corporation Law, which may prohibit certain business combinations with stockholders owning 15% or more of our outstanding voting stock. These provisions may discourage, delay or prevent a change in the ownership of our Company or a change in our management. In addition, these provisions could limit the price that investors would be willing to pay in the future for shares of our common stock. Any delay or prevention of a change of control transaction or changes in our Board of Directors could cause the market price of our common stock to decline.</w:t>
      </w:r>
    </w:p>
    <w:p>
      <w:pPr>
        <w:spacing w:after="0" w:line="116"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b w:val="1"/>
          <w:bCs w:val="1"/>
          <w:i w:val="1"/>
          <w:iCs w:val="1"/>
          <w:color w:val="auto"/>
        </w:rPr>
        <w:t>The COVID-19 pandemic has negatively impacted our business and operations around the world and may continue to materially and adversely impact our business, operations and financial results.</w:t>
      </w:r>
    </w:p>
    <w:p>
      <w:pPr>
        <w:spacing w:after="0" w:line="108" w:lineRule="exact"/>
        <w:rPr>
          <w:sz w:val="20"/>
          <w:szCs w:val="20"/>
          <w:color w:val="auto"/>
        </w:rPr>
      </w:pPr>
    </w:p>
    <w:p>
      <w:pPr>
        <w:ind w:right="160" w:firstLine="373"/>
        <w:spacing w:after="0" w:line="269" w:lineRule="auto"/>
        <w:rPr>
          <w:sz w:val="20"/>
          <w:szCs w:val="20"/>
          <w:color w:val="auto"/>
        </w:rPr>
      </w:pPr>
      <w:r>
        <w:rPr>
          <w:rFonts w:ascii="Arial" w:cs="Arial" w:eastAsia="Arial" w:hAnsi="Arial"/>
          <w:sz w:val="17"/>
          <w:szCs w:val="17"/>
          <w:color w:val="auto"/>
        </w:rPr>
        <w:t>The COVID-19 pandemic has created significant disruption and uncertainty in the global economy, has negatively impacted our business, results of operations and financial condition, and we anticipate that it may continue to negatively impact our business, results of operations and financial condition for the foreseeable future.</w:t>
      </w:r>
    </w:p>
    <w:p>
      <w:pPr>
        <w:spacing w:after="0" w:line="121" w:lineRule="exact"/>
        <w:rPr>
          <w:sz w:val="20"/>
          <w:szCs w:val="20"/>
          <w:color w:val="auto"/>
        </w:rPr>
      </w:pPr>
    </w:p>
    <w:p>
      <w:pPr>
        <w:ind w:right="140" w:firstLine="373"/>
        <w:spacing w:after="0" w:line="264" w:lineRule="auto"/>
        <w:rPr>
          <w:sz w:val="20"/>
          <w:szCs w:val="20"/>
          <w:color w:val="auto"/>
        </w:rPr>
      </w:pPr>
      <w:r>
        <w:rPr>
          <w:rFonts w:ascii="Arial" w:cs="Arial" w:eastAsia="Arial" w:hAnsi="Arial"/>
          <w:sz w:val="17"/>
          <w:szCs w:val="17"/>
          <w:color w:val="auto"/>
        </w:rPr>
        <w:t>Numerous national, international, state and local jurisdictions have imposed, and others in the future may impose, a variety of government orders and restrictions for their residents to control the spread of COVID-19. Such orders or restrictions may cause significant alteration of our operations, work stoppages, slowdowns and delays, travel restrictions and event cancellations, among other effects, thereby significantly and negatively impacting our operations. Other disruptions or potential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5" w:name="page26"/>
    <w:bookmarkEnd w:id="25"/>
    <w:p>
      <w:pPr>
        <w:ind w:right="40"/>
        <w:spacing w:after="0" w:line="260" w:lineRule="auto"/>
        <w:rPr>
          <w:sz w:val="20"/>
          <w:szCs w:val="20"/>
          <w:color w:val="auto"/>
        </w:rPr>
      </w:pPr>
      <w:r>
        <w:rPr>
          <w:rFonts w:ascii="Arial" w:cs="Arial" w:eastAsia="Arial" w:hAnsi="Arial"/>
          <w:sz w:val="17"/>
          <w:szCs w:val="17"/>
          <w:color w:val="auto"/>
        </w:rPr>
        <w:t>disruptions include (i) restrictions on our personnel and personnel of business partners to travel and access customers for training and case support; (ii) reductions in spending by our customers; (iii) delays in approvals by regulatory bodies; (iv) diversion of or limitations on employee resources that would otherwise be focused on the operations of our business, including because of sickness of employees or their families or the desire of employees to avoid contact with large groups of people; (v) reductions in our sales team, including through layoffs, furloughs or other losses of sales representatives; (vi) additional government requirements or other incremental mitigation efforts that may further impact our or our suppliers’ capacity to manufacture our products; (vii) disruption of our research and development activities; and (viii) delays in ongoing studies and pre-clinical trials.</w:t>
      </w:r>
    </w:p>
    <w:p>
      <w:pPr>
        <w:spacing w:after="0" w:line="130" w:lineRule="exact"/>
        <w:rPr>
          <w:sz w:val="20"/>
          <w:szCs w:val="20"/>
          <w:color w:val="auto"/>
        </w:rPr>
      </w:pPr>
    </w:p>
    <w:p>
      <w:pPr>
        <w:ind w:right="60" w:firstLine="373"/>
        <w:spacing w:after="0" w:line="278" w:lineRule="auto"/>
        <w:rPr>
          <w:sz w:val="20"/>
          <w:szCs w:val="20"/>
          <w:color w:val="auto"/>
        </w:rPr>
      </w:pPr>
      <w:r>
        <w:rPr>
          <w:rFonts w:ascii="Arial" w:cs="Arial" w:eastAsia="Arial" w:hAnsi="Arial"/>
          <w:sz w:val="16"/>
          <w:szCs w:val="16"/>
          <w:color w:val="auto"/>
        </w:rPr>
        <w:t>In addition, elective procedures that use our products significantly decreased in number during fiscal year 2021, as health care organizations around the world prioritized the treatment of patients with COVID-19 and reduced spending in other areas. For example, in the United States, governmental authorities have recommended, and in certain cases required, that elective, deferrable, specialty and other procedures and appointments, be suspended or canceled to avoid non-essential patient exposure to medical environments and potential infection with COVID-19 and to focus limited resources and personnel capacity toward the treatment of COVID-19 patients. Many of these procedures that use our products have been suspended or postponed. While certain of these procedures have resumed in certain locations, it is unclear when or if all procedures in all locations will resume. Similarly, our clinical trials may be materially impacted by the coronavirus as hospitals prioritize treating coronavirus patients.</w:t>
      </w:r>
    </w:p>
    <w:p>
      <w:pPr>
        <w:spacing w:after="0" w:line="116" w:lineRule="exact"/>
        <w:rPr>
          <w:sz w:val="20"/>
          <w:szCs w:val="20"/>
          <w:color w:val="auto"/>
        </w:rPr>
      </w:pPr>
    </w:p>
    <w:p>
      <w:pPr>
        <w:ind w:right="20" w:firstLine="373"/>
        <w:spacing w:after="0" w:line="286" w:lineRule="auto"/>
        <w:rPr>
          <w:sz w:val="20"/>
          <w:szCs w:val="20"/>
          <w:color w:val="auto"/>
        </w:rPr>
      </w:pPr>
      <w:r>
        <w:rPr>
          <w:rFonts w:ascii="Arial" w:cs="Arial" w:eastAsia="Arial" w:hAnsi="Arial"/>
          <w:sz w:val="16"/>
          <w:szCs w:val="16"/>
          <w:color w:val="auto"/>
        </w:rPr>
        <w:t>In addition, most of the hospitals and clinics that purchase our products have instituted strict procedures at their facilities in an effort to prevent the spread of COVID-19, including restrictions on sales representatives entering these facilities. This has been, and currently remains, a major impediment to our sales efforts, as supporting existing customers and acquiring new customers is much more difficult in this environment. These restrictions have had an effect on our sales and, until they are lifted, our business, operations and financial results will continue to be adversely impacted.</w:t>
      </w:r>
    </w:p>
    <w:p>
      <w:pPr>
        <w:spacing w:after="0" w:line="108" w:lineRule="exact"/>
        <w:rPr>
          <w:sz w:val="20"/>
          <w:szCs w:val="20"/>
          <w:color w:val="auto"/>
        </w:rPr>
      </w:pPr>
    </w:p>
    <w:p>
      <w:pPr>
        <w:ind w:firstLine="373"/>
        <w:spacing w:after="0" w:line="277" w:lineRule="auto"/>
        <w:rPr>
          <w:sz w:val="20"/>
          <w:szCs w:val="20"/>
          <w:color w:val="auto"/>
        </w:rPr>
      </w:pPr>
      <w:r>
        <w:rPr>
          <w:rFonts w:ascii="Arial" w:cs="Arial" w:eastAsia="Arial" w:hAnsi="Arial"/>
          <w:sz w:val="16"/>
          <w:szCs w:val="16"/>
          <w:color w:val="auto"/>
        </w:rPr>
        <w:t>These challenges and restrictions will likely continue for the duration of the pandemic, which is uncertain, and may even continue beyond the pandemic. Many areas are relaxing restrictions and resuming business operations, but a resurgence in infections or mutations of the coronavirus that causes COVID-19 could cause authorities to reinstate such restrictions or impose additional restrictions. All of these factors also may cause or contribute to disruptions and delays in our logistics and supply chain. The extent to which the COVID-19 pandemic impacts our business, operations and financial results will depend on future developments that are uncertain and cannot be predicted, including new information that may emerge concerning the severity and spread of the virus and the actions by government entities, our customers and other parties to contain the virus or treat its impact, among others. To the extent the COVID-19 pandemic adversely affects our business, operations and financial results, it may also have the effect of heightening other risks described herein, such as those relating to general economic conditions, demand for our products, relationships with suppliers and sales efforts.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REGULATORY ENVIRONMENT</w:t>
      </w:r>
    </w:p>
    <w:p>
      <w:pPr>
        <w:spacing w:after="0" w:line="174"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b w:val="1"/>
          <w:bCs w:val="1"/>
          <w:i w:val="1"/>
          <w:iCs w:val="1"/>
          <w:color w:val="auto"/>
        </w:rPr>
        <w:t>We are subject to a comprehensive system of federal, state and international laws and regulations, and we could be the subject of investigations, enforcement actions or face lawsuits and monetary or equitable judgments.</w:t>
      </w:r>
    </w:p>
    <w:p>
      <w:pPr>
        <w:spacing w:after="0" w:line="108" w:lineRule="exact"/>
        <w:rPr>
          <w:sz w:val="20"/>
          <w:szCs w:val="20"/>
          <w:color w:val="auto"/>
        </w:rPr>
      </w:pPr>
    </w:p>
    <w:p>
      <w:pPr>
        <w:ind w:right="20" w:firstLine="373"/>
        <w:spacing w:after="0" w:line="273" w:lineRule="auto"/>
        <w:rPr>
          <w:sz w:val="20"/>
          <w:szCs w:val="20"/>
          <w:color w:val="auto"/>
        </w:rPr>
      </w:pPr>
      <w:r>
        <w:rPr>
          <w:rFonts w:ascii="Arial" w:cs="Arial" w:eastAsia="Arial" w:hAnsi="Arial"/>
          <w:sz w:val="16"/>
          <w:szCs w:val="16"/>
          <w:color w:val="auto"/>
        </w:rPr>
        <w:t>We operate in many parts of the world, and our operations are affected by complex state, federal and international laws relating to healthcare, environmental protection, antitrust, anti-corruption, anti-bribery, fraud and abuse, export control, tax, employment and laws regarding privacy, personally identifiable information and protected health information, including, for example, the Food, Drug and Cosmetic Act (“FDCA”), various FDA and international regulations relating to, among other things, the development, quality assurance, manufacturing, importation, distribution, marketing and sale of, and billing for, our products, the federal Anti-Kickback Statute and Federal False Claims Act (Note 17), the U.S. Foreign Corrupt Practices Act (“FCPA”) and similar anti-bribery laws in international jurisdictions, including the UK Anti-Bribery Act, the federal Health Insurance Portability and Accountability Act of 1996 (“HIPAA”), General Data Protection Regulation (“GDPR”), domestic and foreign data protection, data security and privacy laws, laws related to the collection, storage, use and disclosure of personal data and laws and regulations relating to sanctions and money laundering. The failure to comply with these laws and regulatory standards, allegations of such non-compliance or the discovery of previously unknown problems with a product or manufacturer: (i) could result in FDA Form-483 notices and/or warning letters or the foreign equivalent, fines, delays or suspensions of regulatory clearances, investigations, detainment, seizures or recalls of products (with the attendant expenses), the banning of a particular device, an order to replace or refund the cost of any device previously manufactured or distributed, operating restrictions and/or civil or criminal prosecution, and/or penalties, as well as decreased sales as a result of negative publicity and product liability claims; (ii) could expose us to breach of contract claims, fines and penalties, costs for remediation and harm to our reputation; (iii) could result in criminal or civil sanctions, including substantial fines, imprisonment and exclusion from participation in healthcare programs such as Medicare and Medicaid and health programs outside the United States; and (iv) could otherwise disrupt our business and could have a material adverse effect on our business, financial condition, results of operations and/or liquidity.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6" w:name="page27"/>
    <w:bookmarkEnd w:id="26"/>
    <w:p>
      <w:pPr>
        <w:ind w:right="40" w:firstLine="373"/>
        <w:spacing w:after="0" w:line="296" w:lineRule="auto"/>
        <w:rPr>
          <w:sz w:val="20"/>
          <w:szCs w:val="20"/>
          <w:color w:val="auto"/>
        </w:rPr>
      </w:pPr>
      <w:r>
        <w:rPr>
          <w:rFonts w:ascii="Arial" w:cs="Arial" w:eastAsia="Arial" w:hAnsi="Arial"/>
          <w:sz w:val="15"/>
          <w:szCs w:val="15"/>
          <w:color w:val="auto"/>
        </w:rPr>
        <w:t>The healthcare industry is under continued scrutiny from state, federal and international governments, including with respect to industry practices in the area of sales and marketing.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If our marketing, sales or other activities fail to comply with the FDA’s or other comparable foreign regulatory agencies’ regulations or guidelines, or other applicable laws, we may be subject to warnings from the FDA or investigations or enforcement actions from the FDA, Medicare, the Office of Inspector General of the U.S. Department of Health and Human Services or other government agencies or enforcement bodies. We anticipate that the government will continue to scrutinize our industry closely, and that additional regulation by governmental authorities may increase compliance costs, increase exposure to litigation and may have other adverse effects to our operations. The Company’s failure to comply with any marketing or sales regulations or any other applicable regulatory requirements could adversely affect our business, results of operations, financial condition and/or liquidity.</w:t>
      </w:r>
    </w:p>
    <w:p>
      <w:pPr>
        <w:spacing w:after="0" w:line="108" w:lineRule="exact"/>
        <w:rPr>
          <w:sz w:val="20"/>
          <w:szCs w:val="20"/>
          <w:color w:val="auto"/>
        </w:rPr>
      </w:pPr>
    </w:p>
    <w:p>
      <w:pPr>
        <w:ind w:right="20" w:firstLine="373"/>
        <w:spacing w:after="0" w:line="264" w:lineRule="auto"/>
        <w:rPr>
          <w:sz w:val="20"/>
          <w:szCs w:val="20"/>
          <w:color w:val="auto"/>
        </w:rPr>
      </w:pPr>
      <w:r>
        <w:rPr>
          <w:rFonts w:ascii="Arial" w:cs="Arial" w:eastAsia="Arial" w:hAnsi="Arial"/>
          <w:sz w:val="17"/>
          <w:szCs w:val="17"/>
          <w:color w:val="auto"/>
        </w:rPr>
        <w:t>In addition, lawsuits by or otherwise involving employees, customers, licensors, licensees, suppliers, vendors, business partners, distributors, shareholders or competitors with respect to how we conduct our business could be very costly and could substantially disrupt our business. The occurrence of an adverse monetary or equitable judgment or a large expenditure in connection with a settlement of any of these matters could have a material adverse effect on our business, financial condition, results of operations and/or liquidity.</w:t>
      </w:r>
    </w:p>
    <w:p>
      <w:pPr>
        <w:spacing w:after="0" w:line="125"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b w:val="1"/>
          <w:bCs w:val="1"/>
          <w:i w:val="1"/>
          <w:iCs w:val="1"/>
          <w:color w:val="auto"/>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spacing w:after="0" w:line="121" w:lineRule="exact"/>
        <w:rPr>
          <w:sz w:val="20"/>
          <w:szCs w:val="20"/>
          <w:color w:val="auto"/>
        </w:rPr>
      </w:pPr>
    </w:p>
    <w:p>
      <w:pPr>
        <w:ind w:right="20" w:firstLine="373"/>
        <w:spacing w:after="0" w:line="295" w:lineRule="auto"/>
        <w:rPr>
          <w:sz w:val="20"/>
          <w:szCs w:val="20"/>
          <w:color w:val="auto"/>
        </w:rPr>
      </w:pPr>
      <w:r>
        <w:rPr>
          <w:rFonts w:ascii="Arial" w:cs="Arial" w:eastAsia="Arial" w:hAnsi="Arial"/>
          <w:sz w:val="15"/>
          <w:szCs w:val="15"/>
          <w:color w:val="auto"/>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and with current medical device adverse event reporting regulations, and similar foreign rules and regulations. The FDA enforces the QSR through unannounced inspections. Despite our training and compliance programs, our internal control policies and procedures may not always protect us from negligent, reckless or criminal acts committed by our employees or agents.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 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obtain and maintain marketing clearance or approval from governmental agencies, we will not be able to sell our products.</w:t>
      </w:r>
    </w:p>
    <w:p>
      <w:pPr>
        <w:spacing w:after="0" w:line="168" w:lineRule="exact"/>
        <w:rPr>
          <w:sz w:val="20"/>
          <w:szCs w:val="20"/>
          <w:color w:val="auto"/>
        </w:rPr>
      </w:pPr>
    </w:p>
    <w:p>
      <w:pPr>
        <w:ind w:firstLine="373"/>
        <w:spacing w:after="0" w:line="259" w:lineRule="auto"/>
        <w:rPr>
          <w:sz w:val="20"/>
          <w:szCs w:val="20"/>
          <w:color w:val="auto"/>
        </w:rPr>
      </w:pPr>
      <w:r>
        <w:rPr>
          <w:rFonts w:ascii="Arial" w:cs="Arial" w:eastAsia="Arial" w:hAnsi="Arial"/>
          <w:sz w:val="17"/>
          <w:szCs w:val="17"/>
          <w:color w:val="auto"/>
        </w:rPr>
        <w:t>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 have used for our current products. This process usually takes from four to twelve months from the date the premarket notification is submitted to the FDA, but may take significantly longer. Even after a device receives regulatory approval it remains subject to significant regulatory and quality requirements, such as manufacturing, recordkeeping, renewal, recertification or reporting and other post market approval requirements, which may include clinical, laboratory or other studies.</w:t>
      </w:r>
    </w:p>
    <w:p>
      <w:pPr>
        <w:spacing w:after="0" w:line="131" w:lineRule="exact"/>
        <w:rPr>
          <w:sz w:val="20"/>
          <w:szCs w:val="20"/>
          <w:color w:val="auto"/>
        </w:rPr>
      </w:pPr>
    </w:p>
    <w:p>
      <w:pPr>
        <w:ind w:right="100" w:firstLine="373"/>
        <w:spacing w:after="0" w:line="305" w:lineRule="auto"/>
        <w:rPr>
          <w:sz w:val="20"/>
          <w:szCs w:val="20"/>
          <w:color w:val="auto"/>
        </w:rPr>
      </w:pPr>
      <w:r>
        <w:rPr>
          <w:rFonts w:ascii="Arial" w:cs="Arial" w:eastAsia="Arial" w:hAnsi="Arial"/>
          <w:sz w:val="15"/>
          <w:szCs w:val="15"/>
          <w:color w:val="auto"/>
        </w:rPr>
        <w:t>Product approvals by the FDA and other foreign regulators can be withdrawn due to failure to comply with regulatory standards or the occurrence of unforeseen problems following initial approval or may be re-classified to a higher regulatory classification, such as requiring a PMA for a previously cleared 510(k) device. The PMA process is much more costly, lengthy and uncertain. It generally takes from one to three years from the date the application is submitted to, and filed with the FDA, and may take even longer. In addition, any modification to an FDA-cleared medical device that could significantly affect its safety or effectiveness, or that would constitute a major change or modification in its intended use, requires a new FDA 510(k) clearance or, possibly, a PMA.</w:t>
      </w:r>
    </w:p>
    <w:p>
      <w:pPr>
        <w:spacing w:after="0" w:line="97" w:lineRule="exact"/>
        <w:rPr>
          <w:sz w:val="20"/>
          <w:szCs w:val="20"/>
          <w:color w:val="auto"/>
        </w:rPr>
      </w:pPr>
    </w:p>
    <w:p>
      <w:pPr>
        <w:ind w:right="260" w:firstLine="373"/>
        <w:spacing w:after="0" w:line="284" w:lineRule="auto"/>
        <w:rPr>
          <w:sz w:val="20"/>
          <w:szCs w:val="20"/>
          <w:color w:val="auto"/>
        </w:rPr>
      </w:pPr>
      <w:r>
        <w:rPr>
          <w:rFonts w:ascii="Arial" w:cs="Arial" w:eastAsia="Arial" w:hAnsi="Arial"/>
          <w:sz w:val="17"/>
          <w:szCs w:val="17"/>
          <w:color w:val="auto"/>
        </w:rPr>
        <w:t>Regulatory regimes in other countries similarly require approval or clearance prior to our marketing or selling products in those countries. We rely on our distributors to obtain regulatory clearances or approvals of our products outside of the United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7" w:name="page28"/>
    <w:bookmarkEnd w:id="27"/>
    <w:p>
      <w:pPr>
        <w:ind w:right="200"/>
        <w:spacing w:after="0" w:line="317" w:lineRule="auto"/>
        <w:rPr>
          <w:sz w:val="20"/>
          <w:szCs w:val="20"/>
          <w:color w:val="auto"/>
        </w:rPr>
      </w:pPr>
      <w:r>
        <w:rPr>
          <w:rFonts w:ascii="Arial" w:cs="Arial" w:eastAsia="Arial" w:hAnsi="Arial"/>
          <w:sz w:val="16"/>
          <w:szCs w:val="16"/>
          <w:color w:val="auto"/>
        </w:rPr>
        <w:t>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may be subject to product recalls, which may harm our reputation and divert managerial and financial resources.</w:t>
      </w:r>
    </w:p>
    <w:p>
      <w:pPr>
        <w:spacing w:after="0" w:line="168" w:lineRule="exact"/>
        <w:rPr>
          <w:sz w:val="20"/>
          <w:szCs w:val="20"/>
          <w:color w:val="auto"/>
        </w:rPr>
      </w:pPr>
    </w:p>
    <w:p>
      <w:pPr>
        <w:ind w:right="100" w:firstLine="373"/>
        <w:spacing w:after="0" w:line="277" w:lineRule="auto"/>
        <w:rPr>
          <w:sz w:val="20"/>
          <w:szCs w:val="20"/>
          <w:color w:val="auto"/>
        </w:rPr>
      </w:pPr>
      <w:r>
        <w:rPr>
          <w:rFonts w:ascii="Arial" w:cs="Arial" w:eastAsia="Arial" w:hAnsi="Arial"/>
          <w:sz w:val="16"/>
          <w:szCs w:val="16"/>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device, or if the governmental entity finds that our products would cause serious adverse health consequences. A government mandated voluntary recall or field action by us could occur as a result of component failures, manufacturing errors or design defects, including labeling defects. Any recall of our products may harm our reputation with customers and divert managerial, engineering and financial resources.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A recall of any of our products could harm our reputation, divert managerial and financial resources and have a material adverse effect on our business, financial condition, results of operations and/or liquidity.</w:t>
      </w:r>
    </w:p>
    <w:p>
      <w:pPr>
        <w:spacing w:after="0" w:line="116"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auto"/>
        </w:rPr>
        <w:t>We may be subject to fines, penalties, injunctions or costly investigations if we are determined to be promoting the use of our products for unapproved or “off-label” uses.</w:t>
      </w:r>
    </w:p>
    <w:p>
      <w:pPr>
        <w:spacing w:after="0" w:line="108" w:lineRule="exact"/>
        <w:rPr>
          <w:sz w:val="20"/>
          <w:szCs w:val="20"/>
          <w:color w:val="auto"/>
        </w:rPr>
      </w:pPr>
    </w:p>
    <w:p>
      <w:pPr>
        <w:ind w:right="20" w:firstLine="373"/>
        <w:spacing w:after="0" w:line="259" w:lineRule="auto"/>
        <w:rPr>
          <w:sz w:val="20"/>
          <w:szCs w:val="20"/>
          <w:color w:val="auto"/>
        </w:rPr>
      </w:pPr>
      <w:r>
        <w:rPr>
          <w:rFonts w:ascii="Arial" w:cs="Arial" w:eastAsia="Arial" w:hAnsi="Arial"/>
          <w:sz w:val="17"/>
          <w:szCs w:val="17"/>
          <w:color w:val="auto"/>
        </w:rPr>
        <w:t>If we are incorrect in our belief that our promotional materials and training methods regarding physicians are conducted in compliance with regulations of the FDA and other applicable regulations, and the FDA determines that our promotional materials or training constitutes promotion of an unapproved use, the FDA could request that we modify our training or promotional materials or subject us to regulatory enforcement actions, including the issuance of a warning letter, injunction, seizure, civil fine and criminal penalties. It is also possible that other federal, state or foreign enforcement authorities might take action if they consider promotional or training materials to constitute promotion of an unapproved use, which could result in significant fines or penalties under other statutory authorities, such as laws prohibiting false claims for reimbursement. Any of these results could have a material adverse effect on our business, financial condition, results of operations and/or liquidity.</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Laws and regulations governing the export of our products could adversely impact our business. If the U.S. government imposes strict sanctions on Iran, our revenue could be impacted.</w:t>
      </w:r>
    </w:p>
    <w:p>
      <w:pPr>
        <w:spacing w:after="0" w:line="108" w:lineRule="exact"/>
        <w:rPr>
          <w:sz w:val="20"/>
          <w:szCs w:val="20"/>
          <w:color w:val="auto"/>
        </w:rPr>
      </w:pPr>
    </w:p>
    <w:p>
      <w:pPr>
        <w:ind w:right="80" w:firstLine="373"/>
        <w:spacing w:after="0" w:line="282" w:lineRule="auto"/>
        <w:rPr>
          <w:sz w:val="20"/>
          <w:szCs w:val="20"/>
          <w:color w:val="auto"/>
        </w:rPr>
      </w:pPr>
      <w:r>
        <w:rPr>
          <w:rFonts w:ascii="Arial" w:cs="Arial" w:eastAsia="Arial" w:hAnsi="Arial"/>
          <w:sz w:val="16"/>
          <w:szCs w:val="16"/>
          <w:color w:val="auto"/>
        </w:rPr>
        <w:t>The U.S. Department of the Treasury’s Office of Foreign Assets Control (OFAC), and the Bureau of Industry and Security at the U.S. Department of Commerce (BIS), administer certain laws and regulations that restrict U.S. persons and, in some instances, non-U.S. persons, in conducting activities, transacting business with or making investments in certain countries, governments, entities and individuals subject to U.S. economic sanctions. Due to our international operations, we are subject to such laws and regulations, which are complex, restrict our business dealings with certain countries and individuals, and are constantly changing. Further restrictions may be enacted, amended, enforced or interpreted in a manner that materially impacts our operations.</w:t>
      </w:r>
    </w:p>
    <w:p>
      <w:pPr>
        <w:spacing w:after="0" w:line="112" w:lineRule="exact"/>
        <w:rPr>
          <w:sz w:val="20"/>
          <w:szCs w:val="20"/>
          <w:color w:val="auto"/>
        </w:rPr>
      </w:pPr>
    </w:p>
    <w:p>
      <w:pPr>
        <w:ind w:right="140" w:firstLine="373"/>
        <w:spacing w:after="0" w:line="264" w:lineRule="auto"/>
        <w:rPr>
          <w:sz w:val="20"/>
          <w:szCs w:val="20"/>
          <w:color w:val="auto"/>
        </w:rPr>
      </w:pPr>
      <w:r>
        <w:rPr>
          <w:rFonts w:ascii="Arial" w:cs="Arial" w:eastAsia="Arial" w:hAnsi="Arial"/>
          <w:sz w:val="17"/>
          <w:szCs w:val="17"/>
          <w:color w:val="auto"/>
        </w:rPr>
        <w:t>In fiscal year 2021 we generated $1.5 million of revenue for sales to distributors doing business in Iran. We continuously review our ability to sell products to distributors that conduct business in Iran in accordance with all applicable U.S. laws. If laws, rules or regulations of the United States with respect to doing business in, or with parties that do business in, Iran change to restrict our ability to generate revenue in Iran, our revenue could decline, impacting our results of operations.</w:t>
      </w:r>
    </w:p>
    <w:p>
      <w:pPr>
        <w:spacing w:after="0" w:line="125" w:lineRule="exact"/>
        <w:rPr>
          <w:sz w:val="20"/>
          <w:szCs w:val="20"/>
          <w:color w:val="auto"/>
        </w:rPr>
      </w:pPr>
    </w:p>
    <w:p>
      <w:pPr>
        <w:ind w:right="160" w:firstLine="373"/>
        <w:spacing w:after="0" w:line="279" w:lineRule="auto"/>
        <w:rPr>
          <w:sz w:val="20"/>
          <w:szCs w:val="20"/>
          <w:color w:val="auto"/>
        </w:rPr>
      </w:pPr>
      <w:r>
        <w:rPr>
          <w:rFonts w:ascii="Arial" w:cs="Arial" w:eastAsia="Arial" w:hAnsi="Arial"/>
          <w:sz w:val="16"/>
          <w:szCs w:val="16"/>
          <w:color w:val="auto"/>
        </w:rPr>
        <w:t>From time to time, we have limited business dealings in countries subject to comprehensive sanctions. These business dealings may expose us to a heightened risk of violating applicable sanctions regulations. Violations of these regulations are punishable by civil penalties, including fines, denial of export privileges, injunctions, asset seizures, debarment from government contracts, revocations or restrictions of licenses, and/or criminal fines and imprisonment. We have established policies and procedures designed to assist with our compliance with such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74"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b w:val="1"/>
          <w:bCs w:val="1"/>
          <w:i w:val="1"/>
          <w:iCs w:val="1"/>
          <w:color w:val="auto"/>
        </w:rPr>
        <w:t>If we fail to adequately protect our intellectual property rights, we may not be able to generate revenues from new or existing products and our business may suffer.</w:t>
      </w:r>
    </w:p>
    <w:p>
      <w:pPr>
        <w:spacing w:after="0" w:line="108" w:lineRule="exact"/>
        <w:rPr>
          <w:sz w:val="20"/>
          <w:szCs w:val="20"/>
          <w:color w:val="auto"/>
        </w:rPr>
      </w:pPr>
    </w:p>
    <w:p>
      <w:pPr>
        <w:ind w:right="80" w:firstLine="373"/>
        <w:spacing w:after="0" w:line="262" w:lineRule="auto"/>
        <w:rPr>
          <w:sz w:val="20"/>
          <w:szCs w:val="20"/>
          <w:color w:val="auto"/>
        </w:rPr>
      </w:pPr>
      <w:r>
        <w:rPr>
          <w:rFonts w:ascii="Arial" w:cs="Arial" w:eastAsia="Arial" w:hAnsi="Arial"/>
          <w:sz w:val="17"/>
          <w:szCs w:val="17"/>
          <w:color w:val="auto"/>
        </w:rPr>
        <w:t>Our success depends in part on obtaining, maintaining and enforcing our patents, trademarks and other proprietary rights, and our ability to avoid infringing the proprietary rights of others.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 patents, that any current or future patents issued to, or licensed by, us will not be challenged or circumvented by our competitors, or that our patents will not be found invalid.</w:t>
      </w:r>
    </w:p>
    <w:p>
      <w:pPr>
        <w:spacing w:after="0" w:line="126" w:lineRule="exact"/>
        <w:rPr>
          <w:sz w:val="20"/>
          <w:szCs w:val="20"/>
          <w:color w:val="auto"/>
        </w:rPr>
      </w:pPr>
    </w:p>
    <w:p>
      <w:pPr>
        <w:ind w:right="100" w:firstLine="373"/>
        <w:spacing w:after="0" w:line="262" w:lineRule="auto"/>
        <w:rPr>
          <w:sz w:val="20"/>
          <w:szCs w:val="20"/>
          <w:color w:val="auto"/>
        </w:rPr>
      </w:pPr>
      <w:r>
        <w:rPr>
          <w:rFonts w:ascii="Arial" w:cs="Arial" w:eastAsia="Arial" w:hAnsi="Arial"/>
          <w:sz w:val="17"/>
          <w:szCs w:val="17"/>
          <w:color w:val="auto"/>
        </w:rPr>
        <w:t>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w:t>
      </w:r>
    </w:p>
    <w:p>
      <w:pPr>
        <w:spacing w:after="0" w:line="126" w:lineRule="exact"/>
        <w:rPr>
          <w:sz w:val="20"/>
          <w:szCs w:val="20"/>
          <w:color w:val="auto"/>
        </w:rPr>
      </w:pPr>
    </w:p>
    <w:p>
      <w:pPr>
        <w:ind w:right="20" w:firstLine="373"/>
        <w:spacing w:after="0" w:line="277" w:lineRule="auto"/>
        <w:rPr>
          <w:sz w:val="20"/>
          <w:szCs w:val="20"/>
          <w:color w:val="auto"/>
        </w:rPr>
      </w:pPr>
      <w:r>
        <w:rPr>
          <w:rFonts w:ascii="Arial" w:cs="Arial" w:eastAsia="Arial" w:hAnsi="Arial"/>
          <w:sz w:val="16"/>
          <w:szCs w:val="16"/>
          <w:color w:val="auto"/>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 If we are not able to adequately protect our intellectual property, our market share, financial condition and results of operations may suffer.</w:t>
      </w:r>
    </w:p>
    <w:p>
      <w:pPr>
        <w:spacing w:after="0" w:line="116"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auto"/>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spacing w:after="0" w:line="108" w:lineRule="exact"/>
        <w:rPr>
          <w:sz w:val="20"/>
          <w:szCs w:val="20"/>
          <w:color w:val="auto"/>
        </w:rPr>
      </w:pPr>
    </w:p>
    <w:p>
      <w:pPr>
        <w:ind w:firstLine="373"/>
        <w:spacing w:after="0" w:line="276" w:lineRule="auto"/>
        <w:rPr>
          <w:sz w:val="20"/>
          <w:szCs w:val="20"/>
          <w:color w:val="auto"/>
        </w:rPr>
      </w:pPr>
      <w:r>
        <w:rPr>
          <w:rFonts w:ascii="Arial" w:cs="Arial" w:eastAsia="Arial" w:hAnsi="Arial"/>
          <w:sz w:val="16"/>
          <w:szCs w:val="16"/>
          <w:color w:val="auto"/>
        </w:rPr>
        <w:t>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and publication of discoveries in the scientific or patent literature often lag behind actual discoveries.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 effort. Such claims could also cause our customers or potential customers to purchase competitors’ products or defer or limit their purchase or use of our affected products until resolution of the claim. See Part I, Item 3 "Legal Proceedings" of this report for additional details on litigation regarding proprietary technology.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STOCK PRICE</w:t>
      </w:r>
    </w:p>
    <w:p>
      <w:pPr>
        <w:spacing w:after="0" w:line="174"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b w:val="1"/>
          <w:bCs w:val="1"/>
          <w:i w:val="1"/>
          <w:iCs w:val="1"/>
          <w:color w:val="auto"/>
        </w:rPr>
        <w:t>Our future operating results are difficult to predict and may vary significantly from quarter to quarter, which may adversely affect the price of our common stock.</w:t>
      </w:r>
    </w:p>
    <w:p>
      <w:pPr>
        <w:spacing w:after="0" w:line="108" w:lineRule="exact"/>
        <w:rPr>
          <w:sz w:val="20"/>
          <w:szCs w:val="20"/>
          <w:color w:val="auto"/>
        </w:rPr>
      </w:pPr>
    </w:p>
    <w:p>
      <w:pPr>
        <w:ind w:right="420" w:firstLine="373"/>
        <w:spacing w:after="0" w:line="264" w:lineRule="auto"/>
        <w:rPr>
          <w:sz w:val="20"/>
          <w:szCs w:val="20"/>
          <w:color w:val="auto"/>
        </w:rPr>
      </w:pPr>
      <w:r>
        <w:rPr>
          <w:rFonts w:ascii="Arial" w:cs="Arial" w:eastAsia="Arial" w:hAnsi="Arial"/>
          <w:sz w:val="17"/>
          <w:szCs w:val="17"/>
          <w:color w:val="auto"/>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spacing w:after="0" w:line="125" w:lineRule="exact"/>
        <w:rPr>
          <w:sz w:val="20"/>
          <w:szCs w:val="20"/>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level of sales of our products and services in our markets;</w:t>
      </w:r>
    </w:p>
    <w:p>
      <w:pPr>
        <w:spacing w:after="0" w:line="24"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introduce new products or services and enhancements in a timely manner;</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demand for and acceptance of our products and services;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9" w:name="page30"/>
    <w:bookmarkEnd w:id="29"/>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success of our competition and the introduction of alternative products or services;</w:t>
      </w:r>
    </w:p>
    <w:p>
      <w:pPr>
        <w:spacing w:after="0" w:line="24"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command favorable pricing for our products and services;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growth of the market for our devices and services;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expansion and rate of success of our direct sales force in the United States and internationally and our independent distributors internationally;</w:t>
      </w:r>
    </w:p>
    <w:p>
      <w:pPr>
        <w:spacing w:after="0" w:line="23" w:lineRule="exact"/>
        <w:rPr>
          <w:rFonts w:ascii="Arial" w:cs="Arial" w:eastAsia="Arial" w:hAnsi="Arial"/>
          <w:sz w:val="16"/>
          <w:szCs w:val="16"/>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actions relating to ongoing FDA compliance;</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integrate acquired assets or companies;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 of intellectual property disputes;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size and timing of orders from independent distributors or customers;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attraction and retention of key personnel, particularly in sales and marketing, regulatory, manufacturing and research and development;</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unanticipated delays or an inability to control costs;</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 economic conditions as well as those specific to our customers and markets; and</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seasonal fluctuations in revenue due to the elective nature of some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which may cause the value of our stock to decline or subject us to a securities class action litigation.</w:t>
      </w:r>
    </w:p>
    <w:p>
      <w:pPr>
        <w:spacing w:after="0" w:line="168" w:lineRule="exact"/>
        <w:rPr>
          <w:sz w:val="20"/>
          <w:szCs w:val="20"/>
          <w:color w:val="auto"/>
        </w:rPr>
      </w:pPr>
    </w:p>
    <w:p>
      <w:pPr>
        <w:ind w:firstLine="373"/>
        <w:spacing w:after="0" w:line="264" w:lineRule="auto"/>
        <w:rPr>
          <w:sz w:val="20"/>
          <w:szCs w:val="20"/>
          <w:color w:val="auto"/>
        </w:rPr>
      </w:pPr>
      <w:r>
        <w:rPr>
          <w:rFonts w:ascii="Arial" w:cs="Arial" w:eastAsia="Arial" w:hAnsi="Arial"/>
          <w:sz w:val="17"/>
          <w:szCs w:val="17"/>
          <w:color w:val="auto"/>
        </w:rPr>
        <w:t>The trading price of our common stock price may be volatile and could be subject to wide fluctuations in price in response to various factors, many of which are beyond our control, attributable to outside factors and/or unrelated to operating performance. Such factors may include comments by securities analysts or other third parties, including blogs, articles, message boards and social and other media coverage which may not be attributable to us and may not be reliable or accurate.</w:t>
      </w:r>
    </w:p>
    <w:p>
      <w:pPr>
        <w:spacing w:after="0" w:line="125" w:lineRule="exact"/>
        <w:rPr>
          <w:sz w:val="20"/>
          <w:szCs w:val="20"/>
          <w:color w:val="auto"/>
        </w:rPr>
      </w:pPr>
    </w:p>
    <w:p>
      <w:pPr>
        <w:ind w:right="180" w:firstLine="373"/>
        <w:spacing w:after="0" w:line="321" w:lineRule="auto"/>
        <w:rPr>
          <w:sz w:val="20"/>
          <w:szCs w:val="20"/>
          <w:color w:val="auto"/>
        </w:rPr>
      </w:pPr>
      <w:r>
        <w:rPr>
          <w:rFonts w:ascii="Arial" w:cs="Arial" w:eastAsia="Arial" w:hAnsi="Arial"/>
          <w:sz w:val="15"/>
          <w:szCs w:val="15"/>
          <w:color w:val="auto"/>
        </w:rPr>
        <w:t>The NASDAQ Stock Market and medical devices companies in particular have experienced substantial price and volume volatility that is often seemingly unrelated to the operating performance of the companies. These broad market fluctuations may cause the trading price of our common stock to decline. In the past, securities class action litigation has often been brought against a company after a period of volatility in the market price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year ended May 31, 2021, we operated in the following locations:</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2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Location</w:t>
            </w:r>
          </w:p>
        </w:tc>
        <w:tc>
          <w:tcPr>
            <w:tcW w:w="4780" w:type="dxa"/>
            <w:vAlign w:val="bottom"/>
            <w:vMerge w:val="restart"/>
          </w:tcPr>
          <w:p>
            <w:pPr>
              <w:jc w:val="center"/>
              <w:ind w:left="736"/>
              <w:spacing w:after="0"/>
              <w:rPr>
                <w:sz w:val="20"/>
                <w:szCs w:val="20"/>
                <w:color w:val="auto"/>
              </w:rPr>
            </w:pPr>
            <w:r>
              <w:rPr>
                <w:rFonts w:ascii="Arial" w:cs="Arial" w:eastAsia="Arial" w:hAnsi="Arial"/>
                <w:sz w:val="14"/>
                <w:szCs w:val="14"/>
                <w:b w:val="1"/>
                <w:bCs w:val="1"/>
                <w:color w:val="auto"/>
                <w:w w:val="85"/>
              </w:rPr>
              <w:t>Purpose</w:t>
            </w:r>
          </w:p>
        </w:tc>
        <w:tc>
          <w:tcPr>
            <w:tcW w:w="1820" w:type="dxa"/>
            <w:vAlign w:val="bottom"/>
          </w:tcPr>
          <w:p>
            <w:pPr>
              <w:jc w:val="right"/>
              <w:ind w:right="418"/>
              <w:spacing w:after="0"/>
              <w:rPr>
                <w:sz w:val="20"/>
                <w:szCs w:val="20"/>
                <w:color w:val="auto"/>
              </w:rPr>
            </w:pPr>
            <w:r>
              <w:rPr>
                <w:rFonts w:ascii="Arial" w:cs="Arial" w:eastAsia="Arial" w:hAnsi="Arial"/>
                <w:sz w:val="14"/>
                <w:szCs w:val="14"/>
                <w:b w:val="1"/>
                <w:bCs w:val="1"/>
                <w:color w:val="auto"/>
              </w:rPr>
              <w:t>Approx.</w:t>
            </w:r>
          </w:p>
        </w:tc>
        <w:tc>
          <w:tcPr>
            <w:tcW w:w="1100" w:type="dxa"/>
            <w:vAlign w:val="bottom"/>
          </w:tcPr>
          <w:p>
            <w:pPr>
              <w:jc w:val="right"/>
              <w:ind w:right="38"/>
              <w:spacing w:after="0"/>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0"/>
        </w:trPr>
        <w:tc>
          <w:tcPr>
            <w:tcW w:w="3200" w:type="dxa"/>
            <w:vAlign w:val="bottom"/>
            <w:tcBorders>
              <w:bottom w:val="single" w:sz="8" w:color="auto"/>
            </w:tcBorders>
            <w:vMerge w:val="continue"/>
          </w:tcPr>
          <w:p>
            <w:pPr>
              <w:spacing w:after="0"/>
              <w:rPr>
                <w:sz w:val="15"/>
                <w:szCs w:val="15"/>
                <w:color w:val="auto"/>
              </w:rPr>
            </w:pPr>
          </w:p>
        </w:tc>
        <w:tc>
          <w:tcPr>
            <w:tcW w:w="4780" w:type="dxa"/>
            <w:vAlign w:val="bottom"/>
            <w:tcBorders>
              <w:bottom w:val="single" w:sz="8" w:color="auto"/>
            </w:tcBorders>
            <w:vMerge w:val="continue"/>
          </w:tcPr>
          <w:p>
            <w:pPr>
              <w:spacing w:after="0"/>
              <w:rPr>
                <w:sz w:val="15"/>
                <w:szCs w:val="15"/>
                <w:color w:val="auto"/>
              </w:rPr>
            </w:pPr>
          </w:p>
        </w:tc>
        <w:tc>
          <w:tcPr>
            <w:tcW w:w="182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Sq. Ft.</w:t>
            </w: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Latham, NY</w:t>
            </w:r>
          </w:p>
        </w:tc>
        <w:tc>
          <w:tcPr>
            <w:tcW w:w="4780" w:type="dxa"/>
            <w:vAlign w:val="bottom"/>
            <w:shd w:val="clear" w:color="auto" w:fill="CCEEFF"/>
          </w:tcPr>
          <w:p>
            <w:pPr>
              <w:jc w:val="center"/>
              <w:ind w:left="736"/>
              <w:spacing w:after="0"/>
              <w:rPr>
                <w:sz w:val="20"/>
                <w:szCs w:val="20"/>
                <w:color w:val="auto"/>
              </w:rPr>
            </w:pPr>
            <w:r>
              <w:rPr>
                <w:rFonts w:ascii="Arial" w:cs="Arial" w:eastAsia="Arial" w:hAnsi="Arial"/>
                <w:sz w:val="17"/>
                <w:szCs w:val="17"/>
                <w:color w:val="auto"/>
                <w:w w:val="88"/>
              </w:rPr>
              <w:t>Corporate headquarters</w:t>
            </w:r>
          </w:p>
        </w:tc>
        <w:tc>
          <w:tcPr>
            <w:tcW w:w="18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39,000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Lease</w:t>
            </w:r>
          </w:p>
        </w:tc>
        <w:tc>
          <w:tcPr>
            <w:tcW w:w="0" w:type="dxa"/>
            <w:vAlign w:val="bottom"/>
          </w:tcPr>
          <w:p>
            <w:pPr>
              <w:spacing w:after="0"/>
              <w:rPr>
                <w:sz w:val="1"/>
                <w:szCs w:val="1"/>
                <w:color w:val="auto"/>
              </w:rPr>
            </w:pPr>
          </w:p>
        </w:tc>
      </w:tr>
      <w:tr>
        <w:trPr>
          <w:trHeight w:val="220"/>
        </w:trPr>
        <w:tc>
          <w:tcPr>
            <w:tcW w:w="3200" w:type="dxa"/>
            <w:vAlign w:val="bottom"/>
          </w:tcPr>
          <w:p>
            <w:pPr>
              <w:ind w:left="440"/>
              <w:spacing w:after="0"/>
              <w:rPr>
                <w:sz w:val="20"/>
                <w:szCs w:val="20"/>
                <w:color w:val="auto"/>
              </w:rPr>
            </w:pPr>
            <w:r>
              <w:rPr>
                <w:rFonts w:ascii="Arial" w:cs="Arial" w:eastAsia="Arial" w:hAnsi="Arial"/>
                <w:sz w:val="17"/>
                <w:szCs w:val="17"/>
                <w:color w:val="auto"/>
              </w:rPr>
              <w:t>Glens Falls, NY</w:t>
            </w:r>
          </w:p>
        </w:tc>
        <w:tc>
          <w:tcPr>
            <w:tcW w:w="4780" w:type="dxa"/>
            <w:vAlign w:val="bottom"/>
          </w:tcPr>
          <w:p>
            <w:pPr>
              <w:jc w:val="center"/>
              <w:ind w:left="736"/>
              <w:spacing w:after="0"/>
              <w:rPr>
                <w:sz w:val="20"/>
                <w:szCs w:val="20"/>
                <w:color w:val="auto"/>
              </w:rPr>
            </w:pPr>
            <w:r>
              <w:rPr>
                <w:rFonts w:ascii="Arial" w:cs="Arial" w:eastAsia="Arial" w:hAnsi="Arial"/>
                <w:sz w:val="17"/>
                <w:szCs w:val="17"/>
                <w:color w:val="auto"/>
                <w:w w:val="96"/>
              </w:rPr>
              <w:t>Manufacturing</w:t>
            </w:r>
          </w:p>
        </w:tc>
        <w:tc>
          <w:tcPr>
            <w:tcW w:w="1820" w:type="dxa"/>
            <w:vAlign w:val="bottom"/>
          </w:tcPr>
          <w:p>
            <w:pPr>
              <w:jc w:val="right"/>
              <w:ind w:right="278"/>
              <w:spacing w:after="0"/>
              <w:rPr>
                <w:sz w:val="20"/>
                <w:szCs w:val="20"/>
                <w:color w:val="auto"/>
              </w:rPr>
            </w:pPr>
            <w:r>
              <w:rPr>
                <w:rFonts w:ascii="Arial" w:cs="Arial" w:eastAsia="Arial" w:hAnsi="Arial"/>
                <w:sz w:val="17"/>
                <w:szCs w:val="17"/>
                <w:color w:val="auto"/>
              </w:rPr>
              <w:t>41,000</w:t>
            </w:r>
          </w:p>
        </w:tc>
        <w:tc>
          <w:tcPr>
            <w:tcW w:w="1100" w:type="dxa"/>
            <w:vAlign w:val="bottom"/>
          </w:tcPr>
          <w:p>
            <w:pPr>
              <w:jc w:val="right"/>
              <w:spacing w:after="0"/>
              <w:rPr>
                <w:sz w:val="20"/>
                <w:szCs w:val="20"/>
                <w:color w:val="auto"/>
              </w:rPr>
            </w:pPr>
            <w:r>
              <w:rPr>
                <w:rFonts w:ascii="Arial" w:cs="Arial" w:eastAsia="Arial" w:hAnsi="Arial"/>
                <w:sz w:val="17"/>
                <w:szCs w:val="17"/>
                <w:color w:val="auto"/>
              </w:rPr>
              <w:t>Owne</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Queensbury, NY</w:t>
            </w:r>
          </w:p>
        </w:tc>
        <w:tc>
          <w:tcPr>
            <w:tcW w:w="4780" w:type="dxa"/>
            <w:vAlign w:val="bottom"/>
            <w:shd w:val="clear" w:color="auto" w:fill="CCEEFF"/>
          </w:tcPr>
          <w:p>
            <w:pPr>
              <w:jc w:val="center"/>
              <w:ind w:left="736"/>
              <w:spacing w:after="0"/>
              <w:rPr>
                <w:sz w:val="20"/>
                <w:szCs w:val="20"/>
                <w:color w:val="auto"/>
              </w:rPr>
            </w:pPr>
            <w:r>
              <w:rPr>
                <w:rFonts w:ascii="Arial" w:cs="Arial" w:eastAsia="Arial" w:hAnsi="Arial"/>
                <w:sz w:val="17"/>
                <w:szCs w:val="17"/>
                <w:color w:val="auto"/>
                <w:w w:val="94"/>
              </w:rPr>
              <w:t>Manufacturing and distribution</w:t>
            </w:r>
          </w:p>
        </w:tc>
        <w:tc>
          <w:tcPr>
            <w:tcW w:w="18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194,000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Owne</w:t>
            </w:r>
          </w:p>
        </w:tc>
        <w:tc>
          <w:tcPr>
            <w:tcW w:w="0" w:type="dxa"/>
            <w:vAlign w:val="bottom"/>
          </w:tcPr>
          <w:p>
            <w:pPr>
              <w:spacing w:after="0"/>
              <w:rPr>
                <w:sz w:val="1"/>
                <w:szCs w:val="1"/>
                <w:color w:val="auto"/>
              </w:rPr>
            </w:pPr>
          </w:p>
        </w:tc>
      </w:tr>
      <w:tr>
        <w:trPr>
          <w:trHeight w:val="220"/>
        </w:trPr>
        <w:tc>
          <w:tcPr>
            <w:tcW w:w="3200" w:type="dxa"/>
            <w:vAlign w:val="bottom"/>
          </w:tcPr>
          <w:p>
            <w:pPr>
              <w:ind w:left="440"/>
              <w:spacing w:after="0"/>
              <w:rPr>
                <w:sz w:val="20"/>
                <w:szCs w:val="20"/>
                <w:color w:val="auto"/>
              </w:rPr>
            </w:pPr>
            <w:r>
              <w:rPr>
                <w:rFonts w:ascii="Arial" w:cs="Arial" w:eastAsia="Arial" w:hAnsi="Arial"/>
                <w:sz w:val="17"/>
                <w:szCs w:val="17"/>
                <w:color w:val="auto"/>
              </w:rPr>
              <w:t>Marlborough, MA</w:t>
            </w:r>
          </w:p>
        </w:tc>
        <w:tc>
          <w:tcPr>
            <w:tcW w:w="4780" w:type="dxa"/>
            <w:vAlign w:val="bottom"/>
          </w:tcPr>
          <w:p>
            <w:pPr>
              <w:jc w:val="center"/>
              <w:ind w:left="756"/>
              <w:spacing w:after="0"/>
              <w:rPr>
                <w:sz w:val="20"/>
                <w:szCs w:val="20"/>
                <w:color w:val="auto"/>
              </w:rPr>
            </w:pPr>
            <w:r>
              <w:rPr>
                <w:rFonts w:ascii="Arial" w:cs="Arial" w:eastAsia="Arial" w:hAnsi="Arial"/>
                <w:sz w:val="17"/>
                <w:szCs w:val="17"/>
                <w:color w:val="auto"/>
                <w:w w:val="89"/>
              </w:rPr>
              <w:t>Research and development</w:t>
            </w:r>
          </w:p>
        </w:tc>
        <w:tc>
          <w:tcPr>
            <w:tcW w:w="1820" w:type="dxa"/>
            <w:vAlign w:val="bottom"/>
          </w:tcPr>
          <w:p>
            <w:pPr>
              <w:jc w:val="right"/>
              <w:ind w:right="278"/>
              <w:spacing w:after="0"/>
              <w:rPr>
                <w:sz w:val="20"/>
                <w:szCs w:val="20"/>
                <w:color w:val="auto"/>
              </w:rPr>
            </w:pPr>
            <w:r>
              <w:rPr>
                <w:rFonts w:ascii="Arial" w:cs="Arial" w:eastAsia="Arial" w:hAnsi="Arial"/>
                <w:sz w:val="17"/>
                <w:szCs w:val="17"/>
                <w:color w:val="auto"/>
              </w:rPr>
              <w:t>31,000</w:t>
            </w:r>
          </w:p>
        </w:tc>
        <w:tc>
          <w:tcPr>
            <w:tcW w:w="1100" w:type="dxa"/>
            <w:vAlign w:val="bottom"/>
          </w:tcPr>
          <w:p>
            <w:pPr>
              <w:jc w:val="right"/>
              <w:spacing w:after="0"/>
              <w:rPr>
                <w:sz w:val="20"/>
                <w:szCs w:val="20"/>
                <w:color w:val="auto"/>
              </w:rPr>
            </w:pPr>
            <w:r>
              <w:rPr>
                <w:rFonts w:ascii="Arial" w:cs="Arial" w:eastAsia="Arial" w:hAnsi="Arial"/>
                <w:sz w:val="17"/>
                <w:szCs w:val="17"/>
                <w:color w:val="auto"/>
              </w:rPr>
              <w:t>Lease</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Amsterdam, NL</w:t>
            </w:r>
          </w:p>
        </w:tc>
        <w:tc>
          <w:tcPr>
            <w:tcW w:w="4780" w:type="dxa"/>
            <w:vAlign w:val="bottom"/>
            <w:shd w:val="clear" w:color="auto" w:fill="CCEEFF"/>
          </w:tcPr>
          <w:p>
            <w:pPr>
              <w:jc w:val="center"/>
              <w:ind w:left="736"/>
              <w:spacing w:after="0"/>
              <w:rPr>
                <w:sz w:val="20"/>
                <w:szCs w:val="20"/>
                <w:color w:val="auto"/>
              </w:rPr>
            </w:pPr>
            <w:r>
              <w:rPr>
                <w:rFonts w:ascii="Arial" w:cs="Arial" w:eastAsia="Arial" w:hAnsi="Arial"/>
                <w:sz w:val="17"/>
                <w:szCs w:val="17"/>
                <w:color w:val="auto"/>
                <w:w w:val="93"/>
              </w:rPr>
              <w:t>Selling, marketing and administrative</w:t>
            </w:r>
          </w:p>
        </w:tc>
        <w:tc>
          <w:tcPr>
            <w:tcW w:w="18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8,100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Lease</w:t>
            </w:r>
          </w:p>
        </w:tc>
        <w:tc>
          <w:tcPr>
            <w:tcW w:w="0" w:type="dxa"/>
            <w:vAlign w:val="bottom"/>
          </w:tcPr>
          <w:p>
            <w:pPr>
              <w:spacing w:after="0"/>
              <w:rPr>
                <w:sz w:val="1"/>
                <w:szCs w:val="1"/>
                <w:color w:val="auto"/>
              </w:rPr>
            </w:pPr>
          </w:p>
        </w:tc>
      </w:tr>
      <w:tr>
        <w:trPr>
          <w:trHeight w:val="221"/>
        </w:trPr>
        <w:tc>
          <w:tcPr>
            <w:tcW w:w="3200" w:type="dxa"/>
            <w:vAlign w:val="bottom"/>
          </w:tcPr>
          <w:p>
            <w:pPr>
              <w:ind w:left="440"/>
              <w:spacing w:after="0"/>
              <w:rPr>
                <w:sz w:val="20"/>
                <w:szCs w:val="20"/>
                <w:color w:val="auto"/>
              </w:rPr>
            </w:pPr>
            <w:r>
              <w:rPr>
                <w:rFonts w:ascii="Arial" w:cs="Arial" w:eastAsia="Arial" w:hAnsi="Arial"/>
                <w:sz w:val="17"/>
                <w:szCs w:val="17"/>
                <w:color w:val="auto"/>
              </w:rPr>
              <w:t>Rehovot, IL</w:t>
            </w:r>
          </w:p>
        </w:tc>
        <w:tc>
          <w:tcPr>
            <w:tcW w:w="4780" w:type="dxa"/>
            <w:vAlign w:val="bottom"/>
          </w:tcPr>
          <w:p>
            <w:pPr>
              <w:jc w:val="center"/>
              <w:ind w:left="756"/>
              <w:spacing w:after="0"/>
              <w:rPr>
                <w:sz w:val="20"/>
                <w:szCs w:val="20"/>
                <w:color w:val="auto"/>
              </w:rPr>
            </w:pPr>
            <w:r>
              <w:rPr>
                <w:rFonts w:ascii="Arial" w:cs="Arial" w:eastAsia="Arial" w:hAnsi="Arial"/>
                <w:sz w:val="17"/>
                <w:szCs w:val="17"/>
                <w:color w:val="auto"/>
                <w:w w:val="89"/>
              </w:rPr>
              <w:t>Research and development</w:t>
            </w:r>
          </w:p>
        </w:tc>
        <w:tc>
          <w:tcPr>
            <w:tcW w:w="1820" w:type="dxa"/>
            <w:vAlign w:val="bottom"/>
          </w:tcPr>
          <w:p>
            <w:pPr>
              <w:jc w:val="right"/>
              <w:ind w:right="278"/>
              <w:spacing w:after="0"/>
              <w:rPr>
                <w:sz w:val="20"/>
                <w:szCs w:val="20"/>
                <w:color w:val="auto"/>
              </w:rPr>
            </w:pPr>
            <w:r>
              <w:rPr>
                <w:rFonts w:ascii="Arial" w:cs="Arial" w:eastAsia="Arial" w:hAnsi="Arial"/>
                <w:sz w:val="17"/>
                <w:szCs w:val="17"/>
                <w:color w:val="auto"/>
              </w:rPr>
              <w:t>4,300</w:t>
            </w:r>
          </w:p>
        </w:tc>
        <w:tc>
          <w:tcPr>
            <w:tcW w:w="1100" w:type="dxa"/>
            <w:vAlign w:val="bottom"/>
          </w:tcPr>
          <w:p>
            <w:pPr>
              <w:jc w:val="right"/>
              <w:spacing w:after="0"/>
              <w:rPr>
                <w:sz w:val="20"/>
                <w:szCs w:val="20"/>
                <w:color w:val="auto"/>
              </w:rPr>
            </w:pPr>
            <w:r>
              <w:rPr>
                <w:rFonts w:ascii="Arial" w:cs="Arial" w:eastAsia="Arial" w:hAnsi="Arial"/>
                <w:sz w:val="17"/>
                <w:szCs w:val="17"/>
                <w:color w:val="auto"/>
              </w:rPr>
              <w:t>Lease</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addition, we lease sales offices in various other jurisdictions.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regarding legal proceedings is included in Note 17 to our consolidated financial statements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49"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7"/>
          <w:szCs w:val="17"/>
          <w:b w:val="1"/>
          <w:bCs w:val="1"/>
          <w:color w:val="auto"/>
        </w:rPr>
        <w:t>Part II</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common stock is traded on the Global Select Market tier of the NASDAQ Stock Market LLC, under the symbol “ANGO.”</w:t>
      </w:r>
    </w:p>
    <w:p>
      <w:pPr>
        <w:spacing w:after="0" w:line="168" w:lineRule="exact"/>
        <w:rPr>
          <w:sz w:val="20"/>
          <w:szCs w:val="20"/>
          <w:color w:val="auto"/>
        </w:rPr>
      </w:pPr>
    </w:p>
    <w:p>
      <w:pPr>
        <w:ind w:right="420" w:firstLine="428"/>
        <w:spacing w:after="0" w:line="284" w:lineRule="auto"/>
        <w:rPr>
          <w:sz w:val="20"/>
          <w:szCs w:val="20"/>
          <w:color w:val="auto"/>
        </w:rPr>
      </w:pPr>
      <w:r>
        <w:rPr>
          <w:rFonts w:ascii="Arial" w:cs="Arial" w:eastAsia="Arial" w:hAnsi="Arial"/>
          <w:sz w:val="17"/>
          <w:szCs w:val="17"/>
          <w:color w:val="auto"/>
        </w:rPr>
        <w:t>The following table sets forth, for the fiscal quarters indicated, the high and low sale prices for our common stock as reported by the NASDAQ Stock Market.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color w:val="auto"/>
              </w:rPr>
              <w:t>Sale Price</w:t>
            </w:r>
          </w:p>
        </w:tc>
        <w:tc>
          <w:tcPr>
            <w:tcW w:w="1280" w:type="dxa"/>
            <w:vAlign w:val="bottom"/>
            <w:tcBorders>
              <w:bottom w:val="single" w:sz="8" w:color="auto"/>
            </w:tcBorders>
          </w:tcPr>
          <w:p>
            <w:pPr>
              <w:spacing w:after="0"/>
              <w:rPr>
                <w:sz w:val="15"/>
                <w:szCs w:val="15"/>
                <w:color w:val="auto"/>
              </w:rPr>
            </w:pPr>
          </w:p>
        </w:tc>
      </w:tr>
      <w:tr>
        <w:trPr>
          <w:trHeight w:val="177"/>
        </w:trPr>
        <w:tc>
          <w:tcPr>
            <w:tcW w:w="7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color w:val="auto"/>
              </w:rPr>
              <w:t>High</w:t>
            </w:r>
          </w:p>
        </w:tc>
        <w:tc>
          <w:tcPr>
            <w:tcW w:w="500" w:type="dxa"/>
            <w:vAlign w:val="bottom"/>
          </w:tcPr>
          <w:p>
            <w:pPr>
              <w:spacing w:after="0"/>
              <w:rPr>
                <w:sz w:val="15"/>
                <w:szCs w:val="15"/>
                <w:color w:val="auto"/>
              </w:rPr>
            </w:pPr>
          </w:p>
        </w:tc>
        <w:tc>
          <w:tcPr>
            <w:tcW w:w="1280" w:type="dxa"/>
            <w:vAlign w:val="bottom"/>
          </w:tcPr>
          <w:p>
            <w:pPr>
              <w:jc w:val="right"/>
              <w:ind w:right="677"/>
              <w:spacing w:after="0"/>
              <w:rPr>
                <w:sz w:val="20"/>
                <w:szCs w:val="20"/>
                <w:color w:val="auto"/>
              </w:rPr>
            </w:pPr>
            <w:r>
              <w:rPr>
                <w:rFonts w:ascii="Arial" w:cs="Arial" w:eastAsia="Arial" w:hAnsi="Arial"/>
                <w:sz w:val="14"/>
                <w:szCs w:val="14"/>
                <w:color w:val="auto"/>
              </w:rPr>
              <w:t>Low</w:t>
            </w:r>
          </w:p>
        </w:tc>
      </w:tr>
      <w:tr>
        <w:trPr>
          <w:trHeight w:val="204"/>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May 31, 2021</w:t>
            </w:r>
          </w:p>
        </w:tc>
        <w:tc>
          <w:tcPr>
            <w:tcW w:w="4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20"/>
        </w:trPr>
        <w:tc>
          <w:tcPr>
            <w:tcW w:w="7540" w:type="dxa"/>
            <w:vAlign w:val="bottom"/>
          </w:tcPr>
          <w:p>
            <w:pPr>
              <w:ind w:left="20"/>
              <w:spacing w:after="0"/>
              <w:rPr>
                <w:sz w:val="20"/>
                <w:szCs w:val="20"/>
                <w:color w:val="auto"/>
              </w:rPr>
            </w:pPr>
            <w:r>
              <w:rPr>
                <w:rFonts w:ascii="Arial" w:cs="Arial" w:eastAsia="Arial" w:hAnsi="Arial"/>
                <w:sz w:val="17"/>
                <w:szCs w:val="17"/>
                <w:color w:val="auto"/>
              </w:rPr>
              <w:t>Fourth Quarter</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25.12</w:t>
            </w:r>
          </w:p>
        </w:tc>
        <w:tc>
          <w:tcPr>
            <w:tcW w:w="10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20.61</w:t>
            </w:r>
          </w:p>
        </w:tc>
      </w:tr>
      <w:tr>
        <w:trPr>
          <w:trHeight w:val="220"/>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Third Quarter</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w:t>
            </w:r>
          </w:p>
        </w:tc>
      </w:tr>
      <w:tr>
        <w:trPr>
          <w:trHeight w:val="220"/>
        </w:trPr>
        <w:tc>
          <w:tcPr>
            <w:tcW w:w="7540" w:type="dxa"/>
            <w:vAlign w:val="bottom"/>
          </w:tcPr>
          <w:p>
            <w:pPr>
              <w:ind w:left="20"/>
              <w:spacing w:after="0"/>
              <w:rPr>
                <w:sz w:val="20"/>
                <w:szCs w:val="20"/>
                <w:color w:val="auto"/>
              </w:rPr>
            </w:pPr>
            <w:r>
              <w:rPr>
                <w:rFonts w:ascii="Arial" w:cs="Arial" w:eastAsia="Arial" w:hAnsi="Arial"/>
                <w:sz w:val="17"/>
                <w:szCs w:val="17"/>
                <w:color w:val="auto"/>
              </w:rPr>
              <w:t>Second Quarter</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14.38</w:t>
            </w:r>
          </w:p>
        </w:tc>
        <w:tc>
          <w:tcPr>
            <w:tcW w:w="10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9.10</w:t>
            </w:r>
          </w:p>
        </w:tc>
      </w:tr>
      <w:tr>
        <w:trPr>
          <w:trHeight w:val="220"/>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First Quarter</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w:t>
            </w:r>
          </w:p>
        </w:tc>
      </w:tr>
      <w:tr>
        <w:trPr>
          <w:trHeight w:val="227"/>
        </w:trPr>
        <w:tc>
          <w:tcPr>
            <w:tcW w:w="75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color w:val="auto"/>
              </w:rPr>
              <w:t>Sale Price</w:t>
            </w:r>
          </w:p>
        </w:tc>
        <w:tc>
          <w:tcPr>
            <w:tcW w:w="1280" w:type="dxa"/>
            <w:vAlign w:val="bottom"/>
            <w:tcBorders>
              <w:bottom w:val="single" w:sz="8" w:color="auto"/>
            </w:tcBorders>
          </w:tcPr>
          <w:p>
            <w:pPr>
              <w:spacing w:after="0"/>
              <w:rPr>
                <w:sz w:val="19"/>
                <w:szCs w:val="19"/>
                <w:color w:val="auto"/>
              </w:rPr>
            </w:pPr>
          </w:p>
        </w:tc>
      </w:tr>
      <w:tr>
        <w:trPr>
          <w:trHeight w:val="177"/>
        </w:trPr>
        <w:tc>
          <w:tcPr>
            <w:tcW w:w="7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color w:val="auto"/>
              </w:rPr>
              <w:t>High</w:t>
            </w:r>
          </w:p>
        </w:tc>
        <w:tc>
          <w:tcPr>
            <w:tcW w:w="500" w:type="dxa"/>
            <w:vAlign w:val="bottom"/>
          </w:tcPr>
          <w:p>
            <w:pPr>
              <w:spacing w:after="0"/>
              <w:rPr>
                <w:sz w:val="15"/>
                <w:szCs w:val="15"/>
                <w:color w:val="auto"/>
              </w:rPr>
            </w:pPr>
          </w:p>
        </w:tc>
        <w:tc>
          <w:tcPr>
            <w:tcW w:w="1280" w:type="dxa"/>
            <w:vAlign w:val="bottom"/>
          </w:tcPr>
          <w:p>
            <w:pPr>
              <w:jc w:val="right"/>
              <w:ind w:right="677"/>
              <w:spacing w:after="0"/>
              <w:rPr>
                <w:sz w:val="20"/>
                <w:szCs w:val="20"/>
                <w:color w:val="auto"/>
              </w:rPr>
            </w:pPr>
            <w:r>
              <w:rPr>
                <w:rFonts w:ascii="Arial" w:cs="Arial" w:eastAsia="Arial" w:hAnsi="Arial"/>
                <w:sz w:val="14"/>
                <w:szCs w:val="14"/>
                <w:color w:val="auto"/>
              </w:rPr>
              <w:t>Low</w:t>
            </w:r>
          </w:p>
        </w:tc>
      </w:tr>
      <w:tr>
        <w:trPr>
          <w:trHeight w:val="204"/>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May 31, 2020</w:t>
            </w:r>
          </w:p>
        </w:tc>
        <w:tc>
          <w:tcPr>
            <w:tcW w:w="4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20"/>
        </w:trPr>
        <w:tc>
          <w:tcPr>
            <w:tcW w:w="7540" w:type="dxa"/>
            <w:vAlign w:val="bottom"/>
          </w:tcPr>
          <w:p>
            <w:pPr>
              <w:ind w:left="20"/>
              <w:spacing w:after="0"/>
              <w:rPr>
                <w:sz w:val="20"/>
                <w:szCs w:val="20"/>
                <w:color w:val="auto"/>
              </w:rPr>
            </w:pPr>
            <w:r>
              <w:rPr>
                <w:rFonts w:ascii="Arial" w:cs="Arial" w:eastAsia="Arial" w:hAnsi="Arial"/>
                <w:sz w:val="17"/>
                <w:szCs w:val="17"/>
                <w:color w:val="auto"/>
              </w:rPr>
              <w:t>Fourth Quarter</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11.75</w:t>
            </w:r>
          </w:p>
        </w:tc>
        <w:tc>
          <w:tcPr>
            <w:tcW w:w="10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8.33</w:t>
            </w:r>
          </w:p>
        </w:tc>
      </w:tr>
      <w:tr>
        <w:trPr>
          <w:trHeight w:val="220"/>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Third Quarter</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r>
      <w:tr>
        <w:trPr>
          <w:trHeight w:val="220"/>
        </w:trPr>
        <w:tc>
          <w:tcPr>
            <w:tcW w:w="7540" w:type="dxa"/>
            <w:vAlign w:val="bottom"/>
          </w:tcPr>
          <w:p>
            <w:pPr>
              <w:ind w:left="20"/>
              <w:spacing w:after="0"/>
              <w:rPr>
                <w:sz w:val="20"/>
                <w:szCs w:val="20"/>
                <w:color w:val="auto"/>
              </w:rPr>
            </w:pPr>
            <w:r>
              <w:rPr>
                <w:rFonts w:ascii="Arial" w:cs="Arial" w:eastAsia="Arial" w:hAnsi="Arial"/>
                <w:sz w:val="17"/>
                <w:szCs w:val="17"/>
                <w:color w:val="auto"/>
              </w:rPr>
              <w:t>Second Quarter</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19.26</w:t>
            </w:r>
          </w:p>
        </w:tc>
        <w:tc>
          <w:tcPr>
            <w:tcW w:w="10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14.23</w:t>
            </w:r>
          </w:p>
        </w:tc>
      </w:tr>
      <w:tr>
        <w:trPr>
          <w:trHeight w:val="220"/>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First Quarter</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18.27</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July 26, 2021, there were 170 holders of record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168" w:lineRule="exact"/>
        <w:rPr>
          <w:sz w:val="20"/>
          <w:szCs w:val="20"/>
          <w:color w:val="auto"/>
        </w:rPr>
      </w:pPr>
    </w:p>
    <w:p>
      <w:pPr>
        <w:ind w:right="440" w:firstLine="428"/>
        <w:spacing w:after="0" w:line="284" w:lineRule="auto"/>
        <w:rPr>
          <w:sz w:val="20"/>
          <w:szCs w:val="20"/>
          <w:color w:val="auto"/>
        </w:rPr>
      </w:pPr>
      <w:r>
        <w:rPr>
          <w:rFonts w:ascii="Arial" w:cs="Arial" w:eastAsia="Arial" w:hAnsi="Arial"/>
          <w:sz w:val="17"/>
          <w:szCs w:val="17"/>
          <w:color w:val="auto"/>
        </w:rPr>
        <w:t>We did not declare any cash dividends on our common stock during our last three fiscal years. We do not anticipate paying any cash dividends on our common stock for the foreseeable future.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Graph</w:t>
      </w:r>
    </w:p>
    <w:p>
      <w:pPr>
        <w:spacing w:after="0" w:line="168" w:lineRule="exact"/>
        <w:rPr>
          <w:sz w:val="20"/>
          <w:szCs w:val="20"/>
          <w:color w:val="auto"/>
        </w:rPr>
      </w:pPr>
    </w:p>
    <w:p>
      <w:pPr>
        <w:ind w:right="280" w:firstLine="428"/>
        <w:spacing w:after="0" w:line="264" w:lineRule="auto"/>
        <w:rPr>
          <w:sz w:val="20"/>
          <w:szCs w:val="20"/>
          <w:color w:val="auto"/>
        </w:rPr>
      </w:pPr>
      <w:r>
        <w:rPr>
          <w:rFonts w:ascii="Arial" w:cs="Arial" w:eastAsia="Arial" w:hAnsi="Arial"/>
          <w:sz w:val="17"/>
          <w:szCs w:val="17"/>
          <w:color w:val="auto"/>
        </w:rPr>
        <w:t>The graph below matches AngioDynamics, Inc.’s cumulative 5-year total shareholder return on common stock with the cumulative total returns of the NASDAQ Composite index, the RDG SmallCap Medical Devices index, and the NASDAQ Medical Equipment index. The graph tracks the performance of a $100 investment in our common stock and in each index (with the reinvestment of all dividends) from May 31, 2016 to May 31, 2021. 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657225</wp:posOffset>
            </wp:positionV>
            <wp:extent cx="5631180" cy="429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631180" cy="429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Information required by this Item 6 is not included as we are electing to exclude this information pursuant to Regulation S-K Item 301, as amended.</w:t>
      </w:r>
    </w:p>
    <w:p>
      <w:pPr>
        <w:spacing w:after="0" w:line="179" w:lineRule="exact"/>
        <w:rPr>
          <w:sz w:val="20"/>
          <w:szCs w:val="20"/>
          <w:color w:val="auto"/>
        </w:rPr>
      </w:pPr>
    </w:p>
    <w:p>
      <w:pPr>
        <w:ind w:firstLine="373"/>
        <w:spacing w:after="0" w:line="269" w:lineRule="auto"/>
        <w:rPr>
          <w:sz w:val="20"/>
          <w:szCs w:val="20"/>
          <w:color w:val="auto"/>
        </w:rPr>
      </w:pPr>
      <w:r>
        <w:rPr>
          <w:rFonts w:ascii="Arial" w:cs="Arial" w:eastAsia="Arial" w:hAnsi="Arial"/>
          <w:sz w:val="17"/>
          <w:szCs w:val="17"/>
          <w:color w:val="auto"/>
        </w:rPr>
        <w:t>For financial data and discussion of our results of operations and financial position, refer to Part II, Item 7 “Management’s Discussion and Analysis of Financial Condition and Results of Operations” and Part II, Item 8 “Financial Statements and Supplementary Data” contained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Conditions and Results of Operations.</w:t>
      </w:r>
    </w:p>
    <w:p>
      <w:pPr>
        <w:spacing w:after="0" w:line="174" w:lineRule="exact"/>
        <w:rPr>
          <w:sz w:val="20"/>
          <w:szCs w:val="20"/>
          <w:color w:val="auto"/>
        </w:rPr>
      </w:pPr>
    </w:p>
    <w:p>
      <w:pPr>
        <w:ind w:right="40" w:firstLine="373"/>
        <w:spacing w:after="0" w:line="262" w:lineRule="auto"/>
        <w:rPr>
          <w:sz w:val="20"/>
          <w:szCs w:val="20"/>
          <w:color w:val="auto"/>
        </w:rPr>
      </w:pPr>
      <w:r>
        <w:rPr>
          <w:rFonts w:ascii="Arial" w:cs="Arial" w:eastAsia="Arial" w:hAnsi="Arial"/>
          <w:sz w:val="17"/>
          <w:szCs w:val="17"/>
          <w:color w:val="auto"/>
        </w:rPr>
        <w:t>The following information should be read together with the audited consolidated financial statements and the notes thereto and other information included elsewhere in this annual report on Form 10-K. This discussion may contain forward-looking statements related to future events and our future financial performance that are based on current expectation and are subject to risks and uncertainties. Our actual results may differ materially from those anticipated in any forward-looking statements as a result of many factors, including those set forth in Part I, Item 1A, "Risk Factors" and "Disclosure Regarding Forward-Looking Statements" included in this Annual Report on Form 10-K.</w:t>
      </w:r>
    </w:p>
    <w:p>
      <w:pPr>
        <w:spacing w:after="0" w:line="126" w:lineRule="exact"/>
        <w:rPr>
          <w:sz w:val="20"/>
          <w:szCs w:val="20"/>
          <w:color w:val="auto"/>
        </w:rPr>
      </w:pPr>
    </w:p>
    <w:p>
      <w:pPr>
        <w:ind w:right="340" w:firstLine="373"/>
        <w:spacing w:after="0" w:line="284" w:lineRule="auto"/>
        <w:rPr>
          <w:sz w:val="20"/>
          <w:szCs w:val="20"/>
          <w:color w:val="auto"/>
        </w:rPr>
      </w:pPr>
      <w:r>
        <w:rPr>
          <w:rFonts w:ascii="Arial" w:cs="Arial" w:eastAsia="Arial" w:hAnsi="Arial"/>
          <w:sz w:val="17"/>
          <w:szCs w:val="17"/>
          <w:color w:val="auto"/>
        </w:rPr>
        <w:t>For all periods presented in Management's Discussion and Analysis of Financial Conditions and Results of Operations, all sales, cost of sales, expenses, gains and income taxes are exclusive of Fluid Management.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Company and Market</w:t>
      </w:r>
    </w:p>
    <w:p>
      <w:pPr>
        <w:spacing w:after="0" w:line="174" w:lineRule="exact"/>
        <w:rPr>
          <w:sz w:val="20"/>
          <w:szCs w:val="20"/>
          <w:color w:val="auto"/>
        </w:rPr>
      </w:pPr>
    </w:p>
    <w:p>
      <w:pPr>
        <w:ind w:right="100" w:firstLine="389"/>
        <w:spacing w:after="0" w:line="321" w:lineRule="auto"/>
        <w:rPr>
          <w:sz w:val="20"/>
          <w:szCs w:val="20"/>
          <w:color w:val="auto"/>
        </w:rPr>
      </w:pPr>
      <w:r>
        <w:rPr>
          <w:rFonts w:ascii="Arial" w:cs="Arial" w:eastAsia="Arial" w:hAnsi="Arial"/>
          <w:sz w:val="15"/>
          <w:szCs w:val="15"/>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longer-term use.</w:t>
      </w:r>
    </w:p>
    <w:p>
      <w:pPr>
        <w:spacing w:after="0" w:line="86" w:lineRule="exact"/>
        <w:rPr>
          <w:sz w:val="20"/>
          <w:szCs w:val="20"/>
          <w:color w:val="auto"/>
        </w:rPr>
      </w:pPr>
    </w:p>
    <w:p>
      <w:pPr>
        <w:ind w:firstLine="389"/>
        <w:spacing w:after="0" w:line="264" w:lineRule="auto"/>
        <w:rPr>
          <w:sz w:val="20"/>
          <w:szCs w:val="20"/>
          <w:color w:val="auto"/>
        </w:rPr>
      </w:pPr>
      <w:r>
        <w:rPr>
          <w:rFonts w:ascii="Arial" w:cs="Arial" w:eastAsia="Arial" w:hAnsi="Arial"/>
          <w:sz w:val="17"/>
          <w:szCs w:val="17"/>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25" w:lineRule="exact"/>
        <w:rPr>
          <w:sz w:val="20"/>
          <w:szCs w:val="20"/>
          <w:color w:val="auto"/>
        </w:rPr>
      </w:pPr>
    </w:p>
    <w:p>
      <w:pPr>
        <w:ind w:right="40" w:firstLine="389"/>
        <w:spacing w:after="0" w:line="264" w:lineRule="auto"/>
        <w:rPr>
          <w:sz w:val="20"/>
          <w:szCs w:val="20"/>
          <w:color w:val="auto"/>
        </w:rPr>
      </w:pPr>
      <w:r>
        <w:rPr>
          <w:rFonts w:ascii="Arial" w:cs="Arial" w:eastAsia="Arial" w:hAnsi="Arial"/>
          <w:sz w:val="17"/>
          <w:szCs w:val="17"/>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5" w:lineRule="exact"/>
        <w:rPr>
          <w:sz w:val="20"/>
          <w:szCs w:val="20"/>
          <w:color w:val="auto"/>
        </w:rPr>
      </w:pPr>
    </w:p>
    <w:p>
      <w:pPr>
        <w:ind w:right="60" w:firstLine="389"/>
        <w:spacing w:after="0" w:line="264" w:lineRule="auto"/>
        <w:rPr>
          <w:sz w:val="20"/>
          <w:szCs w:val="20"/>
          <w:color w:val="auto"/>
        </w:rPr>
      </w:pPr>
      <w:r>
        <w:rPr>
          <w:rFonts w:ascii="Arial" w:cs="Arial" w:eastAsia="Arial" w:hAnsi="Arial"/>
          <w:sz w:val="17"/>
          <w:szCs w:val="17"/>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5" w:lineRule="exact"/>
        <w:rPr>
          <w:sz w:val="20"/>
          <w:szCs w:val="20"/>
          <w:color w:val="auto"/>
        </w:rPr>
      </w:pPr>
    </w:p>
    <w:p>
      <w:pPr>
        <w:ind w:right="220" w:firstLine="389"/>
        <w:spacing w:after="0" w:line="286" w:lineRule="auto"/>
        <w:rPr>
          <w:sz w:val="20"/>
          <w:szCs w:val="20"/>
          <w:color w:val="auto"/>
        </w:rPr>
      </w:pPr>
      <w:r>
        <w:rPr>
          <w:rFonts w:ascii="Arial" w:cs="Arial" w:eastAsia="Arial" w:hAnsi="Arial"/>
          <w:sz w:val="16"/>
          <w:szCs w:val="16"/>
          <w:color w:val="auto"/>
        </w:rPr>
        <w:t>The COVID-19 global pandemic has impacted our business and may pose future risks. Even with the public health actions that have been taken to reduce the spread of the virus, there may continue to be disruptions with respect to consumer demand, hospital operating procedures and workflow, our ability to continue to manufacture products, the reliability of our supply chain and inflation. Accordingly, management continues to evaluate the Company’s liquidity position, communicate with and monitor the actions of our customers and suppliers, and review our near-term financial performance.</w:t>
      </w:r>
    </w:p>
    <w:p>
      <w:pPr>
        <w:spacing w:after="0" w:line="108" w:lineRule="exact"/>
        <w:rPr>
          <w:sz w:val="20"/>
          <w:szCs w:val="20"/>
          <w:color w:val="auto"/>
        </w:rPr>
      </w:pPr>
    </w:p>
    <w:p>
      <w:pPr>
        <w:ind w:right="180" w:firstLine="389"/>
        <w:spacing w:after="0" w:line="284" w:lineRule="auto"/>
        <w:rPr>
          <w:sz w:val="20"/>
          <w:szCs w:val="20"/>
          <w:color w:val="auto"/>
        </w:rPr>
      </w:pPr>
      <w:r>
        <w:rPr>
          <w:rFonts w:ascii="Arial" w:cs="Arial" w:eastAsia="Arial" w:hAnsi="Arial"/>
          <w:sz w:val="17"/>
          <w:szCs w:val="17"/>
          <w:color w:val="auto"/>
        </w:rPr>
        <w:t>In the third quarter of fiscal year 2021, a benefit of $1.9 million was recorded as a result of the employee retention credit that the Company filed for under the provisions of the Coronavirus Aid, Relief and Economic Security Act (the "CARES Act").</w:t>
      </w:r>
    </w:p>
    <w:p>
      <w:pPr>
        <w:spacing w:after="0" w:line="108" w:lineRule="exact"/>
        <w:rPr>
          <w:sz w:val="20"/>
          <w:szCs w:val="20"/>
          <w:color w:val="auto"/>
        </w:rPr>
      </w:pPr>
    </w:p>
    <w:p>
      <w:pPr>
        <w:ind w:right="20" w:firstLine="373"/>
        <w:spacing w:after="0" w:line="317" w:lineRule="auto"/>
        <w:rPr>
          <w:sz w:val="20"/>
          <w:szCs w:val="20"/>
          <w:color w:val="auto"/>
        </w:rPr>
      </w:pPr>
      <w:r>
        <w:rPr>
          <w:rFonts w:ascii="Arial" w:cs="Arial" w:eastAsia="Arial" w:hAnsi="Arial"/>
          <w:sz w:val="16"/>
          <w:szCs w:val="16"/>
          <w:color w:val="auto"/>
        </w:rPr>
        <w:t>In evaluating the operating performance of our business, management focuses on revenue, gross margin, operating income, earnings per share and cash flow from operations. A summary of these key financial metrics for the year ended May 31, 2021 compared to the year ended May 31, 2020 follows: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Year ended May 31, 2021:</w:t>
      </w:r>
    </w:p>
    <w:p>
      <w:pPr>
        <w:spacing w:after="0" w:line="168" w:lineRule="exact"/>
        <w:rPr>
          <w:sz w:val="20"/>
          <w:szCs w:val="20"/>
          <w:color w:val="auto"/>
        </w:rPr>
      </w:pPr>
    </w:p>
    <w:p>
      <w:pPr>
        <w:ind w:left="940" w:hanging="31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Revenue increased by 10.2% to $291.0 million</w:t>
      </w:r>
    </w:p>
    <w:p>
      <w:pPr>
        <w:spacing w:after="0" w:line="24" w:lineRule="exact"/>
        <w:rPr>
          <w:rFonts w:ascii="Arial" w:cs="Arial" w:eastAsia="Arial" w:hAnsi="Arial"/>
          <w:sz w:val="17"/>
          <w:szCs w:val="17"/>
          <w:color w:val="auto"/>
        </w:rPr>
      </w:pPr>
    </w:p>
    <w:p>
      <w:pPr>
        <w:ind w:left="940" w:hanging="31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Gross margin as a percentage of sales decreased by 300 bps to 53.9%</w:t>
      </w:r>
    </w:p>
    <w:p>
      <w:pPr>
        <w:spacing w:after="0" w:line="11" w:lineRule="exact"/>
        <w:rPr>
          <w:rFonts w:ascii="Arial" w:cs="Arial" w:eastAsia="Arial" w:hAnsi="Arial"/>
          <w:sz w:val="17"/>
          <w:szCs w:val="17"/>
          <w:color w:val="auto"/>
        </w:rPr>
      </w:pPr>
    </w:p>
    <w:p>
      <w:pPr>
        <w:ind w:left="940" w:hanging="31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Operating loss decreased by $131.8 million to $35.3 million</w:t>
      </w:r>
    </w:p>
    <w:p>
      <w:pPr>
        <w:spacing w:after="0" w:line="11" w:lineRule="exact"/>
        <w:rPr>
          <w:rFonts w:ascii="Arial" w:cs="Arial" w:eastAsia="Arial" w:hAnsi="Arial"/>
          <w:sz w:val="17"/>
          <w:szCs w:val="17"/>
          <w:color w:val="auto"/>
        </w:rPr>
      </w:pPr>
    </w:p>
    <w:p>
      <w:pPr>
        <w:ind w:left="940" w:hanging="31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Cash flow from operations increased by $38.6 million to cash provided by operations of $24.1 million</w:t>
      </w:r>
    </w:p>
    <w:p>
      <w:pPr>
        <w:spacing w:after="0" w:line="155" w:lineRule="exact"/>
        <w:rPr>
          <w:sz w:val="20"/>
          <w:szCs w:val="20"/>
          <w:color w:val="auto"/>
        </w:rPr>
      </w:pPr>
    </w:p>
    <w:p>
      <w:pPr>
        <w:ind w:right="180" w:firstLine="389"/>
        <w:spacing w:after="0" w:line="284" w:lineRule="auto"/>
        <w:rPr>
          <w:sz w:val="20"/>
          <w:szCs w:val="20"/>
          <w:color w:val="auto"/>
        </w:rPr>
      </w:pPr>
      <w:r>
        <w:rPr>
          <w:rFonts w:ascii="Arial" w:cs="Arial" w:eastAsia="Arial" w:hAnsi="Arial"/>
          <w:sz w:val="17"/>
          <w:szCs w:val="17"/>
          <w:color w:val="auto"/>
        </w:rPr>
        <w:t>The ongoing recovery from the COVID-19 pandemic has had a varying impact on each of our three businesses. Our Endovascular Therapies and Vascular Access businesses performed the strongest of the businesses during the year.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34" w:name="page35"/>
    <w:bookmarkEnd w:id="34"/>
    <w:p>
      <w:pPr>
        <w:jc w:val="both"/>
        <w:ind w:right="300"/>
        <w:spacing w:after="0" w:line="269" w:lineRule="auto"/>
        <w:rPr>
          <w:sz w:val="20"/>
          <w:szCs w:val="20"/>
          <w:color w:val="auto"/>
        </w:rPr>
      </w:pPr>
      <w:r>
        <w:rPr>
          <w:rFonts w:ascii="Arial" w:cs="Arial" w:eastAsia="Arial" w:hAnsi="Arial"/>
          <w:sz w:val="17"/>
          <w:szCs w:val="17"/>
          <w:color w:val="auto"/>
        </w:rPr>
        <w:t>number of procedures continued to improve from the COVID-19 lows in the second half of last fiscal year. Our Oncology business continued to face pressure from reductions in procedure volumes due to challenges resulting from the COVID-19 pandemic and the resulting challenging capital spending environment. During fiscal year 2021, we focused on the following areas in responding to the COVID-19 pandemic:</w:t>
      </w:r>
    </w:p>
    <w:p>
      <w:pPr>
        <w:spacing w:after="0" w:line="121" w:lineRule="exact"/>
        <w:rPr>
          <w:sz w:val="20"/>
          <w:szCs w:val="20"/>
          <w:color w:val="auto"/>
        </w:rPr>
      </w:pPr>
    </w:p>
    <w:p>
      <w:pPr>
        <w:ind w:left="940" w:hanging="31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Supporting and progressing our key growth initiatives (the AngioVac, Auryon and NanoKnife systems);</w:t>
      </w:r>
    </w:p>
    <w:p>
      <w:pPr>
        <w:spacing w:after="0" w:line="24" w:lineRule="exact"/>
        <w:rPr>
          <w:rFonts w:ascii="Arial" w:cs="Arial" w:eastAsia="Arial" w:hAnsi="Arial"/>
          <w:sz w:val="17"/>
          <w:szCs w:val="17"/>
          <w:color w:val="auto"/>
        </w:rPr>
      </w:pPr>
    </w:p>
    <w:p>
      <w:pPr>
        <w:ind w:left="940" w:hanging="31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Managing operating expenses; and</w:t>
      </w:r>
    </w:p>
    <w:p>
      <w:pPr>
        <w:spacing w:after="0" w:line="11" w:lineRule="exact"/>
        <w:rPr>
          <w:rFonts w:ascii="Arial" w:cs="Arial" w:eastAsia="Arial" w:hAnsi="Arial"/>
          <w:sz w:val="17"/>
          <w:szCs w:val="17"/>
          <w:color w:val="auto"/>
        </w:rPr>
      </w:pPr>
    </w:p>
    <w:p>
      <w:pPr>
        <w:ind w:left="940" w:hanging="31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Managing our cash and balance sheet.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Strategic Initiatives to Drive Growth</w:t>
      </w:r>
    </w:p>
    <w:p>
      <w:pPr>
        <w:spacing w:after="0" w:line="174" w:lineRule="exact"/>
        <w:rPr>
          <w:sz w:val="20"/>
          <w:szCs w:val="20"/>
          <w:color w:val="auto"/>
        </w:rPr>
      </w:pPr>
    </w:p>
    <w:p>
      <w:pPr>
        <w:ind w:right="200" w:firstLine="428"/>
        <w:spacing w:after="0" w:line="263" w:lineRule="auto"/>
        <w:rPr>
          <w:sz w:val="20"/>
          <w:szCs w:val="20"/>
          <w:color w:val="auto"/>
        </w:rPr>
      </w:pPr>
      <w:r>
        <w:rPr>
          <w:rFonts w:ascii="Arial" w:cs="Arial" w:eastAsia="Arial" w:hAnsi="Arial"/>
          <w:sz w:val="16"/>
          <w:szCs w:val="16"/>
          <w:color w:val="auto"/>
        </w:rPr>
        <w:t>As the Company has previously announced, the Company is focused on its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be driven by our high technology products including Auryon, Mechanical Thrombectomy (which includes AngioVac and thrombolytics) and NanoKnife. We will refer to these high technology product lines as our Med Tech business and we will refer to the remainder of the portfolio as our Med Device business.</w:t>
      </w:r>
    </w:p>
    <w:p>
      <w:pPr>
        <w:spacing w:after="0" w:line="113" w:lineRule="exact"/>
        <w:rPr>
          <w:sz w:val="20"/>
          <w:szCs w:val="20"/>
          <w:color w:val="auto"/>
        </w:rPr>
      </w:pPr>
    </w:p>
    <w:p>
      <w:pPr>
        <w:ind w:right="60" w:firstLine="373"/>
        <w:spacing w:after="0" w:line="284" w:lineRule="auto"/>
        <w:rPr>
          <w:sz w:val="20"/>
          <w:szCs w:val="20"/>
          <w:color w:val="auto"/>
        </w:rPr>
      </w:pPr>
      <w:r>
        <w:rPr>
          <w:rFonts w:ascii="Arial" w:cs="Arial" w:eastAsia="Arial" w:hAnsi="Arial"/>
          <w:sz w:val="17"/>
          <w:szCs w:val="17"/>
          <w:color w:val="auto"/>
        </w:rPr>
        <w:t>Throughout the year, we introduced strategic moves designed to streamline our business, improve our overall business operations and position ourselves for growth. Those initiatives included:</w:t>
      </w:r>
    </w:p>
    <w:p>
      <w:pPr>
        <w:spacing w:after="0" w:line="108" w:lineRule="exact"/>
        <w:rPr>
          <w:sz w:val="20"/>
          <w:szCs w:val="20"/>
          <w:color w:val="auto"/>
        </w:rPr>
      </w:pPr>
    </w:p>
    <w:p>
      <w:pPr>
        <w:ind w:left="620" w:right="60" w:hanging="305"/>
        <w:spacing w:after="0" w:line="25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Product development process. </w:t>
      </w:r>
      <w:r>
        <w:rPr>
          <w:rFonts w:ascii="Arial" w:cs="Arial" w:eastAsia="Arial" w:hAnsi="Arial"/>
          <w:sz w:val="17"/>
          <w:szCs w:val="17"/>
          <w:color w:val="auto"/>
        </w:rPr>
        <w:t>The Company continued its disciplined product development process which is intended to improve the Company’s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bring new products to market. This included the launch of Auryon and SmartPort+, along with continued research and development activities to expand on our Mechanical Thrombectomy portfolio.</w:t>
      </w:r>
    </w:p>
    <w:p>
      <w:pPr>
        <w:spacing w:after="0" w:line="2" w:lineRule="exact"/>
        <w:rPr>
          <w:rFonts w:ascii="Arial" w:cs="Arial" w:eastAsia="Arial" w:hAnsi="Arial"/>
          <w:sz w:val="17"/>
          <w:szCs w:val="17"/>
          <w:color w:val="auto"/>
        </w:rPr>
      </w:pPr>
    </w:p>
    <w:p>
      <w:pPr>
        <w:ind w:left="620" w:right="280" w:hanging="305"/>
        <w:spacing w:after="0" w:line="262"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Value Creation. </w:t>
      </w:r>
      <w:r>
        <w:rPr>
          <w:rFonts w:ascii="Arial" w:cs="Arial" w:eastAsia="Arial" w:hAnsi="Arial"/>
          <w:sz w:val="17"/>
          <w:szCs w:val="17"/>
          <w:color w:val="auto"/>
        </w:rPr>
        <w:t>To create value and drive future growth, the Company plans to practice dispassionate portfolio optimization and continue to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areas of compelling unmet needs including those that are patient-centric and evidenced-based. In addition, the Company is pursuing targeted global expansion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Use of Estimates</w:t>
      </w:r>
    </w:p>
    <w:p>
      <w:pPr>
        <w:spacing w:after="0" w:line="168" w:lineRule="exact"/>
        <w:rPr>
          <w:sz w:val="20"/>
          <w:szCs w:val="20"/>
          <w:color w:val="auto"/>
        </w:rPr>
      </w:pPr>
    </w:p>
    <w:p>
      <w:pPr>
        <w:ind w:right="60" w:firstLine="373"/>
        <w:spacing w:after="0" w:line="310" w:lineRule="auto"/>
        <w:rPr>
          <w:sz w:val="20"/>
          <w:szCs w:val="20"/>
          <w:color w:val="auto"/>
        </w:rPr>
      </w:pPr>
      <w:r>
        <w:rPr>
          <w:rFonts w:ascii="Arial" w:cs="Arial" w:eastAsia="Arial" w:hAnsi="Arial"/>
          <w:sz w:val="15"/>
          <w:szCs w:val="15"/>
          <w:color w:val="auto"/>
        </w:rPr>
        <w:t>Our significant accounting policies are summarized in Note 1 "Basis of Presentation, Business Description and Summary of Significant Accounting Policies" in the Consolidated Financial Statements included in our Form 10-K.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68" w:lineRule="exact"/>
        <w:rPr>
          <w:sz w:val="20"/>
          <w:szCs w:val="20"/>
          <w:color w:val="auto"/>
        </w:rPr>
      </w:pPr>
    </w:p>
    <w:p>
      <w:pPr>
        <w:ind w:right="20" w:firstLine="373"/>
        <w:spacing w:after="0" w:line="262"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6" w:lineRule="exact"/>
        <w:rPr>
          <w:sz w:val="20"/>
          <w:szCs w:val="20"/>
          <w:color w:val="auto"/>
        </w:rPr>
      </w:pPr>
    </w:p>
    <w:p>
      <w:pPr>
        <w:ind w:right="20" w:firstLine="373"/>
        <w:spacing w:after="0" w:line="286"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8" w:lineRule="exact"/>
        <w:rPr>
          <w:sz w:val="20"/>
          <w:szCs w:val="20"/>
          <w:color w:val="auto"/>
        </w:rPr>
      </w:pPr>
    </w:p>
    <w:p>
      <w:pPr>
        <w:ind w:firstLine="373"/>
        <w:spacing w:after="0" w:line="264" w:lineRule="auto"/>
        <w:rPr>
          <w:sz w:val="20"/>
          <w:szCs w:val="20"/>
          <w:color w:val="auto"/>
        </w:rPr>
      </w:pPr>
      <w:r>
        <w:rPr>
          <w:rFonts w:ascii="Arial" w:cs="Arial" w:eastAsia="Arial" w:hAnsi="Arial"/>
          <w:sz w:val="17"/>
          <w:szCs w:val="17"/>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25" w:lineRule="exact"/>
        <w:rPr>
          <w:sz w:val="20"/>
          <w:szCs w:val="20"/>
          <w:color w:val="auto"/>
        </w:rPr>
      </w:pPr>
    </w:p>
    <w:p>
      <w:pPr>
        <w:ind w:right="260" w:firstLine="373"/>
        <w:spacing w:after="0" w:line="284" w:lineRule="auto"/>
        <w:rPr>
          <w:sz w:val="20"/>
          <w:szCs w:val="20"/>
          <w:color w:val="auto"/>
        </w:rPr>
      </w:pPr>
      <w:r>
        <w:rPr>
          <w:rFonts w:ascii="Arial" w:cs="Arial" w:eastAsia="Arial" w:hAnsi="Arial"/>
          <w:sz w:val="17"/>
          <w:szCs w:val="17"/>
          <w:color w:val="auto"/>
        </w:rPr>
        <w:t>If a contract contains a single performance obligation, the entire transaction price is allocated to the single performance obligation. Contracts that contain multiple performance obligations require an allocation of the transaction price based on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35" w:name="page36"/>
    <w:bookmarkEnd w:id="35"/>
    <w:p>
      <w:pPr>
        <w:jc w:val="both"/>
        <w:ind w:right="40"/>
        <w:spacing w:after="0" w:line="269" w:lineRule="auto"/>
        <w:rPr>
          <w:sz w:val="20"/>
          <w:szCs w:val="20"/>
          <w:color w:val="auto"/>
        </w:rPr>
      </w:pPr>
      <w:r>
        <w:rPr>
          <w:rFonts w:ascii="Arial" w:cs="Arial" w:eastAsia="Arial" w:hAnsi="Arial"/>
          <w:sz w:val="17"/>
          <w:szCs w:val="17"/>
          <w:color w:val="auto"/>
        </w:rPr>
        <w:t>estimated relative standalone selling prices of the promised products underlying each performance obligation. The Company has standard pricing for its products and determines standalone selling prices based on the price at which the performance obligation is sold separately. Contracts with our customers typically include a single performance obligation related to the sale of our products.</w:t>
      </w:r>
    </w:p>
    <w:p>
      <w:pPr>
        <w:spacing w:after="0" w:line="121" w:lineRule="exact"/>
        <w:rPr>
          <w:sz w:val="20"/>
          <w:szCs w:val="20"/>
          <w:color w:val="auto"/>
        </w:rPr>
      </w:pPr>
    </w:p>
    <w:p>
      <w:pPr>
        <w:ind w:right="280" w:firstLine="373"/>
        <w:spacing w:after="0" w:line="286" w:lineRule="auto"/>
        <w:rPr>
          <w:sz w:val="20"/>
          <w:szCs w:val="20"/>
          <w:color w:val="auto"/>
        </w:rPr>
      </w:pPr>
      <w:r>
        <w:rPr>
          <w:rFonts w:ascii="Arial" w:cs="Arial" w:eastAsia="Arial" w:hAnsi="Arial"/>
          <w:sz w:val="16"/>
          <w:szCs w:val="16"/>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 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right="80" w:firstLine="373"/>
        <w:spacing w:after="0" w:line="269" w:lineRule="auto"/>
        <w:rPr>
          <w:sz w:val="20"/>
          <w:szCs w:val="20"/>
          <w:color w:val="auto"/>
        </w:rPr>
      </w:pPr>
      <w:r>
        <w:rPr>
          <w:rFonts w:ascii="Arial" w:cs="Arial" w:eastAsia="Arial" w:hAnsi="Arial"/>
          <w:sz w:val="17"/>
          <w:szCs w:val="17"/>
          <w:color w:val="auto"/>
        </w:rPr>
        <w:t>The Company typically invoices customers upon satisfaction of identified performance obligations. As the Company’s standard payment terms are 30 to 90 days from invoicing, the Company does not provide any significant financing to its customers. Sales, value add, and other taxes collected on behalf of third parties are excluded from revenue.</w:t>
      </w:r>
    </w:p>
    <w:p>
      <w:pPr>
        <w:spacing w:after="0" w:line="121" w:lineRule="exact"/>
        <w:rPr>
          <w:sz w:val="20"/>
          <w:szCs w:val="20"/>
          <w:color w:val="auto"/>
        </w:rPr>
      </w:pPr>
    </w:p>
    <w:p>
      <w:pPr>
        <w:ind w:right="60" w:firstLine="373"/>
        <w:spacing w:after="0" w:line="246" w:lineRule="auto"/>
        <w:rPr>
          <w:sz w:val="20"/>
          <w:szCs w:val="20"/>
          <w:color w:val="auto"/>
        </w:rPr>
      </w:pPr>
      <w:r>
        <w:rPr>
          <w:rFonts w:ascii="Arial" w:cs="Arial" w:eastAsia="Arial" w:hAnsi="Arial"/>
          <w:sz w:val="17"/>
          <w:szCs w:val="17"/>
          <w:color w:val="auto"/>
        </w:rPr>
        <w:t>The Company enters into agreements to place placement and evaluation units (“units”) at customer sites, but the Company retains title to the units. The duration of these agreements are typically a year and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26" w:lineRule="exact"/>
        <w:rPr>
          <w:sz w:val="20"/>
          <w:szCs w:val="20"/>
          <w:color w:val="auto"/>
        </w:rPr>
      </w:pPr>
    </w:p>
    <w:p>
      <w:pPr>
        <w:ind w:right="40" w:firstLine="373"/>
        <w:spacing w:after="0" w:line="269"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w:t>
      </w:r>
    </w:p>
    <w:p>
      <w:pPr>
        <w:spacing w:after="0" w:line="121" w:lineRule="exact"/>
        <w:rPr>
          <w:sz w:val="20"/>
          <w:szCs w:val="20"/>
          <w:color w:val="auto"/>
        </w:rPr>
      </w:pPr>
    </w:p>
    <w:p>
      <w:pPr>
        <w:ind w:firstLine="373"/>
        <w:spacing w:after="0" w:line="262" w:lineRule="auto"/>
        <w:rPr>
          <w:sz w:val="20"/>
          <w:szCs w:val="20"/>
          <w:color w:val="auto"/>
        </w:rPr>
      </w:pPr>
      <w:r>
        <w:rPr>
          <w:rFonts w:ascii="Arial" w:cs="Arial" w:eastAsia="Arial" w:hAnsi="Arial"/>
          <w:sz w:val="17"/>
          <w:szCs w:val="17"/>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26" w:lineRule="exact"/>
        <w:rPr>
          <w:sz w:val="20"/>
          <w:szCs w:val="20"/>
          <w:color w:val="auto"/>
        </w:rPr>
      </w:pPr>
    </w:p>
    <w:p>
      <w:pPr>
        <w:ind w:right="160" w:firstLine="373"/>
        <w:spacing w:after="0" w:line="286" w:lineRule="auto"/>
        <w:rPr>
          <w:sz w:val="20"/>
          <w:szCs w:val="20"/>
          <w:color w:val="auto"/>
        </w:rPr>
      </w:pPr>
      <w:r>
        <w:rPr>
          <w:rFonts w:ascii="Arial" w:cs="Arial" w:eastAsia="Arial" w:hAnsi="Arial"/>
          <w:sz w:val="16"/>
          <w:szCs w:val="16"/>
          <w:color w:val="auto"/>
        </w:rPr>
        <w:t>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08" w:lineRule="exact"/>
        <w:rPr>
          <w:sz w:val="20"/>
          <w:szCs w:val="20"/>
          <w:color w:val="auto"/>
        </w:rPr>
      </w:pPr>
    </w:p>
    <w:p>
      <w:pPr>
        <w:ind w:right="120" w:firstLine="373"/>
        <w:spacing w:after="0" w:line="260" w:lineRule="auto"/>
        <w:rPr>
          <w:sz w:val="20"/>
          <w:szCs w:val="20"/>
          <w:color w:val="auto"/>
        </w:rPr>
      </w:pPr>
      <w:r>
        <w:rPr>
          <w:rFonts w:ascii="Arial" w:cs="Arial" w:eastAsia="Arial" w:hAnsi="Arial"/>
          <w:sz w:val="17"/>
          <w:szCs w:val="17"/>
          <w:color w:val="auto"/>
        </w:rPr>
        <w:t>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2021, such product returns were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w:t>
      </w:r>
    </w:p>
    <w:p>
      <w:pPr>
        <w:spacing w:after="0" w:line="155" w:lineRule="exact"/>
        <w:rPr>
          <w:sz w:val="20"/>
          <w:szCs w:val="20"/>
          <w:color w:val="auto"/>
        </w:rPr>
      </w:pPr>
    </w:p>
    <w:p>
      <w:pPr>
        <w:ind w:right="20" w:firstLine="373"/>
        <w:spacing w:after="0" w:line="230" w:lineRule="auto"/>
        <w:rPr>
          <w:sz w:val="20"/>
          <w:szCs w:val="20"/>
          <w:color w:val="auto"/>
        </w:rPr>
      </w:pPr>
      <w:r>
        <w:rPr>
          <w:rFonts w:ascii="Arial" w:cs="Arial" w:eastAsia="Arial" w:hAnsi="Arial"/>
          <w:sz w:val="17"/>
          <w:szCs w:val="17"/>
          <w:color w:val="auto"/>
        </w:rPr>
        <w:t>Inventories are stated at the lower of cost or net realizable value based on the first-in, first-out cost method and consist of raw materials, work in process and finished goods. Appropriate consideration is given to deterioration, obsolescence, expiring and other factors in evaluating net realizable value. When we evaluate inventory for excess quantities and obsolescence, we utilize historical product usage experience and expected demand for establishing our reserve estimates. Our actual product usage may vary from the historical experience and estimating demand is inherently difficult which may result in us recording excess and obsolete inventory amounts that do not match the required amounts. An increase to inventory reserves results in a corresponding increase in cost of revenue. Inventories are written off against the reserve when they are physically disposed.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Acquisitions and Contingent Consideration</w:t>
      </w:r>
    </w:p>
    <w:p>
      <w:pPr>
        <w:spacing w:after="0" w:line="168" w:lineRule="exact"/>
        <w:rPr>
          <w:sz w:val="20"/>
          <w:szCs w:val="20"/>
          <w:color w:val="auto"/>
        </w:rPr>
      </w:pPr>
    </w:p>
    <w:p>
      <w:pPr>
        <w:ind w:right="540" w:firstLine="373"/>
        <w:spacing w:after="0" w:line="284" w:lineRule="auto"/>
        <w:rPr>
          <w:sz w:val="20"/>
          <w:szCs w:val="20"/>
          <w:color w:val="auto"/>
        </w:rPr>
      </w:pPr>
      <w:r>
        <w:rPr>
          <w:rFonts w:ascii="Arial" w:cs="Arial" w:eastAsia="Arial" w:hAnsi="Arial"/>
          <w:sz w:val="17"/>
          <w:szCs w:val="17"/>
          <w:color w:val="auto"/>
        </w:rPr>
        <w:t>The Company allocates the purchase price of acquired companies to the tangible and intangible assets acquired and liabilities assumed based on their estimated fair values. The estimates used to value the net assets acquired are based in part 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36" w:name="page37"/>
    <w:bookmarkEnd w:id="36"/>
    <w:p>
      <w:pPr>
        <w:ind w:right="200"/>
        <w:spacing w:after="0" w:line="262" w:lineRule="auto"/>
        <w:rPr>
          <w:sz w:val="20"/>
          <w:szCs w:val="20"/>
          <w:color w:val="auto"/>
        </w:rPr>
      </w:pPr>
      <w:r>
        <w:rPr>
          <w:rFonts w:ascii="Arial" w:cs="Arial" w:eastAsia="Arial" w:hAnsi="Arial"/>
          <w:sz w:val="17"/>
          <w:szCs w:val="17"/>
          <w:color w:val="auto"/>
        </w:rPr>
        <w:t>historical experience and information obtained from the management of the acquired company. The Company generally values the identifiable intangible assets acquired using a discounted cash flow model. The significant estimates used in valuing certain of the intangible assets include, but are not limited to: future expected cash flows of the asset, discount rates to determine the present value of the future cash flows, attrition rates of customers, royalty rates and expected technology life cycles. The Company also estimates the useful lives of the intangible assets based on the expected period over which the Company anticipates generating economic benefit from the asset.</w:t>
      </w:r>
    </w:p>
    <w:p>
      <w:pPr>
        <w:spacing w:after="0" w:line="126" w:lineRule="exact"/>
        <w:rPr>
          <w:sz w:val="20"/>
          <w:szCs w:val="20"/>
          <w:color w:val="auto"/>
        </w:rPr>
      </w:pPr>
    </w:p>
    <w:p>
      <w:pPr>
        <w:ind w:right="720" w:firstLine="373"/>
        <w:spacing w:after="0" w:line="284" w:lineRule="auto"/>
        <w:rPr>
          <w:sz w:val="20"/>
          <w:szCs w:val="20"/>
          <w:color w:val="auto"/>
        </w:rPr>
      </w:pPr>
      <w:r>
        <w:rPr>
          <w:rFonts w:ascii="Arial" w:cs="Arial" w:eastAsia="Arial" w:hAnsi="Arial"/>
          <w:sz w:val="17"/>
          <w:szCs w:val="17"/>
          <w:color w:val="auto"/>
        </w:rPr>
        <w:t>The Company’s estimates of fair value are based on assumptions believed to be reasonable at that time. If management made different estimates or judgments, material differences in the fair values of the net assets acquired may result.</w:t>
      </w:r>
    </w:p>
    <w:p>
      <w:pPr>
        <w:spacing w:after="0" w:line="108" w:lineRule="exact"/>
        <w:rPr>
          <w:sz w:val="20"/>
          <w:szCs w:val="20"/>
          <w:color w:val="auto"/>
        </w:rPr>
      </w:pPr>
    </w:p>
    <w:p>
      <w:pPr>
        <w:ind w:right="40" w:firstLine="373"/>
        <w:spacing w:after="0" w:line="294" w:lineRule="auto"/>
        <w:rPr>
          <w:sz w:val="20"/>
          <w:szCs w:val="20"/>
          <w:color w:val="auto"/>
        </w:rPr>
      </w:pPr>
      <w:r>
        <w:rPr>
          <w:rFonts w:ascii="Arial" w:cs="Arial" w:eastAsia="Arial" w:hAnsi="Arial"/>
          <w:sz w:val="15"/>
          <w:szCs w:val="15"/>
          <w:color w:val="auto"/>
        </w:rPr>
        <w:t>Certain of the Company’s business combinations involve potential payment of future consideration that is contingent upon the achievement of certain product development milestones and/or contingent on the acquired business reaching certain performance milestones. The Company records contingent consideration at fair value at the date of acquisition based on the consideration expected to be transferred, estimated as the probability weighted future cash flows, discounted back to present value. The fair value of contingent consideration is measured using projected payment dates, discount rates, probabilities of payment, and projected revenues (for revenue-based considerations). Projected revenues are based on the Company’s most recent internal operational budgets and long-range strategic plans. The discount rate used is determined at the time of measurement in accordance with accepted valuation methodologies. Changes in projected revenues, probabilities of payment, discount rates, and projected payment dates may result in adjustments to the fair value measurements. Contingent consideration is remeasured each reporting period using Level 3 inputs, and the change in fair value, including accretion for the passage of time, is recognized as income or expense within operating expenses in the consolidated statements of income. Contingent consideration payments made soon after the acquisition date are classified as investing activities in the consolidated statements of cash flows. Contingent consideration payments not made soon after the acquisition date that are related to the acquisition date fair value are reported as financing activities in the consolidated statements of cash flows, and amounts paid in excess of the original acquisition date fair value are reported as operating activities in the consolidated statements of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and Intangible Assets</w:t>
      </w:r>
    </w:p>
    <w:p>
      <w:pPr>
        <w:spacing w:after="0" w:line="168" w:lineRule="exact"/>
        <w:rPr>
          <w:sz w:val="20"/>
          <w:szCs w:val="20"/>
          <w:color w:val="auto"/>
        </w:rPr>
      </w:pPr>
    </w:p>
    <w:p>
      <w:pPr>
        <w:ind w:right="20" w:firstLine="373"/>
        <w:spacing w:after="0" w:line="276" w:lineRule="auto"/>
        <w:rPr>
          <w:sz w:val="20"/>
          <w:szCs w:val="20"/>
          <w:color w:val="auto"/>
        </w:rPr>
      </w:pPr>
      <w:r>
        <w:rPr>
          <w:rFonts w:ascii="Arial" w:cs="Arial" w:eastAsia="Arial" w:hAnsi="Arial"/>
          <w:sz w:val="16"/>
          <w:szCs w:val="16"/>
          <w:color w:val="auto"/>
        </w:rPr>
        <w:t>Intangible assets other than goodwill, indefinite lived intangible assets and in process research and development ("IP R&amp;D") are amortized over their estimated useful lives, which range between two to eighteen years, on either a straight-line basis over the expected period of benefit or as revenue is earned from the sales of the related product. The Company periodically reviews the estimated useful lives of intangible assets and reviews such assets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a single asset group.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18" w:lineRule="exact"/>
        <w:rPr>
          <w:sz w:val="20"/>
          <w:szCs w:val="20"/>
          <w:color w:val="auto"/>
        </w:rPr>
      </w:pPr>
    </w:p>
    <w:p>
      <w:pPr>
        <w:jc w:val="both"/>
        <w:ind w:firstLine="373"/>
        <w:spacing w:after="0" w:line="264" w:lineRule="auto"/>
        <w:rPr>
          <w:sz w:val="20"/>
          <w:szCs w:val="20"/>
          <w:color w:val="auto"/>
        </w:rPr>
      </w:pPr>
      <w:r>
        <w:rPr>
          <w:rFonts w:ascii="Arial" w:cs="Arial" w:eastAsia="Arial" w:hAnsi="Arial"/>
          <w:sz w:val="17"/>
          <w:szCs w:val="17"/>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25" w:lineRule="exact"/>
        <w:rPr>
          <w:sz w:val="20"/>
          <w:szCs w:val="20"/>
          <w:color w:val="auto"/>
        </w:rPr>
      </w:pPr>
    </w:p>
    <w:p>
      <w:pPr>
        <w:ind w:firstLine="373"/>
        <w:spacing w:after="0" w:line="260" w:lineRule="auto"/>
        <w:rPr>
          <w:sz w:val="20"/>
          <w:szCs w:val="20"/>
          <w:color w:val="auto"/>
        </w:rPr>
      </w:pPr>
      <w:r>
        <w:rPr>
          <w:rFonts w:ascii="Arial" w:cs="Arial" w:eastAsia="Arial" w:hAnsi="Arial"/>
          <w:sz w:val="17"/>
          <w:szCs w:val="17"/>
          <w:color w:val="auto"/>
        </w:rPr>
        <w:t>For goodwill, the impairment test requires a comparison of the estimated fair value of the reporting unit to which the goodwill is assigned to the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The Company operates as a single operating segment with one reporting unit and consequently evaluates goodwill for impairment based on an evaluation of the fair value of the Company as a whole. If the carrying value of the reporting unit exceeds the fair value of the reporting unit, the carrying value is reduced to its fair value through an adjustment to the goodwill balance, resulting in an impairment charge.</w:t>
      </w:r>
    </w:p>
    <w:p>
      <w:pPr>
        <w:spacing w:after="0" w:line="130" w:lineRule="exact"/>
        <w:rPr>
          <w:sz w:val="20"/>
          <w:szCs w:val="20"/>
          <w:color w:val="auto"/>
        </w:rPr>
      </w:pPr>
    </w:p>
    <w:p>
      <w:pPr>
        <w:ind w:right="220" w:firstLine="373"/>
        <w:spacing w:after="0" w:line="269" w:lineRule="auto"/>
        <w:rPr>
          <w:sz w:val="20"/>
          <w:szCs w:val="20"/>
          <w:color w:val="auto"/>
        </w:rPr>
      </w:pPr>
      <w:r>
        <w:rPr>
          <w:rFonts w:ascii="Arial" w:cs="Arial" w:eastAsia="Arial" w:hAnsi="Arial"/>
          <w:sz w:val="17"/>
          <w:szCs w:val="17"/>
          <w:color w:val="auto"/>
        </w:rPr>
        <w:t>Determining the fair value of a reporting unit is judgmental and requires the use of significant estimates and assumptions, including revenue growth rates, operating margins, discount rates and future market conditions, among others. Changes in assumptions or estimates could materially affect the estimated fair value, and therefore could affect the likelihood and amount of a potential impairment.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7" w:name="page38"/>
    <w:bookmarkEnd w:id="37"/>
    <w:p>
      <w:pPr>
        <w:ind w:right="140" w:firstLine="373"/>
        <w:spacing w:after="0" w:line="310" w:lineRule="auto"/>
        <w:rPr>
          <w:sz w:val="20"/>
          <w:szCs w:val="20"/>
          <w:color w:val="auto"/>
        </w:rPr>
      </w:pPr>
      <w:r>
        <w:rPr>
          <w:rFonts w:ascii="Arial" w:cs="Arial" w:eastAsia="Arial" w:hAnsi="Arial"/>
          <w:sz w:val="15"/>
          <w:szCs w:val="15"/>
          <w:color w:val="auto"/>
        </w:rPr>
        <w:t>As detailed in Note 9, "Goodwill and Intangible Assets" in the Consolidated Financial Statements including on our Form 10-K, during the fourth quarter of fiscal year 2021, the Company made the decision to abandon the OARtrac product technology and trademark. This resulted in an impairment charge of $14.0 million. In the fourth quarter of fiscal year 2020, the Company recorded a goodwill impairment loss of $158.6 million as the fair value of the reporting unit was less than its carrying value. There were no adjustments to goodwill for the year ended May 31, 2021 other than foreign currency translation adjustments.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years ended May 31, 2021 and 2020</w:t>
      </w:r>
    </w:p>
    <w:p>
      <w:pPr>
        <w:spacing w:after="0" w:line="174" w:lineRule="exact"/>
        <w:rPr>
          <w:sz w:val="20"/>
          <w:szCs w:val="20"/>
          <w:color w:val="auto"/>
        </w:rPr>
      </w:pPr>
    </w:p>
    <w:p>
      <w:pPr>
        <w:ind w:right="340" w:firstLine="373"/>
        <w:spacing w:after="0" w:line="317" w:lineRule="auto"/>
        <w:rPr>
          <w:sz w:val="20"/>
          <w:szCs w:val="20"/>
          <w:color w:val="auto"/>
        </w:rPr>
      </w:pPr>
      <w:r>
        <w:rPr>
          <w:rFonts w:ascii="Arial" w:cs="Arial" w:eastAsia="Arial" w:hAnsi="Arial"/>
          <w:sz w:val="16"/>
          <w:szCs w:val="16"/>
          <w:color w:val="auto"/>
        </w:rPr>
        <w:t>For the fiscal year ended May 31, 2021, we reported net loss from continuing operations of $31.5 million, or $0.82 loss per diluted share, on net sales of $291.0 million compared to a fiscal year 2020 net loss of $166.8 million, or $4.39 loss per diluted share, on net sales of $264.2 million.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Sales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sales</w:t>
      </w:r>
      <w:r>
        <w:rPr>
          <w:rFonts w:ascii="Arial" w:cs="Arial" w:eastAsia="Arial" w:hAnsi="Arial"/>
          <w:sz w:val="17"/>
          <w:szCs w:val="17"/>
          <w:color w:val="auto"/>
        </w:rPr>
        <w:t xml:space="preserve"> - Net sales are derived from the sale of our products and related freight charges, less discounts, rebates and returns.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year ended May 31, 2021 and 2020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Year ended May 31,</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20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 thousands)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 Change</w:t>
            </w:r>
          </w:p>
        </w:tc>
      </w:tr>
      <w:tr>
        <w:trPr>
          <w:trHeight w:val="20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 by Product Category</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0"/>
        </w:trPr>
        <w:tc>
          <w:tcPr>
            <w:tcW w:w="6660" w:type="dxa"/>
            <w:vAlign w:val="bottom"/>
          </w:tcPr>
          <w:p>
            <w:pPr>
              <w:ind w:left="320"/>
              <w:spacing w:after="0"/>
              <w:rPr>
                <w:sz w:val="20"/>
                <w:szCs w:val="20"/>
                <w:color w:val="auto"/>
              </w:rPr>
            </w:pPr>
            <w:r>
              <w:rPr>
                <w:rFonts w:ascii="Arial" w:cs="Arial" w:eastAsia="Arial" w:hAnsi="Arial"/>
                <w:sz w:val="17"/>
                <w:szCs w:val="17"/>
                <w:color w:val="auto"/>
              </w:rPr>
              <w:t>Endovascular Therapies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135,079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112,706</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19.9 %</w:t>
            </w:r>
          </w:p>
        </w:tc>
      </w:tr>
      <w:tr>
        <w:trPr>
          <w:trHeight w:val="220"/>
        </w:trPr>
        <w:tc>
          <w:tcPr>
            <w:tcW w:w="6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Vascular Access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94,299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7.4 %</w:t>
            </w:r>
          </w:p>
        </w:tc>
      </w:tr>
      <w:tr>
        <w:trPr>
          <w:trHeight w:val="220"/>
        </w:trPr>
        <w:tc>
          <w:tcPr>
            <w:tcW w:w="66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Oncology/Surgery</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57,152</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(4.4)%</w:t>
            </w:r>
          </w:p>
        </w:tc>
      </w:tr>
      <w:tr>
        <w:trPr>
          <w:trHeight w:val="23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291,010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264,157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10.2 %</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r>
        <w:trPr>
          <w:trHeight w:val="205"/>
        </w:trPr>
        <w:tc>
          <w:tcPr>
            <w:tcW w:w="6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 by Geography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6660" w:type="dxa"/>
            <w:vAlign w:val="bottom"/>
          </w:tcPr>
          <w:p>
            <w:pPr>
              <w:ind w:left="320"/>
              <w:spacing w:after="0"/>
              <w:rPr>
                <w:sz w:val="20"/>
                <w:szCs w:val="20"/>
                <w:color w:val="auto"/>
              </w:rPr>
            </w:pPr>
            <w:r>
              <w:rPr>
                <w:rFonts w:ascii="Arial" w:cs="Arial" w:eastAsia="Arial" w:hAnsi="Arial"/>
                <w:sz w:val="17"/>
                <w:szCs w:val="17"/>
                <w:color w:val="auto"/>
              </w:rPr>
              <w:t>United States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237,043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207,980</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14.0 %</w:t>
            </w:r>
          </w:p>
        </w:tc>
      </w:tr>
      <w:tr>
        <w:trPr>
          <w:trHeight w:val="220"/>
        </w:trPr>
        <w:tc>
          <w:tcPr>
            <w:tcW w:w="6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56,177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3"/>
        </w:trPr>
        <w:tc>
          <w:tcPr>
            <w:tcW w:w="666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291,010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264,157</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10.2 %</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the year ended May 31, 2021, net sales increased $26.9 million to $291.0 million compared to the year ended May 31, 2020. The prior year net sales numbers, specifically in the fourth quarter, were significantly impacted by the COVID-19 global pandemic.</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Endovascular Therapies</w:t>
      </w:r>
    </w:p>
    <w:p>
      <w:pPr>
        <w:spacing w:after="0" w:line="168" w:lineRule="exact"/>
        <w:rPr>
          <w:sz w:val="20"/>
          <w:szCs w:val="20"/>
          <w:color w:val="auto"/>
        </w:rPr>
      </w:pPr>
    </w:p>
    <w:p>
      <w:pPr>
        <w:ind w:left="620" w:right="20" w:hanging="305"/>
        <w:spacing w:after="0" w:line="258"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Total Endovascular Therapies sales increased $22.4 million or 19.9%. Auryon, which was acquired as part of the Eximo acquisition in the second quarter of fiscal year 2020, contributed $11.1 million in disposable sales. The AngioVac business grew $8.0 million as the Company continued to see increased case volumes in AngioVac, which increased 39% from the prior year. Additionally, Core Peripheral product sales increased $5.6 million. EVLT remained consistent with the prior year.</w:t>
      </w:r>
    </w:p>
    <w:p>
      <w:pPr>
        <w:spacing w:after="0" w:line="1" w:lineRule="exact"/>
        <w:rPr>
          <w:rFonts w:ascii="Arial" w:cs="Arial" w:eastAsia="Arial" w:hAnsi="Arial"/>
          <w:sz w:val="17"/>
          <w:szCs w:val="17"/>
          <w:color w:val="auto"/>
        </w:rPr>
      </w:pPr>
    </w:p>
    <w:p>
      <w:pPr>
        <w:ind w:left="620" w:right="200" w:hanging="305"/>
        <w:spacing w:after="0" w:line="254"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 Endovascular Therapies net sales increased $22.5 million due to increased case volume in AngioVac, increased Core Peripheral product sales and $11.1 million in sales of Auryon. These increases were partially offset by decreased sales volume in EVLT.</w:t>
      </w:r>
    </w:p>
    <w:p>
      <w:pPr>
        <w:spacing w:after="0" w:line="1"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International Endovascular Therapies net sales decreased $0.1 million.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Vascular Access</w:t>
      </w:r>
    </w:p>
    <w:p>
      <w:pPr>
        <w:spacing w:after="0" w:line="168" w:lineRule="exact"/>
        <w:rPr>
          <w:sz w:val="20"/>
          <w:szCs w:val="20"/>
          <w:color w:val="auto"/>
        </w:rPr>
      </w:pPr>
    </w:p>
    <w:p>
      <w:pPr>
        <w:ind w:left="620" w:right="80" w:hanging="305"/>
        <w:spacing w:after="0" w:line="258"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Total Vascular Access sales increased $7.0 million due to increased sales of PICCs, Ports, Midlines and Dialysis of $2.5 million, $1.3 million, $3.1 million and $0.1 million, respectively. These increases are partially the result of a large order in the United Kingdom related to the COVID-19 pandemic for $5.2 million in the first quarter of fiscal year 2021 along with the distribution agreement with MedComp for the sale of certain PICC products. BioFlo product lines comprised 52% of overall Vascular Access sales compared to 51% in the prior year.</w:t>
      </w:r>
    </w:p>
    <w:p>
      <w:pPr>
        <w:spacing w:after="0" w:line="1" w:lineRule="exact"/>
        <w:rPr>
          <w:rFonts w:ascii="Arial" w:cs="Arial" w:eastAsia="Arial" w:hAnsi="Arial"/>
          <w:sz w:val="17"/>
          <w:szCs w:val="17"/>
          <w:color w:val="auto"/>
        </w:rPr>
      </w:pPr>
    </w:p>
    <w:p>
      <w:pPr>
        <w:ind w:left="620" w:right="220" w:hanging="305"/>
        <w:spacing w:after="0" w:line="269"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U.S. Vascular Access net sales increased $4.3 million primarily due to increased PICCs, Ports and Midline sales of $1.1 million, $1.4 million and $1.5 million, respectively. These increases are attributed to a group purchasing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8" w:name="page39"/>
    <w:bookmarkEnd w:id="38"/>
    <w:p>
      <w:pPr>
        <w:ind w:left="620"/>
        <w:spacing w:after="0"/>
        <w:rPr>
          <w:sz w:val="20"/>
          <w:szCs w:val="20"/>
          <w:color w:val="auto"/>
        </w:rPr>
      </w:pPr>
      <w:r>
        <w:rPr>
          <w:rFonts w:ascii="Arial" w:cs="Arial" w:eastAsia="Arial" w:hAnsi="Arial"/>
          <w:sz w:val="17"/>
          <w:szCs w:val="17"/>
          <w:color w:val="auto"/>
        </w:rPr>
        <w:t>organization agreement that was signed in the third quarter of the prior fiscal year, new strategic relationships and the launch of SmartPort+.</w:t>
      </w:r>
    </w:p>
    <w:p>
      <w:pPr>
        <w:spacing w:after="0" w:line="25" w:lineRule="exact"/>
        <w:rPr>
          <w:sz w:val="20"/>
          <w:szCs w:val="20"/>
          <w:color w:val="auto"/>
        </w:rPr>
      </w:pPr>
    </w:p>
    <w:p>
      <w:pPr>
        <w:ind w:left="620" w:right="200" w:hanging="305"/>
        <w:spacing w:after="0" w:line="26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International Vascular Access net sales increased by $2.7 million primarily as a result of a large order in the United Kingdom related to the COVID-19 pandemic for $5.2 million. This was partially offset by decreased PICC sales in Latin America of $1.6 million.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Oncology/Surgery</w:t>
      </w:r>
    </w:p>
    <w:p>
      <w:pPr>
        <w:spacing w:after="0" w:line="168" w:lineRule="exact"/>
        <w:rPr>
          <w:sz w:val="20"/>
          <w:szCs w:val="20"/>
          <w:color w:val="auto"/>
        </w:rPr>
      </w:pPr>
    </w:p>
    <w:p>
      <w:pPr>
        <w:ind w:left="620" w:right="80" w:hanging="305"/>
        <w:spacing w:after="0" w:line="273" w:lineRule="auto"/>
        <w:tabs>
          <w:tab w:leader="none" w:pos="6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Oncology/Surgery sales decreased $2.5 million year over year. The sales were significantly impacted by the challenging capital spending environment as a result of the COVID-19 pandemic, as Microwave and NanoKnife capital sales decreased $4.2 million. Of this decrease, $2.1 million is due to a large NanoKnife distributor order in the Asia-Pacific region ("APAC") in the prior year. Radiofrequency Ablation sales also decreased $1.6 million, Balloon product sales decreased by $1.1 million and other sales decreased $0.7 million. These decreases were partially offset by increased Microwave and NanoKnife disposable sales of $2.1 million and $1.2 million, respectively, and increased BioSentry sales of $2.0 million.</w:t>
      </w:r>
    </w:p>
    <w:p>
      <w:pPr>
        <w:spacing w:after="0" w:line="3" w:lineRule="exact"/>
        <w:rPr>
          <w:rFonts w:ascii="Arial" w:cs="Arial" w:eastAsia="Arial" w:hAnsi="Arial"/>
          <w:sz w:val="16"/>
          <w:szCs w:val="16"/>
          <w:color w:val="auto"/>
        </w:rPr>
      </w:pPr>
    </w:p>
    <w:p>
      <w:pPr>
        <w:ind w:left="620" w:right="20" w:hanging="305"/>
        <w:spacing w:after="0" w:line="254"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 Oncology net sales increased by $2.3 million primarily due to increased NanoKnife disposable sales of $1.5 million, BioSentry sales of $2.0 million and Microwave disposable sales of $1.3 million. The increased NanoKnife disposable sales is the result of the increased capital base that was developed in the prior year along with increased case volumes as hospitals have begun to lift restrictions on procedures. This was partially offset by decreased NanoKnife capital sales of $1.1 million and Balloon product sales of $1.1 million.</w:t>
      </w:r>
    </w:p>
    <w:p>
      <w:pPr>
        <w:spacing w:after="0" w:line="2" w:lineRule="exact"/>
        <w:rPr>
          <w:rFonts w:ascii="Arial" w:cs="Arial" w:eastAsia="Arial" w:hAnsi="Arial"/>
          <w:sz w:val="17"/>
          <w:szCs w:val="17"/>
          <w:color w:val="auto"/>
        </w:rPr>
      </w:pPr>
    </w:p>
    <w:p>
      <w:pPr>
        <w:ind w:left="620" w:right="80" w:hanging="305"/>
        <w:spacing w:after="0" w:line="259"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International Oncology sales decreased $4.8 million year over year. The decrease was driven by lower NanoKnife capital and disposable sales of $3.0 million and decreased Radiofrequency Ablation sales of $2.1 million as a result of market pressures and hospital restrictions due to the COVID-19 pandemic. Of the $3.0 million decrease in NanoKnife capital and disposable sales, $2.1 million was related to a NanoKnife distributor order in APAC in the prior year.</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 Operating expenses, and Other income (expense)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Year ended May 31,</w:t>
            </w:r>
          </w:p>
        </w:tc>
        <w:tc>
          <w:tcPr>
            <w:tcW w:w="1520" w:type="dxa"/>
            <w:vAlign w:val="bottom"/>
            <w:tcBorders>
              <w:bottom w:val="single" w:sz="8" w:color="auto"/>
            </w:tcBorders>
          </w:tcPr>
          <w:p>
            <w:pPr>
              <w:spacing w:after="0"/>
              <w:rPr>
                <w:sz w:val="15"/>
                <w:szCs w:val="15"/>
                <w:color w:val="auto"/>
              </w:rPr>
            </w:pPr>
          </w:p>
        </w:tc>
      </w:tr>
      <w:tr>
        <w:trPr>
          <w:trHeight w:val="178"/>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 Change</w:t>
            </w: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 (exclusive of intangible amortization)</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156,788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150,272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w:t>
            </w:r>
          </w:p>
        </w:tc>
      </w:tr>
      <w:tr>
        <w:trPr>
          <w:trHeight w:val="220"/>
        </w:trPr>
        <w:tc>
          <w:tcPr>
            <w:tcW w:w="6440" w:type="dxa"/>
            <w:vAlign w:val="bottom"/>
          </w:tcPr>
          <w:p>
            <w:pPr>
              <w:ind w:left="20"/>
              <w:spacing w:after="0"/>
              <w:rPr>
                <w:sz w:val="20"/>
                <w:szCs w:val="20"/>
                <w:color w:val="auto"/>
              </w:rPr>
            </w:pPr>
            <w:r>
              <w:rPr>
                <w:rFonts w:ascii="Arial" w:cs="Arial" w:eastAsia="Arial" w:hAnsi="Arial"/>
                <w:sz w:val="17"/>
                <w:szCs w:val="17"/>
                <w:color w:val="auto"/>
              </w:rPr>
              <w:t>Gross profit % of sales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53.9 %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56.9 %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36,390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29,682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22.6 %</w:t>
            </w:r>
          </w:p>
        </w:tc>
      </w:tr>
      <w:tr>
        <w:trPr>
          <w:trHeight w:val="220"/>
        </w:trPr>
        <w:tc>
          <w:tcPr>
            <w:tcW w:w="6440" w:type="dxa"/>
            <w:vAlign w:val="bottom"/>
          </w:tcPr>
          <w:p>
            <w:pPr>
              <w:ind w:left="20"/>
              <w:spacing w:after="0"/>
              <w:rPr>
                <w:sz w:val="20"/>
                <w:szCs w:val="20"/>
                <w:color w:val="auto"/>
              </w:rPr>
            </w:pPr>
            <w:r>
              <w:rPr>
                <w:rFonts w:ascii="Arial" w:cs="Arial" w:eastAsia="Arial" w:hAnsi="Arial"/>
                <w:sz w:val="17"/>
                <w:szCs w:val="17"/>
                <w:color w:val="auto"/>
              </w:rPr>
              <w:t>% of sales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11.2 %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81,306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78,634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r>
      <w:tr>
        <w:trPr>
          <w:trHeight w:val="220"/>
        </w:trPr>
        <w:tc>
          <w:tcPr>
            <w:tcW w:w="6440" w:type="dxa"/>
            <w:vAlign w:val="bottom"/>
          </w:tcPr>
          <w:p>
            <w:pPr>
              <w:ind w:left="20"/>
              <w:spacing w:after="0"/>
              <w:rPr>
                <w:sz w:val="20"/>
                <w:szCs w:val="20"/>
                <w:color w:val="auto"/>
              </w:rPr>
            </w:pPr>
            <w:r>
              <w:rPr>
                <w:rFonts w:ascii="Arial" w:cs="Arial" w:eastAsia="Arial" w:hAnsi="Arial"/>
                <w:sz w:val="17"/>
                <w:szCs w:val="17"/>
                <w:color w:val="auto"/>
              </w:rPr>
              <w:t>% of sales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29.8 %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35,918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37,872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21"/>
        </w:trPr>
        <w:tc>
          <w:tcPr>
            <w:tcW w:w="6440" w:type="dxa"/>
            <w:vAlign w:val="bottom"/>
          </w:tcPr>
          <w:p>
            <w:pPr>
              <w:ind w:left="20"/>
              <w:spacing w:after="0"/>
              <w:rPr>
                <w:sz w:val="20"/>
                <w:szCs w:val="20"/>
                <w:color w:val="auto"/>
              </w:rPr>
            </w:pPr>
            <w:r>
              <w:rPr>
                <w:rFonts w:ascii="Arial" w:cs="Arial" w:eastAsia="Arial" w:hAnsi="Arial"/>
                <w:sz w:val="17"/>
                <w:szCs w:val="17"/>
                <w:color w:val="auto"/>
              </w:rPr>
              <w:t>% of sales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14.3 %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3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u w:val="single" w:color="auto"/>
          <w:color w:val="auto"/>
        </w:rPr>
        <w:t>Gross profit</w:t>
      </w:r>
      <w:r>
        <w:rPr>
          <w:rFonts w:ascii="Arial" w:cs="Arial" w:eastAsia="Arial" w:hAnsi="Arial"/>
          <w:sz w:val="17"/>
          <w:szCs w:val="17"/>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2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While gross profit increased by $6.5 million compared to the prior year, gross profit as a percentage of sales decreased 300 basis points. The change is primarily attributable to the following:</w:t>
      </w:r>
    </w:p>
    <w:p>
      <w:pPr>
        <w:spacing w:after="0" w:line="108" w:lineRule="exact"/>
        <w:rPr>
          <w:sz w:val="20"/>
          <w:szCs w:val="20"/>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volume positively impacted gross profit by $16.6 million year over year;</w:t>
      </w:r>
    </w:p>
    <w:p>
      <w:pPr>
        <w:spacing w:after="0" w:line="24" w:lineRule="exact"/>
        <w:rPr>
          <w:rFonts w:ascii="Arial" w:cs="Arial" w:eastAsia="Arial" w:hAnsi="Arial"/>
          <w:sz w:val="17"/>
          <w:szCs w:val="17"/>
          <w:color w:val="auto"/>
        </w:rPr>
      </w:pPr>
    </w:p>
    <w:p>
      <w:pPr>
        <w:ind w:left="620" w:right="20" w:hanging="305"/>
        <w:spacing w:after="0" w:line="254"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productivity negatively impacted gross profit by $10.0 million primarily as a result of under absorption, and to a lesser extent inflation, of $5.1 million and start-up costs of $4.0 million related to the Auryon launch. The under absorption in manufacturing operations was due to the Company maintaining staffing levels during the COVID-19 global pandemic to mitigate risk, along with a focus on working capital management through inventory reduction;</w:t>
      </w:r>
    </w:p>
    <w:p>
      <w:pPr>
        <w:spacing w:after="0" w:line="2" w:lineRule="exact"/>
        <w:rPr>
          <w:rFonts w:ascii="Arial" w:cs="Arial" w:eastAsia="Arial" w:hAnsi="Arial"/>
          <w:sz w:val="17"/>
          <w:szCs w:val="17"/>
          <w:color w:val="auto"/>
        </w:rPr>
      </w:pPr>
    </w:p>
    <w:p>
      <w:pPr>
        <w:ind w:left="620" w:right="680" w:hanging="305"/>
        <w:spacing w:after="0" w:line="254"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Mix negatively impacted gross margin by $0.8 million as a result of the large order in the United Kingdom for lower gross margin products and decreased NanoKnife capital sales. This was partially offset by increased AngioVac sales; and</w:t>
      </w:r>
    </w:p>
    <w:p>
      <w:pPr>
        <w:spacing w:after="0" w:line="1" w:lineRule="exact"/>
        <w:rPr>
          <w:rFonts w:ascii="Arial" w:cs="Arial" w:eastAsia="Arial" w:hAnsi="Arial"/>
          <w:sz w:val="17"/>
          <w:szCs w:val="17"/>
          <w:color w:val="auto"/>
        </w:rPr>
      </w:pPr>
    </w:p>
    <w:p>
      <w:pPr>
        <w:ind w:left="620" w:right="240" w:hanging="305"/>
        <w:spacing w:after="0" w:line="26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benefit of $0.7 million was recorded to gross profit which represents a portion of the employee retention credit that the Company filed for under the provisions of the CARES Act in the third quarter of the current year.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9" w:name="page40"/>
    <w:bookmarkEnd w:id="39"/>
    <w:p>
      <w:pPr>
        <w:ind w:right="40"/>
        <w:spacing w:after="0" w:line="284" w:lineRule="auto"/>
        <w:rPr>
          <w:sz w:val="20"/>
          <w:szCs w:val="20"/>
          <w:color w:val="auto"/>
        </w:rPr>
      </w:pPr>
      <w:r>
        <w:rPr>
          <w:rFonts w:ascii="Arial" w:cs="Arial" w:eastAsia="Arial" w:hAnsi="Arial"/>
          <w:sz w:val="17"/>
          <w:szCs w:val="17"/>
          <w:u w:val="single" w:color="auto"/>
          <w:color w:val="auto"/>
        </w:rPr>
        <w:t>Research and development expense</w:t>
      </w:r>
      <w:r>
        <w:rPr>
          <w:rFonts w:ascii="Arial" w:cs="Arial" w:eastAsia="Arial" w:hAnsi="Arial"/>
          <w:sz w:val="17"/>
          <w:szCs w:val="17"/>
          <w:color w:val="auto"/>
        </w:rPr>
        <w:t xml:space="preserve"> - Research and development (“R&amp;D”) expense includes internal and external costs to develop new products, enhance existing products, validate new and enhanced products, manage clinical, regulatory and medical affairs.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R&amp;D expense increased $6.7 million compared to the prior year. The increase is primarily attributable to the following:</w:t>
      </w:r>
    </w:p>
    <w:p>
      <w:pPr>
        <w:spacing w:after="0" w:line="161" w:lineRule="exact"/>
        <w:rPr>
          <w:sz w:val="20"/>
          <w:szCs w:val="20"/>
          <w:color w:val="auto"/>
        </w:rPr>
      </w:pPr>
    </w:p>
    <w:p>
      <w:pPr>
        <w:ind w:left="620" w:hanging="305"/>
        <w:spacing w:after="0" w:line="232"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AngioVac platform expansion, the NanoKnife DIRECT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study and the Pathfinder study increased $3.6 million and Auryon related expenses increased by $2.7 million;</w:t>
      </w:r>
    </w:p>
    <w:p>
      <w:pPr>
        <w:ind w:left="620" w:hanging="30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Outside consultant expense and other expense increased $0.5 million and travel expenses decreased $0.5 million;</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Compensation and benefits increased $0.7 million, of which $0.4 million related to variable compensation; and</w:t>
      </w:r>
    </w:p>
    <w:p>
      <w:pPr>
        <w:spacing w:after="0" w:line="11" w:lineRule="exact"/>
        <w:rPr>
          <w:rFonts w:ascii="Arial" w:cs="Arial" w:eastAsia="Arial" w:hAnsi="Arial"/>
          <w:sz w:val="17"/>
          <w:szCs w:val="17"/>
          <w:color w:val="auto"/>
        </w:rPr>
      </w:pPr>
    </w:p>
    <w:p>
      <w:pPr>
        <w:ind w:left="620" w:right="60" w:hanging="305"/>
        <w:spacing w:after="0" w:line="269"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benefit of $0.3 million was recorded to R&amp;D expense which represents a portion of the employee retention credit that the Company filed for under the provisions of the CARES Act in the third quarter of the current year.</w:t>
      </w:r>
    </w:p>
    <w:p>
      <w:pPr>
        <w:spacing w:after="0" w:line="198" w:lineRule="exact"/>
        <w:rPr>
          <w:sz w:val="20"/>
          <w:szCs w:val="20"/>
          <w:color w:val="auto"/>
        </w:rPr>
      </w:pPr>
    </w:p>
    <w:p>
      <w:pPr>
        <w:ind w:right="760"/>
        <w:spacing w:after="0" w:line="284" w:lineRule="auto"/>
        <w:rPr>
          <w:sz w:val="20"/>
          <w:szCs w:val="20"/>
          <w:color w:val="auto"/>
        </w:rPr>
      </w:pPr>
      <w:r>
        <w:rPr>
          <w:rFonts w:ascii="Arial" w:cs="Arial" w:eastAsia="Arial" w:hAnsi="Arial"/>
          <w:sz w:val="17"/>
          <w:szCs w:val="17"/>
          <w:u w:val="single" w:color="auto"/>
          <w:color w:val="auto"/>
        </w:rPr>
        <w:t>Sales and marketing expense</w:t>
      </w:r>
      <w:r>
        <w:rPr>
          <w:rFonts w:ascii="Arial" w:cs="Arial" w:eastAsia="Arial" w:hAnsi="Arial"/>
          <w:sz w:val="17"/>
          <w:szCs w:val="17"/>
          <w:color w:val="auto"/>
        </w:rPr>
        <w:t xml:space="preserve"> - Sales and marketing (“S&amp;M”) expense consists primarily of salaries, commissions, travel and related business expenses, attendance at medical society meetings, product promotions and marketing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S&amp;M expense increased by $2.7 million compared to the prior year. The increase is primarily attributable to the following:</w:t>
      </w:r>
    </w:p>
    <w:p>
      <w:pPr>
        <w:spacing w:after="0" w:line="168" w:lineRule="exact"/>
        <w:rPr>
          <w:sz w:val="20"/>
          <w:szCs w:val="20"/>
          <w:color w:val="auto"/>
        </w:rPr>
      </w:pPr>
    </w:p>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Expense related to the build-out of the Auryon sales and marketing teams to prepare for full product launch of $7.7 million;</w:t>
      </w:r>
    </w:p>
    <w:p>
      <w:pPr>
        <w:spacing w:after="0" w:line="24" w:lineRule="exact"/>
        <w:rPr>
          <w:rFonts w:ascii="Arial" w:cs="Arial" w:eastAsia="Arial" w:hAnsi="Arial"/>
          <w:sz w:val="17"/>
          <w:szCs w:val="17"/>
          <w:color w:val="auto"/>
        </w:rPr>
      </w:pPr>
    </w:p>
    <w:p>
      <w:pPr>
        <w:ind w:left="620" w:right="40" w:hanging="305"/>
        <w:spacing w:after="0" w:line="254"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Travel expense decreased $2.4 million due to less travel as a result of the COVID-19 pandemic. In addition, tradeshow and other expense decreased $1.2 million primarily due to the cancellation of events;</w:t>
      </w:r>
    </w:p>
    <w:p>
      <w:pPr>
        <w:spacing w:after="0" w:line="1" w:lineRule="exact"/>
        <w:rPr>
          <w:rFonts w:ascii="Arial" w:cs="Arial" w:eastAsia="Arial" w:hAnsi="Arial"/>
          <w:sz w:val="17"/>
          <w:szCs w:val="17"/>
          <w:color w:val="auto"/>
        </w:rPr>
      </w:pPr>
    </w:p>
    <w:p>
      <w:pPr>
        <w:ind w:left="620" w:right="120" w:hanging="305"/>
        <w:spacing w:after="0" w:line="254"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Compensation and benefits decreased $0.7 million due to decreased salaries as a result of open roles partially offset by increased variable compensation and commissions; and</w:t>
      </w:r>
    </w:p>
    <w:p>
      <w:pPr>
        <w:spacing w:after="0" w:line="1" w:lineRule="exact"/>
        <w:rPr>
          <w:rFonts w:ascii="Arial" w:cs="Arial" w:eastAsia="Arial" w:hAnsi="Arial"/>
          <w:sz w:val="17"/>
          <w:szCs w:val="17"/>
          <w:color w:val="auto"/>
        </w:rPr>
      </w:pPr>
    </w:p>
    <w:p>
      <w:pPr>
        <w:ind w:left="620" w:right="340" w:hanging="305"/>
        <w:spacing w:after="0" w:line="26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benefit of $0.9 million was recorded to sales and marketing expense which represents a portion of the employee retention credit that the Company filed for under the provisions of the CARES Act in the third quarter of the current year.</w:t>
      </w:r>
    </w:p>
    <w:p>
      <w:pPr>
        <w:spacing w:after="0" w:line="198"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u w:val="single" w:color="auto"/>
          <w:color w:val="auto"/>
        </w:rPr>
        <w:t>General and administrative expense</w:t>
      </w:r>
      <w:r>
        <w:rPr>
          <w:rFonts w:ascii="Arial" w:cs="Arial" w:eastAsia="Arial" w:hAnsi="Arial"/>
          <w:sz w:val="17"/>
          <w:szCs w:val="17"/>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G&amp;A expense decreased by $2.0 million compared to the prior year. The decrease is primarily attributable to the following:</w:t>
      </w:r>
    </w:p>
    <w:p>
      <w:pPr>
        <w:spacing w:after="0" w:line="168" w:lineRule="exact"/>
        <w:rPr>
          <w:sz w:val="20"/>
          <w:szCs w:val="20"/>
          <w:color w:val="auto"/>
        </w:rPr>
      </w:pPr>
    </w:p>
    <w:p>
      <w:pPr>
        <w:ind w:left="620" w:hanging="30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Legal and professional fees relating to ongoing litigation that is within the normal course of business decreased $3.7 million;</w:t>
      </w:r>
    </w:p>
    <w:p>
      <w:pPr>
        <w:spacing w:after="0" w:line="24" w:lineRule="exact"/>
        <w:rPr>
          <w:rFonts w:ascii="Arial" w:cs="Arial" w:eastAsia="Arial" w:hAnsi="Arial"/>
          <w:sz w:val="17"/>
          <w:szCs w:val="17"/>
          <w:color w:val="auto"/>
        </w:rPr>
      </w:pPr>
    </w:p>
    <w:p>
      <w:pPr>
        <w:ind w:left="620" w:right="60" w:hanging="305"/>
        <w:spacing w:after="0" w:line="254"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Compensation and benefits increased approximately $2.1 million primarily as a result of increased variable compensation and stock based compensation expense; and</w:t>
      </w:r>
    </w:p>
    <w:p>
      <w:pPr>
        <w:spacing w:after="0" w:line="1" w:lineRule="exact"/>
        <w:rPr>
          <w:rFonts w:ascii="Arial" w:cs="Arial" w:eastAsia="Arial" w:hAnsi="Arial"/>
          <w:sz w:val="17"/>
          <w:szCs w:val="17"/>
          <w:color w:val="auto"/>
        </w:rPr>
      </w:pPr>
    </w:p>
    <w:p>
      <w:pPr>
        <w:ind w:left="620" w:hanging="30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Decreased consulting and other expense of $0.1 million and decreased travel expense of $0.2 million as a result of the COVID-19 pandemic.</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Year ended May 31,</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78"/>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2020</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 Change</w:t>
            </w:r>
          </w:p>
        </w:tc>
      </w:tr>
      <w:tr>
        <w:trPr>
          <w:trHeight w:val="217"/>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6720" w:type="dxa"/>
            <w:vAlign w:val="bottom"/>
          </w:tcPr>
          <w:p>
            <w:pPr>
              <w:ind w:left="20"/>
              <w:spacing w:after="0"/>
              <w:rPr>
                <w:sz w:val="20"/>
                <w:szCs w:val="20"/>
                <w:color w:val="auto"/>
              </w:rPr>
            </w:pPr>
            <w:r>
              <w:rPr>
                <w:rFonts w:ascii="Arial" w:cs="Arial" w:eastAsia="Arial" w:hAnsi="Arial"/>
                <w:sz w:val="17"/>
                <w:szCs w:val="17"/>
                <w:color w:val="auto"/>
              </w:rPr>
              <w:t>Goodwill impairment</w:t>
            </w:r>
          </w:p>
        </w:tc>
        <w:tc>
          <w:tcPr>
            <w:tcW w:w="860" w:type="dxa"/>
            <w:vAlign w:val="bottom"/>
          </w:tcPr>
          <w:p>
            <w:pPr>
              <w:jc w:val="right"/>
              <w:ind w:right="676"/>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158,578</w:t>
            </w:r>
          </w:p>
        </w:tc>
        <w:tc>
          <w:tcPr>
            <w:tcW w:w="14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(158,578)</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contingent consideration</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11,620</w:t>
            </w:r>
          </w:p>
        </w:tc>
      </w:tr>
      <w:tr>
        <w:trPr>
          <w:trHeight w:val="220"/>
        </w:trPr>
        <w:tc>
          <w:tcPr>
            <w:tcW w:w="6720" w:type="dxa"/>
            <w:vAlign w:val="bottom"/>
          </w:tcPr>
          <w:p>
            <w:pPr>
              <w:ind w:left="20"/>
              <w:spacing w:after="0"/>
              <w:rPr>
                <w:sz w:val="20"/>
                <w:szCs w:val="20"/>
                <w:color w:val="auto"/>
              </w:rPr>
            </w:pPr>
            <w:r>
              <w:rPr>
                <w:rFonts w:ascii="Arial" w:cs="Arial" w:eastAsia="Arial" w:hAnsi="Arial"/>
                <w:sz w:val="17"/>
                <w:szCs w:val="17"/>
                <w:color w:val="auto"/>
              </w:rPr>
              <w:t>Acquisition, restructuring and other items, net</w:t>
            </w:r>
          </w:p>
        </w:tc>
        <w:tc>
          <w:tcPr>
            <w:tcW w:w="860" w:type="dxa"/>
            <w:vAlign w:val="bottom"/>
          </w:tcPr>
          <w:p>
            <w:pPr>
              <w:jc w:val="right"/>
              <w:ind w:right="67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20,232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6,014</w:t>
            </w:r>
          </w:p>
        </w:tc>
        <w:tc>
          <w:tcPr>
            <w:tcW w:w="14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14,218</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Amortization of intangibles</w:t>
      </w:r>
      <w:r>
        <w:rPr>
          <w:rFonts w:ascii="Arial" w:cs="Arial" w:eastAsia="Arial" w:hAnsi="Arial"/>
          <w:sz w:val="17"/>
          <w:szCs w:val="17"/>
          <w:color w:val="auto"/>
        </w:rPr>
        <w:t xml:space="preserve"> - Represents the amount of amortization expense that was taken on intangible assets held by the Company.</w:t>
      </w:r>
    </w:p>
    <w:p>
      <w:pPr>
        <w:spacing w:after="0" w:line="168" w:lineRule="exact"/>
        <w:rPr>
          <w:sz w:val="20"/>
          <w:szCs w:val="20"/>
          <w:color w:val="auto"/>
        </w:rPr>
      </w:pPr>
    </w:p>
    <w:p>
      <w:pPr>
        <w:ind w:right="5760" w:firstLine="315"/>
        <w:spacing w:after="0" w:line="505" w:lineRule="auto"/>
        <w:tabs>
          <w:tab w:leader="none" w:pos="618" w:val="left"/>
        </w:tabs>
        <w:numPr>
          <w:ilvl w:val="0"/>
          <w:numId w:val="26"/>
        </w:numPr>
        <w:rPr>
          <w:rFonts w:ascii="Arial" w:cs="Arial" w:eastAsia="Arial" w:hAnsi="Arial"/>
          <w:sz w:val="15"/>
          <w:szCs w:val="15"/>
          <w:color w:val="auto"/>
        </w:rPr>
      </w:pPr>
      <w:r>
        <w:rPr>
          <w:rFonts w:ascii="Arial" w:cs="Arial" w:eastAsia="Arial" w:hAnsi="Arial"/>
          <w:sz w:val="15"/>
          <w:szCs w:val="15"/>
          <w:color w:val="auto"/>
        </w:rPr>
        <w:t xml:space="preserve">Amortization expense remained consistent compared to the prior year. </w:t>
      </w:r>
      <w:r>
        <w:rPr>
          <w:rFonts w:ascii="Arial" w:cs="Arial" w:eastAsia="Arial" w:hAnsi="Arial"/>
          <w:sz w:val="15"/>
          <w:szCs w:val="15"/>
          <w:u w:val="single" w:color="auto"/>
          <w:color w:val="auto"/>
        </w:rPr>
        <w:t>Goodwill Impairment</w:t>
      </w:r>
      <w:r>
        <w:rPr>
          <w:rFonts w:ascii="Arial" w:cs="Arial" w:eastAsia="Arial" w:hAnsi="Arial"/>
          <w:sz w:val="15"/>
          <w:szCs w:val="15"/>
          <w:color w:val="auto"/>
        </w:rPr>
        <w:t xml:space="preserve"> - Represents the impairment charge taken on goodwill.</w:t>
      </w:r>
    </w:p>
    <w:p>
      <w:pPr>
        <w:ind w:left="620" w:right="80" w:hanging="305"/>
        <w:spacing w:after="0" w:line="26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recorded a non-cash goodwill impairment charge of $158.6 million for the year ended May 31, 2020 as the fair value of the reporting unit was less than its carrying value. There were no adjustments to goodwill for the year ended May 31, 2021 other than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0" w:name="page41"/>
    <w:bookmarkEnd w:id="40"/>
    <w:p>
      <w:pPr>
        <w:ind w:right="300"/>
        <w:spacing w:after="0" w:line="284"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86" w:lineRule="exact"/>
        <w:rPr>
          <w:sz w:val="20"/>
          <w:szCs w:val="20"/>
          <w:color w:val="auto"/>
        </w:rPr>
      </w:pPr>
    </w:p>
    <w:p>
      <w:pPr>
        <w:ind w:left="620" w:right="80" w:hanging="305"/>
        <w:spacing w:after="0" w:line="262"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change is primarily due to RadiaDyne revised sales projections and a technical milestone that would not be achieved. This resulted in a $9.2 million and $2.7 million reduction in the fair value of the contingent liability in the prior year.</w:t>
      </w:r>
    </w:p>
    <w:p>
      <w:pPr>
        <w:ind w:left="620" w:hanging="305"/>
        <w:spacing w:after="0" w:line="262"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the current year, a decision was made to no longer pursue the final RadiaDyne technical milestone, which resulted in a reduction in the liability of $0.8 million. This reduction in the fair value was offset by normal amortization of the present value of the Eximo contingent consideration recorded in the second quarter of fiscal year 2020.</w:t>
      </w:r>
    </w:p>
    <w:p>
      <w:pPr>
        <w:spacing w:after="0" w:line="125" w:lineRule="exact"/>
        <w:rPr>
          <w:sz w:val="20"/>
          <w:szCs w:val="20"/>
          <w:color w:val="auto"/>
        </w:rPr>
      </w:pPr>
    </w:p>
    <w:p>
      <w:pPr>
        <w:ind w:right="700"/>
        <w:spacing w:after="0" w:line="354" w:lineRule="auto"/>
        <w:rPr>
          <w:sz w:val="20"/>
          <w:szCs w:val="20"/>
          <w:color w:val="auto"/>
        </w:rPr>
      </w:pPr>
      <w:r>
        <w:rPr>
          <w:rFonts w:ascii="Arial" w:cs="Arial" w:eastAsia="Arial" w:hAnsi="Arial"/>
          <w:sz w:val="15"/>
          <w:szCs w:val="15"/>
          <w:u w:val="single" w:color="auto"/>
          <w:color w:val="auto"/>
        </w:rPr>
        <w:t>Acquisition, restructuring and other items, net</w:t>
      </w:r>
      <w:r>
        <w:rPr>
          <w:rFonts w:ascii="Arial" w:cs="Arial" w:eastAsia="Arial" w:hAnsi="Arial"/>
          <w:sz w:val="15"/>
          <w:szCs w:val="15"/>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Acquisition, restructuring and other items, net increased by $14.2 million compared to the prior year. The increase is attributable to the following:</w:t>
      </w:r>
    </w:p>
    <w:p>
      <w:pPr>
        <w:spacing w:after="0" w:line="168" w:lineRule="exact"/>
        <w:rPr>
          <w:sz w:val="20"/>
          <w:szCs w:val="20"/>
          <w:color w:val="auto"/>
        </w:rPr>
      </w:pPr>
    </w:p>
    <w:p>
      <w:pPr>
        <w:ind w:left="620" w:right="280" w:hanging="305"/>
        <w:spacing w:after="0" w:line="262"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Legal expense, related to litigation that is outside of the normal course of business, of $6.2 million was recorded in fiscal year 2021 compared to $2.7 million in the prior year. Included in legal for fiscal year 2021, is a $1.0 million settlement expense;</w:t>
      </w: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was no M&amp;A expense incurred in fiscal year 2021 compared to $0.8 million in the prior year;</w:t>
      </w:r>
    </w:p>
    <w:p>
      <w:pPr>
        <w:spacing w:after="0" w:line="11" w:lineRule="exact"/>
        <w:rPr>
          <w:rFonts w:ascii="Arial" w:cs="Arial" w:eastAsia="Arial" w:hAnsi="Arial"/>
          <w:sz w:val="17"/>
          <w:szCs w:val="17"/>
          <w:color w:val="auto"/>
        </w:rPr>
      </w:pPr>
    </w:p>
    <w:p>
      <w:pPr>
        <w:ind w:left="620" w:right="440" w:hanging="305"/>
        <w:spacing w:after="0" w:line="254"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fiscal year 2021, the Company incurred $0.4 million of expense to move manufacturing facilities as a result of the sale of the Fluid Management business compared to $2.8 million in the prior year;</w:t>
      </w:r>
    </w:p>
    <w:p>
      <w:pPr>
        <w:spacing w:after="0" w:line="1" w:lineRule="exact"/>
        <w:rPr>
          <w:rFonts w:ascii="Arial" w:cs="Arial" w:eastAsia="Arial" w:hAnsi="Arial"/>
          <w:sz w:val="17"/>
          <w:szCs w:val="17"/>
          <w:color w:val="auto"/>
        </w:rPr>
      </w:pPr>
    </w:p>
    <w:p>
      <w:pPr>
        <w:ind w:left="620" w:right="220" w:hanging="305"/>
        <w:spacing w:after="0" w:line="270" w:lineRule="auto"/>
        <w:tabs>
          <w:tab w:leader="none" w:pos="616"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As a result of the transition services agreement, the Company invoiced Medline $1.0 million in fiscal year 2021 compared to $1.8 million in the prior year;</w:t>
      </w:r>
    </w:p>
    <w:p>
      <w:pPr>
        <w:spacing w:after="0" w:line="1" w:lineRule="exact"/>
        <w:rPr>
          <w:rFonts w:ascii="Arial" w:cs="Arial" w:eastAsia="Arial" w:hAnsi="Arial"/>
          <w:sz w:val="16"/>
          <w:szCs w:val="16"/>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expenses of $0.8 million consists of severance associated with organizational changes, compared to $1.5 million in the prior year; and</w:t>
      </w:r>
    </w:p>
    <w:p>
      <w:pPr>
        <w:spacing w:after="0" w:line="11" w:lineRule="exact"/>
        <w:rPr>
          <w:rFonts w:ascii="Arial" w:cs="Arial" w:eastAsia="Arial" w:hAnsi="Arial"/>
          <w:sz w:val="17"/>
          <w:szCs w:val="17"/>
          <w:color w:val="auto"/>
        </w:rPr>
      </w:pPr>
    </w:p>
    <w:p>
      <w:pPr>
        <w:ind w:left="620" w:right="700" w:hanging="305"/>
        <w:spacing w:after="0" w:line="269"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$14.0 million impairment charge was recorded in fiscal year 2021 as a result of the decision to abandon the OARtrac product technology and trademark.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w:t>
      </w:r>
      <w:r>
        <w:rPr>
          <w:rFonts w:ascii="Arial" w:cs="Arial" w:eastAsia="Arial" w:hAnsi="Arial"/>
          <w:sz w:val="17"/>
          <w:szCs w:val="17"/>
          <w:color w:val="auto"/>
        </w:rPr>
        <w:t xml:space="preserve"> - Other expense includes interest expense, foreign currency impacts, bank fees, and amortization of deferred financing costs.</w:t>
      </w:r>
    </w:p>
    <w:p>
      <w:pPr>
        <w:spacing w:after="0" w:line="168" w:lineRule="exact"/>
        <w:rPr>
          <w:sz w:val="20"/>
          <w:szCs w:val="20"/>
          <w:color w:val="auto"/>
        </w:rPr>
      </w:pPr>
    </w:p>
    <w:p>
      <w:pPr>
        <w:jc w:val="both"/>
        <w:ind w:left="620" w:right="20" w:hanging="305"/>
        <w:spacing w:after="0" w:line="264"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decrease in other expense from the prior year of $0.3 million is primarily due to foreign currency unrealized gains of $0.4 million and the prior year write-off of deferred financing fees associated with the old Credit Facility of $0.6 million. This was partially offset by increased interest expense of $0.2 million for the $20.0 million outstanding on the Revolving Facility at the end of fiscal year 2021 compared to $40.0 million outstanding in the prior year. In addition, interest income decreased by $0.3 million.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Benefit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 May 31,</w:t>
            </w:r>
          </w:p>
        </w:tc>
        <w:tc>
          <w:tcPr>
            <w:tcW w:w="980" w:type="dxa"/>
            <w:vAlign w:val="bottom"/>
            <w:tcBorders>
              <w:bottom w:val="single" w:sz="8" w:color="auto"/>
            </w:tcBorders>
          </w:tcPr>
          <w:p>
            <w:pPr>
              <w:spacing w:after="0"/>
              <w:rPr>
                <w:sz w:val="15"/>
                <w:szCs w:val="15"/>
                <w:color w:val="auto"/>
              </w:rPr>
            </w:pPr>
          </w:p>
        </w:tc>
      </w:tr>
      <w:tr>
        <w:trPr>
          <w:trHeight w:val="17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2020</w:t>
            </w: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(4,504)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(1,348)</w:t>
            </w:r>
          </w:p>
        </w:tc>
      </w:tr>
      <w:tr>
        <w:trPr>
          <w:trHeight w:val="221"/>
        </w:trPr>
        <w:tc>
          <w:tcPr>
            <w:tcW w:w="804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1 %</w:t>
            </w:r>
          </w:p>
        </w:tc>
      </w:tr>
    </w:tbl>
    <w:p>
      <w:pPr>
        <w:spacing w:after="0" w:line="143" w:lineRule="exact"/>
        <w:rPr>
          <w:sz w:val="20"/>
          <w:szCs w:val="20"/>
          <w:color w:val="auto"/>
        </w:rPr>
      </w:pPr>
    </w:p>
    <w:p>
      <w:pPr>
        <w:ind w:right="280" w:firstLine="389"/>
        <w:spacing w:after="0" w:line="262" w:lineRule="auto"/>
        <w:rPr>
          <w:sz w:val="20"/>
          <w:szCs w:val="20"/>
          <w:color w:val="auto"/>
        </w:rPr>
      </w:pPr>
      <w:r>
        <w:rPr>
          <w:rFonts w:ascii="Arial" w:cs="Arial" w:eastAsia="Arial" w:hAnsi="Arial"/>
          <w:sz w:val="17"/>
          <w:szCs w:val="17"/>
          <w:color w:val="auto"/>
        </w:rPr>
        <w:t>Our effective tax rate was a benefit of 12% for fiscal year 2021 compared with an effective tax rate benefit of 1% for the prior year. The current year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 The prior year effective tax rate differs from the U.S. Federal statutory tax rate of 21% primarily due to no tax benefit being recorded on the goodwill impairment of $158.6 million.</w:t>
      </w:r>
    </w:p>
    <w:p>
      <w:pPr>
        <w:spacing w:after="0" w:line="126" w:lineRule="exact"/>
        <w:rPr>
          <w:sz w:val="20"/>
          <w:szCs w:val="20"/>
          <w:color w:val="auto"/>
        </w:rPr>
      </w:pPr>
    </w:p>
    <w:p>
      <w:pPr>
        <w:jc w:val="both"/>
        <w:ind w:right="80" w:firstLine="389"/>
        <w:spacing w:after="0" w:line="269" w:lineRule="auto"/>
        <w:rPr>
          <w:sz w:val="20"/>
          <w:szCs w:val="20"/>
          <w:color w:val="auto"/>
        </w:rPr>
      </w:pPr>
      <w:r>
        <w:rPr>
          <w:rFonts w:ascii="Arial" w:cs="Arial" w:eastAsia="Arial" w:hAnsi="Arial"/>
          <w:sz w:val="17"/>
          <w:szCs w:val="17"/>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1" w:name="page42"/>
    <w:bookmarkEnd w:id="41"/>
    <w:p>
      <w:pPr>
        <w:ind w:right="20"/>
        <w:spacing w:after="0" w:line="284" w:lineRule="auto"/>
        <w:rPr>
          <w:sz w:val="20"/>
          <w:szCs w:val="20"/>
          <w:color w:val="auto"/>
        </w:rPr>
      </w:pPr>
      <w:r>
        <w:rPr>
          <w:rFonts w:ascii="Arial" w:cs="Arial" w:eastAsia="Arial" w:hAnsi="Arial"/>
          <w:sz w:val="17"/>
          <w:szCs w:val="17"/>
          <w:color w:val="auto"/>
        </w:rPr>
        <w:t>Evidence the Company considered included its history of net operating losses, which resulted in the Company recording a full valuation allowance for its deferred tax assets in fiscal year 2016, except the naked credit deferred tax liability.</w:t>
      </w:r>
    </w:p>
    <w:p>
      <w:pPr>
        <w:spacing w:after="0" w:line="108" w:lineRule="exact"/>
        <w:rPr>
          <w:sz w:val="20"/>
          <w:szCs w:val="20"/>
          <w:color w:val="auto"/>
        </w:rPr>
      </w:pPr>
    </w:p>
    <w:p>
      <w:pPr>
        <w:ind w:right="120" w:firstLine="389"/>
        <w:spacing w:after="0" w:line="260" w:lineRule="auto"/>
        <w:rPr>
          <w:sz w:val="20"/>
          <w:szCs w:val="20"/>
          <w:color w:val="auto"/>
        </w:rPr>
      </w:pPr>
      <w:r>
        <w:rPr>
          <w:rFonts w:ascii="Arial" w:cs="Arial" w:eastAsia="Arial" w:hAnsi="Arial"/>
          <w:sz w:val="17"/>
          <w:szCs w:val="17"/>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2021.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68" w:lineRule="exact"/>
        <w:rPr>
          <w:sz w:val="20"/>
          <w:szCs w:val="20"/>
          <w:color w:val="auto"/>
        </w:rPr>
      </w:pPr>
    </w:p>
    <w:p>
      <w:pPr>
        <w:jc w:val="both"/>
        <w:ind w:right="40" w:firstLine="389"/>
        <w:spacing w:after="0" w:line="269" w:lineRule="auto"/>
        <w:rPr>
          <w:sz w:val="20"/>
          <w:szCs w:val="20"/>
          <w:color w:val="auto"/>
        </w:rPr>
      </w:pPr>
      <w:r>
        <w:rPr>
          <w:rFonts w:ascii="Arial" w:cs="Arial" w:eastAsia="Arial" w:hAnsi="Arial"/>
          <w:sz w:val="17"/>
          <w:szCs w:val="17"/>
          <w:color w:val="auto"/>
        </w:rPr>
        <w:t>We regularly review our liquidity and anticipated capital requirements in light of the significant uncertainty created by the COVID-19 global pandemic. We believe that our current cash on hand and availability under our Revolving Facility provide sufficient liquidity to meet our anticipated needs for capital for at least the next 12 months. We are closely monitoring receivables and payables.</w:t>
      </w:r>
    </w:p>
    <w:p>
      <w:pPr>
        <w:spacing w:after="0" w:line="121" w:lineRule="exact"/>
        <w:rPr>
          <w:sz w:val="20"/>
          <w:szCs w:val="20"/>
          <w:color w:val="auto"/>
        </w:rPr>
      </w:pPr>
    </w:p>
    <w:p>
      <w:pPr>
        <w:ind w:right="220" w:firstLine="373"/>
        <w:spacing w:after="0" w:line="354" w:lineRule="auto"/>
        <w:rPr>
          <w:sz w:val="20"/>
          <w:szCs w:val="20"/>
          <w:color w:val="auto"/>
        </w:rPr>
      </w:pPr>
      <w:r>
        <w:rPr>
          <w:rFonts w:ascii="Arial" w:cs="Arial" w:eastAsia="Arial" w:hAnsi="Arial"/>
          <w:sz w:val="15"/>
          <w:szCs w:val="15"/>
          <w:color w:val="auto"/>
        </w:rPr>
        <w:t>Our cash and cash equivalents totaled $48.2 million as of May 31, 2021, compared with $54.4 million as of May 31, 2020. As of May 31, 2021, total debt outstanding related to the Revolving Facility was $20.0 million. The fair value of the contingent consideration liability as of May 31, 2021 was $15.7 million.</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summarizes our cash flows for the years ended May 31, 2021 and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 May 31,</w:t>
            </w:r>
          </w:p>
        </w:tc>
        <w:tc>
          <w:tcPr>
            <w:tcW w:w="880" w:type="dxa"/>
            <w:vAlign w:val="bottom"/>
            <w:tcBorders>
              <w:bottom w:val="single" w:sz="8" w:color="auto"/>
            </w:tcBorders>
          </w:tcPr>
          <w:p>
            <w:pPr>
              <w:spacing w:after="0"/>
              <w:rPr>
                <w:sz w:val="15"/>
                <w:szCs w:val="15"/>
                <w:color w:val="auto"/>
              </w:rPr>
            </w:pPr>
          </w:p>
        </w:tc>
      </w:tr>
      <w:tr>
        <w:trPr>
          <w:trHeight w:val="17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89"/>
              </w:rPr>
              <w:t>2020</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Operating activities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24,093</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(14,554)</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(63,345)</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(16,986)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(95,242)</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(173,206)</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May 31, 2021 and 2020, cash flows consisted of the following: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provided by (used in) operating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Year ended 2021:</w:t>
      </w:r>
    </w:p>
    <w:p>
      <w:pPr>
        <w:spacing w:after="0" w:line="168" w:lineRule="exact"/>
        <w:rPr>
          <w:sz w:val="20"/>
          <w:szCs w:val="20"/>
          <w:color w:val="auto"/>
        </w:rPr>
      </w:pPr>
    </w:p>
    <w:p>
      <w:pPr>
        <w:ind w:left="620" w:right="420" w:hanging="305"/>
        <w:spacing w:after="0" w:line="262"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loss of $31.5 million, plus the non-cash items, primarily driven by depreciation and amortization and share-based compensation, along with the changes in working capital below, contributed to cash provided by operations of $24.1 million.</w:t>
      </w:r>
    </w:p>
    <w:p>
      <w:pPr>
        <w:ind w:left="620" w:right="560" w:hanging="305"/>
        <w:spacing w:after="0" w:line="26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fiscal year 2021, working capital was favorably impacted by decreased inventory on hand of $11.5 million and increased accounts payable and accrued liabilities of $4.9 million. This was partially offset by increased accounts receivable of $4.2 million.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Year ended 2020:</w:t>
      </w:r>
    </w:p>
    <w:p>
      <w:pPr>
        <w:spacing w:after="0" w:line="168" w:lineRule="exact"/>
        <w:rPr>
          <w:sz w:val="20"/>
          <w:szCs w:val="20"/>
          <w:color w:val="auto"/>
        </w:rPr>
      </w:pPr>
    </w:p>
    <w:p>
      <w:pPr>
        <w:ind w:left="620" w:right="660" w:hanging="305"/>
        <w:spacing w:after="0" w:line="262"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 loss of $166.8 million plus the non-cash items, primarily driven by the goodwill impairment, depreciation and amortization and share-based compensation, along with the changes in working capital below, contributed to cash used in operations of $14.6 million.</w:t>
      </w:r>
    </w:p>
    <w:p>
      <w:pPr>
        <w:ind w:left="620" w:hanging="305"/>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Working capital was negatively impacted by increased inventory on hand of $18.8 million and decreased accounts payable and accrued liabilities of</w:t>
      </w:r>
    </w:p>
    <w:p>
      <w:pPr>
        <w:spacing w:after="0" w:line="23" w:lineRule="exact"/>
        <w:rPr>
          <w:rFonts w:ascii="Arial" w:cs="Arial" w:eastAsia="Arial" w:hAnsi="Arial"/>
          <w:sz w:val="16"/>
          <w:szCs w:val="16"/>
          <w:color w:val="auto"/>
        </w:rPr>
      </w:pPr>
    </w:p>
    <w:p>
      <w:pPr>
        <w:ind w:left="620" w:right="160"/>
        <w:spacing w:after="0" w:line="269" w:lineRule="auto"/>
        <w:rPr>
          <w:rFonts w:ascii="Arial" w:cs="Arial" w:eastAsia="Arial" w:hAnsi="Arial"/>
          <w:sz w:val="16"/>
          <w:szCs w:val="16"/>
          <w:color w:val="auto"/>
        </w:rPr>
      </w:pPr>
      <w:r>
        <w:rPr>
          <w:rFonts w:ascii="Arial" w:cs="Arial" w:eastAsia="Arial" w:hAnsi="Arial"/>
          <w:sz w:val="17"/>
          <w:szCs w:val="17"/>
          <w:color w:val="auto"/>
        </w:rPr>
        <w:t>$15.5 million. Accounts receivable had a favorable impact of $11.9 million on working capital as a result of the sale of the Fluid Management business and decreased sales in the fourth quarter as a result of the impact from COVID-19.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auto"/>
        </w:rPr>
        <w:t>Cash used in investing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Year ended 2021:</w:t>
      </w:r>
    </w:p>
    <w:p>
      <w:pPr>
        <w:spacing w:after="0" w:line="168" w:lineRule="exact"/>
        <w:rPr>
          <w:sz w:val="20"/>
          <w:szCs w:val="20"/>
          <w:color w:val="auto"/>
        </w:rPr>
      </w:pPr>
    </w:p>
    <w:p>
      <w:pPr>
        <w:ind w:right="2680" w:firstLine="315"/>
        <w:spacing w:after="0" w:line="445" w:lineRule="auto"/>
        <w:tabs>
          <w:tab w:leader="none" w:pos="618" w:val="left"/>
        </w:tabs>
        <w:numPr>
          <w:ilvl w:val="0"/>
          <w:numId w:val="32"/>
        </w:numPr>
        <w:rPr>
          <w:rFonts w:ascii="Arial" w:cs="Arial" w:eastAsia="Arial" w:hAnsi="Arial"/>
          <w:sz w:val="17"/>
          <w:szCs w:val="17"/>
          <w:color w:val="auto"/>
        </w:rPr>
      </w:pPr>
      <w:r>
        <w:rPr>
          <w:rFonts w:ascii="Arial" w:cs="Arial" w:eastAsia="Arial" w:hAnsi="Arial"/>
          <w:sz w:val="17"/>
          <w:szCs w:val="17"/>
          <w:color w:val="auto"/>
        </w:rPr>
        <w:t>$5.2 million of cash was used for fixed asset additions and $8.5 million of Auryon placement and evaluation units. Year ended 2020:</w:t>
      </w:r>
    </w:p>
    <w:p>
      <w:pPr>
        <w:spacing w:after="0" w:line="1" w:lineRule="exact"/>
        <w:rPr>
          <w:rFonts w:ascii="Arial" w:cs="Arial" w:eastAsia="Arial" w:hAnsi="Arial"/>
          <w:sz w:val="17"/>
          <w:szCs w:val="17"/>
          <w:color w:val="auto"/>
        </w:rPr>
      </w:pPr>
    </w:p>
    <w:p>
      <w:pPr>
        <w:ind w:left="620" w:right="140" w:hanging="305"/>
        <w:spacing w:after="0" w:line="262"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$45.8 million payment to acquire Eximo Medical Ltd. and $10.0 million payment to acquire the C3 Wave tip location asset from Medical Components, Inc. Refer to Note 2 of the financial statements; and</w:t>
      </w:r>
    </w:p>
    <w:p>
      <w:pPr>
        <w:ind w:left="620" w:hanging="305"/>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$7.2 million in fixed asset additions primarily related to building improvements along with maintenance of equipment.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used in financing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Year ended 2021:</w:t>
      </w:r>
    </w:p>
    <w:p>
      <w:pPr>
        <w:spacing w:after="0" w:line="168" w:lineRule="exact"/>
        <w:rPr>
          <w:sz w:val="20"/>
          <w:szCs w:val="20"/>
          <w:color w:val="auto"/>
        </w:rPr>
      </w:pPr>
    </w:p>
    <w:p>
      <w:pPr>
        <w:ind w:left="620" w:hanging="305"/>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$20.0 million in payments on the Revolving Facility in fiscal year 2021; and</w:t>
      </w:r>
    </w:p>
    <w:p>
      <w:pPr>
        <w:spacing w:after="0" w:line="24" w:lineRule="exact"/>
        <w:rPr>
          <w:rFonts w:ascii="Arial" w:cs="Arial" w:eastAsia="Arial" w:hAnsi="Arial"/>
          <w:sz w:val="17"/>
          <w:szCs w:val="17"/>
          <w:color w:val="auto"/>
        </w:rPr>
      </w:pPr>
    </w:p>
    <w:p>
      <w:pPr>
        <w:ind w:left="620" w:hanging="305"/>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$3.0 million of proceeds from stock option and ESPP activity.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Year ended 2020:</w:t>
      </w:r>
    </w:p>
    <w:p>
      <w:pPr>
        <w:spacing w:after="0" w:line="168" w:lineRule="exact"/>
        <w:rPr>
          <w:sz w:val="20"/>
          <w:szCs w:val="20"/>
          <w:color w:val="auto"/>
        </w:rPr>
      </w:pPr>
    </w:p>
    <w:p>
      <w:pPr>
        <w:ind w:left="620" w:right="180" w:hanging="305"/>
        <w:spacing w:after="0" w:line="262"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$132.5 million repayment of long-term debt in conjunction with the new Credit Agreement that was entered into at the beginning of the first quarter of fiscal year 2020. Refer to Note 12 of the financial statements;</w:t>
      </w:r>
    </w:p>
    <w:p>
      <w:pPr>
        <w:ind w:left="620" w:hanging="305"/>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$40.0 million draw on the Revolving Facility;</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$0.8 million of outlays from stock option and ESPP activity; and</w:t>
      </w:r>
    </w:p>
    <w:p>
      <w:pPr>
        <w:spacing w:after="0" w:line="11" w:lineRule="exact"/>
        <w:rPr>
          <w:rFonts w:ascii="Arial" w:cs="Arial" w:eastAsia="Arial" w:hAnsi="Arial"/>
          <w:sz w:val="17"/>
          <w:szCs w:val="17"/>
          <w:color w:val="auto"/>
        </w:rPr>
      </w:pPr>
    </w:p>
    <w:p>
      <w:pPr>
        <w:ind w:left="620" w:hanging="305"/>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$1.2 million payment on earn-out liabilities.</w:t>
      </w:r>
    </w:p>
    <w:p>
      <w:pPr>
        <w:spacing w:after="0" w:line="155" w:lineRule="exact"/>
        <w:rPr>
          <w:sz w:val="20"/>
          <w:szCs w:val="20"/>
          <w:color w:val="auto"/>
        </w:rPr>
      </w:pPr>
    </w:p>
    <w:p>
      <w:pPr>
        <w:ind w:firstLine="373"/>
        <w:spacing w:after="0" w:line="277" w:lineRule="auto"/>
        <w:rPr>
          <w:sz w:val="20"/>
          <w:szCs w:val="20"/>
          <w:color w:val="auto"/>
        </w:rPr>
      </w:pPr>
      <w:r>
        <w:rPr>
          <w:rFonts w:ascii="Arial" w:cs="Arial" w:eastAsia="Arial" w:hAnsi="Arial"/>
          <w:sz w:val="16"/>
          <w:szCs w:val="16"/>
          <w:color w:val="auto"/>
        </w:rPr>
        <w:t>On June 3, 2019 and in connection with the completion of the Fluid Management divestiture, the Company repaid all amounts outstanding under its existing Credit Agreement and entered into a new Credit Agreement. The Credit Agreement provides for a $125.0 million secured Revolving Facility, which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 The interest rate on the Revolving Facility at May 31, 2021 was 1.36%.</w:t>
      </w:r>
    </w:p>
    <w:p>
      <w:pPr>
        <w:spacing w:after="0" w:line="116" w:lineRule="exact"/>
        <w:rPr>
          <w:sz w:val="20"/>
          <w:szCs w:val="20"/>
          <w:color w:val="auto"/>
        </w:rPr>
      </w:pPr>
    </w:p>
    <w:p>
      <w:pPr>
        <w:ind w:right="60" w:firstLine="373"/>
        <w:spacing w:after="0" w:line="260" w:lineRule="auto"/>
        <w:rPr>
          <w:sz w:val="20"/>
          <w:szCs w:val="20"/>
          <w:color w:val="auto"/>
        </w:rPr>
      </w:pPr>
      <w:r>
        <w:rPr>
          <w:rFonts w:ascii="Arial" w:cs="Arial" w:eastAsia="Arial" w:hAnsi="Arial"/>
          <w:sz w:val="17"/>
          <w:szCs w:val="17"/>
          <w:color w:val="auto"/>
        </w:rPr>
        <w:t>On December 17, 2019, the Company made a $15.0 million draw on the Revolving Facility as part of the acquisition of the C3 Wave tip location asset from Medical Components Inc. that is described Note 2 to the financial statements. In the fourth quarter of fiscal year 2020, the Company made an additional $25.0 million draw on the Revolving Facility. In December 2020 and March 2021, payments of $10.0 million each were made on the Revolving Facility.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130" w:lineRule="exact"/>
        <w:rPr>
          <w:sz w:val="20"/>
          <w:szCs w:val="20"/>
          <w:color w:val="auto"/>
        </w:rPr>
      </w:pPr>
    </w:p>
    <w:p>
      <w:pPr>
        <w:ind w:firstLine="373"/>
        <w:spacing w:after="0" w:line="284" w:lineRule="auto"/>
        <w:rPr>
          <w:sz w:val="20"/>
          <w:szCs w:val="20"/>
          <w:color w:val="auto"/>
        </w:rPr>
      </w:pPr>
      <w:r>
        <w:rPr>
          <w:rFonts w:ascii="Arial" w:cs="Arial" w:eastAsia="Arial" w:hAnsi="Arial"/>
          <w:sz w:val="17"/>
          <w:szCs w:val="17"/>
          <w:color w:val="auto"/>
        </w:rPr>
        <w:t>Our contractual obligations as of May 31, 2021 are set forth in the table below (in thousands). We have no variable interest entities or other off-balance sheet obligations.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1"/>
        </w:trPr>
        <w:tc>
          <w:tcPr>
            <w:tcW w:w="5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color w:val="auto"/>
                <w:w w:val="88"/>
              </w:rPr>
              <w:t>Cash payments due by period as of May 31, 2021</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1"/>
                <w:szCs w:val="11"/>
                <w:color w:val="auto"/>
              </w:rPr>
            </w:pPr>
          </w:p>
        </w:tc>
        <w:tc>
          <w:tcPr>
            <w:tcW w:w="1020" w:type="dxa"/>
            <w:vAlign w:val="bottom"/>
            <w:gridSpan w:val="2"/>
          </w:tcPr>
          <w:p>
            <w:pPr>
              <w:ind w:left="80"/>
              <w:spacing w:after="0" w:line="129" w:lineRule="exact"/>
              <w:rPr>
                <w:sz w:val="20"/>
                <w:szCs w:val="20"/>
                <w:color w:val="auto"/>
              </w:rPr>
            </w:pPr>
            <w:r>
              <w:rPr>
                <w:rFonts w:ascii="Arial" w:cs="Arial" w:eastAsia="Arial" w:hAnsi="Arial"/>
                <w:sz w:val="14"/>
                <w:szCs w:val="14"/>
                <w:color w:val="auto"/>
              </w:rPr>
              <w:t>Less than</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8"/>
              </w:rPr>
              <w:t>1-3 Years</w:t>
            </w:r>
          </w:p>
        </w:tc>
        <w:tc>
          <w:tcPr>
            <w:tcW w:w="20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color w:val="auto"/>
              </w:rPr>
              <w:t>3-5 Years</w:t>
            </w:r>
          </w:p>
        </w:tc>
        <w:tc>
          <w:tcPr>
            <w:tcW w:w="240" w:type="dxa"/>
            <w:vAlign w:val="bottom"/>
          </w:tcPr>
          <w:p>
            <w:pPr>
              <w:spacing w:after="0"/>
              <w:rPr>
                <w:sz w:val="11"/>
                <w:szCs w:val="11"/>
                <w:color w:val="auto"/>
              </w:rPr>
            </w:pPr>
          </w:p>
        </w:tc>
        <w:tc>
          <w:tcPr>
            <w:tcW w:w="880" w:type="dxa"/>
            <w:vAlign w:val="bottom"/>
          </w:tcPr>
          <w:p>
            <w:pPr>
              <w:jc w:val="right"/>
              <w:ind w:right="277"/>
              <w:spacing w:after="0" w:line="129" w:lineRule="exact"/>
              <w:rPr>
                <w:sz w:val="20"/>
                <w:szCs w:val="20"/>
                <w:color w:val="auto"/>
              </w:rPr>
            </w:pPr>
            <w:r>
              <w:rPr>
                <w:rFonts w:ascii="Arial" w:cs="Arial" w:eastAsia="Arial" w:hAnsi="Arial"/>
                <w:sz w:val="14"/>
                <w:szCs w:val="14"/>
                <w:color w:val="auto"/>
              </w:rPr>
              <w:t>After 5</w:t>
            </w:r>
          </w:p>
        </w:tc>
        <w:tc>
          <w:tcPr>
            <w:tcW w:w="0" w:type="dxa"/>
            <w:vAlign w:val="bottom"/>
          </w:tcPr>
          <w:p>
            <w:pPr>
              <w:spacing w:after="0"/>
              <w:rPr>
                <w:sz w:val="1"/>
                <w:szCs w:val="1"/>
                <w:color w:val="auto"/>
              </w:rPr>
            </w:pPr>
          </w:p>
        </w:tc>
      </w:tr>
      <w:tr>
        <w:trPr>
          <w:trHeight w:val="178"/>
        </w:trPr>
        <w:tc>
          <w:tcPr>
            <w:tcW w:w="5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One Year</w:t>
            </w: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17"/>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Contractual Obligations:</w:t>
            </w: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260" w:type="dxa"/>
            <w:vAlign w:val="bottom"/>
          </w:tcPr>
          <w:p>
            <w:pPr>
              <w:ind w:left="340"/>
              <w:spacing w:after="0"/>
              <w:rPr>
                <w:sz w:val="20"/>
                <w:szCs w:val="20"/>
                <w:color w:val="auto"/>
              </w:rPr>
            </w:pPr>
            <w:r>
              <w:rPr>
                <w:rFonts w:ascii="Arial" w:cs="Arial" w:eastAsia="Arial" w:hAnsi="Arial"/>
                <w:sz w:val="17"/>
                <w:szCs w:val="17"/>
                <w:color w:val="auto"/>
              </w:rPr>
              <w:t>Long term debt and interest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21,008</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504</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20,504</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340"/>
              <w:spacing w:after="0" w:line="221" w:lineRule="exact"/>
              <w:rPr>
                <w:sz w:val="20"/>
                <w:szCs w:val="20"/>
                <w:color w:val="auto"/>
              </w:rPr>
            </w:pPr>
            <w:r>
              <w:rPr>
                <w:rFonts w:ascii="Arial" w:cs="Arial" w:eastAsia="Arial" w:hAnsi="Arial"/>
                <w:sz w:val="17"/>
                <w:szCs w:val="17"/>
                <w:color w:val="auto"/>
              </w:rPr>
              <w:t xml:space="preserve">Operating leases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20"/>
        </w:trPr>
        <w:tc>
          <w:tcPr>
            <w:tcW w:w="5260" w:type="dxa"/>
            <w:vAlign w:val="bottom"/>
          </w:tcPr>
          <w:p>
            <w:pPr>
              <w:ind w:left="340"/>
              <w:spacing w:after="0" w:line="221"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2"/>
                <w:szCs w:val="22"/>
                <w:color w:val="auto"/>
                <w:vertAlign w:val="superscript"/>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340"/>
              <w:spacing w:after="0" w:line="221" w:lineRule="exact"/>
              <w:rPr>
                <w:sz w:val="20"/>
                <w:szCs w:val="20"/>
                <w:color w:val="auto"/>
              </w:rPr>
            </w:pPr>
            <w:r>
              <w:rPr>
                <w:rFonts w:ascii="Arial" w:cs="Arial" w:eastAsia="Arial" w:hAnsi="Arial"/>
                <w:sz w:val="17"/>
                <w:szCs w:val="17"/>
                <w:color w:val="auto"/>
              </w:rPr>
              <w:t xml:space="preserve">Acquisition-related future obligations </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60" w:type="dxa"/>
            <w:vAlign w:val="bottom"/>
          </w:tcPr>
          <w:p>
            <w:pPr>
              <w:ind w:left="340"/>
              <w:spacing w:after="0"/>
              <w:rPr>
                <w:sz w:val="20"/>
                <w:szCs w:val="20"/>
                <w:color w:val="auto"/>
              </w:rPr>
            </w:pPr>
            <w:r>
              <w:rPr>
                <w:rFonts w:ascii="Arial" w:cs="Arial" w:eastAsia="Arial" w:hAnsi="Arial"/>
                <w:sz w:val="17"/>
                <w:szCs w:val="17"/>
                <w:color w:val="auto"/>
              </w:rPr>
              <w:t>Royalties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47,700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28,700</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Litigation matters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105,104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12,899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48,136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15,198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28,871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220" w:hanging="216"/>
        <w:spacing w:after="0"/>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Operating leases include short-term leases that are not recorded on our consolidated balance sheet under </w:t>
      </w:r>
      <w:r>
        <w:rPr>
          <w:rFonts w:ascii="Arial" w:cs="Arial" w:eastAsia="Arial" w:hAnsi="Arial"/>
          <w:sz w:val="17"/>
          <w:szCs w:val="17"/>
          <w:color w:val="auto"/>
        </w:rPr>
        <w:t>ASU No. 2016-02.</w:t>
      </w:r>
    </w:p>
    <w:p>
      <w:pPr>
        <w:spacing w:after="0" w:line="27" w:lineRule="exact"/>
        <w:rPr>
          <w:rFonts w:ascii="Arial" w:cs="Arial" w:eastAsia="Arial" w:hAnsi="Arial"/>
          <w:sz w:val="16"/>
          <w:szCs w:val="16"/>
          <w:color w:val="auto"/>
        </w:rPr>
      </w:pPr>
    </w:p>
    <w:p>
      <w:pPr>
        <w:ind w:left="220" w:hanging="216"/>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inventory purchase obligations are not reflected on our consolidated balance sheets under accounting principles generally accepted in the United States of America.</w:t>
      </w:r>
    </w:p>
    <w:p>
      <w:pPr>
        <w:spacing w:after="0" w:line="37" w:lineRule="exact"/>
        <w:rPr>
          <w:rFonts w:ascii="Arial" w:cs="Arial" w:eastAsia="Arial" w:hAnsi="Arial"/>
          <w:sz w:val="14"/>
          <w:szCs w:val="14"/>
          <w:color w:val="auto"/>
        </w:rPr>
      </w:pPr>
    </w:p>
    <w:p>
      <w:pPr>
        <w:ind w:right="100" w:firstLine="4"/>
        <w:spacing w:after="0" w:line="295"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Acquisition-related future obligations include scheduled minimum payments and contingent payments based upon achievement of performance measures or milestones such as sales or profitability targets, the achievement of research and development objectives or the receipt of regulatory approvals. The amount represents the undiscounted value of contingent liabilities recorded on the balance sheet. Timing of payments are as contractually scheduled, or where contingent, the Company's best estimate of payment timing.</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years ended May 31, 2020 and 2019</w:t>
      </w:r>
    </w:p>
    <w:p>
      <w:pPr>
        <w:spacing w:after="0" w:line="174" w:lineRule="exact"/>
        <w:rPr>
          <w:sz w:val="20"/>
          <w:szCs w:val="20"/>
          <w:color w:val="auto"/>
        </w:rPr>
      </w:pPr>
    </w:p>
    <w:p>
      <w:pPr>
        <w:ind w:right="140" w:firstLine="373"/>
        <w:spacing w:after="0" w:line="354" w:lineRule="auto"/>
        <w:rPr>
          <w:sz w:val="20"/>
          <w:szCs w:val="20"/>
          <w:color w:val="auto"/>
        </w:rPr>
      </w:pPr>
      <w:r>
        <w:rPr>
          <w:rFonts w:ascii="Arial" w:cs="Arial" w:eastAsia="Arial" w:hAnsi="Arial"/>
          <w:sz w:val="15"/>
          <w:szCs w:val="15"/>
          <w:color w:val="auto"/>
        </w:rPr>
        <w:t>For management discussion and analysis of our 2020 financial results and liquidity compared with 2019, see Part II, Item 7 "Management's Discussion and Analysis of Financial Condition and Results of Operations" in our Annual Report on Form 10-K for the year ended May 31, 2020 filed on August 10, 2020.</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Refer to Note 1 of the Notes to the Consolidated Financial Statements for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74" w:lineRule="exact"/>
        <w:rPr>
          <w:sz w:val="20"/>
          <w:szCs w:val="20"/>
          <w:color w:val="auto"/>
        </w:rPr>
      </w:pPr>
    </w:p>
    <w:p>
      <w:pPr>
        <w:ind w:right="80" w:firstLine="373"/>
        <w:spacing w:after="0" w:line="284" w:lineRule="auto"/>
        <w:rPr>
          <w:sz w:val="20"/>
          <w:szCs w:val="20"/>
          <w:color w:val="auto"/>
        </w:rPr>
      </w:pPr>
      <w:r>
        <w:rPr>
          <w:rFonts w:ascii="Arial" w:cs="Arial" w:eastAsia="Arial" w:hAnsi="Arial"/>
          <w:sz w:val="17"/>
          <w:szCs w:val="17"/>
          <w:color w:val="auto"/>
        </w:rPr>
        <w:t>We are exposed to market risk from changes in currency exchange rates, as well as interest rate fluctuations on our credit facility and investments that could impact our results of operations and financial position.</w:t>
      </w:r>
    </w:p>
    <w:p>
      <w:pPr>
        <w:spacing w:after="0" w:line="108" w:lineRule="exact"/>
        <w:rPr>
          <w:sz w:val="20"/>
          <w:szCs w:val="20"/>
          <w:color w:val="auto"/>
        </w:rPr>
      </w:pPr>
    </w:p>
    <w:p>
      <w:pPr>
        <w:ind w:firstLine="373"/>
        <w:spacing w:after="0" w:line="282" w:lineRule="auto"/>
        <w:rPr>
          <w:sz w:val="20"/>
          <w:szCs w:val="20"/>
          <w:color w:val="auto"/>
        </w:rPr>
      </w:pPr>
      <w:r>
        <w:rPr>
          <w:rFonts w:ascii="Arial" w:cs="Arial" w:eastAsia="Arial" w:hAnsi="Arial"/>
          <w:sz w:val="16"/>
          <w:szCs w:val="16"/>
          <w:color w:val="auto"/>
        </w:rPr>
        <w:t>We transact sales in currencies other than the U.S. Dollar, particularly the Euro, British pound and Canadian dollar. Approximately 6.6% of our sales in fiscal year 2021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 Income. Significant non-functional balances include accounts receivable due from some of our international customers.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74" w:lineRule="exact"/>
        <w:rPr>
          <w:sz w:val="20"/>
          <w:szCs w:val="20"/>
          <w:color w:val="auto"/>
        </w:rPr>
      </w:pPr>
    </w:p>
    <w:p>
      <w:pPr>
        <w:ind w:right="20" w:firstLine="373"/>
        <w:spacing w:after="0" w:line="310" w:lineRule="auto"/>
        <w:rPr>
          <w:sz w:val="20"/>
          <w:szCs w:val="20"/>
          <w:color w:val="auto"/>
        </w:rPr>
      </w:pPr>
      <w:r>
        <w:rPr>
          <w:rFonts w:ascii="Arial" w:cs="Arial" w:eastAsia="Arial" w:hAnsi="Arial"/>
          <w:sz w:val="15"/>
          <w:szCs w:val="15"/>
          <w:color w:val="auto"/>
        </w:rPr>
        <w:t>On June 3, 2019, we entered into the Credit Agreement which provides for a $125.0 million Revolving Facility. Interest on the facility will be based, at the Company’s option, on either a base rate of LIBOR or alternate base rate, plus an applicable margin tied to the Company’s total leverage ratio and having ranges between 0.25% and 0.75% for base rate loans and between 1.25% and 1.75% for LIBOR loans. In the event of default, the interest rate may be increased by 2.0%. As of May 31, 2021, there was $20.0 million outstanding on the Revolving Facility. The interest rate on the Revolving Facility at May 31, 2021 was 1.36%.</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174" w:lineRule="exact"/>
        <w:rPr>
          <w:sz w:val="20"/>
          <w:szCs w:val="20"/>
          <w:color w:val="auto"/>
        </w:rPr>
      </w:pPr>
    </w:p>
    <w:p>
      <w:pPr>
        <w:ind w:right="80" w:firstLine="373"/>
        <w:spacing w:after="0" w:line="284" w:lineRule="auto"/>
        <w:rPr>
          <w:sz w:val="20"/>
          <w:szCs w:val="20"/>
          <w:color w:val="auto"/>
        </w:rPr>
      </w:pPr>
      <w:r>
        <w:rPr>
          <w:rFonts w:ascii="Arial" w:cs="Arial" w:eastAsia="Arial" w:hAnsi="Arial"/>
          <w:sz w:val="17"/>
          <w:szCs w:val="17"/>
          <w:color w:val="auto"/>
        </w:rPr>
        <w:t>Financial instruments, which potentially subject the Company to significant concentrations of credit risk, consist primarily of cash and cash equivalents, our credit facility and trade accounts receivable.</w:t>
      </w:r>
    </w:p>
    <w:p>
      <w:pPr>
        <w:spacing w:after="0" w:line="108" w:lineRule="exact"/>
        <w:rPr>
          <w:sz w:val="20"/>
          <w:szCs w:val="20"/>
          <w:color w:val="auto"/>
        </w:rPr>
      </w:pPr>
    </w:p>
    <w:p>
      <w:pPr>
        <w:ind w:right="40" w:firstLine="373"/>
        <w:spacing w:after="0" w:line="269"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investment grade banks. The Company has the ability to draw equally amongst the five banks which limits the concentration of credit risk of one institution.</w:t>
      </w:r>
    </w:p>
    <w:p>
      <w:pPr>
        <w:spacing w:after="0" w:line="121" w:lineRule="exact"/>
        <w:rPr>
          <w:sz w:val="20"/>
          <w:szCs w:val="20"/>
          <w:color w:val="auto"/>
        </w:rPr>
      </w:pPr>
    </w:p>
    <w:p>
      <w:pPr>
        <w:ind w:right="80" w:firstLine="389"/>
        <w:spacing w:after="0" w:line="262" w:lineRule="auto"/>
        <w:rPr>
          <w:sz w:val="20"/>
          <w:szCs w:val="20"/>
          <w:color w:val="auto"/>
        </w:rPr>
      </w:pPr>
      <w:r>
        <w:rPr>
          <w:rFonts w:ascii="Arial" w:cs="Arial" w:eastAsia="Arial" w:hAnsi="Arial"/>
          <w:sz w:val="17"/>
          <w:szCs w:val="17"/>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174" w:lineRule="exact"/>
        <w:rPr>
          <w:sz w:val="20"/>
          <w:szCs w:val="20"/>
          <w:color w:val="auto"/>
        </w:rPr>
      </w:pPr>
    </w:p>
    <w:p>
      <w:pPr>
        <w:ind w:right="260" w:firstLine="373"/>
        <w:spacing w:after="0" w:line="284" w:lineRule="auto"/>
        <w:rPr>
          <w:sz w:val="20"/>
          <w:szCs w:val="20"/>
          <w:color w:val="auto"/>
        </w:rPr>
      </w:pPr>
      <w:r>
        <w:rPr>
          <w:rFonts w:ascii="Arial" w:cs="Arial" w:eastAsia="Arial" w:hAnsi="Arial"/>
          <w:sz w:val="17"/>
          <w:szCs w:val="17"/>
          <w:color w:val="auto"/>
        </w:rPr>
        <w:t>Financial statements and supplementary data required by Part II, Item 8 are included in Part IV of this report and indexed under Item 15 (a) (1) and (2) of this report, and are incorporated by reference into this Item 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4" w:lineRule="exact"/>
        <w:rPr>
          <w:sz w:val="20"/>
          <w:szCs w:val="20"/>
          <w:color w:val="auto"/>
        </w:rPr>
      </w:pPr>
    </w:p>
    <w:p>
      <w:pPr>
        <w:ind w:firstLine="373"/>
        <w:spacing w:after="0" w:line="259"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74" w:lineRule="exact"/>
        <w:rPr>
          <w:sz w:val="20"/>
          <w:szCs w:val="20"/>
          <w:color w:val="auto"/>
        </w:rPr>
      </w:pPr>
    </w:p>
    <w:p>
      <w:pPr>
        <w:ind w:right="100" w:firstLine="373"/>
        <w:spacing w:after="0" w:line="28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spacing w:after="0" w:line="112" w:lineRule="exact"/>
        <w:rPr>
          <w:sz w:val="20"/>
          <w:szCs w:val="20"/>
          <w:color w:val="auto"/>
        </w:rPr>
      </w:pP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4" w:lineRule="exact"/>
        <w:rPr>
          <w:rFonts w:ascii="Arial" w:cs="Arial" w:eastAsia="Arial" w:hAnsi="Arial"/>
          <w:sz w:val="17"/>
          <w:szCs w:val="17"/>
          <w:color w:val="auto"/>
        </w:rPr>
      </w:pPr>
    </w:p>
    <w:p>
      <w:pPr>
        <w:ind w:left="620" w:right="200" w:hanging="305"/>
        <w:spacing w:after="0" w:line="254"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accounting principles generally accepted in the United States, and that our receipts and expenditures are being made only in accordance with authorizations of our management and members of our Board of Directors; and</w:t>
      </w:r>
    </w:p>
    <w:p>
      <w:pPr>
        <w:spacing w:after="0" w:line="1" w:lineRule="exact"/>
        <w:rPr>
          <w:rFonts w:ascii="Arial" w:cs="Arial" w:eastAsia="Arial" w:hAnsi="Arial"/>
          <w:sz w:val="17"/>
          <w:szCs w:val="17"/>
          <w:color w:val="auto"/>
        </w:rPr>
      </w:pPr>
    </w:p>
    <w:p>
      <w:pPr>
        <w:ind w:left="620" w:right="380" w:hanging="305"/>
        <w:spacing w:after="0" w:line="26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our financial statements.</w:t>
      </w:r>
    </w:p>
    <w:p>
      <w:pPr>
        <w:spacing w:after="0" w:line="120" w:lineRule="exact"/>
        <w:rPr>
          <w:sz w:val="20"/>
          <w:szCs w:val="20"/>
          <w:color w:val="auto"/>
        </w:rPr>
      </w:pPr>
    </w:p>
    <w:p>
      <w:pPr>
        <w:ind w:right="40" w:firstLine="373"/>
        <w:spacing w:after="0" w:line="26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ind w:right="80" w:firstLine="373"/>
        <w:spacing w:after="0" w:line="294" w:lineRule="auto"/>
        <w:rPr>
          <w:sz w:val="20"/>
          <w:szCs w:val="20"/>
          <w:color w:val="auto"/>
        </w:rPr>
      </w:pPr>
      <w:r>
        <w:rPr>
          <w:rFonts w:ascii="Arial" w:cs="Arial" w:eastAsia="Arial" w:hAnsi="Arial"/>
          <w:sz w:val="16"/>
          <w:szCs w:val="16"/>
          <w:color w:val="auto"/>
        </w:rPr>
        <w:t xml:space="preserve">Our management has assessed the effectiveness of our internal control over financial reporting as of May 31, 2021. In making this assessment,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Based on this evaluation, management concluded that our internal control over financial reporting was effective as of May 31, 2021.</w:t>
      </w:r>
    </w:p>
    <w:p>
      <w:pPr>
        <w:spacing w:after="0" w:line="102" w:lineRule="exact"/>
        <w:rPr>
          <w:sz w:val="20"/>
          <w:szCs w:val="20"/>
          <w:color w:val="auto"/>
        </w:rPr>
      </w:pPr>
    </w:p>
    <w:p>
      <w:pPr>
        <w:ind w:right="100" w:firstLine="373"/>
        <w:spacing w:after="0" w:line="284" w:lineRule="auto"/>
        <w:rPr>
          <w:sz w:val="20"/>
          <w:szCs w:val="20"/>
          <w:color w:val="auto"/>
        </w:rPr>
      </w:pPr>
      <w:r>
        <w:rPr>
          <w:rFonts w:ascii="Arial" w:cs="Arial" w:eastAsia="Arial" w:hAnsi="Arial"/>
          <w:sz w:val="17"/>
          <w:szCs w:val="17"/>
          <w:color w:val="auto"/>
        </w:rPr>
        <w:t>The effectiveness of our internal control over financial reporting as of May 31, 2021 has been audited by Deloitte &amp; Touche LLP, an independent registered public accounting firm, as stated in their report which appears herein.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4" w:lineRule="exact"/>
        <w:rPr>
          <w:sz w:val="20"/>
          <w:szCs w:val="20"/>
          <w:color w:val="auto"/>
        </w:rPr>
      </w:pPr>
    </w:p>
    <w:p>
      <w:pPr>
        <w:ind w:right="160" w:firstLine="373"/>
        <w:spacing w:after="0" w:line="284" w:lineRule="auto"/>
        <w:rPr>
          <w:sz w:val="20"/>
          <w:szCs w:val="20"/>
          <w:color w:val="auto"/>
        </w:rPr>
      </w:pPr>
      <w:r>
        <w:rPr>
          <w:rFonts w:ascii="Arial" w:cs="Arial" w:eastAsia="Arial" w:hAnsi="Arial"/>
          <w:sz w:val="17"/>
          <w:szCs w:val="17"/>
          <w:color w:val="auto"/>
        </w:rPr>
        <w:t>There was no change in our internal control over financial reporting for the fiscal quarter ended May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6" w:name="page47"/>
    <w:bookmarkEnd w:id="46"/>
    <w:p>
      <w:pPr>
        <w:ind w:left="26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AngioDynamics, Inc.</w:t>
      </w:r>
    </w:p>
    <w:p>
      <w:pPr>
        <w:spacing w:after="0"/>
        <w:rPr>
          <w:sz w:val="20"/>
          <w:szCs w:val="20"/>
          <w:color w:val="auto"/>
        </w:rPr>
      </w:pPr>
      <w:r>
        <w:rPr>
          <w:rFonts w:ascii="Arial" w:cs="Arial" w:eastAsia="Arial" w:hAnsi="Arial"/>
          <w:sz w:val="17"/>
          <w:szCs w:val="17"/>
          <w:color w:val="auto"/>
        </w:rPr>
        <w:t>Latham, New York</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6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 xml:space="preserve">We have audited the internal control over financial reporting of AngioDynamics, Inc. and subsidiaries (the “Company”) as of May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May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May 31, 2021, of the Company and our report dated July 27, 2021, expressed an unqualified opinion on those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6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July 27, 2021</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44"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49" w:right="1440"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7"/>
          <w:szCs w:val="17"/>
          <w:b w:val="1"/>
          <w:bCs w:val="1"/>
          <w:color w:val="auto"/>
        </w:rPr>
        <w:t>Part III</w:t>
      </w:r>
    </w:p>
    <w:p>
      <w:pPr>
        <w:spacing w:after="0" w:line="174" w:lineRule="exact"/>
        <w:rPr>
          <w:sz w:val="20"/>
          <w:szCs w:val="20"/>
          <w:color w:val="auto"/>
        </w:rPr>
      </w:pPr>
    </w:p>
    <w:p>
      <w:pPr>
        <w:ind w:firstLine="373"/>
        <w:spacing w:after="0" w:line="294" w:lineRule="auto"/>
        <w:rPr>
          <w:sz w:val="20"/>
          <w:szCs w:val="20"/>
          <w:color w:val="auto"/>
        </w:rPr>
      </w:pPr>
      <w:r>
        <w:rPr>
          <w:rFonts w:ascii="Arial" w:cs="Arial" w:eastAsia="Arial" w:hAnsi="Arial"/>
          <w:sz w:val="16"/>
          <w:szCs w:val="16"/>
          <w:color w:val="auto"/>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2021. The information included in the Proxy Statement under the respective headings noted below is incorporated herein by reference.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74" w:lineRule="exact"/>
        <w:rPr>
          <w:sz w:val="20"/>
          <w:szCs w:val="20"/>
          <w:color w:val="auto"/>
        </w:rPr>
      </w:pPr>
    </w:p>
    <w:p>
      <w:pPr>
        <w:ind w:right="40" w:firstLine="373"/>
        <w:spacing w:after="0" w:line="269" w:lineRule="auto"/>
        <w:rPr>
          <w:sz w:val="20"/>
          <w:szCs w:val="20"/>
          <w:color w:val="auto"/>
        </w:rPr>
      </w:pPr>
      <w:r>
        <w:rPr>
          <w:rFonts w:ascii="Arial" w:cs="Arial" w:eastAsia="Arial" w:hAnsi="Arial"/>
          <w:sz w:val="17"/>
          <w:szCs w:val="17"/>
          <w:color w:val="auto"/>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information required by Item 11 is incorporated herein by reference to our Proxy Statement under the heading “Executive Compensation”.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information required by this caption is incorporated herein by reference to our Proxy Statement under the heading “Ownership of Securities”.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74" w:lineRule="exact"/>
        <w:rPr>
          <w:sz w:val="20"/>
          <w:szCs w:val="20"/>
          <w:color w:val="auto"/>
        </w:rPr>
      </w:pPr>
    </w:p>
    <w:p>
      <w:pPr>
        <w:ind w:right="120" w:firstLine="373"/>
        <w:spacing w:after="0" w:line="284" w:lineRule="auto"/>
        <w:rPr>
          <w:sz w:val="20"/>
          <w:szCs w:val="20"/>
          <w:color w:val="auto"/>
        </w:rPr>
      </w:pPr>
      <w:r>
        <w:rPr>
          <w:rFonts w:ascii="Arial" w:cs="Arial" w:eastAsia="Arial" w:hAnsi="Arial"/>
          <w:sz w:val="17"/>
          <w:szCs w:val="17"/>
          <w:color w:val="auto"/>
        </w:rPr>
        <w:t>The information required by this caption is incorporated herein by reference to our Proxy Statement under the heading “Certain Relationships and Related Transactions”.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174" w:lineRule="exact"/>
        <w:rPr>
          <w:sz w:val="20"/>
          <w:szCs w:val="20"/>
          <w:color w:val="auto"/>
        </w:rPr>
      </w:pPr>
    </w:p>
    <w:p>
      <w:pPr>
        <w:ind w:right="220" w:firstLine="373"/>
        <w:spacing w:after="0" w:line="269" w:lineRule="auto"/>
        <w:rPr>
          <w:sz w:val="20"/>
          <w:szCs w:val="20"/>
          <w:color w:val="auto"/>
        </w:rPr>
      </w:pPr>
      <w:r>
        <w:rPr>
          <w:rFonts w:ascii="Arial" w:cs="Arial" w:eastAsia="Arial" w:hAnsi="Arial"/>
          <w:sz w:val="17"/>
          <w:szCs w:val="17"/>
          <w:color w:val="auto"/>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016" w:right="41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7"/>
          <w:szCs w:val="17"/>
          <w:b w:val="1"/>
          <w:bCs w:val="1"/>
          <w:color w:val="auto"/>
        </w:rPr>
        <w:t>Part IV</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 Schedules.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(a)(1) </w:t>
      </w:r>
      <w:r>
        <w:rPr>
          <w:rFonts w:ascii="Arial" w:cs="Arial" w:eastAsia="Arial" w:hAnsi="Arial"/>
          <w:sz w:val="17"/>
          <w:szCs w:val="17"/>
          <w:b w:val="1"/>
          <w:bCs w:val="1"/>
          <w:i w:val="1"/>
          <w:iCs w:val="1"/>
          <w:color w:val="auto"/>
        </w:rPr>
        <w:t>Financial Statements</w:t>
      </w:r>
    </w:p>
    <w:p>
      <w:pPr>
        <w:spacing w:after="0" w:line="109" w:lineRule="exact"/>
        <w:rPr>
          <w:sz w:val="20"/>
          <w:szCs w:val="20"/>
          <w:color w:val="auto"/>
        </w:rPr>
      </w:pPr>
    </w:p>
    <w:p>
      <w:pPr>
        <w:ind w:firstLine="373"/>
        <w:spacing w:after="0" w:line="284" w:lineRule="auto"/>
        <w:rPr>
          <w:sz w:val="20"/>
          <w:szCs w:val="20"/>
          <w:color w:val="auto"/>
        </w:rPr>
      </w:pPr>
      <w:r>
        <w:rPr>
          <w:rFonts w:ascii="Arial" w:cs="Arial" w:eastAsia="Arial" w:hAnsi="Arial"/>
          <w:sz w:val="17"/>
          <w:szCs w:val="17"/>
          <w:color w:val="auto"/>
        </w:rPr>
        <w:t>The following consolidated financial statements and supplementary data of Registrant and its subsidiaries required by Part II, Item 8, are included in Part IV of this report: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12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50">
              <w:r>
                <w:rPr>
                  <w:rFonts w:ascii="Arial" w:cs="Arial" w:eastAsia="Arial" w:hAnsi="Arial"/>
                  <w:sz w:val="17"/>
                  <w:szCs w:val="17"/>
                  <w:color w:val="0000FF"/>
                  <w:w w:val="92"/>
                </w:rPr>
                <w:t>Report of Independent Registered Public Accounting Firms</w:t>
              </w:r>
            </w:hyperlink>
          </w:p>
        </w:tc>
        <w:tc>
          <w:tcPr>
            <w:tcW w:w="6880" w:type="dxa"/>
            <w:vAlign w:val="bottom"/>
            <w:gridSpan w:val="6"/>
          </w:tcPr>
          <w:p>
            <w:pPr>
              <w:spacing w:after="0"/>
              <w:rPr>
                <w:sz w:val="16"/>
                <w:szCs w:val="16"/>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49</w:t>
              </w:r>
            </w:hyperlink>
          </w:p>
        </w:tc>
      </w:tr>
      <w:tr>
        <w:trPr>
          <w:trHeight w:val="200"/>
        </w:trPr>
        <w:tc>
          <w:tcPr>
            <w:tcW w:w="11000" w:type="dxa"/>
            <w:vAlign w:val="bottom"/>
            <w:gridSpan w:val="8"/>
          </w:tcPr>
          <w:p>
            <w:pPr>
              <w:spacing w:after="0"/>
              <w:rPr>
                <w:rFonts w:ascii="Arial" w:cs="Arial" w:eastAsia="Arial" w:hAnsi="Arial"/>
                <w:sz w:val="17"/>
                <w:szCs w:val="17"/>
                <w:color w:val="0000FF"/>
              </w:rPr>
            </w:pPr>
            <w:hyperlink w:anchor="page52">
              <w:r>
                <w:rPr>
                  <w:rFonts w:ascii="Arial" w:cs="Arial" w:eastAsia="Arial" w:hAnsi="Arial"/>
                  <w:sz w:val="17"/>
                  <w:szCs w:val="17"/>
                  <w:color w:val="0000FF"/>
                </w:rPr>
                <w:t xml:space="preserve">Consolidated statements of operations—Year ended May 31, </w:t>
              </w:r>
            </w:hyperlink>
            <w:r>
              <w:rPr>
                <w:rFonts w:ascii="Arial" w:cs="Arial" w:eastAsia="Arial" w:hAnsi="Arial"/>
                <w:sz w:val="17"/>
                <w:szCs w:val="17"/>
                <w:color w:val="0000FF"/>
              </w:rPr>
              <w:t xml:space="preserve">2021, 2020 </w:t>
            </w:r>
            <w:hyperlink w:anchor="page52">
              <w:r>
                <w:rPr>
                  <w:rFonts w:ascii="Arial" w:cs="Arial" w:eastAsia="Arial" w:hAnsi="Arial"/>
                  <w:sz w:val="17"/>
                  <w:szCs w:val="17"/>
                  <w:color w:val="0000FF"/>
                </w:rPr>
                <w:t xml:space="preserve">and </w:t>
              </w:r>
            </w:hyperlink>
            <w:r>
              <w:rPr>
                <w:rFonts w:ascii="Arial" w:cs="Arial" w:eastAsia="Arial" w:hAnsi="Arial"/>
                <w:sz w:val="17"/>
                <w:szCs w:val="17"/>
                <w:color w:val="0000FF"/>
              </w:rPr>
              <w:t>2019</w:t>
            </w:r>
          </w:p>
        </w:tc>
        <w:tc>
          <w:tcPr>
            <w:tcW w:w="160" w:type="dxa"/>
            <w:vAlign w:val="bottom"/>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51</w:t>
              </w:r>
            </w:hyperlink>
          </w:p>
        </w:tc>
      </w:tr>
      <w:tr>
        <w:trPr>
          <w:trHeight w:val="20"/>
        </w:trPr>
        <w:tc>
          <w:tcPr>
            <w:tcW w:w="29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0"/>
        </w:trPr>
        <w:tc>
          <w:tcPr>
            <w:tcW w:w="11000" w:type="dxa"/>
            <w:vAlign w:val="bottom"/>
            <w:tcBorders>
              <w:bottom w:val="single" w:sz="8" w:color="0000FF"/>
            </w:tcBorders>
            <w:gridSpan w:val="8"/>
          </w:tcPr>
          <w:p>
            <w:pPr>
              <w:spacing w:after="0"/>
              <w:rPr>
                <w:rFonts w:ascii="Arial" w:cs="Arial" w:eastAsia="Arial" w:hAnsi="Arial"/>
                <w:sz w:val="17"/>
                <w:szCs w:val="17"/>
                <w:color w:val="0000FF"/>
              </w:rPr>
            </w:pPr>
            <w:hyperlink w:anchor="page53">
              <w:r>
                <w:rPr>
                  <w:rFonts w:ascii="Arial" w:cs="Arial" w:eastAsia="Arial" w:hAnsi="Arial"/>
                  <w:sz w:val="17"/>
                  <w:szCs w:val="17"/>
                  <w:color w:val="0000FF"/>
                </w:rPr>
                <w:t xml:space="preserve">Consolidated statements of comprehensive income (loss) - Year ended May 31, </w:t>
              </w:r>
            </w:hyperlink>
            <w:r>
              <w:rPr>
                <w:rFonts w:ascii="Arial" w:cs="Arial" w:eastAsia="Arial" w:hAnsi="Arial"/>
                <w:sz w:val="17"/>
                <w:szCs w:val="17"/>
                <w:color w:val="0000FF"/>
              </w:rPr>
              <w:t xml:space="preserve">2021, 2020 </w:t>
            </w:r>
            <w:hyperlink w:anchor="page53">
              <w:r>
                <w:rPr>
                  <w:rFonts w:ascii="Arial" w:cs="Arial" w:eastAsia="Arial" w:hAnsi="Arial"/>
                  <w:sz w:val="17"/>
                  <w:szCs w:val="17"/>
                  <w:color w:val="0000FF"/>
                </w:rPr>
                <w:t xml:space="preserve">and </w:t>
              </w:r>
            </w:hyperlink>
            <w:r>
              <w:rPr>
                <w:rFonts w:ascii="Arial" w:cs="Arial" w:eastAsia="Arial" w:hAnsi="Arial"/>
                <w:sz w:val="17"/>
                <w:szCs w:val="17"/>
                <w:color w:val="0000FF"/>
              </w:rPr>
              <w:t>2019</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52</w:t>
              </w:r>
            </w:hyperlink>
          </w:p>
        </w:tc>
      </w:tr>
      <w:tr>
        <w:trPr>
          <w:trHeight w:val="200"/>
        </w:trPr>
        <w:tc>
          <w:tcPr>
            <w:tcW w:w="5720" w:type="dxa"/>
            <w:vAlign w:val="bottom"/>
            <w:tcBorders>
              <w:bottom w:val="single" w:sz="8" w:color="0000FF"/>
            </w:tcBorders>
            <w:gridSpan w:val="5"/>
          </w:tcPr>
          <w:p>
            <w:pPr>
              <w:spacing w:after="0"/>
              <w:rPr>
                <w:rFonts w:ascii="Arial" w:cs="Arial" w:eastAsia="Arial" w:hAnsi="Arial"/>
                <w:sz w:val="17"/>
                <w:szCs w:val="17"/>
                <w:color w:val="0000FF"/>
              </w:rPr>
            </w:pPr>
            <w:hyperlink w:anchor="page54">
              <w:r>
                <w:rPr>
                  <w:rFonts w:ascii="Arial" w:cs="Arial" w:eastAsia="Arial" w:hAnsi="Arial"/>
                  <w:sz w:val="17"/>
                  <w:szCs w:val="17"/>
                  <w:color w:val="0000FF"/>
                </w:rPr>
                <w:t xml:space="preserve">Consolidated balance sheets—May 31, 2021 and May 31, </w:t>
              </w:r>
            </w:hyperlink>
            <w:r>
              <w:rPr>
                <w:rFonts w:ascii="Arial" w:cs="Arial" w:eastAsia="Arial" w:hAnsi="Arial"/>
                <w:sz w:val="17"/>
                <w:szCs w:val="17"/>
                <w:color w:val="0000FF"/>
              </w:rPr>
              <w:t>2020</w:t>
            </w:r>
          </w:p>
        </w:tc>
        <w:tc>
          <w:tcPr>
            <w:tcW w:w="5280" w:type="dxa"/>
            <w:vAlign w:val="bottom"/>
            <w:gridSpan w:val="3"/>
          </w:tcPr>
          <w:p>
            <w:pPr>
              <w:spacing w:after="0"/>
              <w:rPr>
                <w:sz w:val="17"/>
                <w:szCs w:val="17"/>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53</w:t>
              </w:r>
            </w:hyperlink>
          </w:p>
        </w:tc>
      </w:tr>
      <w:tr>
        <w:trPr>
          <w:trHeight w:val="200"/>
        </w:trPr>
        <w:tc>
          <w:tcPr>
            <w:tcW w:w="11000" w:type="dxa"/>
            <w:vAlign w:val="bottom"/>
            <w:tcBorders>
              <w:bottom w:val="single" w:sz="8" w:color="0000FF"/>
            </w:tcBorders>
            <w:gridSpan w:val="8"/>
          </w:tcPr>
          <w:p>
            <w:pPr>
              <w:spacing w:after="0"/>
              <w:rPr>
                <w:rFonts w:ascii="Arial" w:cs="Arial" w:eastAsia="Arial" w:hAnsi="Arial"/>
                <w:sz w:val="17"/>
                <w:szCs w:val="17"/>
                <w:color w:val="0000FF"/>
              </w:rPr>
            </w:pPr>
            <w:hyperlink w:anchor="page55">
              <w:r>
                <w:rPr>
                  <w:rFonts w:ascii="Arial" w:cs="Arial" w:eastAsia="Arial" w:hAnsi="Arial"/>
                  <w:sz w:val="17"/>
                  <w:szCs w:val="17"/>
                  <w:color w:val="0000FF"/>
                </w:rPr>
                <w:t>Consolidated statements of stockholders’ equity—Year ended May 31, 2021, 2020 and 2019</w:t>
              </w:r>
            </w:hyperlink>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54</w:t>
              </w:r>
            </w:hyperlink>
          </w:p>
        </w:tc>
      </w:tr>
      <w:tr>
        <w:trPr>
          <w:trHeight w:val="200"/>
        </w:trPr>
        <w:tc>
          <w:tcPr>
            <w:tcW w:w="5720" w:type="dxa"/>
            <w:vAlign w:val="bottom"/>
            <w:tcBorders>
              <w:bottom w:val="single" w:sz="8" w:color="0000FF"/>
            </w:tcBorders>
            <w:gridSpan w:val="5"/>
          </w:tcPr>
          <w:p>
            <w:pPr>
              <w:spacing w:after="0"/>
              <w:rPr>
                <w:rFonts w:ascii="Arial" w:cs="Arial" w:eastAsia="Arial" w:hAnsi="Arial"/>
                <w:sz w:val="17"/>
                <w:szCs w:val="17"/>
                <w:color w:val="0000FF"/>
                <w:w w:val="91"/>
              </w:rPr>
            </w:pPr>
            <w:hyperlink w:anchor="page56">
              <w:r>
                <w:rPr>
                  <w:rFonts w:ascii="Arial" w:cs="Arial" w:eastAsia="Arial" w:hAnsi="Arial"/>
                  <w:sz w:val="17"/>
                  <w:szCs w:val="17"/>
                  <w:color w:val="0000FF"/>
                  <w:w w:val="91"/>
                </w:rPr>
                <w:t xml:space="preserve">Consolidated statements of cash flows—Year ended May 31, </w:t>
              </w:r>
            </w:hyperlink>
            <w:r>
              <w:rPr>
                <w:rFonts w:ascii="Arial" w:cs="Arial" w:eastAsia="Arial" w:hAnsi="Arial"/>
                <w:sz w:val="17"/>
                <w:szCs w:val="17"/>
                <w:color w:val="0000FF"/>
                <w:w w:val="91"/>
              </w:rPr>
              <w:t xml:space="preserve">2021, 2020 </w:t>
            </w:r>
            <w:hyperlink w:anchor="page56">
              <w:r>
                <w:rPr>
                  <w:rFonts w:ascii="Arial" w:cs="Arial" w:eastAsia="Arial" w:hAnsi="Arial"/>
                  <w:sz w:val="17"/>
                  <w:szCs w:val="17"/>
                  <w:color w:val="0000FF"/>
                  <w:w w:val="91"/>
                </w:rPr>
                <w:t xml:space="preserve">and </w:t>
              </w:r>
            </w:hyperlink>
            <w:r>
              <w:rPr>
                <w:rFonts w:ascii="Arial" w:cs="Arial" w:eastAsia="Arial" w:hAnsi="Arial"/>
                <w:sz w:val="17"/>
                <w:szCs w:val="17"/>
                <w:color w:val="0000FF"/>
                <w:w w:val="91"/>
              </w:rPr>
              <w:t>2019</w:t>
            </w:r>
          </w:p>
        </w:tc>
        <w:tc>
          <w:tcPr>
            <w:tcW w:w="5280" w:type="dxa"/>
            <w:vAlign w:val="bottom"/>
            <w:gridSpan w:val="3"/>
          </w:tcPr>
          <w:p>
            <w:pPr>
              <w:spacing w:after="0"/>
              <w:rPr>
                <w:sz w:val="17"/>
                <w:szCs w:val="17"/>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55</w:t>
              </w:r>
            </w:hyperlink>
          </w:p>
        </w:tc>
      </w:tr>
      <w:tr>
        <w:trPr>
          <w:trHeight w:val="200"/>
        </w:trPr>
        <w:tc>
          <w:tcPr>
            <w:tcW w:w="2920" w:type="dxa"/>
            <w:vAlign w:val="bottom"/>
            <w:tcBorders>
              <w:bottom w:val="single" w:sz="8" w:color="0000FF"/>
            </w:tcBorders>
          </w:tcPr>
          <w:p>
            <w:pPr>
              <w:spacing w:after="0"/>
              <w:rPr>
                <w:rFonts w:ascii="Arial" w:cs="Arial" w:eastAsia="Arial" w:hAnsi="Arial"/>
                <w:sz w:val="17"/>
                <w:szCs w:val="17"/>
                <w:color w:val="0000FF"/>
                <w:w w:val="91"/>
              </w:rPr>
            </w:pPr>
            <w:hyperlink w:anchor="page58">
              <w:r>
                <w:rPr>
                  <w:rFonts w:ascii="Arial" w:cs="Arial" w:eastAsia="Arial" w:hAnsi="Arial"/>
                  <w:sz w:val="17"/>
                  <w:szCs w:val="17"/>
                  <w:color w:val="0000FF"/>
                  <w:w w:val="91"/>
                </w:rPr>
                <w:t>Notes to consolidated financial statements</w:t>
              </w:r>
            </w:hyperlink>
          </w:p>
        </w:tc>
        <w:tc>
          <w:tcPr>
            <w:tcW w:w="8080" w:type="dxa"/>
            <w:vAlign w:val="bottom"/>
            <w:gridSpan w:val="7"/>
          </w:tcPr>
          <w:p>
            <w:pPr>
              <w:spacing w:after="0"/>
              <w:rPr>
                <w:sz w:val="17"/>
                <w:szCs w:val="17"/>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57</w:t>
              </w:r>
            </w:hyperlink>
          </w:p>
        </w:tc>
      </w:tr>
    </w:tbl>
    <w:p>
      <w:pPr>
        <w:spacing w:after="0" w:line="338" w:lineRule="exact"/>
        <w:rPr>
          <w:sz w:val="20"/>
          <w:szCs w:val="20"/>
          <w:color w:val="auto"/>
        </w:rPr>
      </w:pPr>
    </w:p>
    <w:p>
      <w:pPr>
        <w:ind w:left="240" w:hanging="236"/>
        <w:spacing w:after="0"/>
        <w:tabs>
          <w:tab w:leader="none" w:pos="2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Financial Statement Schedules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consolidated financial statement schedule is included in Part IV of this report: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320" w:type="dxa"/>
            <w:vAlign w:val="bottom"/>
          </w:tcPr>
          <w:p>
            <w:pPr>
              <w:spacing w:after="0"/>
              <w:rPr>
                <w:rFonts w:ascii="Arial" w:cs="Arial" w:eastAsia="Arial" w:hAnsi="Arial"/>
                <w:sz w:val="17"/>
                <w:szCs w:val="17"/>
                <w:color w:val="0000FF"/>
                <w:w w:val="92"/>
              </w:rPr>
            </w:pPr>
            <w:hyperlink w:anchor="page86">
              <w:r>
                <w:rPr>
                  <w:rFonts w:ascii="Arial" w:cs="Arial" w:eastAsia="Arial" w:hAnsi="Arial"/>
                  <w:sz w:val="17"/>
                  <w:szCs w:val="17"/>
                  <w:color w:val="0000FF"/>
                  <w:w w:val="92"/>
                </w:rPr>
                <w:t>Schedule II—Valuation and qualifying accounts</w:t>
              </w:r>
            </w:hyperlink>
          </w:p>
        </w:tc>
        <w:tc>
          <w:tcPr>
            <w:tcW w:w="7840" w:type="dxa"/>
            <w:vAlign w:val="bottom"/>
            <w:gridSpan w:val="2"/>
          </w:tcPr>
          <w:p>
            <w:pPr>
              <w:jc w:val="right"/>
              <w:spacing w:after="0"/>
              <w:rPr>
                <w:rFonts w:ascii="Arial" w:cs="Arial" w:eastAsia="Arial" w:hAnsi="Arial"/>
                <w:sz w:val="17"/>
                <w:szCs w:val="17"/>
                <w:color w:val="0000FF"/>
              </w:rPr>
            </w:pPr>
            <w:hyperlink w:anchor="page86">
              <w:r>
                <w:rPr>
                  <w:rFonts w:ascii="Arial" w:cs="Arial" w:eastAsia="Arial" w:hAnsi="Arial"/>
                  <w:sz w:val="17"/>
                  <w:szCs w:val="17"/>
                  <w:color w:val="0000FF"/>
                </w:rPr>
                <w:t>84</w:t>
              </w:r>
            </w:hyperlink>
          </w:p>
        </w:tc>
      </w:tr>
      <w:tr>
        <w:trPr>
          <w:trHeight w:val="20"/>
        </w:trPr>
        <w:tc>
          <w:tcPr>
            <w:tcW w:w="3320" w:type="dxa"/>
            <w:vAlign w:val="bottom"/>
            <w:shd w:val="clear" w:color="auto" w:fill="0000FF"/>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169" w:lineRule="exact"/>
        <w:rPr>
          <w:sz w:val="20"/>
          <w:szCs w:val="20"/>
          <w:color w:val="auto"/>
        </w:rPr>
      </w:pPr>
    </w:p>
    <w:p>
      <w:pPr>
        <w:ind w:right="160" w:firstLine="373"/>
        <w:spacing w:after="0" w:line="278" w:lineRule="auto"/>
        <w:rPr>
          <w:sz w:val="20"/>
          <w:szCs w:val="20"/>
          <w:color w:val="auto"/>
        </w:rPr>
      </w:pPr>
      <w:r>
        <w:rPr>
          <w:rFonts w:ascii="Arial" w:cs="Arial" w:eastAsia="Arial" w:hAnsi="Arial"/>
          <w:sz w:val="17"/>
          <w:szCs w:val="17"/>
          <w:color w:val="auto"/>
        </w:rPr>
        <w:t>All other schedules are omitted because they are not applicable, not required, or because the required information is included in the consolidated financial statements or notes thereto.</w:t>
      </w:r>
    </w:p>
    <w:tbl>
      <w:tblPr>
        <w:tblLayout w:type="fixed"/>
        <w:tblInd w:w="20" w:type="dxa"/>
        <w:tblCellMar>
          <w:top w:w="0" w:type="dxa"/>
          <w:left w:w="0" w:type="dxa"/>
          <w:bottom w:w="0" w:type="dxa"/>
          <w:right w:w="0" w:type="dxa"/>
        </w:tblCellMar>
      </w:tblPr>
      <w:tr>
        <w:trPr>
          <w:trHeight w:val="182"/>
        </w:trPr>
        <w:tc>
          <w:tcPr>
            <w:tcW w:w="840" w:type="dxa"/>
            <w:vAlign w:val="bottom"/>
          </w:tcPr>
          <w:p>
            <w:pPr>
              <w:spacing w:after="0" w:line="182" w:lineRule="exact"/>
              <w:rPr>
                <w:rFonts w:ascii="Arial" w:cs="Arial" w:eastAsia="Arial" w:hAnsi="Arial"/>
                <w:sz w:val="17"/>
                <w:szCs w:val="17"/>
                <w:b w:val="1"/>
                <w:bCs w:val="1"/>
                <w:i w:val="1"/>
                <w:iCs w:val="1"/>
                <w:color w:val="0000FF"/>
                <w:w w:val="88"/>
              </w:rPr>
            </w:pPr>
            <w:hyperlink w:anchor="page86">
              <w:r>
                <w:rPr>
                  <w:rFonts w:ascii="Arial" w:cs="Arial" w:eastAsia="Arial" w:hAnsi="Arial"/>
                  <w:sz w:val="17"/>
                  <w:szCs w:val="17"/>
                  <w:b w:val="1"/>
                  <w:bCs w:val="1"/>
                  <w:i w:val="1"/>
                  <w:iCs w:val="1"/>
                  <w:color w:val="0000FF"/>
                  <w:w w:val="88"/>
                </w:rPr>
                <w:t>(b) Exhibits</w:t>
              </w:r>
            </w:hyperlink>
          </w:p>
        </w:tc>
        <w:tc>
          <w:tcPr>
            <w:tcW w:w="10320" w:type="dxa"/>
            <w:vAlign w:val="bottom"/>
            <w:gridSpan w:val="2"/>
          </w:tcPr>
          <w:p>
            <w:pPr>
              <w:jc w:val="right"/>
              <w:spacing w:after="0" w:line="182" w:lineRule="exact"/>
              <w:rPr>
                <w:rFonts w:ascii="Arial" w:cs="Arial" w:eastAsia="Arial" w:hAnsi="Arial"/>
                <w:sz w:val="17"/>
                <w:szCs w:val="17"/>
                <w:color w:val="0000FF"/>
              </w:rPr>
            </w:pPr>
            <w:hyperlink w:anchor="page86">
              <w:r>
                <w:rPr>
                  <w:rFonts w:ascii="Arial" w:cs="Arial" w:eastAsia="Arial" w:hAnsi="Arial"/>
                  <w:sz w:val="17"/>
                  <w:szCs w:val="17"/>
                  <w:color w:val="0000FF"/>
                </w:rPr>
                <w:t>85</w:t>
              </w:r>
            </w:hyperlink>
          </w:p>
        </w:tc>
      </w:tr>
      <w:tr>
        <w:trPr>
          <w:trHeight w:val="20"/>
        </w:trPr>
        <w:tc>
          <w:tcPr>
            <w:tcW w:w="840" w:type="dxa"/>
            <w:vAlign w:val="bottom"/>
            <w:shd w:val="clear" w:color="auto" w:fill="0000FF"/>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016" w:right="399" w:bottom="1440" w:gutter="0" w:footer="0" w:header="0"/>
        </w:sectPr>
      </w:pPr>
    </w:p>
    <w:bookmarkStart w:id="50" w:name="page51"/>
    <w:bookmarkEnd w:id="50"/>
    <w:p>
      <w:pPr>
        <w:ind w:left="26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w:t>
      </w:r>
    </w:p>
    <w:p>
      <w:pPr>
        <w:spacing w:after="0" w:line="222" w:lineRule="auto"/>
        <w:rPr>
          <w:sz w:val="20"/>
          <w:szCs w:val="20"/>
          <w:color w:val="auto"/>
        </w:rPr>
      </w:pPr>
      <w:r>
        <w:rPr>
          <w:rFonts w:ascii="Arial" w:cs="Arial" w:eastAsia="Arial" w:hAnsi="Arial"/>
          <w:sz w:val="17"/>
          <w:szCs w:val="17"/>
          <w:color w:val="auto"/>
        </w:rPr>
        <w:t>AngioDynamics,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Latham, New York</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2" w:lineRule="exact"/>
        <w:rPr>
          <w:sz w:val="20"/>
          <w:szCs w:val="20"/>
          <w:color w:val="auto"/>
        </w:rPr>
      </w:pPr>
    </w:p>
    <w:p>
      <w:pPr>
        <w:ind w:right="100"/>
        <w:spacing w:after="0" w:line="204" w:lineRule="auto"/>
        <w:rPr>
          <w:sz w:val="20"/>
          <w:szCs w:val="20"/>
          <w:color w:val="auto"/>
        </w:rPr>
      </w:pPr>
      <w:r>
        <w:rPr>
          <w:rFonts w:ascii="Arial" w:cs="Arial" w:eastAsia="Arial" w:hAnsi="Arial"/>
          <w:sz w:val="17"/>
          <w:szCs w:val="17"/>
          <w:color w:val="auto"/>
        </w:rPr>
        <w:t>We have audited the accompanying consolidated balance sheets of AngioDynamics, Inc. and subsidiaries (the "Company") as of May 31, 2021 and 2020, the related consolidated statements of operations, comprehensive income (loss), stockholders' equity, and cash flows, for each of the three years in the period ended May 31, 2021, and the related notes and the schedule listed in the Index at Item 15 (collectively referred to as the "financial statements"). In our opinion, the financial statements present fairly, in all material respects, the financial position of the Company as of May 31, 2021 and 2020, and the results of its operations and its cash flows for each of the three years in the period ended May 31, 2021, in conformity with accounting principles generally accepted in the United States of America.</w:t>
      </w:r>
    </w:p>
    <w:p>
      <w:pPr>
        <w:spacing w:after="0" w:line="10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May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July 27, 2021, expressed an unqualified opinion on the Company's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2"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ind w:right="180"/>
        <w:spacing w:after="0" w:line="20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22" w:lineRule="exact"/>
        <w:rPr>
          <w:sz w:val="20"/>
          <w:szCs w:val="20"/>
          <w:color w:val="auto"/>
        </w:rPr>
      </w:pPr>
    </w:p>
    <w:p>
      <w:pPr>
        <w:ind w:right="20"/>
        <w:spacing w:after="0" w:line="206"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 – Excess Quantities and Obsolescence — Refer to Notes 1 &amp; 6</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116" w:lineRule="exact"/>
        <w:rPr>
          <w:sz w:val="20"/>
          <w:szCs w:val="20"/>
          <w:color w:val="auto"/>
        </w:rPr>
      </w:pPr>
    </w:p>
    <w:p>
      <w:pPr>
        <w:ind w:right="40"/>
        <w:spacing w:after="0" w:line="230" w:lineRule="auto"/>
        <w:rPr>
          <w:sz w:val="20"/>
          <w:szCs w:val="20"/>
          <w:color w:val="auto"/>
        </w:rPr>
      </w:pPr>
      <w:r>
        <w:rPr>
          <w:rFonts w:ascii="Arial" w:cs="Arial" w:eastAsia="Arial" w:hAnsi="Arial"/>
          <w:sz w:val="16"/>
          <w:szCs w:val="16"/>
          <w:color w:val="auto"/>
        </w:rPr>
        <w:t>The Company evaluates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 As of May 31, 2021, the Company has inventories of $48.6 million, net of excess quantities and obsolescence reserves.</w:t>
      </w:r>
    </w:p>
    <w:p>
      <w:pPr>
        <w:spacing w:after="0" w:line="93"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auto"/>
        </w:rPr>
        <w:t>We identified the reserve for excess quantities and obsolete inventory as a critical audit matter because of the significant estimates and assumptions management makes to quantify and to record the reserve, including the determination of expected demand. This required a high degree of auditor judgment and an increased extent of effort when performing audit procedures to evaluate the methodology and the reasonableness of assumptions including expected demand.</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16" w:lineRule="exact"/>
        <w:rPr>
          <w:sz w:val="20"/>
          <w:szCs w:val="20"/>
          <w:color w:val="auto"/>
        </w:rPr>
      </w:pPr>
    </w:p>
    <w:p>
      <w:pPr>
        <w:ind w:right="460"/>
        <w:spacing w:after="0" w:line="230" w:lineRule="auto"/>
        <w:rPr>
          <w:sz w:val="20"/>
          <w:szCs w:val="20"/>
          <w:color w:val="auto"/>
        </w:rPr>
      </w:pPr>
      <w:r>
        <w:rPr>
          <w:rFonts w:ascii="Arial" w:cs="Arial" w:eastAsia="Arial" w:hAnsi="Arial"/>
          <w:sz w:val="17"/>
          <w:szCs w:val="17"/>
          <w:color w:val="auto"/>
        </w:rPr>
        <w:t>Our audit procedures related to the reserve for excess quantities and obsolete inventory including management’s estimate of expected demand, included the following, among others:</w:t>
      </w:r>
    </w:p>
    <w:p>
      <w:pPr>
        <w:spacing w:after="0" w:line="118" w:lineRule="exact"/>
        <w:rPr>
          <w:sz w:val="20"/>
          <w:szCs w:val="20"/>
          <w:color w:val="auto"/>
        </w:rPr>
      </w:pPr>
    </w:p>
    <w:p>
      <w:pPr>
        <w:ind w:left="620" w:hanging="305"/>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tested the effectiveness of controls over inventory, including those over the estimation of reserves for excess quantities and obsolescence.</w:t>
      </w:r>
    </w:p>
    <w:p>
      <w:pPr>
        <w:spacing w:after="0" w:line="35" w:lineRule="exact"/>
        <w:rPr>
          <w:rFonts w:ascii="Arial" w:cs="Arial" w:eastAsia="Arial" w:hAnsi="Arial"/>
          <w:sz w:val="16"/>
          <w:szCs w:val="16"/>
          <w:color w:val="auto"/>
        </w:rPr>
      </w:pPr>
    </w:p>
    <w:p>
      <w:pPr>
        <w:ind w:left="620" w:right="780" w:hanging="305"/>
        <w:spacing w:after="0" w:line="254"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evaluated the reasonableness of the Company's excess and obsolete inventory policy, considering historical experience and the underlying assumptions.</w:t>
      </w:r>
    </w:p>
    <w:p>
      <w:pPr>
        <w:spacing w:after="0" w:line="1" w:lineRule="exact"/>
        <w:rPr>
          <w:rFonts w:ascii="Arial" w:cs="Arial" w:eastAsia="Arial" w:hAnsi="Arial"/>
          <w:sz w:val="17"/>
          <w:szCs w:val="17"/>
          <w:color w:val="auto"/>
        </w:rPr>
      </w:pPr>
    </w:p>
    <w:p>
      <w:pPr>
        <w:ind w:left="620" w:right="560" w:hanging="305"/>
        <w:spacing w:after="0" w:line="254"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tested the calculation of the excess and obsolete reserve pursuant to the Company's policy, on a sample basis, including the completeness and accuracy of the data used in the calculation.</w:t>
      </w:r>
    </w:p>
    <w:p>
      <w:pPr>
        <w:spacing w:after="0" w:line="1" w:lineRule="exact"/>
        <w:rPr>
          <w:rFonts w:ascii="Arial" w:cs="Arial" w:eastAsia="Arial" w:hAnsi="Arial"/>
          <w:sz w:val="17"/>
          <w:szCs w:val="17"/>
          <w:color w:val="auto"/>
        </w:rPr>
      </w:pPr>
    </w:p>
    <w:p>
      <w:pPr>
        <w:ind w:left="620" w:right="200" w:hanging="305"/>
        <w:spacing w:after="0" w:line="26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performed a retrospective review by comparing management’s prior year projections of future demand by product, with actual product sales in the current year to identify potential bias in the inventory reserve.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90" w:right="379" w:bottom="1440" w:gutter="0" w:footer="0" w:header="0"/>
        </w:sectPr>
      </w:pPr>
    </w:p>
    <w:bookmarkStart w:id="51" w:name="page52"/>
    <w:bookmarkEnd w:id="51"/>
    <w:p>
      <w:pPr>
        <w:ind w:left="620" w:right="160" w:hanging="305"/>
        <w:spacing w:after="0" w:line="278" w:lineRule="auto"/>
        <w:tabs>
          <w:tab w:leader="none" w:pos="6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held discussions with senior financial and operating management to determine whether any strategic, regulatory, or operational changes in the business were consistent with the projections of future demand that were utilized as the basis for the reserves recorded.</w:t>
      </w:r>
    </w:p>
    <w:p>
      <w:pPr>
        <w:spacing w:after="0" w:line="1" w:lineRule="exact"/>
        <w:rPr>
          <w:rFonts w:ascii="Arial" w:cs="Arial" w:eastAsia="Arial" w:hAnsi="Arial"/>
          <w:sz w:val="16"/>
          <w:szCs w:val="16"/>
          <w:color w:val="auto"/>
        </w:rPr>
      </w:pPr>
    </w:p>
    <w:p>
      <w:pPr>
        <w:ind w:left="620" w:hanging="305"/>
        <w:spacing w:after="0" w:line="26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considered the existence of contradictory evidence based on consideration of internal communication to management and the board of directors, Company press releases, and analysts' reports, as well as any changes within the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July 27, 2021</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200" w:lineRule="exact"/>
        <w:rPr>
          <w:sz w:val="20"/>
          <w:szCs w:val="20"/>
          <w:color w:val="auto"/>
        </w:rPr>
      </w:pPr>
    </w:p>
    <w:p>
      <w:pPr>
        <w:spacing w:after="0" w:line="33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60"/>
          </w:cols>
          <w:pgMar w:left="320" w:top="1022" w:right="719" w:bottom="1440" w:gutter="0" w:footer="0" w:header="0"/>
        </w:sectPr>
      </w:pPr>
    </w:p>
    <w:bookmarkStart w:id="52" w:name="page53"/>
    <w:bookmarkEnd w:id="52"/>
    <w:p>
      <w:pPr>
        <w:ind w:left="4220"/>
        <w:spacing w:after="0"/>
        <w:rPr>
          <w:sz w:val="20"/>
          <w:szCs w:val="20"/>
          <w:color w:val="auto"/>
        </w:rPr>
      </w:pPr>
      <w:r>
        <w:rPr>
          <w:rFonts w:ascii="Arial" w:cs="Arial" w:eastAsia="Arial" w:hAnsi="Arial"/>
          <w:sz w:val="17"/>
          <w:szCs w:val="17"/>
          <w:b w:val="1"/>
          <w:bCs w:val="1"/>
          <w:color w:val="auto"/>
        </w:rPr>
        <w:t>AngioDynamics, Inc. and Subsidiaries</w:t>
      </w:r>
    </w:p>
    <w:p>
      <w:pPr>
        <w:spacing w:after="0" w:line="103"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264,157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270,634</w:t>
            </w:r>
          </w:p>
        </w:tc>
        <w:tc>
          <w:tcPr>
            <w:tcW w:w="0" w:type="dxa"/>
            <w:vAlign w:val="bottom"/>
          </w:tcPr>
          <w:p>
            <w:pPr>
              <w:spacing w:after="0"/>
              <w:rPr>
                <w:sz w:val="1"/>
                <w:szCs w:val="1"/>
                <w:color w:val="auto"/>
              </w:rPr>
            </w:pPr>
          </w:p>
        </w:tc>
      </w:tr>
      <w:tr>
        <w:trPr>
          <w:trHeight w:val="22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Cost of sales (exclusive of intangible amortization)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114,634</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156,788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150,272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156,000</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28,258</w:t>
            </w:r>
          </w:p>
        </w:tc>
        <w:tc>
          <w:tcPr>
            <w:tcW w:w="0" w:type="dxa"/>
            <w:vAlign w:val="bottom"/>
          </w:tcPr>
          <w:p>
            <w:pPr>
              <w:spacing w:after="0"/>
              <w:rPr>
                <w:sz w:val="1"/>
                <w:szCs w:val="1"/>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78,634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76,829</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34,902</w:t>
            </w:r>
          </w:p>
        </w:tc>
        <w:tc>
          <w:tcPr>
            <w:tcW w:w="0" w:type="dxa"/>
            <w:vAlign w:val="bottom"/>
          </w:tcPr>
          <w:p>
            <w:pPr>
              <w:spacing w:after="0"/>
              <w:rPr>
                <w:sz w:val="1"/>
                <w:szCs w:val="1"/>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Amortization of intangibles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17,056</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Goodwill impairment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Change in fair value of contingent consideration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(11,531)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(6,776)</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 restructuring and other items,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15,127</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192,071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317,370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165,396</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Operating loss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(35,283)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(167,098)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(9,396)</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Arial" w:cs="Arial" w:eastAsia="Arial" w:hAnsi="Arial"/>
                <w:sz w:val="17"/>
                <w:szCs w:val="17"/>
                <w:b w:val="1"/>
                <w:bCs w:val="1"/>
                <w:color w:val="auto"/>
              </w:rPr>
              <w:t>Other expenses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(5,099)</w:t>
            </w:r>
          </w:p>
        </w:tc>
        <w:tc>
          <w:tcPr>
            <w:tcW w:w="0" w:type="dxa"/>
            <w:vAlign w:val="bottom"/>
          </w:tcPr>
          <w:p>
            <w:pPr>
              <w:spacing w:after="0"/>
              <w:rPr>
                <w:sz w:val="1"/>
                <w:szCs w:val="1"/>
                <w:color w:val="auto"/>
              </w:rPr>
            </w:pPr>
          </w:p>
        </w:tc>
      </w:tr>
      <w:tr>
        <w:trPr>
          <w:trHeight w:val="220"/>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other expenses,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7"/>
                <w:szCs w:val="17"/>
                <w:b w:val="1"/>
                <w:bCs w:val="1"/>
                <w:color w:val="auto"/>
              </w:rPr>
              <w:t>Loss from continuing operations before income tax benefit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(36,052)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(168,135)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(14,702)</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(3,556)</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loss from continuing operations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(11,146)</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Income from discontinued operations, net of income tax</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72,486</w:t>
            </w:r>
          </w:p>
        </w:tc>
        <w:tc>
          <w:tcPr>
            <w:tcW w:w="0" w:type="dxa"/>
            <w:vAlign w:val="bottom"/>
          </w:tcPr>
          <w:p>
            <w:pPr>
              <w:spacing w:after="0"/>
              <w:rPr>
                <w:sz w:val="1"/>
                <w:szCs w:val="1"/>
                <w:color w:val="auto"/>
              </w:rPr>
            </w:pPr>
          </w:p>
        </w:tc>
      </w:tr>
      <w:tr>
        <w:trPr>
          <w:trHeight w:val="213"/>
        </w:trPr>
        <w:tc>
          <w:tcPr>
            <w:tcW w:w="6760" w:type="dxa"/>
            <w:vAlign w:val="bottom"/>
          </w:tcPr>
          <w:p>
            <w:pPr>
              <w:ind w:left="640"/>
              <w:spacing w:after="0"/>
              <w:rPr>
                <w:sz w:val="20"/>
                <w:szCs w:val="20"/>
                <w:color w:val="auto"/>
              </w:rPr>
            </w:pPr>
            <w:r>
              <w:rPr>
                <w:rFonts w:ascii="Arial" w:cs="Arial" w:eastAsia="Arial" w:hAnsi="Arial"/>
                <w:sz w:val="17"/>
                <w:szCs w:val="17"/>
                <w:color w:val="auto"/>
              </w:rPr>
              <w:t>Net income (loss)</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(31,548)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(166,787)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61,340</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Arial" w:cs="Arial" w:eastAsia="Arial" w:hAnsi="Arial"/>
                <w:sz w:val="17"/>
                <w:szCs w:val="17"/>
                <w:b w:val="1"/>
                <w:bCs w:val="1"/>
                <w:color w:val="auto"/>
              </w:rPr>
              <w:t>Loss per share - continuing operations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6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4"/>
              <w:spacing w:after="0" w:line="193"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(0.82)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(4.39)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3"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6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Income per share - discontinued operations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Income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6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4"/>
              <w:spacing w:after="0" w:line="193"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(0.82)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(4.39)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3"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6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Weighted average shares outstanding</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37,961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37,485</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53" w:name="page54"/>
    <w:bookmarkEnd w:id="53"/>
    <w:p>
      <w:pPr>
        <w:ind w:left="4220"/>
        <w:spacing w:after="0"/>
        <w:rPr>
          <w:sz w:val="20"/>
          <w:szCs w:val="20"/>
          <w:color w:val="auto"/>
        </w:rPr>
      </w:pPr>
      <w:r>
        <w:rPr>
          <w:rFonts w:ascii="Arial" w:cs="Arial" w:eastAsia="Arial" w:hAnsi="Arial"/>
          <w:sz w:val="17"/>
          <w:szCs w:val="17"/>
          <w:b w:val="1"/>
          <w:bCs w:val="1"/>
          <w:color w:val="auto"/>
        </w:rPr>
        <w:t>AngioDynamics, Inc. and Subsidiaries</w:t>
      </w:r>
    </w:p>
    <w:p>
      <w:pPr>
        <w:spacing w:after="0" w:line="103"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7"/>
        </w:trPr>
        <w:tc>
          <w:tcPr>
            <w:tcW w:w="67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3"/>
              </w:rPr>
              <w:t>(166,787)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61,340</w:t>
            </w: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Other comprehensive income (loss), before tax:</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Unrealized gain on marketable securities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20"/>
        </w:trPr>
        <w:tc>
          <w:tcPr>
            <w:tcW w:w="6760" w:type="dxa"/>
            <w:vAlign w:val="bottom"/>
          </w:tcPr>
          <w:p>
            <w:pPr>
              <w:ind w:left="640"/>
              <w:spacing w:after="0"/>
              <w:rPr>
                <w:sz w:val="20"/>
                <w:szCs w:val="20"/>
                <w:color w:val="auto"/>
              </w:rPr>
            </w:pPr>
            <w:r>
              <w:rPr>
                <w:rFonts w:ascii="Arial" w:cs="Arial" w:eastAsia="Arial" w:hAnsi="Arial"/>
                <w:sz w:val="17"/>
                <w:szCs w:val="17"/>
                <w:color w:val="auto"/>
              </w:rPr>
              <w:t>Reclassification adjustment for gains included in net income</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Foreign currency translation gain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w:t>
            </w:r>
          </w:p>
        </w:tc>
      </w:tr>
      <w:tr>
        <w:trPr>
          <w:trHeight w:val="213"/>
        </w:trPr>
        <w:tc>
          <w:tcPr>
            <w:tcW w:w="6760" w:type="dxa"/>
            <w:vAlign w:val="bottom"/>
          </w:tcPr>
          <w:p>
            <w:pPr>
              <w:ind w:left="340"/>
              <w:spacing w:after="0"/>
              <w:rPr>
                <w:sz w:val="20"/>
                <w:szCs w:val="20"/>
                <w:color w:val="auto"/>
              </w:rPr>
            </w:pPr>
            <w:r>
              <w:rPr>
                <w:rFonts w:ascii="Arial" w:cs="Arial" w:eastAsia="Arial" w:hAnsi="Arial"/>
                <w:sz w:val="17"/>
                <w:szCs w:val="17"/>
                <w:color w:val="auto"/>
              </w:rPr>
              <w:t>Other comprehensive income (loss), before tax</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ind w:left="106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7"/>
              </w:rPr>
              <w:t>Income tax benefit (expense) related to items of other comprehensive income (loss)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comprehensive income (loss), net of tax</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4,494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(400)</w:t>
            </w: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comprehensive income (loss), net of tax</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w w:val="93"/>
              </w:rPr>
              <w:t>(166,776)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60,940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AngioDynamics,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May 31, 2021</w:t>
            </w:r>
          </w:p>
        </w:tc>
        <w:tc>
          <w:tcPr>
            <w:tcW w:w="220" w:type="dxa"/>
            <w:vAlign w:val="bottom"/>
          </w:tcPr>
          <w:p>
            <w:pPr>
              <w:spacing w:after="0"/>
              <w:rPr>
                <w:sz w:val="15"/>
                <w:szCs w:val="15"/>
                <w:color w:val="auto"/>
              </w:rPr>
            </w:pPr>
          </w:p>
        </w:tc>
        <w:tc>
          <w:tcPr>
            <w:tcW w:w="1200" w:type="dxa"/>
            <w:vAlign w:val="bottom"/>
          </w:tcPr>
          <w:p>
            <w:pPr>
              <w:jc w:val="right"/>
              <w:ind w:right="234"/>
              <w:spacing w:after="0"/>
              <w:rPr>
                <w:sz w:val="20"/>
                <w:szCs w:val="20"/>
                <w:color w:val="auto"/>
              </w:rPr>
            </w:pPr>
            <w:r>
              <w:rPr>
                <w:rFonts w:ascii="Arial" w:cs="Arial" w:eastAsia="Arial" w:hAnsi="Arial"/>
                <w:sz w:val="14"/>
                <w:szCs w:val="14"/>
                <w:color w:val="auto"/>
              </w:rPr>
              <w:t>May 31, 2020</w:t>
            </w:r>
          </w:p>
        </w:tc>
        <w:tc>
          <w:tcPr>
            <w:tcW w:w="0" w:type="dxa"/>
            <w:vAlign w:val="bottom"/>
          </w:tcPr>
          <w:p>
            <w:pPr>
              <w:spacing w:after="0"/>
              <w:rPr>
                <w:sz w:val="1"/>
                <w:szCs w:val="1"/>
                <w:color w:val="auto"/>
              </w:rPr>
            </w:pPr>
          </w:p>
        </w:tc>
      </w:tr>
      <w:tr>
        <w:trPr>
          <w:trHeight w:val="206"/>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54,435</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7"/>
                <w:szCs w:val="17"/>
                <w:color w:val="auto"/>
              </w:rPr>
              <w:t>Accounts receivable, net of allowances of $1,919 and $2,150,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31,263</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59,905</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7,310</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current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152,913</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37,073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28,312</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197,136</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201,316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200,515</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15,338</w:t>
            </w:r>
          </w:p>
        </w:tc>
        <w:tc>
          <w:tcPr>
            <w:tcW w:w="0" w:type="dxa"/>
            <w:vAlign w:val="bottom"/>
          </w:tcPr>
          <w:p>
            <w:pPr>
              <w:spacing w:after="0"/>
              <w:rPr>
                <w:sz w:val="1"/>
                <w:szCs w:val="1"/>
                <w:color w:val="auto"/>
              </w:rPr>
            </w:pPr>
          </w:p>
        </w:tc>
      </w:tr>
      <w:tr>
        <w:trPr>
          <w:trHeight w:val="213"/>
        </w:trPr>
        <w:tc>
          <w:tcPr>
            <w:tcW w:w="828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561,438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594,214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19,096</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7"/>
                <w:szCs w:val="17"/>
                <w:color w:val="auto"/>
              </w:rPr>
              <w:t>Accrued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35,459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29,380</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Current portion of contingent consideration</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51,445</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40,000</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24,057</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Contingent consideration, net of current portion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15,741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14,811</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9,029</w:t>
            </w:r>
          </w:p>
        </w:tc>
        <w:tc>
          <w:tcPr>
            <w:tcW w:w="0" w:type="dxa"/>
            <w:vAlign w:val="bottom"/>
          </w:tcPr>
          <w:p>
            <w:pPr>
              <w:spacing w:after="0"/>
              <w:rPr>
                <w:sz w:val="1"/>
                <w:szCs w:val="1"/>
                <w:color w:val="auto"/>
              </w:rPr>
            </w:pPr>
          </w:p>
        </w:tc>
      </w:tr>
      <w:tr>
        <w:trPr>
          <w:trHeight w:val="213"/>
        </w:trPr>
        <w:tc>
          <w:tcPr>
            <w:tcW w:w="8280" w:type="dxa"/>
            <w:vAlign w:val="bottom"/>
          </w:tcPr>
          <w:p>
            <w:pPr>
              <w:ind w:left="6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121,981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139,342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Commitments and Contingencies (Note 17)</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8280" w:type="dxa"/>
            <w:vAlign w:val="bottom"/>
          </w:tcPr>
          <w:p>
            <w:pPr>
              <w:ind w:left="340"/>
              <w:spacing w:after="0" w:line="169" w:lineRule="exact"/>
              <w:rPr>
                <w:sz w:val="20"/>
                <w:szCs w:val="20"/>
                <w:color w:val="auto"/>
              </w:rPr>
            </w:pPr>
            <w:r>
              <w:rPr>
                <w:rFonts w:ascii="Arial" w:cs="Arial" w:eastAsia="Arial" w:hAnsi="Arial"/>
                <w:sz w:val="17"/>
                <w:szCs w:val="17"/>
                <w:color w:val="auto"/>
                <w:w w:val="90"/>
              </w:rPr>
              <w:t>Common stock, par value $0.01 per share, 75,000,000 shares authorized; 38,920,951 and 38,448,536 shares issued</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377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7"/>
                <w:szCs w:val="17"/>
                <w:color w:val="auto"/>
              </w:rPr>
              <w:t>and 38,550,951 and 38,078,536 shares outstanding at May 31, 2021 and 2020, respectively</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561,871</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(131,866)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(100,318)</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Treasury stock, 370,000 shares, at cost at May 31, 2021 and 2020, respectively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(5,714)</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439,457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454,872</w:t>
            </w:r>
          </w:p>
        </w:tc>
        <w:tc>
          <w:tcPr>
            <w:tcW w:w="0" w:type="dxa"/>
            <w:vAlign w:val="bottom"/>
          </w:tcPr>
          <w:p>
            <w:pPr>
              <w:spacing w:after="0"/>
              <w:rPr>
                <w:sz w:val="1"/>
                <w:szCs w:val="1"/>
                <w:color w:val="auto"/>
              </w:rPr>
            </w:pPr>
          </w:p>
        </w:tc>
      </w:tr>
      <w:tr>
        <w:trPr>
          <w:trHeight w:val="213"/>
        </w:trPr>
        <w:tc>
          <w:tcPr>
            <w:tcW w:w="8280" w:type="dxa"/>
            <w:vAlign w:val="bottom"/>
          </w:tcPr>
          <w:p>
            <w:pPr>
              <w:ind w:left="64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561,438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594,214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55" w:name="page56"/>
    <w:bookmarkEnd w:id="55"/>
    <w:p>
      <w:pPr>
        <w:ind w:left="4220"/>
        <w:spacing w:after="0"/>
        <w:rPr>
          <w:sz w:val="20"/>
          <w:szCs w:val="20"/>
          <w:color w:val="auto"/>
        </w:rPr>
      </w:pPr>
      <w:r>
        <w:rPr>
          <w:rFonts w:ascii="Arial" w:cs="Arial" w:eastAsia="Arial" w:hAnsi="Arial"/>
          <w:sz w:val="17"/>
          <w:szCs w:val="17"/>
          <w:b w:val="1"/>
          <w:bCs w:val="1"/>
          <w:color w:val="auto"/>
        </w:rPr>
        <w:t>AngioDynamics, Inc. and Subsidiaries</w:t>
      </w:r>
    </w:p>
    <w:p>
      <w:pPr>
        <w:spacing w:after="0" w:line="64"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160" w:type="dxa"/>
            <w:vAlign w:val="bottom"/>
            <w:gridSpan w:val="5"/>
          </w:tcPr>
          <w:p>
            <w:pPr>
              <w:ind w:left="60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Retained</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Accumulated</w:t>
            </w:r>
          </w:p>
        </w:tc>
        <w:tc>
          <w:tcPr>
            <w:tcW w:w="1920" w:type="dxa"/>
            <w:vAlign w:val="bottom"/>
            <w:gridSpan w:val="5"/>
          </w:tcPr>
          <w:p>
            <w:pPr>
              <w:ind w:left="480"/>
              <w:spacing w:after="0"/>
              <w:rPr>
                <w:sz w:val="20"/>
                <w:szCs w:val="20"/>
                <w:color w:val="auto"/>
              </w:rPr>
            </w:pPr>
            <w:r>
              <w:rPr>
                <w:rFonts w:ascii="Arial" w:cs="Arial" w:eastAsia="Arial" w:hAnsi="Arial"/>
                <w:sz w:val="14"/>
                <w:szCs w:val="14"/>
                <w:color w:val="auto"/>
              </w:rPr>
              <w:t>Treasury Stock</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w w:val="94"/>
              </w:rPr>
              <w:t>Additional</w:t>
            </w:r>
          </w:p>
        </w:tc>
        <w:tc>
          <w:tcPr>
            <w:tcW w:w="160" w:type="dxa"/>
            <w:vAlign w:val="bottom"/>
          </w:tcPr>
          <w:p>
            <w:pPr>
              <w:spacing w:after="0"/>
              <w:rPr>
                <w:sz w:val="3"/>
                <w:szCs w:val="3"/>
                <w:color w:val="auto"/>
              </w:rPr>
            </w:pPr>
          </w:p>
        </w:tc>
        <w:tc>
          <w:tcPr>
            <w:tcW w:w="112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w w:val="85"/>
              </w:rPr>
              <w:t>earnings</w:t>
            </w:r>
          </w:p>
        </w:tc>
        <w:tc>
          <w:tcPr>
            <w:tcW w:w="160" w:type="dxa"/>
            <w:vAlign w:val="bottom"/>
          </w:tcPr>
          <w:p>
            <w:pPr>
              <w:spacing w:after="0"/>
              <w:rPr>
                <w:sz w:val="3"/>
                <w:szCs w:val="3"/>
                <w:color w:val="auto"/>
              </w:rPr>
            </w:pPr>
          </w:p>
        </w:tc>
        <w:tc>
          <w:tcPr>
            <w:tcW w:w="1240" w:type="dxa"/>
            <w:vAlign w:val="bottom"/>
            <w:gridSpan w:val="2"/>
            <w:vMerge w:val="restart"/>
          </w:tcPr>
          <w:p>
            <w:pPr>
              <w:jc w:val="center"/>
              <w:ind w:right="280"/>
              <w:spacing w:after="0" w:line="130" w:lineRule="exact"/>
              <w:rPr>
                <w:sz w:val="20"/>
                <w:szCs w:val="20"/>
                <w:color w:val="auto"/>
              </w:rPr>
            </w:pPr>
            <w:r>
              <w:rPr>
                <w:rFonts w:ascii="Arial" w:cs="Arial" w:eastAsia="Arial" w:hAnsi="Arial"/>
                <w:sz w:val="14"/>
                <w:szCs w:val="14"/>
                <w:color w:val="auto"/>
                <w:w w:val="87"/>
              </w:rPr>
              <w:t>other</w:t>
            </w: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2"/>
              </w:rPr>
              <w:t>paid in</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8"/>
              </w:rPr>
              <w:t>comprehensive</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capital</w:t>
            </w: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deficit)</w:t>
            </w: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income (loss)</w:t>
            </w: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60" w:type="dxa"/>
            <w:vAlign w:val="bottom"/>
          </w:tcPr>
          <w:p>
            <w:pPr>
              <w:ind w:left="340"/>
              <w:spacing w:after="0" w:line="159" w:lineRule="exact"/>
              <w:rPr>
                <w:sz w:val="20"/>
                <w:szCs w:val="20"/>
                <w:color w:val="auto"/>
              </w:rPr>
            </w:pPr>
            <w:r>
              <w:rPr>
                <w:rFonts w:ascii="Arial" w:cs="Arial" w:eastAsia="Arial" w:hAnsi="Arial"/>
                <w:sz w:val="14"/>
                <w:szCs w:val="14"/>
                <w:b w:val="1"/>
                <w:bCs w:val="1"/>
                <w:color w:val="auto"/>
              </w:rPr>
              <w:t>Balance at May 31, 2018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37,594,493</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543,762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(370,000)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542,595</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61,340</w:t>
            </w: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4"/>
                <w:szCs w:val="14"/>
                <w:color w:val="auto"/>
              </w:rPr>
              <w:t>134,253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33"/>
        </w:trPr>
        <w:tc>
          <w:tcPr>
            <w:tcW w:w="24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7"/>
              </w:rPr>
              <w:t>Issuance/cancellation of restricted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177,538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4"/>
                <w:szCs w:val="14"/>
                <w:color w:val="auto"/>
              </w:rPr>
              <w:t>Issuance of performance share units</w:t>
            </w:r>
          </w:p>
        </w:tc>
        <w:tc>
          <w:tcPr>
            <w:tcW w:w="1000" w:type="dxa"/>
            <w:vAlign w:val="bottom"/>
          </w:tcPr>
          <w:p>
            <w:pPr>
              <w:jc w:val="right"/>
              <w:spacing w:after="0"/>
              <w:rPr>
                <w:sz w:val="20"/>
                <w:szCs w:val="20"/>
                <w:color w:val="auto"/>
              </w:rPr>
            </w:pPr>
            <w:r>
              <w:rPr>
                <w:rFonts w:ascii="Arial" w:cs="Arial" w:eastAsia="Arial" w:hAnsi="Arial"/>
                <w:sz w:val="14"/>
                <w:szCs w:val="14"/>
                <w:color w:val="auto"/>
              </w:rPr>
              <w:t>5,235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4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Purchase of common stock under</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72,863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9,249</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1"/>
        </w:trPr>
        <w:tc>
          <w:tcPr>
            <w:tcW w:w="2460" w:type="dxa"/>
            <w:vAlign w:val="bottom"/>
          </w:tcPr>
          <w:p>
            <w:pPr>
              <w:ind w:left="340"/>
              <w:spacing w:after="0" w:line="159" w:lineRule="exact"/>
              <w:rPr>
                <w:sz w:val="20"/>
                <w:szCs w:val="20"/>
                <w:color w:val="auto"/>
              </w:rPr>
            </w:pPr>
            <w:r>
              <w:rPr>
                <w:rFonts w:ascii="Arial" w:cs="Arial" w:eastAsia="Arial" w:hAnsi="Arial"/>
                <w:sz w:val="14"/>
                <w:szCs w:val="14"/>
                <w:b w:val="1"/>
                <w:bCs w:val="1"/>
                <w:color w:val="auto"/>
              </w:rPr>
              <w:t>Balance at May 31, 2019</w:t>
            </w:r>
          </w:p>
        </w:tc>
        <w:tc>
          <w:tcPr>
            <w:tcW w:w="1000" w:type="dxa"/>
            <w:vAlign w:val="bottom"/>
          </w:tcPr>
          <w:p>
            <w:pPr>
              <w:jc w:val="right"/>
              <w:spacing w:after="0"/>
              <w:rPr>
                <w:sz w:val="20"/>
                <w:szCs w:val="20"/>
                <w:color w:val="auto"/>
              </w:rPr>
            </w:pPr>
            <w:r>
              <w:rPr>
                <w:rFonts w:ascii="Arial" w:cs="Arial" w:eastAsia="Arial" w:hAnsi="Arial"/>
                <w:sz w:val="14"/>
                <w:szCs w:val="14"/>
                <w:color w:val="auto"/>
              </w:rPr>
              <w:t>37,984,382</w:t>
            </w:r>
          </w:p>
        </w:tc>
        <w:tc>
          <w:tcPr>
            <w:tcW w:w="100" w:type="dxa"/>
            <w:vAlign w:val="bottom"/>
          </w:tcPr>
          <w:p>
            <w:pPr>
              <w:spacing w:after="0"/>
              <w:rPr>
                <w:sz w:val="14"/>
                <w:szCs w:val="14"/>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4"/>
                <w:szCs w:val="14"/>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555,040</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66,469</w:t>
            </w:r>
          </w:p>
        </w:tc>
        <w:tc>
          <w:tcPr>
            <w:tcW w:w="100" w:type="dxa"/>
            <w:vAlign w:val="bottom"/>
          </w:tcPr>
          <w:p>
            <w:pPr>
              <w:spacing w:after="0"/>
              <w:rPr>
                <w:sz w:val="14"/>
                <w:szCs w:val="14"/>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(370,000)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614,815</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(166,787)</w:t>
            </w: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4"/>
                <w:szCs w:val="14"/>
                <w:color w:val="auto"/>
              </w:rPr>
              <w:t>50,636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33"/>
        </w:trPr>
        <w:tc>
          <w:tcPr>
            <w:tcW w:w="24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7"/>
              </w:rPr>
              <w:t>Issuance/cancellation of restricted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312,951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60" w:type="dxa"/>
            <w:vAlign w:val="bottom"/>
          </w:tcPr>
          <w:p>
            <w:pPr>
              <w:ind w:left="20"/>
              <w:spacing w:after="0" w:line="130" w:lineRule="exact"/>
              <w:rPr>
                <w:sz w:val="20"/>
                <w:szCs w:val="20"/>
                <w:color w:val="auto"/>
              </w:rPr>
            </w:pPr>
            <w:r>
              <w:rPr>
                <w:rFonts w:ascii="Arial" w:cs="Arial" w:eastAsia="Arial" w:hAnsi="Arial"/>
                <w:sz w:val="14"/>
                <w:szCs w:val="14"/>
                <w:color w:val="auto"/>
              </w:rPr>
              <w:t>Purchase of common stock under</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100,567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7,592</w:t>
            </w:r>
          </w:p>
        </w:tc>
        <w:tc>
          <w:tcPr>
            <w:tcW w:w="0" w:type="dxa"/>
            <w:vAlign w:val="bottom"/>
          </w:tcPr>
          <w:p>
            <w:pPr>
              <w:spacing w:after="0"/>
              <w:rPr>
                <w:sz w:val="1"/>
                <w:szCs w:val="1"/>
                <w:color w:val="auto"/>
              </w:rPr>
            </w:pPr>
          </w:p>
        </w:tc>
      </w:tr>
      <w:tr>
        <w:trPr>
          <w:trHeight w:val="178"/>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7"/>
              </w:rPr>
              <w:t>Other comprehensive income, net of tax</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8"/>
        </w:trPr>
        <w:tc>
          <w:tcPr>
            <w:tcW w:w="246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Balance at May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38,448,536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561,871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454,872</w:t>
            </w: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(31,548)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(31,548)</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130"/>
        </w:trPr>
        <w:tc>
          <w:tcPr>
            <w:tcW w:w="2460" w:type="dxa"/>
            <w:vAlign w:val="bottom"/>
          </w:tcPr>
          <w:p>
            <w:pPr>
              <w:ind w:left="20"/>
              <w:spacing w:after="0" w:line="130" w:lineRule="exact"/>
              <w:rPr>
                <w:sz w:val="20"/>
                <w:szCs w:val="20"/>
                <w:color w:val="auto"/>
              </w:rPr>
            </w:pPr>
            <w:r>
              <w:rPr>
                <w:rFonts w:ascii="Arial" w:cs="Arial" w:eastAsia="Arial" w:hAnsi="Arial"/>
                <w:sz w:val="14"/>
                <w:szCs w:val="14"/>
                <w:color w:val="auto"/>
                <w:w w:val="97"/>
              </w:rPr>
              <w:t>Issuance/cancellation of restricted stock</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184,685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4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Purchase of common stock under</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164,194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8,625</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net of tax</w:t>
            </w: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4,494</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4,494</w:t>
            </w:r>
          </w:p>
        </w:tc>
        <w:tc>
          <w:tcPr>
            <w:tcW w:w="0" w:type="dxa"/>
            <w:vAlign w:val="bottom"/>
          </w:tcPr>
          <w:p>
            <w:pPr>
              <w:spacing w:after="0"/>
              <w:rPr>
                <w:sz w:val="1"/>
                <w:szCs w:val="1"/>
                <w:color w:val="auto"/>
              </w:rPr>
            </w:pPr>
          </w:p>
        </w:tc>
      </w:tr>
      <w:tr>
        <w:trPr>
          <w:trHeight w:val="178"/>
        </w:trPr>
        <w:tc>
          <w:tcPr>
            <w:tcW w:w="2460" w:type="dxa"/>
            <w:vAlign w:val="bottom"/>
          </w:tcPr>
          <w:p>
            <w:pPr>
              <w:ind w:left="340"/>
              <w:spacing w:after="0"/>
              <w:rPr>
                <w:sz w:val="20"/>
                <w:szCs w:val="20"/>
                <w:color w:val="auto"/>
              </w:rPr>
            </w:pPr>
            <w:r>
              <w:rPr>
                <w:rFonts w:ascii="Arial" w:cs="Arial" w:eastAsia="Arial" w:hAnsi="Arial"/>
                <w:sz w:val="14"/>
                <w:szCs w:val="14"/>
                <w:b w:val="1"/>
                <w:bCs w:val="1"/>
                <w:color w:val="auto"/>
              </w:rPr>
              <w:t>Balance at May 31, 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38,920,951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573,507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(131,866)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3,153</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(370,000)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439,457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55" w:right="37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AngioDynamics, Inc. and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7"/>
        </w:trPr>
        <w:tc>
          <w:tcPr>
            <w:tcW w:w="67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r>
      <w:tr>
        <w:trPr>
          <w:trHeight w:val="20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(31,548)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(166,787)</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61,340</w:t>
            </w:r>
          </w:p>
        </w:tc>
      </w:tr>
      <w:tr>
        <w:trPr>
          <w:trHeight w:val="169"/>
        </w:trPr>
        <w:tc>
          <w:tcPr>
            <w:tcW w:w="6760" w:type="dxa"/>
            <w:vAlign w:val="bottom"/>
            <w:shd w:val="clear" w:color="auto" w:fill="CCEEFF"/>
          </w:tcPr>
          <w:p>
            <w:pPr>
              <w:ind w:left="340"/>
              <w:spacing w:after="0" w:line="169" w:lineRule="exact"/>
              <w:rPr>
                <w:sz w:val="20"/>
                <w:szCs w:val="20"/>
                <w:color w:val="auto"/>
              </w:rPr>
            </w:pPr>
            <w:r>
              <w:rPr>
                <w:rFonts w:ascii="Arial" w:cs="Arial" w:eastAsia="Arial" w:hAnsi="Arial"/>
                <w:sz w:val="17"/>
                <w:szCs w:val="17"/>
                <w:color w:val="auto"/>
                <w:w w:val="99"/>
              </w:rPr>
              <w:t>Adjustments to reconcile net income (loss) to net cash provided by (used in) operating</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6760" w:type="dxa"/>
            <w:vAlign w:val="bottom"/>
          </w:tcPr>
          <w:p>
            <w:pPr>
              <w:ind w:left="6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25,916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25,880</w:t>
            </w: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Non-cash lease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60" w:type="dxa"/>
            <w:vAlign w:val="bottom"/>
          </w:tcPr>
          <w:p>
            <w:pPr>
              <w:ind w:left="640"/>
              <w:spacing w:after="0"/>
              <w:rPr>
                <w:sz w:val="20"/>
                <w:szCs w:val="20"/>
                <w:color w:val="auto"/>
              </w:rPr>
            </w:pPr>
            <w:r>
              <w:rPr>
                <w:rFonts w:ascii="Arial" w:cs="Arial" w:eastAsia="Arial" w:hAnsi="Arial"/>
                <w:sz w:val="17"/>
                <w:szCs w:val="17"/>
                <w:color w:val="auto"/>
              </w:rPr>
              <w:t>Goodwill impairment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158,578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Stock 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9,249</w:t>
            </w:r>
          </w:p>
        </w:tc>
      </w:tr>
      <w:tr>
        <w:trPr>
          <w:trHeight w:val="220"/>
        </w:trPr>
        <w:tc>
          <w:tcPr>
            <w:tcW w:w="6760" w:type="dxa"/>
            <w:vAlign w:val="bottom"/>
          </w:tcPr>
          <w:p>
            <w:pPr>
              <w:ind w:left="640"/>
              <w:spacing w:after="0"/>
              <w:rPr>
                <w:sz w:val="20"/>
                <w:szCs w:val="20"/>
                <w:color w:val="auto"/>
              </w:rPr>
            </w:pPr>
            <w:r>
              <w:rPr>
                <w:rFonts w:ascii="Arial" w:cs="Arial" w:eastAsia="Arial" w:hAnsi="Arial"/>
                <w:sz w:val="17"/>
                <w:szCs w:val="17"/>
                <w:color w:val="auto"/>
              </w:rPr>
              <w:t>Gain on disposition</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(46,592)</w:t>
            </w: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Transaction costs for disposition</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w:t>
            </w:r>
          </w:p>
        </w:tc>
      </w:tr>
      <w:tr>
        <w:trPr>
          <w:trHeight w:val="220"/>
        </w:trPr>
        <w:tc>
          <w:tcPr>
            <w:tcW w:w="6760" w:type="dxa"/>
            <w:vAlign w:val="bottom"/>
          </w:tcPr>
          <w:p>
            <w:pPr>
              <w:ind w:left="640"/>
              <w:spacing w:after="0"/>
              <w:rPr>
                <w:sz w:val="20"/>
                <w:szCs w:val="20"/>
                <w:color w:val="auto"/>
              </w:rPr>
            </w:pPr>
            <w:r>
              <w:rPr>
                <w:rFonts w:ascii="Arial" w:cs="Arial" w:eastAsia="Arial" w:hAnsi="Arial"/>
                <w:sz w:val="17"/>
                <w:szCs w:val="17"/>
                <w:color w:val="auto"/>
              </w:rPr>
              <w:t>Change in fair value of contingent consideration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(11,531)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(6,776)</w:t>
            </w: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Deferred income tax provision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(2,655)</w:t>
            </w:r>
          </w:p>
        </w:tc>
      </w:tr>
      <w:tr>
        <w:trPr>
          <w:trHeight w:val="220"/>
        </w:trPr>
        <w:tc>
          <w:tcPr>
            <w:tcW w:w="6760" w:type="dxa"/>
            <w:vAlign w:val="bottom"/>
          </w:tcPr>
          <w:p>
            <w:pPr>
              <w:ind w:left="640"/>
              <w:spacing w:after="0"/>
              <w:rPr>
                <w:sz w:val="20"/>
                <w:szCs w:val="20"/>
                <w:color w:val="auto"/>
              </w:rPr>
            </w:pPr>
            <w:r>
              <w:rPr>
                <w:rFonts w:ascii="Arial" w:cs="Arial" w:eastAsia="Arial" w:hAnsi="Arial"/>
                <w:sz w:val="17"/>
                <w:szCs w:val="17"/>
                <w:color w:val="auto"/>
              </w:rPr>
              <w:t>Changes in accounts receivable allowances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Asset impairments and disposals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2,495</w:t>
            </w:r>
          </w:p>
        </w:tc>
      </w:tr>
      <w:tr>
        <w:trPr>
          <w:trHeight w:val="220"/>
        </w:trPr>
        <w:tc>
          <w:tcPr>
            <w:tcW w:w="6760" w:type="dxa"/>
            <w:vAlign w:val="bottom"/>
          </w:tcPr>
          <w:p>
            <w:pPr>
              <w:ind w:left="64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Changes in operating assets and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6760" w:type="dxa"/>
            <w:vAlign w:val="bottom"/>
          </w:tcPr>
          <w:p>
            <w:pPr>
              <w:ind w:left="1080"/>
              <w:spacing w:after="0"/>
              <w:rPr>
                <w:sz w:val="20"/>
                <w:szCs w:val="20"/>
                <w:color w:val="auto"/>
              </w:rPr>
            </w:pPr>
            <w:r>
              <w:rPr>
                <w:rFonts w:ascii="Arial" w:cs="Arial" w:eastAsia="Arial" w:hAnsi="Arial"/>
                <w:sz w:val="17"/>
                <w:szCs w:val="17"/>
                <w:color w:val="auto"/>
              </w:rPr>
              <w:t>Accounts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(3,177)</w:t>
            </w:r>
          </w:p>
        </w:tc>
      </w:tr>
      <w:tr>
        <w:trPr>
          <w:trHeight w:val="220"/>
        </w:trPr>
        <w:tc>
          <w:tcPr>
            <w:tcW w:w="676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Inventories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w:t>
            </w:r>
          </w:p>
        </w:tc>
      </w:tr>
      <w:tr>
        <w:trPr>
          <w:trHeight w:val="220"/>
        </w:trPr>
        <w:tc>
          <w:tcPr>
            <w:tcW w:w="6760" w:type="dxa"/>
            <w:vAlign w:val="bottom"/>
          </w:tcPr>
          <w:p>
            <w:pPr>
              <w:ind w:left="1080"/>
              <w:spacing w:after="0"/>
              <w:rPr>
                <w:sz w:val="20"/>
                <w:szCs w:val="20"/>
                <w:color w:val="auto"/>
              </w:rPr>
            </w:pPr>
            <w:r>
              <w:rPr>
                <w:rFonts w:ascii="Arial" w:cs="Arial" w:eastAsia="Arial" w:hAnsi="Arial"/>
                <w:sz w:val="17"/>
                <w:szCs w:val="17"/>
                <w:color w:val="auto"/>
              </w:rPr>
              <w:t>Prepaid expenses and 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(1,871)</w:t>
            </w:r>
          </w:p>
        </w:tc>
      </w:tr>
      <w:tr>
        <w:trPr>
          <w:trHeight w:val="220"/>
        </w:trPr>
        <w:tc>
          <w:tcPr>
            <w:tcW w:w="676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Accounts payable, 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5,212</w:t>
            </w:r>
          </w:p>
        </w:tc>
      </w:tr>
      <w:tr>
        <w:trPr>
          <w:trHeight w:val="213"/>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Net cash provided by (used in) operating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37,440</w:t>
            </w:r>
          </w:p>
        </w:tc>
      </w:tr>
      <w:tr>
        <w:trPr>
          <w:trHeight w:val="20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Additions to property, plant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(3,118)</w:t>
            </w: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Additions to placement and evaluation units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Proceeds from disposition of discontinued operations</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169,242</w:t>
            </w: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for acquisitions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(84,920)</w:t>
            </w: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Acquisition of intangibles</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sale of marketable securities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w:t>
            </w:r>
          </w:p>
        </w:tc>
      </w:tr>
      <w:tr>
        <w:trPr>
          <w:trHeight w:val="213"/>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Net cash provided by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(13,711)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(63,345)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82,554</w:t>
            </w:r>
          </w:p>
        </w:tc>
      </w:tr>
      <w:tr>
        <w:trPr>
          <w:trHeight w:val="20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Repayment of long-term debt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(132,500)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(15,000)</w:t>
            </w: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borrowings on long-term debt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Deferred financing costs on long-term debt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Payment of acquisition related contingent consideration</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(8,100)</w:t>
            </w:r>
          </w:p>
        </w:tc>
      </w:tr>
      <w:tr>
        <w:trPr>
          <w:trHeight w:val="220"/>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Proceeds (outlays) from exercise of stock options and employee stock purchase plan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w:t>
            </w:r>
          </w:p>
        </w:tc>
      </w:tr>
      <w:tr>
        <w:trPr>
          <w:trHeight w:val="213"/>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33,931</w:t>
            </w:r>
          </w:p>
        </w:tc>
      </w:tr>
      <w:tr>
        <w:trPr>
          <w:trHeight w:val="213"/>
        </w:trPr>
        <w:tc>
          <w:tcPr>
            <w:tcW w:w="676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Effect of exchange rate changes on cash and cash equivalents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r>
      <w:tr>
        <w:trPr>
          <w:trHeight w:val="213"/>
        </w:trPr>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(Decrease) increase in cash and cash equivalents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153,545</w:t>
            </w:r>
          </w:p>
        </w:tc>
      </w:tr>
      <w:tr>
        <w:trPr>
          <w:trHeight w:val="220"/>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Cash and cash equivalents at beginning of year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227,641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74,096</w:t>
            </w:r>
          </w:p>
        </w:tc>
      </w:tr>
      <w:tr>
        <w:trPr>
          <w:trHeight w:val="238"/>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Cash and cash equivalents at end of year</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227,641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57" w:name="page58"/>
    <w:bookmarkEnd w:id="57"/>
    <w:p>
      <w:pPr>
        <w:ind w:left="4220"/>
        <w:spacing w:after="0"/>
        <w:rPr>
          <w:sz w:val="20"/>
          <w:szCs w:val="20"/>
          <w:color w:val="auto"/>
        </w:rPr>
      </w:pPr>
      <w:r>
        <w:rPr>
          <w:rFonts w:ascii="Arial" w:cs="Arial" w:eastAsia="Arial" w:hAnsi="Arial"/>
          <w:sz w:val="17"/>
          <w:szCs w:val="17"/>
          <w:b w:val="1"/>
          <w:bCs w:val="1"/>
          <w:color w:val="auto"/>
        </w:rPr>
        <w:t>AngioDynamics, Inc. and Subsidiaries</w:t>
      </w:r>
    </w:p>
    <w:p>
      <w:pPr>
        <w:spacing w:after="0" w:line="103"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CONSOLIDATED STATEMENTS OF CASH FLOWS—(Continued)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7"/>
        </w:trPr>
        <w:tc>
          <w:tcPr>
            <w:tcW w:w="67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r>
      <w:tr>
        <w:trPr>
          <w:trHeight w:val="20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6760" w:type="dxa"/>
            <w:vAlign w:val="bottom"/>
          </w:tcPr>
          <w:p>
            <w:pPr>
              <w:ind w:left="640"/>
              <w:spacing w:after="0"/>
              <w:rPr>
                <w:sz w:val="20"/>
                <w:szCs w:val="20"/>
                <w:color w:val="auto"/>
              </w:rPr>
            </w:pPr>
            <w:r>
              <w:rPr>
                <w:rFonts w:ascii="Arial" w:cs="Arial" w:eastAsia="Arial" w:hAnsi="Arial"/>
                <w:sz w:val="17"/>
                <w:szCs w:val="17"/>
                <w:color w:val="auto"/>
              </w:rPr>
              <w:t>Increase (decrease) in accounts payable for purchases of fixed assets</w:t>
            </w:r>
          </w:p>
        </w:tc>
        <w:tc>
          <w:tcPr>
            <w:tcW w:w="940" w:type="dxa"/>
            <w:vAlign w:val="bottom"/>
          </w:tcPr>
          <w:p>
            <w:pPr>
              <w:jc w:val="right"/>
              <w:ind w:right="759"/>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Fair value of contingent consideration for acquisitions</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25,100</w:t>
            </w:r>
          </w:p>
        </w:tc>
      </w:tr>
      <w:tr>
        <w:trPr>
          <w:trHeight w:val="220"/>
        </w:trPr>
        <w:tc>
          <w:tcPr>
            <w:tcW w:w="6760" w:type="dxa"/>
            <w:vAlign w:val="bottom"/>
          </w:tcPr>
          <w:p>
            <w:pPr>
              <w:ind w:left="640"/>
              <w:spacing w:after="0"/>
              <w:rPr>
                <w:sz w:val="20"/>
                <w:szCs w:val="20"/>
                <w:color w:val="auto"/>
              </w:rPr>
            </w:pPr>
            <w:r>
              <w:rPr>
                <w:rFonts w:ascii="Arial" w:cs="Arial" w:eastAsia="Arial" w:hAnsi="Arial"/>
                <w:sz w:val="17"/>
                <w:szCs w:val="17"/>
                <w:color w:val="auto"/>
              </w:rPr>
              <w:t>Fair value of acquisition consideration included in accrued expenses</w:t>
            </w:r>
          </w:p>
        </w:tc>
        <w:tc>
          <w:tcPr>
            <w:tcW w:w="9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4,650</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paid during the year for:</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6760" w:type="dxa"/>
            <w:vAlign w:val="bottom"/>
          </w:tcPr>
          <w:p>
            <w:pPr>
              <w:ind w:left="640"/>
              <w:spacing w:after="0"/>
              <w:rPr>
                <w:sz w:val="20"/>
                <w:szCs w:val="20"/>
                <w:color w:val="auto"/>
              </w:rPr>
            </w:pPr>
            <w:r>
              <w:rPr>
                <w:rFonts w:ascii="Arial" w:cs="Arial" w:eastAsia="Arial" w:hAnsi="Arial"/>
                <w:sz w:val="17"/>
                <w:szCs w:val="17"/>
                <w:color w:val="auto"/>
              </w:rPr>
              <w:t>Interest</w:t>
            </w:r>
          </w:p>
        </w:tc>
        <w:tc>
          <w:tcPr>
            <w:tcW w:w="940" w:type="dxa"/>
            <w:vAlign w:val="bottom"/>
          </w:tcPr>
          <w:p>
            <w:pPr>
              <w:jc w:val="right"/>
              <w:ind w:right="759"/>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731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413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5,115</w:t>
            </w: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Income taxes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AngioDynamics, Inc. and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68" w:lineRule="exact"/>
        <w:rPr>
          <w:sz w:val="20"/>
          <w:szCs w:val="20"/>
          <w:color w:val="auto"/>
        </w:rPr>
      </w:pPr>
    </w:p>
    <w:p>
      <w:pPr>
        <w:ind w:right="1760"/>
        <w:spacing w:after="0" w:line="449" w:lineRule="auto"/>
        <w:rPr>
          <w:sz w:val="20"/>
          <w:szCs w:val="20"/>
          <w:color w:val="auto"/>
        </w:rPr>
      </w:pPr>
      <w:r>
        <w:rPr>
          <w:rFonts w:ascii="Arial" w:cs="Arial" w:eastAsia="Arial" w:hAnsi="Arial"/>
          <w:sz w:val="17"/>
          <w:szCs w:val="17"/>
          <w:b w:val="1"/>
          <w:bCs w:val="1"/>
          <w:color w:val="auto"/>
        </w:rPr>
        <w:t xml:space="preserve">1. BASIS OF PRESENTATION, BUSINESS DESCRIPTION AND SUMMARY OF SIGNIFICANT ACCOUNTING POLICIES </w:t>
      </w:r>
      <w:r>
        <w:rPr>
          <w:rFonts w:ascii="Arial" w:cs="Arial" w:eastAsia="Arial" w:hAnsi="Arial"/>
          <w:sz w:val="17"/>
          <w:szCs w:val="17"/>
          <w:b w:val="1"/>
          <w:bCs w:val="1"/>
          <w:i w:val="1"/>
          <w:iCs w:val="1"/>
          <w:color w:val="auto"/>
        </w:rPr>
        <w:t>Basis of Presentation and Description of Business</w:t>
      </w:r>
    </w:p>
    <w:p>
      <w:pPr>
        <w:spacing w:after="0" w:line="1" w:lineRule="exact"/>
        <w:rPr>
          <w:sz w:val="20"/>
          <w:szCs w:val="20"/>
          <w:color w:val="auto"/>
        </w:rPr>
      </w:pPr>
    </w:p>
    <w:p>
      <w:pPr>
        <w:ind w:right="480" w:firstLine="373"/>
        <w:spacing w:after="0" w:line="284" w:lineRule="auto"/>
        <w:rPr>
          <w:sz w:val="20"/>
          <w:szCs w:val="20"/>
          <w:color w:val="auto"/>
        </w:rPr>
      </w:pPr>
      <w:r>
        <w:rPr>
          <w:rFonts w:ascii="Arial" w:cs="Arial" w:eastAsia="Arial" w:hAnsi="Arial"/>
          <w:sz w:val="17"/>
          <w:szCs w:val="17"/>
          <w:color w:val="auto"/>
        </w:rPr>
        <w:t>The consolidated financial statements include the accounts of AngioDynamics, Inc. and its wholly owned subsidiaries, (collectively, "us", "we", or the “Company”).</w:t>
      </w:r>
    </w:p>
    <w:p>
      <w:pPr>
        <w:spacing w:after="0" w:line="108" w:lineRule="exact"/>
        <w:rPr>
          <w:sz w:val="20"/>
          <w:szCs w:val="20"/>
          <w:color w:val="auto"/>
        </w:rPr>
      </w:pPr>
    </w:p>
    <w:p>
      <w:pPr>
        <w:ind w:right="220" w:firstLine="373"/>
        <w:spacing w:after="0" w:line="264" w:lineRule="auto"/>
        <w:rPr>
          <w:sz w:val="20"/>
          <w:szCs w:val="20"/>
          <w:color w:val="auto"/>
        </w:rPr>
      </w:pPr>
      <w:r>
        <w:rPr>
          <w:rFonts w:ascii="Arial" w:cs="Arial" w:eastAsia="Arial" w:hAnsi="Arial"/>
          <w:sz w:val="17"/>
          <w:szCs w:val="17"/>
          <w:color w:val="auto"/>
        </w:rPr>
        <w:t>The Company designs, manufactures and sells a wide range of medical, surgical and diagnostic devices used by professional healthcare providers for vascular access, for the treatment of peripheral vascular disease and in oncology and surgical settings. The devices are generally used in minimally invasive, image-guided procedures. Most of the Company's products are intended to be used once and then discarded, or they may be temporarily implanted for short- or long-term use.</w:t>
      </w:r>
    </w:p>
    <w:p>
      <w:pPr>
        <w:spacing w:after="0" w:line="125" w:lineRule="exact"/>
        <w:rPr>
          <w:sz w:val="20"/>
          <w:szCs w:val="20"/>
          <w:color w:val="auto"/>
        </w:rPr>
      </w:pPr>
    </w:p>
    <w:p>
      <w:pPr>
        <w:ind w:right="440" w:firstLine="373"/>
        <w:spacing w:after="0" w:line="282" w:lineRule="auto"/>
        <w:rPr>
          <w:sz w:val="20"/>
          <w:szCs w:val="20"/>
          <w:color w:val="auto"/>
        </w:rPr>
      </w:pPr>
      <w:r>
        <w:rPr>
          <w:rFonts w:ascii="Arial" w:cs="Arial" w:eastAsia="Arial" w:hAnsi="Arial"/>
          <w:sz w:val="16"/>
          <w:szCs w:val="16"/>
          <w:color w:val="auto"/>
        </w:rPr>
        <w:t>On May 31, 2019, the Company completed the sale of the Fluid Management business and all of the assets used primarily in connection with the Fluid Management business (Note 3). As the disposal of this business represents a strategic shift with a major effect on the Company's operations, for all periods presented in the Consolidated Statements of Operations and Comprehensive Income, all sales, costs, expenses, gains and income taxes attributable to Fluid Management have been reported under the captions, “Income from Discontinued Operations, Net of Income Tax.” Cash flows used in or provided by Fluid Management have been reported in the Consolidated Statements of Cash Flows under operating and investing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Principles</w:t>
      </w:r>
    </w:p>
    <w:p>
      <w:pPr>
        <w:spacing w:after="0" w:line="168" w:lineRule="exact"/>
        <w:rPr>
          <w:sz w:val="20"/>
          <w:szCs w:val="20"/>
          <w:color w:val="auto"/>
        </w:rPr>
      </w:pPr>
    </w:p>
    <w:p>
      <w:pPr>
        <w:ind w:right="480" w:firstLine="373"/>
        <w:spacing w:after="0" w:line="284" w:lineRule="auto"/>
        <w:rPr>
          <w:sz w:val="20"/>
          <w:szCs w:val="20"/>
          <w:color w:val="auto"/>
        </w:rPr>
      </w:pPr>
      <w:r>
        <w:rPr>
          <w:rFonts w:ascii="Arial" w:cs="Arial" w:eastAsia="Arial" w:hAnsi="Arial"/>
          <w:sz w:val="17"/>
          <w:szCs w:val="17"/>
          <w:color w:val="auto"/>
        </w:rPr>
        <w:t>The consolidated financial statements and accompanying notes have been prepared in conformity with accounting principles generally accepted in the United States of America ("GAAP").</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68" w:lineRule="exact"/>
        <w:rPr>
          <w:sz w:val="20"/>
          <w:szCs w:val="20"/>
          <w:color w:val="auto"/>
        </w:rPr>
      </w:pPr>
    </w:p>
    <w:p>
      <w:pPr>
        <w:ind w:right="520" w:firstLine="373"/>
        <w:spacing w:after="0" w:line="284" w:lineRule="auto"/>
        <w:rPr>
          <w:sz w:val="20"/>
          <w:szCs w:val="20"/>
          <w:color w:val="auto"/>
        </w:rPr>
      </w:pPr>
      <w:r>
        <w:rPr>
          <w:rFonts w:ascii="Arial" w:cs="Arial" w:eastAsia="Arial" w:hAnsi="Arial"/>
          <w:sz w:val="17"/>
          <w:szCs w:val="17"/>
          <w:color w:val="auto"/>
        </w:rPr>
        <w:t>The consolidated financial statements include the accounts of AngioDynamics and its subsidiaries (all of which are wholly owned). All intercompany balances and transactions have been eliminated.</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8" w:lineRule="exact"/>
        <w:rPr>
          <w:sz w:val="20"/>
          <w:szCs w:val="20"/>
          <w:color w:val="auto"/>
        </w:rPr>
      </w:pPr>
    </w:p>
    <w:p>
      <w:pPr>
        <w:ind w:right="80" w:firstLine="373"/>
        <w:spacing w:after="0" w:line="264"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68" w:lineRule="exact"/>
        <w:rPr>
          <w:sz w:val="20"/>
          <w:szCs w:val="20"/>
          <w:color w:val="auto"/>
        </w:rPr>
      </w:pPr>
    </w:p>
    <w:p>
      <w:pPr>
        <w:jc w:val="both"/>
        <w:ind w:right="540" w:firstLine="373"/>
        <w:spacing w:after="0" w:line="269" w:lineRule="auto"/>
        <w:rPr>
          <w:sz w:val="20"/>
          <w:szCs w:val="20"/>
          <w:color w:val="auto"/>
        </w:rPr>
      </w:pPr>
      <w:r>
        <w:rPr>
          <w:rFonts w:ascii="Arial" w:cs="Arial" w:eastAsia="Arial" w:hAnsi="Arial"/>
          <w:sz w:val="17"/>
          <w:szCs w:val="17"/>
          <w:color w:val="auto"/>
        </w:rPr>
        <w:t>The Company considers all unrestricted highly liquid investments with an initial maturity of less than three months at the date of purchase to be cash equivalents. The Company maintains cash and cash equivalent balances with financial institutions in the United States in excess of amounts insured by the Federal Deposit Insurance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Instruments</w:t>
      </w:r>
    </w:p>
    <w:p>
      <w:pPr>
        <w:spacing w:after="0" w:line="168" w:lineRule="exact"/>
        <w:rPr>
          <w:sz w:val="20"/>
          <w:szCs w:val="20"/>
          <w:color w:val="auto"/>
        </w:rPr>
      </w:pPr>
    </w:p>
    <w:p>
      <w:pPr>
        <w:ind w:firstLine="373"/>
        <w:spacing w:after="0" w:line="286" w:lineRule="auto"/>
        <w:rPr>
          <w:sz w:val="20"/>
          <w:szCs w:val="20"/>
          <w:color w:val="auto"/>
        </w:rPr>
      </w:pPr>
      <w:r>
        <w:rPr>
          <w:rFonts w:ascii="Arial" w:cs="Arial" w:eastAsia="Arial" w:hAnsi="Arial"/>
          <w:sz w:val="16"/>
          <w:szCs w:val="16"/>
          <w:color w:val="auto"/>
        </w:rPr>
        <w:t>The carrying amount of the Company's cash and cash equivalents, accounts receivable, accounts payable and long-term debt approximates fair value due to the short-term nature or market interest rates of these items. The Company bases the fair value of short-term investments on quoted market prices or other relevant information generated by market transactions involving identical or comparable assets. The Company measures and records derivative financial instruments at fair value. See Note 5 for further discussion of financial instruments that are carried at fair value on a recurring and nonrecurring basis.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68" w:lineRule="exact"/>
        <w:rPr>
          <w:sz w:val="20"/>
          <w:szCs w:val="20"/>
          <w:color w:val="auto"/>
        </w:rPr>
      </w:pPr>
    </w:p>
    <w:p>
      <w:pPr>
        <w:ind w:right="40" w:firstLine="373"/>
        <w:spacing w:after="0" w:line="282" w:lineRule="auto"/>
        <w:rPr>
          <w:sz w:val="20"/>
          <w:szCs w:val="20"/>
          <w:color w:val="auto"/>
        </w:rPr>
      </w:pPr>
      <w:r>
        <w:rPr>
          <w:rFonts w:ascii="Arial" w:cs="Arial" w:eastAsia="Arial" w:hAnsi="Arial"/>
          <w:sz w:val="16"/>
          <w:szCs w:val="16"/>
          <w:color w:val="auto"/>
        </w:rPr>
        <w:t>Accounts receivable, principally trade receivables, are generally due within 30 to 90 days and are stated at amounts due from customers, net of an allowance for estimated sales returns and doubtful accounts. The Company performs ongoing credit evaluations of customers and adjusts credit limits based upon payment history and the customer’s current creditworthiness, as determined by a review of their current credit information. The Company continuously monitors aging reports, collections and payments from customers, and a provision for estimated credit losses is maintained based upon historical experience and any specific customer collection issues that have been identified. While such credit losses have historically been within expectations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9" w:name="page60"/>
    <w:bookmarkEnd w:id="59"/>
    <w:p>
      <w:pPr>
        <w:ind w:right="140"/>
        <w:spacing w:after="0" w:line="284" w:lineRule="auto"/>
        <w:rPr>
          <w:sz w:val="20"/>
          <w:szCs w:val="20"/>
          <w:color w:val="auto"/>
        </w:rPr>
      </w:pPr>
      <w:r>
        <w:rPr>
          <w:rFonts w:ascii="Arial" w:cs="Arial" w:eastAsia="Arial" w:hAnsi="Arial"/>
          <w:sz w:val="17"/>
          <w:szCs w:val="17"/>
          <w:color w:val="auto"/>
        </w:rPr>
        <w:t>and the provisions established, the Company cannot guarantee that the same credit loss rates will be experienced in the future. The Company writes off accounts receivable when they are determined to be uncollectible.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55" w:lineRule="exact"/>
        <w:rPr>
          <w:sz w:val="20"/>
          <w:szCs w:val="20"/>
          <w:color w:val="auto"/>
        </w:rPr>
      </w:pPr>
    </w:p>
    <w:p>
      <w:pPr>
        <w:ind w:right="40" w:firstLine="373"/>
        <w:spacing w:after="0" w:line="246" w:lineRule="auto"/>
        <w:rPr>
          <w:sz w:val="20"/>
          <w:szCs w:val="20"/>
          <w:color w:val="auto"/>
        </w:rPr>
      </w:pPr>
      <w:r>
        <w:rPr>
          <w:rFonts w:ascii="Arial" w:cs="Arial" w:eastAsia="Arial" w:hAnsi="Arial"/>
          <w:sz w:val="16"/>
          <w:szCs w:val="16"/>
          <w:color w:val="auto"/>
        </w:rPr>
        <w:t>Inventories are stated at the lower of cost or net realizable value based on the first-in, first-out cost method and consist of raw materials, work in process and finished goods. The standard cost of finished goods and work-in-process inventory is composed of material, labor and manufacturing overhead, which approximates actual cost. In addition to stating inventory at the lower of cost or net realizable value, we also evaluate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 An increase to inventory reserves results in a corresponding increase in cost of revenue. Inventories are written off against the reserve when they are physically disposed.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168" w:lineRule="exact"/>
        <w:rPr>
          <w:sz w:val="20"/>
          <w:szCs w:val="20"/>
          <w:color w:val="auto"/>
        </w:rPr>
      </w:pPr>
    </w:p>
    <w:p>
      <w:pPr>
        <w:jc w:val="both"/>
        <w:ind w:right="140" w:firstLine="373"/>
        <w:spacing w:after="0" w:line="321" w:lineRule="auto"/>
        <w:rPr>
          <w:sz w:val="20"/>
          <w:szCs w:val="20"/>
          <w:color w:val="auto"/>
        </w:rPr>
      </w:pPr>
      <w:r>
        <w:rPr>
          <w:rFonts w:ascii="Arial" w:cs="Arial" w:eastAsia="Arial" w:hAnsi="Arial"/>
          <w:sz w:val="15"/>
          <w:szCs w:val="15"/>
          <w:color w:val="auto"/>
        </w:rPr>
        <w:t>Property, plant and equipment are stated at cost, less accumulated depreciation. Depreciation is computed using the straight-line method over the estimated useful lives of the assets. Placement and evaluation units represent capital equipment placed at customer locations under placement or evaluation agreements for which depreciation expense is included in cost of sales on the Consolidation Statements of Operations. Refer below for useful lives by category: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80" w:type="dxa"/>
            <w:vAlign w:val="bottom"/>
          </w:tcPr>
          <w:p>
            <w:pPr>
              <w:spacing w:after="0"/>
              <w:rPr>
                <w:sz w:val="19"/>
                <w:szCs w:val="19"/>
                <w:color w:val="auto"/>
              </w:rPr>
            </w:pPr>
          </w:p>
        </w:tc>
        <w:tc>
          <w:tcPr>
            <w:tcW w:w="5260" w:type="dxa"/>
            <w:vAlign w:val="bottom"/>
          </w:tcPr>
          <w:p>
            <w:pPr>
              <w:jc w:val="center"/>
              <w:ind w:left="2994"/>
              <w:spacing w:after="0"/>
              <w:rPr>
                <w:sz w:val="20"/>
                <w:szCs w:val="20"/>
                <w:color w:val="auto"/>
              </w:rPr>
            </w:pPr>
            <w:r>
              <w:rPr>
                <w:rFonts w:ascii="Arial" w:cs="Arial" w:eastAsia="Arial" w:hAnsi="Arial"/>
                <w:sz w:val="17"/>
                <w:szCs w:val="17"/>
                <w:color w:val="auto"/>
                <w:w w:val="93"/>
              </w:rPr>
              <w:t>Estimated useful lives</w:t>
            </w: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 and building improvements</w:t>
            </w:r>
          </w:p>
        </w:tc>
        <w:tc>
          <w:tcPr>
            <w:tcW w:w="5260" w:type="dxa"/>
            <w:vAlign w:val="bottom"/>
            <w:shd w:val="clear" w:color="auto" w:fill="CCEEFF"/>
          </w:tcPr>
          <w:p>
            <w:pPr>
              <w:jc w:val="center"/>
              <w:ind w:left="2994"/>
              <w:spacing w:after="0"/>
              <w:rPr>
                <w:sz w:val="20"/>
                <w:szCs w:val="20"/>
                <w:color w:val="auto"/>
              </w:rPr>
            </w:pPr>
            <w:r>
              <w:rPr>
                <w:rFonts w:ascii="Arial" w:cs="Arial" w:eastAsia="Arial" w:hAnsi="Arial"/>
                <w:sz w:val="17"/>
                <w:szCs w:val="17"/>
                <w:color w:val="auto"/>
                <w:w w:val="91"/>
              </w:rPr>
              <w:t>4 to 39 years</w:t>
            </w:r>
          </w:p>
        </w:tc>
      </w:tr>
      <w:tr>
        <w:trPr>
          <w:trHeight w:val="220"/>
        </w:trPr>
        <w:tc>
          <w:tcPr>
            <w:tcW w:w="5980" w:type="dxa"/>
            <w:vAlign w:val="bottom"/>
          </w:tcPr>
          <w:p>
            <w:pPr>
              <w:ind w:left="20"/>
              <w:spacing w:after="0"/>
              <w:rPr>
                <w:sz w:val="20"/>
                <w:szCs w:val="20"/>
                <w:color w:val="auto"/>
              </w:rPr>
            </w:pPr>
            <w:r>
              <w:rPr>
                <w:rFonts w:ascii="Arial" w:cs="Arial" w:eastAsia="Arial" w:hAnsi="Arial"/>
                <w:sz w:val="17"/>
                <w:szCs w:val="17"/>
                <w:color w:val="auto"/>
              </w:rPr>
              <w:t>Computer software and equipment</w:t>
            </w:r>
          </w:p>
        </w:tc>
        <w:tc>
          <w:tcPr>
            <w:tcW w:w="5260" w:type="dxa"/>
            <w:vAlign w:val="bottom"/>
          </w:tcPr>
          <w:p>
            <w:pPr>
              <w:jc w:val="center"/>
              <w:ind w:left="2974"/>
              <w:spacing w:after="0"/>
              <w:rPr>
                <w:sz w:val="20"/>
                <w:szCs w:val="20"/>
                <w:color w:val="auto"/>
              </w:rPr>
            </w:pPr>
            <w:r>
              <w:rPr>
                <w:rFonts w:ascii="Arial" w:cs="Arial" w:eastAsia="Arial" w:hAnsi="Arial"/>
                <w:sz w:val="17"/>
                <w:szCs w:val="17"/>
                <w:color w:val="auto"/>
                <w:w w:val="90"/>
              </w:rPr>
              <w:t>3 to 5 years</w:t>
            </w: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5260" w:type="dxa"/>
            <w:vAlign w:val="bottom"/>
            <w:shd w:val="clear" w:color="auto" w:fill="CCEEFF"/>
          </w:tcPr>
          <w:p>
            <w:pPr>
              <w:jc w:val="center"/>
              <w:ind w:left="2974"/>
              <w:spacing w:after="0"/>
              <w:rPr>
                <w:sz w:val="20"/>
                <w:szCs w:val="20"/>
                <w:color w:val="auto"/>
              </w:rPr>
            </w:pPr>
            <w:r>
              <w:rPr>
                <w:rFonts w:ascii="Arial" w:cs="Arial" w:eastAsia="Arial" w:hAnsi="Arial"/>
                <w:sz w:val="17"/>
                <w:szCs w:val="17"/>
                <w:color w:val="auto"/>
                <w:w w:val="90"/>
              </w:rPr>
              <w:t>5 to 8 years</w:t>
            </w:r>
          </w:p>
        </w:tc>
      </w:tr>
      <w:tr>
        <w:trPr>
          <w:trHeight w:val="221"/>
        </w:trPr>
        <w:tc>
          <w:tcPr>
            <w:tcW w:w="5980" w:type="dxa"/>
            <w:vAlign w:val="bottom"/>
          </w:tcPr>
          <w:p>
            <w:pPr>
              <w:ind w:left="20"/>
              <w:spacing w:after="0"/>
              <w:rPr>
                <w:sz w:val="20"/>
                <w:szCs w:val="20"/>
                <w:color w:val="auto"/>
              </w:rPr>
            </w:pPr>
            <w:r>
              <w:rPr>
                <w:rFonts w:ascii="Arial" w:cs="Arial" w:eastAsia="Arial" w:hAnsi="Arial"/>
                <w:sz w:val="17"/>
                <w:szCs w:val="17"/>
                <w:color w:val="auto"/>
              </w:rPr>
              <w:t>Placement and evaluation units</w:t>
            </w:r>
          </w:p>
        </w:tc>
        <w:tc>
          <w:tcPr>
            <w:tcW w:w="5260" w:type="dxa"/>
            <w:vAlign w:val="bottom"/>
          </w:tcPr>
          <w:p>
            <w:pPr>
              <w:jc w:val="center"/>
              <w:ind w:left="2994"/>
              <w:spacing w:after="0"/>
              <w:rPr>
                <w:sz w:val="20"/>
                <w:szCs w:val="20"/>
                <w:color w:val="auto"/>
              </w:rPr>
            </w:pPr>
            <w:r>
              <w:rPr>
                <w:rFonts w:ascii="Arial" w:cs="Arial" w:eastAsia="Arial" w:hAnsi="Arial"/>
                <w:sz w:val="17"/>
                <w:szCs w:val="17"/>
                <w:color w:val="auto"/>
                <w:w w:val="89"/>
              </w:rPr>
              <w:t>5 years</w:t>
            </w:r>
          </w:p>
        </w:tc>
      </w:tr>
    </w:tbl>
    <w:p>
      <w:pPr>
        <w:spacing w:after="0" w:line="143" w:lineRule="exact"/>
        <w:rPr>
          <w:sz w:val="20"/>
          <w:szCs w:val="20"/>
          <w:color w:val="auto"/>
        </w:rPr>
      </w:pPr>
    </w:p>
    <w:p>
      <w:pPr>
        <w:ind w:right="360" w:firstLine="373"/>
        <w:spacing w:after="0" w:line="269" w:lineRule="auto"/>
        <w:rPr>
          <w:sz w:val="20"/>
          <w:szCs w:val="20"/>
          <w:color w:val="auto"/>
        </w:rPr>
      </w:pPr>
      <w:r>
        <w:rPr>
          <w:rFonts w:ascii="Arial" w:cs="Arial" w:eastAsia="Arial" w:hAnsi="Arial"/>
          <w:sz w:val="17"/>
          <w:szCs w:val="17"/>
          <w:color w:val="auto"/>
        </w:rPr>
        <w:t>The Company evaluates property, plant and equipment for impairment periodically to determine if changes in circumstances or the occurrence of events suggest the carrying value of the asset or asset group may not be recoverable. Expenditures for repairs and maintenance are charged to expense as incurred. Renewals and betterments are capitalized.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68" w:lineRule="exact"/>
        <w:rPr>
          <w:sz w:val="20"/>
          <w:szCs w:val="20"/>
          <w:color w:val="auto"/>
        </w:rPr>
      </w:pPr>
    </w:p>
    <w:p>
      <w:pPr>
        <w:ind w:firstLine="373"/>
        <w:spacing w:after="0" w:line="276" w:lineRule="auto"/>
        <w:rPr>
          <w:sz w:val="20"/>
          <w:szCs w:val="20"/>
          <w:color w:val="auto"/>
        </w:rPr>
      </w:pPr>
      <w:r>
        <w:rPr>
          <w:rFonts w:ascii="Arial" w:cs="Arial" w:eastAsia="Arial" w:hAnsi="Arial"/>
          <w:sz w:val="16"/>
          <w:szCs w:val="16"/>
          <w:color w:val="auto"/>
        </w:rPr>
        <w:t>Intangible assets other than goodwill, indefinite lived intangible assets and in process research and development ("IP R&amp;D") are amortized over their estimated useful lives, which range between two to eighteen years, on either a straight-line basis over the expected period of benefit or as revenue is earned from the sales of the related product. The Company periodically reviews the estimated useful lives of intangible assets and reviews such assets or asset groups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a single asset group.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18" w:lineRule="exact"/>
        <w:rPr>
          <w:sz w:val="20"/>
          <w:szCs w:val="20"/>
          <w:color w:val="auto"/>
        </w:rPr>
      </w:pPr>
    </w:p>
    <w:p>
      <w:pPr>
        <w:jc w:val="both"/>
        <w:ind w:firstLine="373"/>
        <w:spacing w:after="0" w:line="264" w:lineRule="auto"/>
        <w:rPr>
          <w:sz w:val="20"/>
          <w:szCs w:val="20"/>
          <w:color w:val="auto"/>
        </w:rPr>
      </w:pPr>
      <w:r>
        <w:rPr>
          <w:rFonts w:ascii="Arial" w:cs="Arial" w:eastAsia="Arial" w:hAnsi="Arial"/>
          <w:sz w:val="17"/>
          <w:szCs w:val="17"/>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25" w:lineRule="exact"/>
        <w:rPr>
          <w:sz w:val="20"/>
          <w:szCs w:val="20"/>
          <w:color w:val="auto"/>
        </w:rPr>
      </w:pPr>
    </w:p>
    <w:p>
      <w:pPr>
        <w:ind w:firstLine="373"/>
        <w:spacing w:after="0" w:line="260" w:lineRule="auto"/>
        <w:rPr>
          <w:sz w:val="20"/>
          <w:szCs w:val="20"/>
          <w:color w:val="auto"/>
        </w:rPr>
      </w:pPr>
      <w:r>
        <w:rPr>
          <w:rFonts w:ascii="Arial" w:cs="Arial" w:eastAsia="Arial" w:hAnsi="Arial"/>
          <w:sz w:val="17"/>
          <w:szCs w:val="17"/>
          <w:color w:val="auto"/>
        </w:rPr>
        <w:t>For goodwill, the impairment test requires a comparison of the estimated fair value of the reporting unit to which the goodwill is assigned to the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The Company operates as a single operating segment with one reporting unit and consequently evaluates goodwill for impairment based on an evaluation of the fair value of the Company as a whole. If the carrying value of the reporting unit exceeds the fair value of the reporting unit, the carrying value is reduced to its fair value through an adjustment to the goodwill balance, resulting in an impairment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168" w:lineRule="exact"/>
        <w:rPr>
          <w:sz w:val="20"/>
          <w:szCs w:val="20"/>
          <w:color w:val="auto"/>
        </w:rPr>
      </w:pPr>
    </w:p>
    <w:p>
      <w:pPr>
        <w:ind w:right="180" w:firstLine="373"/>
        <w:spacing w:after="0" w:line="264" w:lineRule="auto"/>
        <w:rPr>
          <w:sz w:val="20"/>
          <w:szCs w:val="20"/>
          <w:color w:val="auto"/>
        </w:rPr>
      </w:pPr>
      <w:r>
        <w:rPr>
          <w:rFonts w:ascii="Arial" w:cs="Arial" w:eastAsia="Arial" w:hAnsi="Arial"/>
          <w:sz w:val="17"/>
          <w:szCs w:val="17"/>
          <w:color w:val="auto"/>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and reflective of the risk associated with the estimated cash flow streams. The liability for contingent consideration is remeasured to fair value at each reporting period with changes recorded in earnings until the contingency is resolved.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8" w:lineRule="exact"/>
        <w:rPr>
          <w:sz w:val="20"/>
          <w:szCs w:val="20"/>
          <w:color w:val="auto"/>
        </w:rPr>
      </w:pPr>
    </w:p>
    <w:p>
      <w:pPr>
        <w:ind w:right="320" w:firstLine="373"/>
        <w:spacing w:after="0" w:line="269" w:lineRule="auto"/>
        <w:rPr>
          <w:sz w:val="20"/>
          <w:szCs w:val="20"/>
          <w:color w:val="auto"/>
        </w:rPr>
      </w:pPr>
      <w:r>
        <w:rPr>
          <w:rFonts w:ascii="Arial" w:cs="Arial" w:eastAsia="Arial" w:hAnsi="Arial"/>
          <w:sz w:val="17"/>
          <w:szCs w:val="17"/>
          <w:color w:val="auto"/>
        </w:rPr>
        <w:t>The Company recognizes revenue when it transfers control of promised goods or services to its customers in an amount that reflects the consideration to which the Company expects to be entitled to in exchange for those goods and services. See Note 4, “Revenue from Contracts with Customers” for further discussion on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68" w:lineRule="exact"/>
        <w:rPr>
          <w:sz w:val="20"/>
          <w:szCs w:val="20"/>
          <w:color w:val="auto"/>
        </w:rPr>
      </w:pPr>
    </w:p>
    <w:p>
      <w:pPr>
        <w:ind w:right="140" w:firstLine="373"/>
        <w:spacing w:after="0" w:line="354" w:lineRule="auto"/>
        <w:rPr>
          <w:sz w:val="20"/>
          <w:szCs w:val="20"/>
          <w:color w:val="auto"/>
        </w:rPr>
      </w:pPr>
      <w:r>
        <w:rPr>
          <w:rFonts w:ascii="Arial" w:cs="Arial" w:eastAsia="Arial" w:hAnsi="Arial"/>
          <w:sz w:val="15"/>
          <w:szCs w:val="15"/>
          <w:color w:val="auto"/>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8" w:lineRule="exact"/>
        <w:rPr>
          <w:sz w:val="20"/>
          <w:szCs w:val="20"/>
          <w:color w:val="auto"/>
        </w:rPr>
      </w:pPr>
    </w:p>
    <w:p>
      <w:pPr>
        <w:ind w:right="380" w:firstLine="373"/>
        <w:spacing w:after="0" w:line="282" w:lineRule="auto"/>
        <w:rPr>
          <w:sz w:val="20"/>
          <w:szCs w:val="20"/>
          <w:color w:val="auto"/>
        </w:rPr>
      </w:pPr>
      <w:r>
        <w:rPr>
          <w:rFonts w:ascii="Arial" w:cs="Arial" w:eastAsia="Arial" w:hAnsi="Arial"/>
          <w:sz w:val="16"/>
          <w:szCs w:val="16"/>
          <w:color w:val="auto"/>
        </w:rPr>
        <w:t>The Company calculates income tax expense for each jurisdiction in which it operates. This involves estimating actual current taxes due plus assessing temporary differences arising from differing treatment for tax and accounting purposes that are recorded as deferred tax assets and liabilities. The Company periodically evaluates deferred tax assets, capital loss carryforwards and tax credit carryforwards to determine their recoverability based primarily on the Company's ability to generate future taxable income and capital gains. Where it is more-likely-than-not these will not be recovered, the Company estimates a valuation allowance and records a corresponding additional tax expense in the consolidated statement of operations.</w:t>
      </w:r>
    </w:p>
    <w:p>
      <w:pPr>
        <w:spacing w:after="0" w:line="112" w:lineRule="exact"/>
        <w:rPr>
          <w:sz w:val="20"/>
          <w:szCs w:val="20"/>
          <w:color w:val="auto"/>
        </w:rPr>
      </w:pPr>
    </w:p>
    <w:p>
      <w:pPr>
        <w:ind w:right="160" w:firstLine="373"/>
        <w:spacing w:after="0" w:line="262" w:lineRule="auto"/>
        <w:rPr>
          <w:sz w:val="20"/>
          <w:szCs w:val="20"/>
          <w:color w:val="auto"/>
        </w:rPr>
      </w:pPr>
      <w:r>
        <w:rPr>
          <w:rFonts w:ascii="Arial" w:cs="Arial" w:eastAsia="Arial" w:hAnsi="Arial"/>
          <w:sz w:val="17"/>
          <w:szCs w:val="17"/>
          <w:color w:val="auto"/>
        </w:rPr>
        <w:t>The Company recognizes and measures uncertain tax positions taken or expected to be taken in a tax return utilizing a two-step approach. The Company first determines if the weight of available evidence indicates that it is more likely than not that the tax position will be sustained on audit, including resolution of any related appeals or litigation processes. The second step is that the Company measures the tax benefit as the largest amount that is more likely than not to be realized upon ultimate settlement. The Company recognizes interest and penalties related to uncertain tax positions in the provision for income taxes on the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8" w:lineRule="exact"/>
        <w:rPr>
          <w:sz w:val="20"/>
          <w:szCs w:val="20"/>
          <w:color w:val="auto"/>
        </w:rPr>
      </w:pPr>
    </w:p>
    <w:p>
      <w:pPr>
        <w:ind w:right="120" w:firstLine="373"/>
        <w:spacing w:after="0" w:line="259" w:lineRule="auto"/>
        <w:rPr>
          <w:sz w:val="20"/>
          <w:szCs w:val="20"/>
          <w:color w:val="auto"/>
        </w:rPr>
      </w:pPr>
      <w:r>
        <w:rPr>
          <w:rFonts w:ascii="Arial" w:cs="Arial" w:eastAsia="Arial" w:hAnsi="Arial"/>
          <w:sz w:val="17"/>
          <w:szCs w:val="17"/>
          <w:color w:val="auto"/>
        </w:rPr>
        <w:t>Stock-based compensation expense reflects the fair value of stock-based awards measured at the grant date and recognized over the relevant service period. The expense recognized includes the impact of forfeitures as they occur. The Company estimates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restricted stock units, a risk-free interest rate and dividend yield. The Company recognizes stock-based compensation expense related to options, restricted stock units and market based performance stock units on a straight-line basis over the service period of the award, which is generally 4 years for options and restricted stock units and 3 years for market based performance stock units.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68" w:lineRule="exact"/>
        <w:rPr>
          <w:sz w:val="20"/>
          <w:szCs w:val="20"/>
          <w:color w:val="auto"/>
        </w:rPr>
      </w:pPr>
    </w:p>
    <w:p>
      <w:pPr>
        <w:ind w:firstLine="373"/>
        <w:spacing w:after="0" w:line="264" w:lineRule="auto"/>
        <w:rPr>
          <w:sz w:val="20"/>
          <w:szCs w:val="20"/>
          <w:color w:val="auto"/>
        </w:rPr>
      </w:pPr>
      <w:r>
        <w:rPr>
          <w:rFonts w:ascii="Arial" w:cs="Arial" w:eastAsia="Arial" w:hAnsi="Arial"/>
          <w:sz w:val="17"/>
          <w:szCs w:val="17"/>
          <w:color w:val="auto"/>
        </w:rPr>
        <w:t>The functional currency of the Company's foreign subsidiaries is the local currency in which the subsidiary operates. For foreign operations where the local currency is considered to be the functional currency, the Company translates assets and liabilities into U.S. dollars at the exchange rate on the balance sheet date. The Company translates income and expense items at average rates of exchange prevailing during each period. The Company accumulates translation adjustments in accumulated other comprehensive loss, a component of stockholders’ equity.</w:t>
      </w:r>
    </w:p>
    <w:p>
      <w:pPr>
        <w:spacing w:after="0" w:line="125" w:lineRule="exact"/>
        <w:rPr>
          <w:sz w:val="20"/>
          <w:szCs w:val="20"/>
          <w:color w:val="auto"/>
        </w:rPr>
      </w:pPr>
    </w:p>
    <w:p>
      <w:pPr>
        <w:ind w:right="500" w:firstLine="373"/>
        <w:spacing w:after="0" w:line="284" w:lineRule="auto"/>
        <w:rPr>
          <w:sz w:val="20"/>
          <w:szCs w:val="20"/>
          <w:color w:val="auto"/>
        </w:rPr>
      </w:pPr>
      <w:r>
        <w:rPr>
          <w:rFonts w:ascii="Arial" w:cs="Arial" w:eastAsia="Arial" w:hAnsi="Arial"/>
          <w:sz w:val="17"/>
          <w:szCs w:val="17"/>
          <w:color w:val="auto"/>
        </w:rPr>
        <w:t>Transaction gains or losses that arise from exchange rate fluctuations on transactions denominated in a currency other than the functional currency are included in other expense in the statements of operations as incurred.</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168" w:lineRule="exact"/>
        <w:rPr>
          <w:sz w:val="20"/>
          <w:szCs w:val="20"/>
          <w:color w:val="auto"/>
        </w:rPr>
      </w:pPr>
    </w:p>
    <w:p>
      <w:pPr>
        <w:ind w:right="160" w:firstLine="373"/>
        <w:spacing w:after="0" w:line="284" w:lineRule="auto"/>
        <w:rPr>
          <w:sz w:val="20"/>
          <w:szCs w:val="20"/>
          <w:color w:val="auto"/>
        </w:rPr>
      </w:pPr>
      <w:r>
        <w:rPr>
          <w:rFonts w:ascii="Arial" w:cs="Arial" w:eastAsia="Arial" w:hAnsi="Arial"/>
          <w:sz w:val="17"/>
          <w:szCs w:val="17"/>
          <w:color w:val="auto"/>
        </w:rPr>
        <w:t>The Company is exposed to market risks, including changes in foreign currency and interest rates. The Company periodically enters into certain derivative financial instruments to hedge the underlying economic exposure.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1" w:name="page62"/>
    <w:bookmarkEnd w:id="61"/>
    <w:p>
      <w:pPr>
        <w:ind w:right="200" w:firstLine="373"/>
        <w:spacing w:after="0" w:line="301" w:lineRule="auto"/>
        <w:rPr>
          <w:sz w:val="20"/>
          <w:szCs w:val="20"/>
          <w:color w:val="auto"/>
        </w:rPr>
      </w:pPr>
      <w:r>
        <w:rPr>
          <w:rFonts w:ascii="Arial" w:cs="Arial" w:eastAsia="Arial" w:hAnsi="Arial"/>
          <w:sz w:val="15"/>
          <w:szCs w:val="15"/>
          <w:color w:val="auto"/>
        </w:rPr>
        <w:t>Derivative instruments are presented in the consolidated financial statements at their fair value. Changes in the fair value of derivative financial instruments are either recognized periodically in income or in stockholders’ equity as a component of accumulated other comprehensive income (loss) depending on whether the derivative financial instrument qualifies for hedge accounting and, if so, whether it qualifies as a fair value or cash flow hedge. Generally, the changes in the fair value of derivatives accounted for as fair value hedges are recorded in income along with the portions of the changes in the fair value of hedged items that relate to the hedged risks. Changes in the fair value of derivatives accounted for as cash flow hedges, to the extent they are effective as hedges, are recorded in accumulated other comprehensive income (loss). There were no derivative instruments held by the Company as of May 31, 2021 and 2020.</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68" w:lineRule="exact"/>
        <w:rPr>
          <w:sz w:val="20"/>
          <w:szCs w:val="20"/>
          <w:color w:val="auto"/>
        </w:rPr>
      </w:pPr>
    </w:p>
    <w:p>
      <w:pPr>
        <w:ind w:right="140" w:firstLine="373"/>
        <w:spacing w:after="0" w:line="310" w:lineRule="auto"/>
        <w:rPr>
          <w:sz w:val="20"/>
          <w:szCs w:val="20"/>
          <w:color w:val="auto"/>
        </w:rPr>
      </w:pPr>
      <w:r>
        <w:rPr>
          <w:rFonts w:ascii="Arial" w:cs="Arial" w:eastAsia="Arial" w:hAnsi="Arial"/>
          <w:sz w:val="15"/>
          <w:szCs w:val="15"/>
          <w:color w:val="auto"/>
        </w:rPr>
        <w:t>The Company is subject to various legal proceedings that arise in the ordinary course of business, including patent infringement and product liability matters. The Company records accruals for contingencies when it is probable the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These recoveries are not netted against the related liabilities for financial statement presentation.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68" w:lineRule="exact"/>
        <w:rPr>
          <w:sz w:val="20"/>
          <w:szCs w:val="20"/>
          <w:color w:val="auto"/>
        </w:rPr>
      </w:pPr>
    </w:p>
    <w:p>
      <w:pPr>
        <w:ind w:right="120" w:firstLine="622"/>
        <w:spacing w:after="0" w:line="284" w:lineRule="auto"/>
        <w:rPr>
          <w:sz w:val="20"/>
          <w:szCs w:val="20"/>
          <w:color w:val="auto"/>
        </w:rPr>
      </w:pPr>
      <w:r>
        <w:rPr>
          <w:rFonts w:ascii="Arial" w:cs="Arial" w:eastAsia="Arial" w:hAnsi="Arial"/>
          <w:sz w:val="17"/>
          <w:szCs w:val="17"/>
          <w:color w:val="auto"/>
        </w:rPr>
        <w:t>The following table provides a description of recent accounting pronouncements that may have a material effect on the Company's consolidated financial statements:</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Recently Issued Accounting Pronouncements - Adopted</w:t>
      </w:r>
    </w:p>
    <w:tbl>
      <w:tblPr>
        <w:tblLayout w:type="fixed"/>
        <w:tblInd w:w="620" w:type="dxa"/>
        <w:tblCellMar>
          <w:top w:w="0" w:type="dxa"/>
          <w:left w:w="0" w:type="dxa"/>
          <w:bottom w:w="0" w:type="dxa"/>
          <w:right w:w="0" w:type="dxa"/>
        </w:tblCellMar>
      </w:tblPr>
      <w:tr>
        <w:trPr>
          <w:trHeight w:val="160"/>
        </w:trPr>
        <w:tc>
          <w:tcPr>
            <w:tcW w:w="24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Standard</w:t>
            </w:r>
          </w:p>
        </w:tc>
        <w:tc>
          <w:tcPr>
            <w:tcW w:w="380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1240" w:type="dxa"/>
            <w:vAlign w:val="bottom"/>
          </w:tcPr>
          <w:p>
            <w:pPr>
              <w:jc w:val="center"/>
              <w:ind w:left="519"/>
              <w:spacing w:after="0"/>
              <w:rPr>
                <w:sz w:val="20"/>
                <w:szCs w:val="20"/>
                <w:color w:val="auto"/>
              </w:rPr>
            </w:pPr>
            <w:r>
              <w:rPr>
                <w:rFonts w:ascii="Arial" w:cs="Arial" w:eastAsia="Arial" w:hAnsi="Arial"/>
                <w:sz w:val="14"/>
                <w:szCs w:val="14"/>
                <w:b w:val="1"/>
                <w:bCs w:val="1"/>
                <w:color w:val="auto"/>
                <w:w w:val="92"/>
              </w:rPr>
              <w:t>Date</w:t>
            </w:r>
          </w:p>
        </w:tc>
        <w:tc>
          <w:tcPr>
            <w:tcW w:w="3260" w:type="dxa"/>
            <w:vAlign w:val="bottom"/>
            <w:vMerge w:val="restart"/>
          </w:tcPr>
          <w:p>
            <w:pPr>
              <w:ind w:left="740"/>
              <w:spacing w:after="0"/>
              <w:rPr>
                <w:sz w:val="20"/>
                <w:szCs w:val="20"/>
                <w:color w:val="auto"/>
              </w:rPr>
            </w:pPr>
            <w:r>
              <w:rPr>
                <w:rFonts w:ascii="Arial" w:cs="Arial" w:eastAsia="Arial" w:hAnsi="Arial"/>
                <w:sz w:val="14"/>
                <w:szCs w:val="14"/>
                <w:b w:val="1"/>
                <w:bCs w:val="1"/>
                <w:color w:val="auto"/>
                <w:w w:val="89"/>
              </w:rPr>
              <w:t>Effect on the Consolidated Financial State</w:t>
            </w:r>
          </w:p>
        </w:tc>
        <w:tc>
          <w:tcPr>
            <w:tcW w:w="0" w:type="dxa"/>
            <w:vAlign w:val="bottom"/>
          </w:tcPr>
          <w:p>
            <w:pPr>
              <w:spacing w:after="0"/>
              <w:rPr>
                <w:sz w:val="1"/>
                <w:szCs w:val="1"/>
                <w:color w:val="auto"/>
              </w:rPr>
            </w:pPr>
          </w:p>
        </w:tc>
      </w:tr>
      <w:tr>
        <w:trPr>
          <w:trHeight w:val="180"/>
        </w:trPr>
        <w:tc>
          <w:tcPr>
            <w:tcW w:w="2420" w:type="dxa"/>
            <w:vAlign w:val="bottom"/>
            <w:tcBorders>
              <w:bottom w:val="single" w:sz="8" w:color="auto"/>
            </w:tcBorders>
            <w:vMerge w:val="continue"/>
          </w:tcPr>
          <w:p>
            <w:pPr>
              <w:spacing w:after="0"/>
              <w:rPr>
                <w:sz w:val="15"/>
                <w:szCs w:val="15"/>
                <w:color w:val="auto"/>
              </w:rPr>
            </w:pPr>
          </w:p>
        </w:tc>
        <w:tc>
          <w:tcPr>
            <w:tcW w:w="38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Adopted</w:t>
            </w:r>
          </w:p>
        </w:tc>
        <w:tc>
          <w:tcPr>
            <w:tcW w:w="3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tcPr>
          <w:p>
            <w:pPr>
              <w:ind w:left="640"/>
              <w:spacing w:after="0" w:line="163" w:lineRule="exact"/>
              <w:rPr>
                <w:sz w:val="20"/>
                <w:szCs w:val="20"/>
                <w:color w:val="auto"/>
              </w:rPr>
            </w:pPr>
            <w:r>
              <w:rPr>
                <w:rFonts w:ascii="Arial" w:cs="Arial" w:eastAsia="Arial" w:hAnsi="Arial"/>
                <w:sz w:val="17"/>
                <w:szCs w:val="17"/>
                <w:color w:val="auto"/>
              </w:rPr>
              <w:t xml:space="preserve">ASU 2018-13, </w:t>
            </w:r>
            <w:r>
              <w:rPr>
                <w:rFonts w:ascii="Arial" w:cs="Arial" w:eastAsia="Arial" w:hAnsi="Arial"/>
                <w:sz w:val="17"/>
                <w:szCs w:val="17"/>
                <w:i w:val="1"/>
                <w:iCs w:val="1"/>
                <w:color w:val="auto"/>
              </w:rPr>
              <w:t>Fair</w:t>
            </w:r>
          </w:p>
        </w:tc>
        <w:tc>
          <w:tcPr>
            <w:tcW w:w="380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7"/>
                <w:szCs w:val="17"/>
                <w:color w:val="auto"/>
              </w:rPr>
              <w:t>This ASU removes, modifies and adds</w:t>
            </w:r>
          </w:p>
        </w:tc>
        <w:tc>
          <w:tcPr>
            <w:tcW w:w="1240" w:type="dxa"/>
            <w:vAlign w:val="bottom"/>
            <w:tcBorders>
              <w:right w:val="single" w:sz="8" w:color="auto"/>
            </w:tcBorders>
          </w:tcPr>
          <w:p>
            <w:pPr>
              <w:jc w:val="center"/>
              <w:ind w:left="519"/>
              <w:spacing w:after="0" w:line="163" w:lineRule="exact"/>
              <w:rPr>
                <w:sz w:val="20"/>
                <w:szCs w:val="20"/>
                <w:color w:val="auto"/>
              </w:rPr>
            </w:pPr>
            <w:r>
              <w:rPr>
                <w:rFonts w:ascii="Arial" w:cs="Arial" w:eastAsia="Arial" w:hAnsi="Arial"/>
                <w:sz w:val="17"/>
                <w:szCs w:val="17"/>
                <w:color w:val="auto"/>
                <w:w w:val="85"/>
              </w:rPr>
              <w:t>June 1,</w:t>
            </w:r>
          </w:p>
        </w:tc>
        <w:tc>
          <w:tcPr>
            <w:tcW w:w="3260" w:type="dxa"/>
            <w:vAlign w:val="bottom"/>
          </w:tcPr>
          <w:p>
            <w:pPr>
              <w:ind w:left="640"/>
              <w:spacing w:after="0" w:line="163" w:lineRule="exact"/>
              <w:rPr>
                <w:sz w:val="20"/>
                <w:szCs w:val="20"/>
                <w:color w:val="auto"/>
              </w:rPr>
            </w:pPr>
            <w:r>
              <w:rPr>
                <w:rFonts w:ascii="Arial" w:cs="Arial" w:eastAsia="Arial" w:hAnsi="Arial"/>
                <w:sz w:val="17"/>
                <w:szCs w:val="17"/>
                <w:color w:val="auto"/>
                <w:w w:val="88"/>
              </w:rPr>
              <w:t>The Company adopted the new standa</w:t>
            </w: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i w:val="1"/>
                <w:iCs w:val="1"/>
                <w:color w:val="auto"/>
                <w:w w:val="97"/>
              </w:rPr>
              <w:t>Value Measurement (Topic 820)</w:t>
            </w: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w w:val="96"/>
              </w:rPr>
              <w:t>various disclosure requirements related to fair value</w:t>
            </w:r>
          </w:p>
        </w:tc>
        <w:tc>
          <w:tcPr>
            <w:tcW w:w="12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89"/>
              </w:rPr>
              <w:t>2020</w:t>
            </w:r>
          </w:p>
        </w:tc>
        <w:tc>
          <w:tcPr>
            <w:tcW w:w="3260" w:type="dxa"/>
            <w:vAlign w:val="bottom"/>
          </w:tcPr>
          <w:p>
            <w:pPr>
              <w:ind w:left="20"/>
              <w:spacing w:after="0" w:line="168" w:lineRule="exact"/>
              <w:rPr>
                <w:sz w:val="20"/>
                <w:szCs w:val="20"/>
                <w:color w:val="auto"/>
              </w:rPr>
            </w:pPr>
            <w:r>
              <w:rPr>
                <w:rFonts w:ascii="Arial" w:cs="Arial" w:eastAsia="Arial" w:hAnsi="Arial"/>
                <w:sz w:val="17"/>
                <w:szCs w:val="17"/>
                <w:color w:val="auto"/>
                <w:w w:val="93"/>
              </w:rPr>
              <w:t>the first quarter of fiscal year 2021 and it did n</w:t>
            </w: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spacing w:after="0"/>
              <w:rPr>
                <w:sz w:val="14"/>
                <w:szCs w:val="14"/>
                <w:color w:val="auto"/>
              </w:rPr>
            </w:pP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w w:val="94"/>
              </w:rPr>
              <w:t>disclosures. Disclosures related to transfers between</w:t>
            </w:r>
          </w:p>
        </w:tc>
        <w:tc>
          <w:tcPr>
            <w:tcW w:w="1240" w:type="dxa"/>
            <w:vAlign w:val="bottom"/>
            <w:tcBorders>
              <w:right w:val="single" w:sz="8" w:color="auto"/>
            </w:tcBorders>
          </w:tcPr>
          <w:p>
            <w:pPr>
              <w:spacing w:after="0"/>
              <w:rPr>
                <w:sz w:val="14"/>
                <w:szCs w:val="14"/>
                <w:color w:val="auto"/>
              </w:rPr>
            </w:pPr>
          </w:p>
        </w:tc>
        <w:tc>
          <w:tcPr>
            <w:tcW w:w="3260" w:type="dxa"/>
            <w:vAlign w:val="bottom"/>
          </w:tcPr>
          <w:p>
            <w:pPr>
              <w:ind w:left="20"/>
              <w:spacing w:after="0" w:line="168" w:lineRule="exact"/>
              <w:rPr>
                <w:sz w:val="20"/>
                <w:szCs w:val="20"/>
                <w:color w:val="auto"/>
              </w:rPr>
            </w:pPr>
            <w:r>
              <w:rPr>
                <w:rFonts w:ascii="Arial" w:cs="Arial" w:eastAsia="Arial" w:hAnsi="Arial"/>
                <w:sz w:val="17"/>
                <w:szCs w:val="17"/>
                <w:color w:val="auto"/>
                <w:w w:val="90"/>
              </w:rPr>
              <w:t>have an impact on the Company's consolidated</w:t>
            </w: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spacing w:after="0"/>
              <w:rPr>
                <w:sz w:val="14"/>
                <w:szCs w:val="14"/>
                <w:color w:val="auto"/>
              </w:rPr>
            </w:pP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fair value hierarchy levels will be removed and</w:t>
            </w:r>
          </w:p>
        </w:tc>
        <w:tc>
          <w:tcPr>
            <w:tcW w:w="1240" w:type="dxa"/>
            <w:vAlign w:val="bottom"/>
            <w:tcBorders>
              <w:right w:val="single" w:sz="8" w:color="auto"/>
            </w:tcBorders>
          </w:tcPr>
          <w:p>
            <w:pPr>
              <w:spacing w:after="0"/>
              <w:rPr>
                <w:sz w:val="14"/>
                <w:szCs w:val="14"/>
                <w:color w:val="auto"/>
              </w:rPr>
            </w:pPr>
          </w:p>
        </w:tc>
        <w:tc>
          <w:tcPr>
            <w:tcW w:w="3260" w:type="dxa"/>
            <w:vAlign w:val="bottom"/>
          </w:tcPr>
          <w:p>
            <w:pPr>
              <w:ind w:left="20"/>
              <w:spacing w:after="0" w:line="168" w:lineRule="exact"/>
              <w:rPr>
                <w:sz w:val="20"/>
                <w:szCs w:val="20"/>
                <w:color w:val="auto"/>
              </w:rPr>
            </w:pPr>
            <w:r>
              <w:rPr>
                <w:rFonts w:ascii="Arial" w:cs="Arial" w:eastAsia="Arial" w:hAnsi="Arial"/>
                <w:sz w:val="17"/>
                <w:szCs w:val="17"/>
                <w:color w:val="auto"/>
              </w:rPr>
              <w:t>financial statements.</w:t>
            </w: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spacing w:after="0"/>
              <w:rPr>
                <w:sz w:val="14"/>
                <w:szCs w:val="14"/>
                <w:color w:val="auto"/>
              </w:rPr>
            </w:pP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w w:val="93"/>
              </w:rPr>
              <w:t>further detail around changes in unrealized gains and</w:t>
            </w:r>
          </w:p>
        </w:tc>
        <w:tc>
          <w:tcPr>
            <w:tcW w:w="1240" w:type="dxa"/>
            <w:vAlign w:val="bottom"/>
            <w:tcBorders>
              <w:right w:val="single" w:sz="8" w:color="auto"/>
            </w:tcBorders>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spacing w:after="0"/>
              <w:rPr>
                <w:sz w:val="14"/>
                <w:szCs w:val="14"/>
                <w:color w:val="auto"/>
              </w:rPr>
            </w:pP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w w:val="93"/>
              </w:rPr>
              <w:t>losses for the period and unobservable inputs used in</w:t>
            </w:r>
          </w:p>
        </w:tc>
        <w:tc>
          <w:tcPr>
            <w:tcW w:w="1240" w:type="dxa"/>
            <w:vAlign w:val="bottom"/>
            <w:tcBorders>
              <w:right w:val="single" w:sz="8" w:color="auto"/>
            </w:tcBorders>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spacing w:after="0"/>
              <w:rPr>
                <w:sz w:val="14"/>
                <w:szCs w:val="14"/>
                <w:color w:val="auto"/>
              </w:rPr>
            </w:pP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w w:val="97"/>
              </w:rPr>
              <w:t>determining level 3 fair value measurements will be</w:t>
            </w:r>
          </w:p>
        </w:tc>
        <w:tc>
          <w:tcPr>
            <w:tcW w:w="1240" w:type="dxa"/>
            <w:vAlign w:val="bottom"/>
            <w:tcBorders>
              <w:right w:val="single" w:sz="8" w:color="auto"/>
            </w:tcBorders>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42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added, among other changes.</w:t>
            </w:r>
          </w:p>
        </w:tc>
        <w:tc>
          <w:tcPr>
            <w:tcW w:w="124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auto"/>
            </w:tcBorders>
          </w:tcPr>
          <w:p>
            <w:pPr>
              <w:ind w:left="640"/>
              <w:spacing w:after="0" w:line="162" w:lineRule="exact"/>
              <w:rPr>
                <w:sz w:val="20"/>
                <w:szCs w:val="20"/>
                <w:color w:val="auto"/>
              </w:rPr>
            </w:pPr>
            <w:r>
              <w:rPr>
                <w:rFonts w:ascii="Arial" w:cs="Arial" w:eastAsia="Arial" w:hAnsi="Arial"/>
                <w:sz w:val="17"/>
                <w:szCs w:val="17"/>
                <w:color w:val="auto"/>
                <w:w w:val="96"/>
              </w:rPr>
              <w:t xml:space="preserve">ASU 2016-13, </w:t>
            </w:r>
            <w:r>
              <w:rPr>
                <w:rFonts w:ascii="Arial" w:cs="Arial" w:eastAsia="Arial" w:hAnsi="Arial"/>
                <w:sz w:val="17"/>
                <w:szCs w:val="17"/>
                <w:i w:val="1"/>
                <w:iCs w:val="1"/>
                <w:color w:val="auto"/>
                <w:w w:val="96"/>
              </w:rPr>
              <w:t>Financial</w:t>
            </w:r>
          </w:p>
        </w:tc>
        <w:tc>
          <w:tcPr>
            <w:tcW w:w="3800" w:type="dxa"/>
            <w:vAlign w:val="bottom"/>
            <w:tcBorders>
              <w:right w:val="single" w:sz="8" w:color="auto"/>
            </w:tcBorders>
          </w:tcPr>
          <w:p>
            <w:pPr>
              <w:ind w:left="620"/>
              <w:spacing w:after="0" w:line="162" w:lineRule="exact"/>
              <w:rPr>
                <w:sz w:val="20"/>
                <w:szCs w:val="20"/>
                <w:color w:val="auto"/>
              </w:rPr>
            </w:pPr>
            <w:r>
              <w:rPr>
                <w:rFonts w:ascii="Arial" w:cs="Arial" w:eastAsia="Arial" w:hAnsi="Arial"/>
                <w:sz w:val="17"/>
                <w:szCs w:val="17"/>
                <w:color w:val="auto"/>
                <w:w w:val="95"/>
              </w:rPr>
              <w:t>This ASU replaces the current incurred loss</w:t>
            </w:r>
          </w:p>
        </w:tc>
        <w:tc>
          <w:tcPr>
            <w:tcW w:w="1240" w:type="dxa"/>
            <w:vAlign w:val="bottom"/>
            <w:tcBorders>
              <w:right w:val="single" w:sz="8" w:color="auto"/>
            </w:tcBorders>
          </w:tcPr>
          <w:p>
            <w:pPr>
              <w:jc w:val="center"/>
              <w:ind w:left="519"/>
              <w:spacing w:after="0" w:line="162" w:lineRule="exact"/>
              <w:rPr>
                <w:sz w:val="20"/>
                <w:szCs w:val="20"/>
                <w:color w:val="auto"/>
              </w:rPr>
            </w:pPr>
            <w:r>
              <w:rPr>
                <w:rFonts w:ascii="Arial" w:cs="Arial" w:eastAsia="Arial" w:hAnsi="Arial"/>
                <w:sz w:val="17"/>
                <w:szCs w:val="17"/>
                <w:color w:val="auto"/>
                <w:w w:val="85"/>
              </w:rPr>
              <w:t>June 1,</w:t>
            </w:r>
          </w:p>
        </w:tc>
        <w:tc>
          <w:tcPr>
            <w:tcW w:w="3260" w:type="dxa"/>
            <w:vAlign w:val="bottom"/>
          </w:tcPr>
          <w:p>
            <w:pPr>
              <w:ind w:left="640"/>
              <w:spacing w:after="0" w:line="162" w:lineRule="exact"/>
              <w:rPr>
                <w:sz w:val="20"/>
                <w:szCs w:val="20"/>
                <w:color w:val="auto"/>
              </w:rPr>
            </w:pPr>
            <w:r>
              <w:rPr>
                <w:rFonts w:ascii="Arial" w:cs="Arial" w:eastAsia="Arial" w:hAnsi="Arial"/>
                <w:sz w:val="17"/>
                <w:szCs w:val="17"/>
                <w:color w:val="auto"/>
                <w:w w:val="88"/>
              </w:rPr>
              <w:t>The Company adopted the new standa</w:t>
            </w: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i w:val="1"/>
                <w:iCs w:val="1"/>
                <w:color w:val="auto"/>
              </w:rPr>
              <w:t>Instruments - Credit</w:t>
            </w: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impairment methodology for financial assets</w:t>
            </w:r>
          </w:p>
        </w:tc>
        <w:tc>
          <w:tcPr>
            <w:tcW w:w="12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89"/>
              </w:rPr>
              <w:t>2020</w:t>
            </w:r>
          </w:p>
        </w:tc>
        <w:tc>
          <w:tcPr>
            <w:tcW w:w="3260" w:type="dxa"/>
            <w:vAlign w:val="bottom"/>
          </w:tcPr>
          <w:p>
            <w:pPr>
              <w:ind w:left="20"/>
              <w:spacing w:after="0" w:line="168" w:lineRule="exact"/>
              <w:rPr>
                <w:sz w:val="20"/>
                <w:szCs w:val="20"/>
                <w:color w:val="auto"/>
              </w:rPr>
            </w:pPr>
            <w:r>
              <w:rPr>
                <w:rFonts w:ascii="Arial" w:cs="Arial" w:eastAsia="Arial" w:hAnsi="Arial"/>
                <w:sz w:val="17"/>
                <w:szCs w:val="17"/>
                <w:color w:val="auto"/>
                <w:w w:val="93"/>
              </w:rPr>
              <w:t>the first quarter of fiscal year 2021 and it did n</w:t>
            </w: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i w:val="1"/>
                <w:iCs w:val="1"/>
                <w:color w:val="auto"/>
                <w:w w:val="91"/>
              </w:rPr>
              <w:t>Losses (Topic 326): Measurement</w:t>
            </w: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w w:val="95"/>
              </w:rPr>
              <w:t>measured at amortized cost with a methodology that</w:t>
            </w:r>
          </w:p>
        </w:tc>
        <w:tc>
          <w:tcPr>
            <w:tcW w:w="1240" w:type="dxa"/>
            <w:vAlign w:val="bottom"/>
            <w:tcBorders>
              <w:right w:val="single" w:sz="8" w:color="auto"/>
            </w:tcBorders>
          </w:tcPr>
          <w:p>
            <w:pPr>
              <w:spacing w:after="0"/>
              <w:rPr>
                <w:sz w:val="14"/>
                <w:szCs w:val="14"/>
                <w:color w:val="auto"/>
              </w:rPr>
            </w:pPr>
          </w:p>
        </w:tc>
        <w:tc>
          <w:tcPr>
            <w:tcW w:w="3260" w:type="dxa"/>
            <w:vAlign w:val="bottom"/>
          </w:tcPr>
          <w:p>
            <w:pPr>
              <w:ind w:left="20"/>
              <w:spacing w:after="0" w:line="168" w:lineRule="exact"/>
              <w:rPr>
                <w:sz w:val="20"/>
                <w:szCs w:val="20"/>
                <w:color w:val="auto"/>
              </w:rPr>
            </w:pPr>
            <w:r>
              <w:rPr>
                <w:rFonts w:ascii="Arial" w:cs="Arial" w:eastAsia="Arial" w:hAnsi="Arial"/>
                <w:sz w:val="17"/>
                <w:szCs w:val="17"/>
                <w:color w:val="auto"/>
                <w:w w:val="90"/>
              </w:rPr>
              <w:t>have an impact on the Company's consolidated</w:t>
            </w: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i w:val="1"/>
                <w:iCs w:val="1"/>
                <w:color w:val="auto"/>
              </w:rPr>
              <w:t>of Credit Losses on Financial</w:t>
            </w: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reflects expected credit losses and requires</w:t>
            </w:r>
          </w:p>
        </w:tc>
        <w:tc>
          <w:tcPr>
            <w:tcW w:w="1240" w:type="dxa"/>
            <w:vAlign w:val="bottom"/>
            <w:tcBorders>
              <w:right w:val="single" w:sz="8" w:color="auto"/>
            </w:tcBorders>
          </w:tcPr>
          <w:p>
            <w:pPr>
              <w:spacing w:after="0"/>
              <w:rPr>
                <w:sz w:val="14"/>
                <w:szCs w:val="14"/>
                <w:color w:val="auto"/>
              </w:rPr>
            </w:pPr>
          </w:p>
        </w:tc>
        <w:tc>
          <w:tcPr>
            <w:tcW w:w="3260" w:type="dxa"/>
            <w:vAlign w:val="bottom"/>
          </w:tcPr>
          <w:p>
            <w:pPr>
              <w:ind w:left="20"/>
              <w:spacing w:after="0" w:line="168" w:lineRule="exact"/>
              <w:rPr>
                <w:sz w:val="20"/>
                <w:szCs w:val="20"/>
                <w:color w:val="auto"/>
              </w:rPr>
            </w:pPr>
            <w:r>
              <w:rPr>
                <w:rFonts w:ascii="Arial" w:cs="Arial" w:eastAsia="Arial" w:hAnsi="Arial"/>
                <w:sz w:val="17"/>
                <w:szCs w:val="17"/>
                <w:color w:val="auto"/>
              </w:rPr>
              <w:t>financial statements.</w:t>
            </w: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7"/>
                <w:szCs w:val="17"/>
                <w:i w:val="1"/>
                <w:iCs w:val="1"/>
                <w:color w:val="auto"/>
              </w:rPr>
              <w:t>Instruments</w:t>
            </w: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w w:val="97"/>
              </w:rPr>
              <w:t>consideration of a broader range of reasonable and</w:t>
            </w:r>
          </w:p>
        </w:tc>
        <w:tc>
          <w:tcPr>
            <w:tcW w:w="1240" w:type="dxa"/>
            <w:vAlign w:val="bottom"/>
            <w:tcBorders>
              <w:right w:val="single" w:sz="8" w:color="auto"/>
            </w:tcBorders>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20" w:type="dxa"/>
            <w:vAlign w:val="bottom"/>
            <w:tcBorders>
              <w:right w:val="single" w:sz="8" w:color="auto"/>
            </w:tcBorders>
          </w:tcPr>
          <w:p>
            <w:pPr>
              <w:spacing w:after="0"/>
              <w:rPr>
                <w:sz w:val="14"/>
                <w:szCs w:val="14"/>
                <w:color w:val="auto"/>
              </w:rPr>
            </w:pPr>
          </w:p>
        </w:tc>
        <w:tc>
          <w:tcPr>
            <w:tcW w:w="380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supportable information, including forecasted</w:t>
            </w:r>
          </w:p>
        </w:tc>
        <w:tc>
          <w:tcPr>
            <w:tcW w:w="1240" w:type="dxa"/>
            <w:vAlign w:val="bottom"/>
            <w:tcBorders>
              <w:right w:val="single" w:sz="8" w:color="auto"/>
            </w:tcBorders>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42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information, to develop credit loss estimates.</w:t>
            </w:r>
          </w:p>
        </w:tc>
        <w:tc>
          <w:tcPr>
            <w:tcW w:w="124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Recently Issued Accounting Pronouncements - Not Yet Applicable or Adopted</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are no new accounting pronouncements issued that are expected to have a material impact on our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866"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2.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C3 Wave Tip Location Acquisition</w:t>
      </w:r>
    </w:p>
    <w:p>
      <w:pPr>
        <w:spacing w:after="0" w:line="168" w:lineRule="exact"/>
        <w:rPr>
          <w:sz w:val="20"/>
          <w:szCs w:val="20"/>
          <w:color w:val="auto"/>
        </w:rPr>
      </w:pPr>
    </w:p>
    <w:p>
      <w:pPr>
        <w:ind w:right="40" w:firstLine="373"/>
        <w:spacing w:after="0" w:line="260" w:lineRule="auto"/>
        <w:rPr>
          <w:sz w:val="20"/>
          <w:szCs w:val="20"/>
          <w:color w:val="auto"/>
        </w:rPr>
      </w:pPr>
      <w:r>
        <w:rPr>
          <w:rFonts w:ascii="Arial" w:cs="Arial" w:eastAsia="Arial" w:hAnsi="Arial"/>
          <w:sz w:val="17"/>
          <w:szCs w:val="17"/>
          <w:color w:val="auto"/>
        </w:rPr>
        <w:t>On December 17, 2019, the Company acquired the C3 Wave tip location asset from Medical Components Inc.("MedComp") for an aggregate purchase price of $10.0 million with $5.0 million of potential future contingent consideration related to technical milestones. This acquisition filled a gap in the Vascular Access portfolio and supports the Company's strategic plan. The Company accounted for this acquisition as an asset purchase. The Company recorded the amount paid at closing as inventory of $0.6 million and intangible assets of a trademark of $0.9 million and product technology of $8.5 million. The intangible assets will be amortized over 15 years. The contingent consideration is comprised of technical milestones and will be accounted for when the contingency is resolved or becomes probable and reasonably estimable.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Eximo Acquisition</w:t>
      </w:r>
    </w:p>
    <w:p>
      <w:pPr>
        <w:spacing w:after="0" w:line="168" w:lineRule="exact"/>
        <w:rPr>
          <w:sz w:val="20"/>
          <w:szCs w:val="20"/>
          <w:color w:val="auto"/>
        </w:rPr>
      </w:pPr>
    </w:p>
    <w:p>
      <w:pPr>
        <w:ind w:right="60" w:firstLine="373"/>
        <w:spacing w:after="0" w:line="286" w:lineRule="auto"/>
        <w:rPr>
          <w:sz w:val="20"/>
          <w:szCs w:val="20"/>
          <w:color w:val="auto"/>
        </w:rPr>
      </w:pPr>
      <w:r>
        <w:rPr>
          <w:rFonts w:ascii="Arial" w:cs="Arial" w:eastAsia="Arial" w:hAnsi="Arial"/>
          <w:sz w:val="16"/>
          <w:szCs w:val="16"/>
          <w:color w:val="auto"/>
        </w:rPr>
        <w:t>On October 2, 2019, the Company entered into a share purchase agreement to acquire Eximo Medical, Ltd., a pre-commercial stage medical device company with a proprietary 355nm laser atherectomy technology. The aggregate purchase price of $60.7 million included an upfront payment of $45.8 million and contingent consideration with an estimated fair value of $14.9 million. This acquisition expanded and complemented the Company’s Endovascular Therapies product portfolio by adding the 355nm laser atherectomy technology (Auryon) which treats Peripheral Artery Disease.</w:t>
      </w:r>
    </w:p>
    <w:p>
      <w:pPr>
        <w:spacing w:after="0" w:line="108" w:lineRule="exact"/>
        <w:rPr>
          <w:sz w:val="20"/>
          <w:szCs w:val="20"/>
          <w:color w:val="auto"/>
        </w:rPr>
      </w:pPr>
    </w:p>
    <w:p>
      <w:pPr>
        <w:jc w:val="both"/>
        <w:ind w:right="160" w:firstLine="373"/>
        <w:spacing w:after="0" w:line="294" w:lineRule="auto"/>
        <w:rPr>
          <w:sz w:val="20"/>
          <w:szCs w:val="20"/>
          <w:color w:val="auto"/>
        </w:rPr>
      </w:pPr>
      <w:r>
        <w:rPr>
          <w:rFonts w:ascii="Arial" w:cs="Arial" w:eastAsia="Arial" w:hAnsi="Arial"/>
          <w:sz w:val="16"/>
          <w:szCs w:val="16"/>
          <w:color w:val="auto"/>
        </w:rPr>
        <w:t>The Company accounted for the Eximo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non-deductible for income tax purposes.</w:t>
      </w:r>
    </w:p>
    <w:p>
      <w:pPr>
        <w:spacing w:after="0" w:line="102" w:lineRule="exact"/>
        <w:rPr>
          <w:sz w:val="20"/>
          <w:szCs w:val="20"/>
          <w:color w:val="auto"/>
        </w:rPr>
      </w:pPr>
    </w:p>
    <w:p>
      <w:pPr>
        <w:ind w:right="20" w:firstLine="373"/>
        <w:spacing w:after="0" w:line="286" w:lineRule="auto"/>
        <w:rPr>
          <w:sz w:val="20"/>
          <w:szCs w:val="20"/>
          <w:color w:val="auto"/>
        </w:rPr>
      </w:pPr>
      <w:r>
        <w:rPr>
          <w:rFonts w:ascii="Arial" w:cs="Arial" w:eastAsia="Arial" w:hAnsi="Arial"/>
          <w:sz w:val="16"/>
          <w:szCs w:val="16"/>
          <w:color w:val="auto"/>
        </w:rPr>
        <w:t>The Company has not disclosed the amount of revenue and earnings for sales of Eximo products since acquisition, nor proforma information, because these amounts are not significant to the Company's financial statements. Acquisition-related costs associated with the Eximo acquisition, which are included in "acquisition, restructuring and other items, net" in the accompanying Consolidated Statements of Operations, were approximately $0.6 million in fiscal year 2020. The following table summarizes the final aggregate purchase price allocated to the net assets acquired: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Final allocation</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and other current assets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color w:val="auto"/>
              </w:rPr>
              <w:t>Long-term deposits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0"/>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 technology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60,300</w:t>
            </w:r>
          </w:p>
        </w:tc>
      </w:tr>
      <w:tr>
        <w:trPr>
          <w:trHeight w:val="22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11,427</w:t>
            </w:r>
          </w:p>
        </w:tc>
      </w:tr>
      <w:tr>
        <w:trPr>
          <w:trHeight w:val="21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 acquired</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72,429</w:t>
            </w: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b w:val="1"/>
                <w:bCs w:val="1"/>
                <w:color w:val="auto"/>
              </w:rPr>
              <w:t>Liabilities assumed</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color w:val="auto"/>
              </w:rPr>
              <w:t>Other current liabilities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615</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11,070</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 assumed</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11,769</w:t>
            </w: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assets acquired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60,660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finalized the allocation of the purchase price to the assets acquired and liabilities assumed in the fourth quarter of fiscal year 2020.</w:t>
      </w:r>
    </w:p>
    <w:p>
      <w:pPr>
        <w:spacing w:after="0" w:line="179" w:lineRule="exact"/>
        <w:rPr>
          <w:sz w:val="20"/>
          <w:szCs w:val="20"/>
          <w:color w:val="auto"/>
        </w:rPr>
      </w:pPr>
    </w:p>
    <w:p>
      <w:pPr>
        <w:jc w:val="both"/>
        <w:ind w:right="580" w:firstLine="373"/>
        <w:spacing w:after="0" w:line="321" w:lineRule="auto"/>
        <w:rPr>
          <w:sz w:val="20"/>
          <w:szCs w:val="20"/>
          <w:color w:val="auto"/>
        </w:rPr>
      </w:pPr>
      <w:r>
        <w:rPr>
          <w:rFonts w:ascii="Arial" w:cs="Arial" w:eastAsia="Arial" w:hAnsi="Arial"/>
          <w:sz w:val="15"/>
          <w:szCs w:val="15"/>
          <w:color w:val="auto"/>
        </w:rPr>
        <w:t>The value assigned to the product technology was derived using the multi-period excess earnings method under the income approach. This approach estimates the excess earnings generated over the lives of the customers that existed as of the acquisition date and discounts such earnings to present value. The product technology is deemed to have a useful life of fifteen years and will be amortized on a straight-line basis over the useful life.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3" w:name="page64"/>
    <w:bookmarkEnd w:id="63"/>
    <w:p>
      <w:pPr>
        <w:ind w:right="120" w:firstLine="373"/>
        <w:spacing w:after="0" w:line="284" w:lineRule="auto"/>
        <w:rPr>
          <w:sz w:val="20"/>
          <w:szCs w:val="20"/>
          <w:color w:val="auto"/>
        </w:rPr>
      </w:pPr>
      <w:r>
        <w:rPr>
          <w:rFonts w:ascii="Arial" w:cs="Arial" w:eastAsia="Arial" w:hAnsi="Arial"/>
          <w:sz w:val="17"/>
          <w:szCs w:val="17"/>
          <w:color w:val="auto"/>
        </w:rPr>
        <w:t>The goodwill arising from the acquisition consists largely of synergies and economies of scale the Company hopes to achieve from combining the acquired assets with the Company's current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RadiaDyne Acquisition</w:t>
      </w:r>
    </w:p>
    <w:p>
      <w:pPr>
        <w:spacing w:after="0" w:line="168" w:lineRule="exact"/>
        <w:rPr>
          <w:sz w:val="20"/>
          <w:szCs w:val="20"/>
          <w:color w:val="auto"/>
        </w:rPr>
      </w:pPr>
    </w:p>
    <w:p>
      <w:pPr>
        <w:ind w:right="20" w:firstLine="373"/>
        <w:spacing w:after="0" w:line="282" w:lineRule="auto"/>
        <w:rPr>
          <w:sz w:val="20"/>
          <w:szCs w:val="20"/>
          <w:color w:val="auto"/>
        </w:rPr>
      </w:pPr>
      <w:r>
        <w:rPr>
          <w:rFonts w:ascii="Arial" w:cs="Arial" w:eastAsia="Arial" w:hAnsi="Arial"/>
          <w:sz w:val="16"/>
          <w:szCs w:val="16"/>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contingent consideration of $22.3 million was comprised of $16.5 million for the revenue milestones and $5.8 million for the technical milestones. The indemnification holdback was recorded in accrued liabilities at May 31, 2020 and was released during fiscal year 2021.</w:t>
      </w:r>
    </w:p>
    <w:p>
      <w:pPr>
        <w:spacing w:after="0" w:line="112" w:lineRule="exact"/>
        <w:rPr>
          <w:sz w:val="20"/>
          <w:szCs w:val="20"/>
          <w:color w:val="auto"/>
        </w:rPr>
      </w:pPr>
    </w:p>
    <w:p>
      <w:pPr>
        <w:jc w:val="both"/>
        <w:ind w:right="300" w:firstLine="373"/>
        <w:spacing w:after="0" w:line="284" w:lineRule="auto"/>
        <w:rPr>
          <w:sz w:val="20"/>
          <w:szCs w:val="20"/>
          <w:color w:val="auto"/>
        </w:rPr>
      </w:pPr>
      <w:r>
        <w:rPr>
          <w:rFonts w:ascii="Arial" w:cs="Arial" w:eastAsia="Arial" w:hAnsi="Arial"/>
          <w:sz w:val="17"/>
          <w:szCs w:val="17"/>
          <w:color w:val="auto"/>
        </w:rPr>
        <w:t>This acquisition expanded the Company’s growing Oncology business by adding RadiaDyne’s oncology solutions, including the IsoLoc/ImmobiLoc and Alatus balloon stabilizing technologies.</w:t>
      </w:r>
    </w:p>
    <w:p>
      <w:pPr>
        <w:spacing w:after="0" w:line="108" w:lineRule="exact"/>
        <w:rPr>
          <w:sz w:val="20"/>
          <w:szCs w:val="20"/>
          <w:color w:val="auto"/>
        </w:rPr>
      </w:pPr>
    </w:p>
    <w:p>
      <w:pPr>
        <w:jc w:val="both"/>
        <w:ind w:right="320" w:firstLine="373"/>
        <w:spacing w:after="0" w:line="294" w:lineRule="auto"/>
        <w:rPr>
          <w:sz w:val="20"/>
          <w:szCs w:val="20"/>
          <w:color w:val="auto"/>
        </w:rPr>
      </w:pPr>
      <w:r>
        <w:rPr>
          <w:rFonts w:ascii="Arial" w:cs="Arial" w:eastAsia="Arial" w:hAnsi="Arial"/>
          <w:sz w:val="16"/>
          <w:szCs w:val="16"/>
          <w:color w:val="auto"/>
        </w:rPr>
        <w:t>The Company accounted for the RadiaDyne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102" w:lineRule="exact"/>
        <w:rPr>
          <w:sz w:val="20"/>
          <w:szCs w:val="20"/>
          <w:color w:val="auto"/>
        </w:rPr>
      </w:pPr>
    </w:p>
    <w:p>
      <w:pPr>
        <w:ind w:right="100" w:firstLine="373"/>
        <w:spacing w:after="0" w:line="286" w:lineRule="auto"/>
        <w:rPr>
          <w:sz w:val="20"/>
          <w:szCs w:val="20"/>
          <w:color w:val="auto"/>
        </w:rPr>
      </w:pPr>
      <w:r>
        <w:rPr>
          <w:rFonts w:ascii="Arial" w:cs="Arial" w:eastAsia="Arial" w:hAnsi="Arial"/>
          <w:sz w:val="16"/>
          <w:szCs w:val="16"/>
          <w:color w:val="auto"/>
        </w:rPr>
        <w:t>The Company has not disclosed the amount of revenue and earnings for sales of RadiaDyne products since acquisition, nor proforma information, because these amounts are not significant to the Company's financial statements. Acquisition-related costs associated with the RadiaDyne acquisition, which are included in "acquisition, restructuring and other items, net" in the accompanying Consolidated Statements of Operations, were approximately $1.6 million in fiscal year 2019. The following table summarizes the final aggregate purchase price allocated to the net assets acquired: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Final allocation</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732</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and other current assets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0"/>
        </w:trPr>
        <w:tc>
          <w:tcPr>
            <w:tcW w:w="9480" w:type="dxa"/>
            <w:vAlign w:val="bottom"/>
          </w:tcPr>
          <w:p>
            <w:pPr>
              <w:ind w:left="220"/>
              <w:spacing w:after="0"/>
              <w:rPr>
                <w:sz w:val="20"/>
                <w:szCs w:val="20"/>
                <w:color w:val="auto"/>
              </w:rPr>
            </w:pPr>
            <w:r>
              <w:rPr>
                <w:rFonts w:ascii="Arial" w:cs="Arial" w:eastAsia="Arial" w:hAnsi="Arial"/>
                <w:sz w:val="17"/>
                <w:szCs w:val="17"/>
                <w:color w:val="auto"/>
              </w:rPr>
              <w:t>RadiaDyne trademark</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0"/>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OARtrac trademark</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20"/>
        </w:trPr>
        <w:tc>
          <w:tcPr>
            <w:tcW w:w="9480" w:type="dxa"/>
            <w:vAlign w:val="bottom"/>
          </w:tcPr>
          <w:p>
            <w:pPr>
              <w:ind w:left="220"/>
              <w:spacing w:after="0"/>
              <w:rPr>
                <w:sz w:val="20"/>
                <w:szCs w:val="20"/>
                <w:color w:val="auto"/>
              </w:rPr>
            </w:pPr>
            <w:r>
              <w:rPr>
                <w:rFonts w:ascii="Arial" w:cs="Arial" w:eastAsia="Arial" w:hAnsi="Arial"/>
                <w:sz w:val="17"/>
                <w:szCs w:val="17"/>
                <w:color w:val="auto"/>
              </w:rPr>
              <w:t>RadiaDyne legacy product technology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220"/>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OARtrac product technology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18,900</w:t>
            </w:r>
          </w:p>
        </w:tc>
      </w:tr>
      <w:tr>
        <w:trPr>
          <w:trHeight w:val="220"/>
        </w:trPr>
        <w:tc>
          <w:tcPr>
            <w:tcW w:w="9480" w:type="dxa"/>
            <w:vAlign w:val="bottom"/>
          </w:tcPr>
          <w:p>
            <w:pPr>
              <w:ind w:left="220"/>
              <w:spacing w:after="0"/>
              <w:rPr>
                <w:sz w:val="20"/>
                <w:szCs w:val="20"/>
                <w:color w:val="auto"/>
              </w:rPr>
            </w:pPr>
            <w:r>
              <w:rPr>
                <w:rFonts w:ascii="Arial" w:cs="Arial" w:eastAsia="Arial" w:hAnsi="Arial"/>
                <w:sz w:val="17"/>
                <w:szCs w:val="17"/>
                <w:color w:val="auto"/>
              </w:rPr>
              <w:t>RadiaDyne customer relationships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4,600</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47,982</w:t>
            </w:r>
          </w:p>
        </w:tc>
      </w:tr>
      <w:tr>
        <w:trPr>
          <w:trHeight w:val="213"/>
        </w:trPr>
        <w:tc>
          <w:tcPr>
            <w:tcW w:w="9480" w:type="dxa"/>
            <w:vAlign w:val="bottom"/>
          </w:tcPr>
          <w:p>
            <w:pPr>
              <w:ind w:left="20"/>
              <w:spacing w:after="0"/>
              <w:rPr>
                <w:sz w:val="20"/>
                <w:szCs w:val="20"/>
                <w:color w:val="auto"/>
              </w:rPr>
            </w:pPr>
            <w:r>
              <w:rPr>
                <w:rFonts w:ascii="Arial" w:cs="Arial" w:eastAsia="Arial" w:hAnsi="Arial"/>
                <w:sz w:val="17"/>
                <w:szCs w:val="17"/>
                <w:color w:val="auto"/>
              </w:rPr>
              <w:t>Total assets acquired</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75,445</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assumed</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352</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 assumed</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w:t>
            </w: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assets acquired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74,987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finalized the allocation of the purchase price to the assets acquired and liabilities assumed in the fourth quarter of fiscal year 2019.</w:t>
      </w:r>
    </w:p>
    <w:p>
      <w:pPr>
        <w:spacing w:after="0" w:line="179" w:lineRule="exact"/>
        <w:rPr>
          <w:sz w:val="20"/>
          <w:szCs w:val="20"/>
          <w:color w:val="auto"/>
        </w:rPr>
      </w:pPr>
    </w:p>
    <w:p>
      <w:pPr>
        <w:ind w:right="20" w:firstLine="373"/>
        <w:spacing w:after="0" w:line="305" w:lineRule="auto"/>
        <w:rPr>
          <w:sz w:val="20"/>
          <w:szCs w:val="20"/>
          <w:color w:val="auto"/>
        </w:rPr>
      </w:pPr>
      <w:r>
        <w:rPr>
          <w:rFonts w:ascii="Arial" w:cs="Arial" w:eastAsia="Arial" w:hAnsi="Arial"/>
          <w:sz w:val="15"/>
          <w:szCs w:val="15"/>
          <w:color w:val="auto"/>
        </w:rPr>
        <w:t>The values assigned to the RadiaDyne and OARtrac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trademarks were deemed to have a useful life of five to seven years and the product technologies were deemed to have a useful life of seven to ten years. Both are amortized on a straight-line basis over their useful life.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4" w:name="page65"/>
    <w:bookmarkEnd w:id="64"/>
    <w:p>
      <w:pPr>
        <w:jc w:val="both"/>
        <w:ind w:right="580" w:firstLine="373"/>
        <w:spacing w:after="0" w:line="269" w:lineRule="auto"/>
        <w:rPr>
          <w:sz w:val="20"/>
          <w:szCs w:val="20"/>
          <w:color w:val="auto"/>
        </w:rPr>
      </w:pPr>
      <w:r>
        <w:rPr>
          <w:rFonts w:ascii="Arial" w:cs="Arial" w:eastAsia="Arial" w:hAnsi="Arial"/>
          <w:sz w:val="17"/>
          <w:szCs w:val="17"/>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fifteen years.</w:t>
      </w:r>
    </w:p>
    <w:p>
      <w:pPr>
        <w:spacing w:after="0" w:line="121" w:lineRule="exact"/>
        <w:rPr>
          <w:sz w:val="20"/>
          <w:szCs w:val="20"/>
          <w:color w:val="auto"/>
        </w:rPr>
      </w:pPr>
    </w:p>
    <w:p>
      <w:pPr>
        <w:jc w:val="both"/>
        <w:ind w:right="120" w:firstLine="373"/>
        <w:spacing w:after="0" w:line="284" w:lineRule="auto"/>
        <w:rPr>
          <w:sz w:val="20"/>
          <w:szCs w:val="20"/>
          <w:color w:val="auto"/>
        </w:rPr>
      </w:pPr>
      <w:r>
        <w:rPr>
          <w:rFonts w:ascii="Arial" w:cs="Arial" w:eastAsia="Arial" w:hAnsi="Arial"/>
          <w:sz w:val="17"/>
          <w:szCs w:val="17"/>
          <w:color w:val="auto"/>
        </w:rPr>
        <w:t>The goodwill arising from the acquisition consists largely of synergies and economies of scale the Company hopes to achieve from combining the acquired assets with the Company's current operations.</w:t>
      </w:r>
    </w:p>
    <w:p>
      <w:pPr>
        <w:spacing w:after="0" w:line="108" w:lineRule="exact"/>
        <w:rPr>
          <w:sz w:val="20"/>
          <w:szCs w:val="20"/>
          <w:color w:val="auto"/>
        </w:rPr>
      </w:pPr>
    </w:p>
    <w:p>
      <w:pPr>
        <w:jc w:val="both"/>
        <w:ind w:right="140" w:firstLine="373"/>
        <w:spacing w:after="0" w:line="269" w:lineRule="auto"/>
        <w:rPr>
          <w:sz w:val="20"/>
          <w:szCs w:val="20"/>
          <w:color w:val="auto"/>
        </w:rPr>
      </w:pPr>
      <w:r>
        <w:rPr>
          <w:rFonts w:ascii="Arial" w:cs="Arial" w:eastAsia="Arial" w:hAnsi="Arial"/>
          <w:sz w:val="17"/>
          <w:szCs w:val="17"/>
          <w:color w:val="auto"/>
        </w:rPr>
        <w:t>During the fourth quarter of fiscal year 2021, the Company made the decision to abandon the OARtrac product technology and trademark. This resulted in an impairment charge of $14.0 million. The impairment charge is recorded in "Acquisition, restructuring and other items, net", on the Consolidated Statement of Operations (see Note 19). At May 31, 2021, the fair value of the contingent liability for RadiaDyne is zero (see Note 5).</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BioSentry Acquisition</w:t>
      </w:r>
    </w:p>
    <w:p>
      <w:pPr>
        <w:spacing w:after="0" w:line="168" w:lineRule="exact"/>
        <w:rPr>
          <w:sz w:val="20"/>
          <w:szCs w:val="20"/>
          <w:color w:val="auto"/>
        </w:rPr>
      </w:pPr>
    </w:p>
    <w:p>
      <w:pPr>
        <w:ind w:firstLine="373"/>
        <w:spacing w:after="0" w:line="269" w:lineRule="auto"/>
        <w:rPr>
          <w:sz w:val="20"/>
          <w:szCs w:val="20"/>
          <w:color w:val="auto"/>
        </w:rPr>
      </w:pPr>
      <w:r>
        <w:rPr>
          <w:rFonts w:ascii="Arial" w:cs="Arial" w:eastAsia="Arial" w:hAnsi="Arial"/>
          <w:sz w:val="17"/>
          <w:szCs w:val="17"/>
          <w:color w:val="auto"/>
        </w:rPr>
        <w:t>On August 14, 2018, the Company acquired the BioSentry product from Surgical Specialties, LLC (“SSC”), for an aggregate purchase price of $39.8 million of which $37.0 million was paid on August 14, 2018 and $2.8 million was recorded as contingent consideration. The contingent consideration liability was recorded at fair value and was paid in the fourth quarter of fiscal year 2019 upon fulfillment of hydrogel orders by SSC.</w:t>
      </w:r>
    </w:p>
    <w:p>
      <w:pPr>
        <w:spacing w:after="0" w:line="121" w:lineRule="exact"/>
        <w:rPr>
          <w:sz w:val="20"/>
          <w:szCs w:val="20"/>
          <w:color w:val="auto"/>
        </w:rPr>
      </w:pPr>
    </w:p>
    <w:p>
      <w:pPr>
        <w:ind w:right="320" w:firstLine="373"/>
        <w:spacing w:after="0" w:line="294" w:lineRule="auto"/>
        <w:rPr>
          <w:sz w:val="20"/>
          <w:szCs w:val="20"/>
          <w:color w:val="auto"/>
        </w:rPr>
      </w:pPr>
      <w:r>
        <w:rPr>
          <w:rFonts w:ascii="Arial" w:cs="Arial" w:eastAsia="Arial" w:hAnsi="Arial"/>
          <w:sz w:val="16"/>
          <w:szCs w:val="16"/>
          <w:color w:val="auto"/>
        </w:rPr>
        <w:t>The Company accounted for the BioSentry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102" w:lineRule="exact"/>
        <w:rPr>
          <w:sz w:val="20"/>
          <w:szCs w:val="20"/>
          <w:color w:val="auto"/>
        </w:rPr>
      </w:pPr>
    </w:p>
    <w:p>
      <w:pPr>
        <w:ind w:firstLine="373"/>
        <w:spacing w:after="0" w:line="264" w:lineRule="auto"/>
        <w:rPr>
          <w:sz w:val="20"/>
          <w:szCs w:val="20"/>
          <w:color w:val="auto"/>
        </w:rPr>
      </w:pPr>
      <w:r>
        <w:rPr>
          <w:rFonts w:ascii="Arial" w:cs="Arial" w:eastAsia="Arial" w:hAnsi="Arial"/>
          <w:sz w:val="17"/>
          <w:szCs w:val="17"/>
          <w:color w:val="auto"/>
        </w:rPr>
        <w:t>The Company has not disclosed the amount of revenue and earnings for sales of BioSentry products since acquisition, nor proforma information, because these amounts are not significant to the Company's financial statements. Acquisition-related costs associated with the BioSentry acquisition, which are included in acquisition, restructuring and other expenses, net in the accompanying Consolidated Statements of Operations, were approximately $1.0 million in fiscal year 2019. The following table summarizes the final purchase price allocated to the net assets acquired: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Final allocation</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94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0"/>
        </w:trPr>
        <w:tc>
          <w:tcPr>
            <w:tcW w:w="9480" w:type="dxa"/>
            <w:vAlign w:val="bottom"/>
          </w:tcPr>
          <w:p>
            <w:pPr>
              <w:ind w:left="200"/>
              <w:spacing w:after="0"/>
              <w:rPr>
                <w:sz w:val="20"/>
                <w:szCs w:val="20"/>
                <w:color w:val="auto"/>
              </w:rPr>
            </w:pPr>
            <w:r>
              <w:rPr>
                <w:rFonts w:ascii="Arial" w:cs="Arial" w:eastAsia="Arial" w:hAnsi="Arial"/>
                <w:sz w:val="17"/>
                <w:szCs w:val="17"/>
                <w:color w:val="auto"/>
              </w:rPr>
              <w:t>BioSentry trademark</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2,500</w:t>
            </w:r>
          </w:p>
        </w:tc>
      </w:tr>
      <w:tr>
        <w:trPr>
          <w:trHeight w:val="220"/>
        </w:trPr>
        <w:tc>
          <w:tcPr>
            <w:tcW w:w="9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BioSentry product technology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20,900</w:t>
            </w:r>
          </w:p>
        </w:tc>
      </w:tr>
      <w:tr>
        <w:trPr>
          <w:trHeight w:val="220"/>
        </w:trPr>
        <w:tc>
          <w:tcPr>
            <w:tcW w:w="9480" w:type="dxa"/>
            <w:vAlign w:val="bottom"/>
          </w:tcPr>
          <w:p>
            <w:pPr>
              <w:ind w:left="200"/>
              <w:spacing w:after="0"/>
              <w:rPr>
                <w:sz w:val="20"/>
                <w:szCs w:val="20"/>
                <w:color w:val="auto"/>
              </w:rPr>
            </w:pPr>
            <w:r>
              <w:rPr>
                <w:rFonts w:ascii="Arial" w:cs="Arial" w:eastAsia="Arial" w:hAnsi="Arial"/>
                <w:sz w:val="17"/>
                <w:szCs w:val="17"/>
                <w:color w:val="auto"/>
              </w:rPr>
              <w:t>Customer relationships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2,600</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13,740</w:t>
            </w:r>
          </w:p>
        </w:tc>
      </w:tr>
      <w:tr>
        <w:trPr>
          <w:trHeight w:val="213"/>
        </w:trPr>
        <w:tc>
          <w:tcPr>
            <w:tcW w:w="9480" w:type="dxa"/>
            <w:vAlign w:val="bottom"/>
          </w:tcPr>
          <w:p>
            <w:pPr>
              <w:ind w:left="20"/>
              <w:spacing w:after="0"/>
              <w:rPr>
                <w:sz w:val="20"/>
                <w:szCs w:val="20"/>
                <w:color w:val="auto"/>
              </w:rPr>
            </w:pPr>
            <w:r>
              <w:rPr>
                <w:rFonts w:ascii="Arial" w:cs="Arial" w:eastAsia="Arial" w:hAnsi="Arial"/>
                <w:sz w:val="17"/>
                <w:szCs w:val="17"/>
                <w:color w:val="auto"/>
              </w:rPr>
              <w:t>Net assets acquired</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39,800</w:t>
            </w:r>
          </w:p>
        </w:tc>
      </w:tr>
      <w:tr>
        <w:trPr>
          <w:trHeight w:val="20"/>
        </w:trPr>
        <w:tc>
          <w:tcPr>
            <w:tcW w:w="9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finalized the allocation of the purchase price to the assets acquired and liabilities assumed in the fourth quarter of fiscal year 2019.</w:t>
      </w:r>
    </w:p>
    <w:p>
      <w:pPr>
        <w:spacing w:after="0" w:line="179" w:lineRule="exact"/>
        <w:rPr>
          <w:sz w:val="20"/>
          <w:szCs w:val="20"/>
          <w:color w:val="auto"/>
        </w:rPr>
      </w:pPr>
    </w:p>
    <w:p>
      <w:pPr>
        <w:jc w:val="both"/>
        <w:ind w:right="100" w:firstLine="373"/>
        <w:spacing w:after="0" w:line="262" w:lineRule="auto"/>
        <w:rPr>
          <w:sz w:val="20"/>
          <w:szCs w:val="20"/>
          <w:color w:val="auto"/>
        </w:rPr>
      </w:pPr>
      <w:r>
        <w:rPr>
          <w:rFonts w:ascii="Arial" w:cs="Arial" w:eastAsia="Arial" w:hAnsi="Arial"/>
          <w:sz w:val="17"/>
          <w:szCs w:val="17"/>
          <w:color w:val="auto"/>
        </w:rPr>
        <w:t>The values assigned to the BioSentry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 and product technologies are deemed to have a fifteen year useful life and are amortized on a straight-line basis over their useful life.</w:t>
      </w:r>
    </w:p>
    <w:p>
      <w:pPr>
        <w:spacing w:after="0" w:line="126" w:lineRule="exact"/>
        <w:rPr>
          <w:sz w:val="20"/>
          <w:szCs w:val="20"/>
          <w:color w:val="auto"/>
        </w:rPr>
      </w:pPr>
    </w:p>
    <w:p>
      <w:pPr>
        <w:jc w:val="both"/>
        <w:ind w:right="580" w:firstLine="373"/>
        <w:spacing w:after="0" w:line="269" w:lineRule="auto"/>
        <w:rPr>
          <w:sz w:val="20"/>
          <w:szCs w:val="20"/>
          <w:color w:val="auto"/>
        </w:rPr>
      </w:pPr>
      <w:r>
        <w:rPr>
          <w:rFonts w:ascii="Arial" w:cs="Arial" w:eastAsia="Arial" w:hAnsi="Arial"/>
          <w:sz w:val="17"/>
          <w:szCs w:val="17"/>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ten years.</w:t>
      </w:r>
    </w:p>
    <w:p>
      <w:pPr>
        <w:spacing w:after="0" w:line="121" w:lineRule="exact"/>
        <w:rPr>
          <w:sz w:val="20"/>
          <w:szCs w:val="20"/>
          <w:color w:val="auto"/>
        </w:rPr>
      </w:pPr>
    </w:p>
    <w:p>
      <w:pPr>
        <w:ind w:right="120" w:firstLine="373"/>
        <w:spacing w:after="0" w:line="284" w:lineRule="auto"/>
        <w:rPr>
          <w:sz w:val="20"/>
          <w:szCs w:val="20"/>
          <w:color w:val="auto"/>
        </w:rPr>
      </w:pPr>
      <w:r>
        <w:rPr>
          <w:rFonts w:ascii="Arial" w:cs="Arial" w:eastAsia="Arial" w:hAnsi="Arial"/>
          <w:sz w:val="17"/>
          <w:szCs w:val="17"/>
          <w:color w:val="auto"/>
        </w:rPr>
        <w:t>The goodwill arising from the acquisition consists largely of synergies and economies of scale the Company hopes to achieve from combining the acquired assets with the Company's current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3. DIVESTITURES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Fluid Management</w:t>
      </w:r>
    </w:p>
    <w:p>
      <w:pPr>
        <w:spacing w:after="0" w:line="168" w:lineRule="exact"/>
        <w:rPr>
          <w:sz w:val="20"/>
          <w:szCs w:val="20"/>
          <w:color w:val="auto"/>
        </w:rPr>
      </w:pPr>
    </w:p>
    <w:p>
      <w:pPr>
        <w:ind w:right="20" w:firstLine="373"/>
        <w:spacing w:after="0" w:line="260" w:lineRule="auto"/>
        <w:rPr>
          <w:sz w:val="20"/>
          <w:szCs w:val="20"/>
          <w:color w:val="auto"/>
        </w:rPr>
      </w:pPr>
      <w:r>
        <w:rPr>
          <w:rFonts w:ascii="Arial" w:cs="Arial" w:eastAsia="Arial" w:hAnsi="Arial"/>
          <w:sz w:val="17"/>
          <w:szCs w:val="17"/>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 by the Company for the Divestiture in the fourth quarter of fiscal year 2019 was $169.2 million in cash and resulted in a gain of $46.6 million after working capital adjustments of $0.6 million. The gain is recorded in discontinued operations. On June 3, 2019, a portion of the net proceeds were used to retire the outstanding balance on the Term Loan and Revolving Facility and the remaining net proceeds will continue to be invested in the business.</w:t>
      </w:r>
    </w:p>
    <w:p>
      <w:pPr>
        <w:spacing w:after="0" w:line="130" w:lineRule="exact"/>
        <w:rPr>
          <w:sz w:val="20"/>
          <w:szCs w:val="20"/>
          <w:color w:val="auto"/>
        </w:rPr>
      </w:pPr>
    </w:p>
    <w:p>
      <w:pPr>
        <w:ind w:right="260" w:firstLine="373"/>
        <w:spacing w:after="0" w:line="269" w:lineRule="auto"/>
        <w:rPr>
          <w:sz w:val="20"/>
          <w:szCs w:val="20"/>
          <w:color w:val="auto"/>
        </w:rPr>
      </w:pPr>
      <w:r>
        <w:rPr>
          <w:rFonts w:ascii="Arial" w:cs="Arial" w:eastAsia="Arial" w:hAnsi="Arial"/>
          <w:sz w:val="17"/>
          <w:szCs w:val="17"/>
          <w:color w:val="auto"/>
        </w:rPr>
        <w:t>Pursuant to a transition services agreement entered into and effective on the closing of the transaction, the Company supplied certain services to Medline. Medline received certain legal, human resource, tax, accounting and information technology services from the Company which ended in the fourth quarter of fiscal year 2021.</w:t>
      </w:r>
    </w:p>
    <w:p>
      <w:pPr>
        <w:spacing w:after="0" w:line="121" w:lineRule="exact"/>
        <w:rPr>
          <w:sz w:val="20"/>
          <w:szCs w:val="20"/>
          <w:color w:val="auto"/>
        </w:rPr>
      </w:pPr>
    </w:p>
    <w:p>
      <w:pPr>
        <w:ind w:right="280" w:firstLine="373"/>
        <w:spacing w:after="0" w:line="284" w:lineRule="auto"/>
        <w:rPr>
          <w:sz w:val="20"/>
          <w:szCs w:val="20"/>
          <w:color w:val="auto"/>
        </w:rPr>
      </w:pPr>
      <w:r>
        <w:rPr>
          <w:rFonts w:ascii="Arial" w:cs="Arial" w:eastAsia="Arial" w:hAnsi="Arial"/>
          <w:sz w:val="17"/>
          <w:szCs w:val="17"/>
          <w:color w:val="auto"/>
        </w:rPr>
        <w:t>As a result of the Divestiture, the results of operations from the Fluid Management business are reported in the accompanying consolidated statements of operations as “Income from discontinued operations, net of income tax” for the year ended May 31, 2019.</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financial results of discontinued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May 31, 2019</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88,850</w:t>
            </w:r>
          </w:p>
        </w:tc>
      </w:tr>
      <w:tr>
        <w:trPr>
          <w:trHeight w:val="220"/>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sales (exclusive of amortization)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52,978</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35,872</w:t>
            </w:r>
          </w:p>
        </w:tc>
      </w:tr>
      <w:tr>
        <w:trPr>
          <w:trHeight w:val="246"/>
        </w:trPr>
        <w:tc>
          <w:tcPr>
            <w:tcW w:w="9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9820" w:type="dxa"/>
            <w:vAlign w:val="bottom"/>
          </w:tcPr>
          <w:p>
            <w:pPr>
              <w:ind w:left="44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1,177</w:t>
            </w:r>
          </w:p>
        </w:tc>
      </w:tr>
      <w:tr>
        <w:trPr>
          <w:trHeight w:val="220"/>
        </w:trPr>
        <w:tc>
          <w:tcPr>
            <w:tcW w:w="9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4,129</w:t>
            </w:r>
          </w:p>
        </w:tc>
      </w:tr>
      <w:tr>
        <w:trPr>
          <w:trHeight w:val="220"/>
        </w:trPr>
        <w:tc>
          <w:tcPr>
            <w:tcW w:w="9820" w:type="dxa"/>
            <w:vAlign w:val="bottom"/>
          </w:tcPr>
          <w:p>
            <w:pPr>
              <w:ind w:left="44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20"/>
        </w:trPr>
        <w:tc>
          <w:tcPr>
            <w:tcW w:w="9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Amortization of intangibles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2,716</w:t>
            </w:r>
          </w:p>
        </w:tc>
      </w:tr>
      <w:tr>
        <w:trPr>
          <w:trHeight w:val="213"/>
        </w:trPr>
        <w:tc>
          <w:tcPr>
            <w:tcW w:w="982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8,293</w:t>
            </w: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27,579</w:t>
            </w:r>
          </w:p>
        </w:tc>
      </w:tr>
      <w:tr>
        <w:trPr>
          <w:trHeight w:val="246"/>
        </w:trPr>
        <w:tc>
          <w:tcPr>
            <w:tcW w:w="9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0"/>
        </w:trPr>
        <w:tc>
          <w:tcPr>
            <w:tcW w:w="9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Gain on divestiture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46,592</w:t>
            </w:r>
          </w:p>
        </w:tc>
      </w:tr>
      <w:tr>
        <w:trPr>
          <w:trHeight w:val="226"/>
        </w:trPr>
        <w:tc>
          <w:tcPr>
            <w:tcW w:w="9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discontinued operations before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74,171</w:t>
            </w:r>
          </w:p>
        </w:tc>
      </w:tr>
      <w:tr>
        <w:trPr>
          <w:trHeight w:val="220"/>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(1,685)</w:t>
            </w:r>
          </w:p>
        </w:tc>
      </w:tr>
      <w:tr>
        <w:trPr>
          <w:trHeight w:val="23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discontinued operations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72,486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200" w:firstLine="373"/>
        <w:spacing w:after="0" w:line="269" w:lineRule="auto"/>
        <w:rPr>
          <w:sz w:val="20"/>
          <w:szCs w:val="20"/>
          <w:color w:val="auto"/>
        </w:rPr>
      </w:pPr>
      <w:r>
        <w:rPr>
          <w:rFonts w:ascii="Arial" w:cs="Arial" w:eastAsia="Arial" w:hAnsi="Arial"/>
          <w:sz w:val="17"/>
          <w:szCs w:val="17"/>
          <w:color w:val="auto"/>
        </w:rPr>
        <w:t>In accordance with GAAP, only expenses specifically identifiable and related to a business to be disposed may be allocated to discontinued operations. As such, the selling and marketing, research and development and general and administrative expenses recorded in discontinued operations include corporate costs incurred directly in support of the Fluid Management portfolio.</w:t>
      </w:r>
    </w:p>
    <w:p>
      <w:pPr>
        <w:spacing w:after="0" w:line="121" w:lineRule="exact"/>
        <w:rPr>
          <w:sz w:val="20"/>
          <w:szCs w:val="20"/>
          <w:color w:val="auto"/>
        </w:rPr>
      </w:pPr>
    </w:p>
    <w:p>
      <w:pPr>
        <w:ind w:right="40" w:firstLine="373"/>
        <w:spacing w:after="0" w:line="262" w:lineRule="auto"/>
        <w:rPr>
          <w:sz w:val="20"/>
          <w:szCs w:val="20"/>
          <w:color w:val="auto"/>
        </w:rPr>
      </w:pPr>
      <w:r>
        <w:rPr>
          <w:rFonts w:ascii="Arial" w:cs="Arial" w:eastAsia="Arial" w:hAnsi="Arial"/>
          <w:sz w:val="17"/>
          <w:szCs w:val="17"/>
          <w:color w:val="auto"/>
        </w:rPr>
        <w:t>The Company applied the “Intraperiod Tax Allocation” rules under ASC 740, which requires the allocation of an entity’s total annual income tax provision among continuing operations and, in the Company’s case, discontinued operations. Included in the $1.6 million income tax expense for fiscal year 2019 is $0.6 million tax expense related to the gain on the Divestiture. The taxes on the gain were calculated using various state statutory tax rates and are partially offset by the utilization of historical state net operating losses. There are no current federal taxes on the gain due to utilization of historical net operating losses which had a corresponding valuation allowance.</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provides a reconciliation of the gain recorded on the sale of the Fluid Management business: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1"/>
        </w:trPr>
        <w:tc>
          <w:tcPr>
            <w:tcW w:w="9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received from Divestiture</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169,242</w:t>
            </w:r>
          </w:p>
        </w:tc>
      </w:tr>
      <w:tr>
        <w:trPr>
          <w:trHeight w:val="220"/>
        </w:trPr>
        <w:tc>
          <w:tcPr>
            <w:tcW w:w="9820" w:type="dxa"/>
            <w:vAlign w:val="bottom"/>
          </w:tcPr>
          <w:p>
            <w:pPr>
              <w:ind w:left="20"/>
              <w:spacing w:after="0"/>
              <w:rPr>
                <w:sz w:val="20"/>
                <w:szCs w:val="20"/>
                <w:color w:val="auto"/>
              </w:rPr>
            </w:pPr>
            <w:r>
              <w:rPr>
                <w:rFonts w:ascii="Arial" w:cs="Arial" w:eastAsia="Arial" w:hAnsi="Arial"/>
                <w:sz w:val="17"/>
                <w:szCs w:val="17"/>
                <w:color w:val="auto"/>
              </w:rPr>
              <w:t>Working capital adjustment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(612)</w:t>
            </w:r>
          </w:p>
        </w:tc>
      </w:tr>
      <w:tr>
        <w:trPr>
          <w:trHeight w:val="246"/>
        </w:trPr>
        <w:tc>
          <w:tcPr>
            <w:tcW w:w="9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0"/>
        </w:trPr>
        <w:tc>
          <w:tcPr>
            <w:tcW w:w="9820" w:type="dxa"/>
            <w:vAlign w:val="bottom"/>
          </w:tcPr>
          <w:p>
            <w:pPr>
              <w:ind w:left="20"/>
              <w:spacing w:after="0"/>
              <w:rPr>
                <w:sz w:val="20"/>
                <w:szCs w:val="20"/>
                <w:color w:val="auto"/>
              </w:rPr>
            </w:pPr>
            <w:r>
              <w:rPr>
                <w:rFonts w:ascii="Arial" w:cs="Arial" w:eastAsia="Arial" w:hAnsi="Arial"/>
                <w:sz w:val="17"/>
                <w:szCs w:val="17"/>
                <w:color w:val="auto"/>
              </w:rPr>
              <w:t>Fluid Management assets:</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9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Inventories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11,029</w:t>
            </w:r>
          </w:p>
        </w:tc>
      </w:tr>
      <w:tr>
        <w:trPr>
          <w:trHeight w:val="220"/>
        </w:trPr>
        <w:tc>
          <w:tcPr>
            <w:tcW w:w="9820" w:type="dxa"/>
            <w:vAlign w:val="bottom"/>
          </w:tcPr>
          <w:p>
            <w:pPr>
              <w:ind w:left="440"/>
              <w:spacing w:after="0"/>
              <w:rPr>
                <w:sz w:val="20"/>
                <w:szCs w:val="20"/>
                <w:color w:val="auto"/>
              </w:rPr>
            </w:pPr>
            <w:r>
              <w:rPr>
                <w:rFonts w:ascii="Arial" w:cs="Arial" w:eastAsia="Arial" w:hAnsi="Arial"/>
                <w:sz w:val="17"/>
                <w:szCs w:val="17"/>
                <w:color w:val="auto"/>
              </w:rPr>
              <w:t>Property, plant and equipment, net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16,624</w:t>
            </w:r>
          </w:p>
        </w:tc>
      </w:tr>
      <w:tr>
        <w:trPr>
          <w:trHeight w:val="220"/>
        </w:trPr>
        <w:tc>
          <w:tcPr>
            <w:tcW w:w="9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Intangible assets, net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15,047</w:t>
            </w:r>
          </w:p>
        </w:tc>
      </w:tr>
      <w:tr>
        <w:trPr>
          <w:trHeight w:val="220"/>
        </w:trPr>
        <w:tc>
          <w:tcPr>
            <w:tcW w:w="98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Goodwill</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75,308</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Fluid Management assets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118,008</w:t>
            </w:r>
          </w:p>
        </w:tc>
      </w:tr>
      <w:tr>
        <w:trPr>
          <w:trHeight w:val="246"/>
        </w:trPr>
        <w:tc>
          <w:tcPr>
            <w:tcW w:w="9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0"/>
        </w:trPr>
        <w:tc>
          <w:tcPr>
            <w:tcW w:w="982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Transaction costs for Divestiture </w:t>
            </w:r>
            <w:r>
              <w:rPr>
                <w:rFonts w:ascii="Arial" w:cs="Arial" w:eastAsia="Arial" w:hAnsi="Arial"/>
                <w:sz w:val="22"/>
                <w:szCs w:val="22"/>
                <w:color w:val="auto"/>
                <w:vertAlign w:val="superscript"/>
              </w:rPr>
              <w:t>(1)</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w:t>
            </w:r>
          </w:p>
        </w:tc>
      </w:tr>
      <w:tr>
        <w:trPr>
          <w:trHeight w:val="246"/>
        </w:trPr>
        <w:tc>
          <w:tcPr>
            <w:tcW w:w="98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3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 sale of the Fluid Management business before income taxes</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46,592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(1) Costs include advisory fees, legal fees and professional fees</w:t>
      </w:r>
    </w:p>
    <w:p>
      <w:pPr>
        <w:spacing w:after="0" w:line="151" w:lineRule="exact"/>
        <w:rPr>
          <w:sz w:val="20"/>
          <w:szCs w:val="20"/>
          <w:color w:val="auto"/>
        </w:rPr>
      </w:pPr>
    </w:p>
    <w:p>
      <w:pPr>
        <w:jc w:val="both"/>
        <w:ind w:firstLine="373"/>
        <w:spacing w:after="0" w:line="269" w:lineRule="auto"/>
        <w:rPr>
          <w:sz w:val="20"/>
          <w:szCs w:val="20"/>
          <w:color w:val="auto"/>
        </w:rPr>
      </w:pPr>
      <w:r>
        <w:rPr>
          <w:rFonts w:ascii="Arial" w:cs="Arial" w:eastAsia="Arial" w:hAnsi="Arial"/>
          <w:sz w:val="17"/>
          <w:szCs w:val="17"/>
          <w:color w:val="auto"/>
        </w:rPr>
        <w:t>Proceeds from the sale of Fluid Management have been presented in the Consolidated Statements of Cash Flows under investing activities for the fiscal year ended May 31, 2019. Total operating and investing cash flows of discontinued operations for the fiscal year ended May 31, 2019 is comprised of the following, which exclude the effect of income taxes: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2019</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r>
      <w:tr>
        <w:trPr>
          <w:trHeight w:val="221"/>
        </w:trPr>
        <w:tc>
          <w:tcPr>
            <w:tcW w:w="9820" w:type="dxa"/>
            <w:vAlign w:val="bottom"/>
          </w:tcPr>
          <w:p>
            <w:pPr>
              <w:ind w:left="20"/>
              <w:spacing w:after="0"/>
              <w:rPr>
                <w:sz w:val="20"/>
                <w:szCs w:val="20"/>
                <w:color w:val="auto"/>
              </w:rPr>
            </w:pPr>
            <w:r>
              <w:rPr>
                <w:rFonts w:ascii="Arial" w:cs="Arial" w:eastAsia="Arial" w:hAnsi="Arial"/>
                <w:sz w:val="17"/>
                <w:szCs w:val="17"/>
                <w:color w:val="auto"/>
              </w:rPr>
              <w:t>Net cash provided by 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982</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 FROM CONTRACTS WITH CUSTOMERS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8" w:lineRule="exact"/>
        <w:rPr>
          <w:sz w:val="20"/>
          <w:szCs w:val="20"/>
          <w:color w:val="auto"/>
        </w:rPr>
      </w:pPr>
    </w:p>
    <w:p>
      <w:pPr>
        <w:ind w:right="40" w:firstLine="373"/>
        <w:spacing w:after="0" w:line="262"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has one primary revenue stream which is the sales of its products.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 net product revenue by Global Business Unit and geography for the years ended May 31, 2021, 2020 and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jc w:val="center"/>
              <w:ind w:right="94"/>
              <w:spacing w:after="0"/>
              <w:rPr>
                <w:sz w:val="20"/>
                <w:szCs w:val="20"/>
                <w:color w:val="auto"/>
              </w:rPr>
            </w:pPr>
            <w:r>
              <w:rPr>
                <w:rFonts w:ascii="Arial" w:cs="Arial" w:eastAsia="Arial" w:hAnsi="Arial"/>
                <w:sz w:val="14"/>
                <w:szCs w:val="14"/>
                <w:color w:val="auto"/>
                <w:w w:val="88"/>
              </w:rPr>
              <w:t>Year ended May 31, 2021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center"/>
              <w:ind w:right="94"/>
              <w:spacing w:after="0"/>
              <w:rPr>
                <w:sz w:val="20"/>
                <w:szCs w:val="20"/>
                <w:color w:val="auto"/>
              </w:rPr>
            </w:pPr>
            <w:r>
              <w:rPr>
                <w:rFonts w:ascii="Arial" w:cs="Arial" w:eastAsia="Arial" w:hAnsi="Arial"/>
                <w:sz w:val="14"/>
                <w:szCs w:val="14"/>
                <w:color w:val="auto"/>
                <w:w w:val="89"/>
              </w:rPr>
              <w:t>Year ended May 31, 2020</w:t>
            </w:r>
          </w:p>
        </w:tc>
        <w:tc>
          <w:tcPr>
            <w:tcW w:w="840" w:type="dxa"/>
            <w:vAlign w:val="bottom"/>
            <w:tcBorders>
              <w:bottom w:val="single" w:sz="8" w:color="auto"/>
            </w:tcBorders>
          </w:tcPr>
          <w:p>
            <w:pPr>
              <w:spacing w:after="0"/>
              <w:rPr>
                <w:sz w:val="15"/>
                <w:szCs w:val="15"/>
                <w:color w:val="auto"/>
              </w:rPr>
            </w:pPr>
          </w:p>
        </w:tc>
      </w:tr>
      <w:tr>
        <w:trPr>
          <w:trHeight w:val="178"/>
        </w:trPr>
        <w:tc>
          <w:tcPr>
            <w:tcW w:w="4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4"/>
                <w:szCs w:val="14"/>
                <w:color w:val="auto"/>
                <w:w w:val="87"/>
              </w:rPr>
              <w:t>United States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International</w:t>
            </w:r>
          </w:p>
        </w:tc>
        <w:tc>
          <w:tcPr>
            <w:tcW w:w="26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color w:val="auto"/>
                <w:w w:val="90"/>
              </w:rPr>
              <w:t>United States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International</w:t>
            </w:r>
          </w:p>
        </w:tc>
        <w:tc>
          <w:tcPr>
            <w:tcW w:w="26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color w:val="auto"/>
              </w:rPr>
              <w:t>Total</w:t>
            </w:r>
          </w:p>
        </w:tc>
      </w:tr>
      <w:tr>
        <w:trPr>
          <w:trHeight w:val="20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0"/>
        </w:trPr>
        <w:tc>
          <w:tcPr>
            <w:tcW w:w="4200" w:type="dxa"/>
            <w:vAlign w:val="bottom"/>
          </w:tcPr>
          <w:p>
            <w:pPr>
              <w:ind w:left="340"/>
              <w:spacing w:after="0"/>
              <w:rPr>
                <w:sz w:val="20"/>
                <w:szCs w:val="20"/>
                <w:color w:val="auto"/>
              </w:rPr>
            </w:pPr>
            <w:r>
              <w:rPr>
                <w:rFonts w:ascii="Arial" w:cs="Arial" w:eastAsia="Arial" w:hAnsi="Arial"/>
                <w:sz w:val="17"/>
                <w:szCs w:val="17"/>
                <w:color w:val="auto"/>
              </w:rPr>
              <w:t>Endovascular Therapies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121,427</w:t>
            </w: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13,652</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135,079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98,965</w:t>
            </w:r>
          </w:p>
        </w:tc>
        <w:tc>
          <w:tcPr>
            <w:tcW w:w="3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13,741</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112,706</w:t>
            </w:r>
          </w:p>
        </w:tc>
      </w:tr>
      <w:tr>
        <w:trPr>
          <w:trHeight w:val="220"/>
        </w:trPr>
        <w:tc>
          <w:tcPr>
            <w:tcW w:w="4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Vascular Access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76,768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94,299</w:t>
            </w:r>
          </w:p>
        </w:tc>
      </w:tr>
      <w:tr>
        <w:trPr>
          <w:trHeight w:val="220"/>
        </w:trPr>
        <w:tc>
          <w:tcPr>
            <w:tcW w:w="42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Oncology</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34,528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32,247</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24,905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57,152</w:t>
            </w:r>
          </w:p>
        </w:tc>
      </w:tr>
      <w:tr>
        <w:trPr>
          <w:trHeight w:val="233"/>
        </w:trPr>
        <w:tc>
          <w:tcPr>
            <w:tcW w:w="42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237,043</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53,967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291,010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207,980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56,177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264,157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0"/>
        </w:trPr>
        <w:tc>
          <w:tcPr>
            <w:tcW w:w="7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center"/>
              <w:ind w:right="94"/>
              <w:spacing w:after="0"/>
              <w:rPr>
                <w:sz w:val="20"/>
                <w:szCs w:val="20"/>
                <w:color w:val="auto"/>
              </w:rPr>
            </w:pPr>
            <w:r>
              <w:rPr>
                <w:rFonts w:ascii="Arial" w:cs="Arial" w:eastAsia="Arial" w:hAnsi="Arial"/>
                <w:sz w:val="14"/>
                <w:szCs w:val="14"/>
                <w:color w:val="auto"/>
                <w:w w:val="89"/>
              </w:rPr>
              <w:t>Year ended May 31, 2019</w:t>
            </w:r>
          </w:p>
        </w:tc>
        <w:tc>
          <w:tcPr>
            <w:tcW w:w="840" w:type="dxa"/>
            <w:vAlign w:val="bottom"/>
            <w:tcBorders>
              <w:bottom w:val="single" w:sz="8" w:color="auto"/>
            </w:tcBorders>
          </w:tcPr>
          <w:p>
            <w:pPr>
              <w:spacing w:after="0"/>
              <w:rPr>
                <w:sz w:val="15"/>
                <w:szCs w:val="15"/>
                <w:color w:val="auto"/>
              </w:rPr>
            </w:pPr>
          </w:p>
        </w:tc>
      </w:tr>
      <w:tr>
        <w:trPr>
          <w:trHeight w:val="178"/>
        </w:trPr>
        <w:tc>
          <w:tcPr>
            <w:tcW w:w="77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color w:val="auto"/>
                <w:w w:val="90"/>
              </w:rPr>
              <w:t>United States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International</w:t>
            </w:r>
          </w:p>
        </w:tc>
        <w:tc>
          <w:tcPr>
            <w:tcW w:w="26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color w:val="auto"/>
              </w:rPr>
              <w:t>Total</w:t>
            </w:r>
          </w:p>
        </w:tc>
      </w:tr>
      <w:tr>
        <w:trPr>
          <w:trHeight w:val="204"/>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Endovascular Therapies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106,767</w:t>
            </w:r>
          </w:p>
        </w:tc>
        <w:tc>
          <w:tcPr>
            <w:tcW w:w="3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13,134</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119,901</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Vascular Access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79,611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94,730</w:t>
            </w:r>
          </w:p>
        </w:tc>
      </w:tr>
      <w:tr>
        <w:trPr>
          <w:trHeight w:val="220"/>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Oncology</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30,579</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56,003</w:t>
            </w:r>
          </w:p>
        </w:tc>
      </w:tr>
      <w:tr>
        <w:trPr>
          <w:trHeight w:val="233"/>
        </w:trPr>
        <w:tc>
          <w:tcPr>
            <w:tcW w:w="7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216,957</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270,634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Product Revenue</w:t>
      </w:r>
    </w:p>
    <w:p>
      <w:pPr>
        <w:spacing w:after="0" w:line="168" w:lineRule="exact"/>
        <w:rPr>
          <w:sz w:val="20"/>
          <w:szCs w:val="20"/>
          <w:color w:val="auto"/>
        </w:rPr>
      </w:pPr>
    </w:p>
    <w:p>
      <w:pPr>
        <w:ind w:right="100" w:firstLine="373"/>
        <w:spacing w:after="0" w:line="262"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Contracts and Performance Obligations</w:t>
      </w:r>
    </w:p>
    <w:p>
      <w:pPr>
        <w:spacing w:after="0" w:line="168" w:lineRule="exact"/>
        <w:rPr>
          <w:sz w:val="20"/>
          <w:szCs w:val="20"/>
          <w:color w:val="auto"/>
        </w:rPr>
      </w:pPr>
    </w:p>
    <w:p>
      <w:pPr>
        <w:ind w:right="40" w:firstLine="373"/>
        <w:spacing w:after="0" w:line="286"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Price and Allocation to Performance Obligations</w:t>
      </w:r>
    </w:p>
    <w:p>
      <w:pPr>
        <w:spacing w:after="0" w:line="168" w:lineRule="exact"/>
        <w:rPr>
          <w:sz w:val="20"/>
          <w:szCs w:val="20"/>
          <w:color w:val="auto"/>
        </w:rPr>
      </w:pPr>
    </w:p>
    <w:p>
      <w:pPr>
        <w:ind w:right="120" w:firstLine="389"/>
        <w:spacing w:after="0" w:line="284" w:lineRule="auto"/>
        <w:rPr>
          <w:sz w:val="20"/>
          <w:szCs w:val="20"/>
          <w:color w:val="auto"/>
        </w:rPr>
      </w:pPr>
      <w:r>
        <w:rPr>
          <w:rFonts w:ascii="Arial" w:cs="Arial" w:eastAsia="Arial" w:hAnsi="Arial"/>
          <w:sz w:val="17"/>
          <w:szCs w:val="17"/>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08" w:lineRule="exact"/>
        <w:rPr>
          <w:sz w:val="20"/>
          <w:szCs w:val="20"/>
          <w:color w:val="auto"/>
        </w:rPr>
      </w:pPr>
    </w:p>
    <w:p>
      <w:pPr>
        <w:ind w:right="100" w:firstLine="373"/>
        <w:spacing w:after="0" w:line="264" w:lineRule="auto"/>
        <w:rPr>
          <w:sz w:val="20"/>
          <w:szCs w:val="20"/>
          <w:color w:val="auto"/>
        </w:rPr>
      </w:pPr>
      <w:r>
        <w:rPr>
          <w:rFonts w:ascii="Arial" w:cs="Arial" w:eastAsia="Arial" w:hAnsi="Arial"/>
          <w:sz w:val="17"/>
          <w:szCs w:val="17"/>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68" w:lineRule="exact"/>
        <w:rPr>
          <w:sz w:val="20"/>
          <w:szCs w:val="20"/>
          <w:color w:val="auto"/>
        </w:rPr>
      </w:pPr>
    </w:p>
    <w:p>
      <w:pPr>
        <w:ind w:right="420" w:firstLine="373"/>
        <w:spacing w:after="0" w:line="269" w:lineRule="auto"/>
        <w:rPr>
          <w:sz w:val="20"/>
          <w:szCs w:val="20"/>
          <w:color w:val="auto"/>
        </w:rPr>
      </w:pPr>
      <w:r>
        <w:rPr>
          <w:rFonts w:ascii="Arial" w:cs="Arial" w:eastAsia="Arial" w:hAnsi="Arial"/>
          <w:sz w:val="17"/>
          <w:szCs w:val="17"/>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21" w:lineRule="exact"/>
        <w:rPr>
          <w:sz w:val="20"/>
          <w:szCs w:val="20"/>
          <w:color w:val="auto"/>
        </w:rPr>
      </w:pPr>
    </w:p>
    <w:p>
      <w:pPr>
        <w:ind w:right="760" w:firstLine="373"/>
        <w:spacing w:after="0" w:line="284" w:lineRule="auto"/>
        <w:rPr>
          <w:sz w:val="20"/>
          <w:szCs w:val="20"/>
          <w:color w:val="auto"/>
        </w:rPr>
      </w:pPr>
      <w:r>
        <w:rPr>
          <w:rFonts w:ascii="Arial" w:cs="Arial" w:eastAsia="Arial" w:hAnsi="Arial"/>
          <w:sz w:val="17"/>
          <w:szCs w:val="17"/>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right="100" w:firstLine="373"/>
        <w:spacing w:after="0" w:line="284" w:lineRule="auto"/>
        <w:rPr>
          <w:sz w:val="20"/>
          <w:szCs w:val="20"/>
          <w:color w:val="auto"/>
        </w:rPr>
      </w:pPr>
      <w:r>
        <w:rPr>
          <w:rFonts w:ascii="Arial" w:cs="Arial" w:eastAsia="Arial" w:hAnsi="Arial"/>
          <w:sz w:val="17"/>
          <w:szCs w:val="17"/>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95" w:lineRule="exact"/>
        <w:rPr>
          <w:sz w:val="20"/>
          <w:szCs w:val="20"/>
          <w:color w:val="auto"/>
        </w:rPr>
      </w:pPr>
    </w:p>
    <w:p>
      <w:pPr>
        <w:ind w:right="80" w:firstLine="373"/>
        <w:spacing w:after="0" w:line="232" w:lineRule="auto"/>
        <w:rPr>
          <w:sz w:val="20"/>
          <w:szCs w:val="20"/>
          <w:color w:val="auto"/>
        </w:rPr>
      </w:pPr>
      <w:r>
        <w:rPr>
          <w:rFonts w:ascii="Arial" w:cs="Arial" w:eastAsia="Arial" w:hAnsi="Arial"/>
          <w:sz w:val="17"/>
          <w:szCs w:val="17"/>
          <w:color w:val="auto"/>
        </w:rPr>
        <w:t>The Company enters into agreements to place placement and evaluation units (“units”) at customer sites, but the Company retains title to the units. The duration of these agreements are typically a year and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Sales, value added, and other taxes collected on behalf of third parties are excluded from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i w:val="1"/>
          <w:iCs w:val="1"/>
          <w:color w:val="auto"/>
        </w:rPr>
        <w:t>Variable Consideration</w:t>
      </w:r>
    </w:p>
    <w:p>
      <w:pPr>
        <w:spacing w:after="0" w:line="168" w:lineRule="exact"/>
        <w:rPr>
          <w:sz w:val="20"/>
          <w:szCs w:val="20"/>
          <w:color w:val="auto"/>
        </w:rPr>
      </w:pPr>
    </w:p>
    <w:p>
      <w:pPr>
        <w:jc w:val="both"/>
        <w:ind w:right="240" w:firstLine="373"/>
        <w:spacing w:after="0" w:line="294" w:lineRule="auto"/>
        <w:rPr>
          <w:sz w:val="20"/>
          <w:szCs w:val="20"/>
          <w:color w:val="auto"/>
        </w:rPr>
      </w:pPr>
      <w:r>
        <w:rPr>
          <w:rFonts w:ascii="Arial" w:cs="Arial" w:eastAsia="Arial" w:hAnsi="Arial"/>
          <w:sz w:val="16"/>
          <w:szCs w:val="16"/>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02" w:lineRule="exact"/>
        <w:rPr>
          <w:sz w:val="20"/>
          <w:szCs w:val="20"/>
          <w:color w:val="auto"/>
        </w:rPr>
      </w:pPr>
    </w:p>
    <w:p>
      <w:pPr>
        <w:ind w:right="40" w:firstLine="373"/>
        <w:spacing w:after="0" w:line="310" w:lineRule="auto"/>
        <w:rPr>
          <w:sz w:val="20"/>
          <w:szCs w:val="20"/>
          <w:color w:val="auto"/>
        </w:rPr>
      </w:pPr>
      <w:r>
        <w:rPr>
          <w:rFonts w:ascii="Arial" w:cs="Arial" w:eastAsia="Arial" w:hAnsi="Arial"/>
          <w:sz w:val="15"/>
          <w:szCs w:val="15"/>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94" w:lineRule="exact"/>
        <w:rPr>
          <w:sz w:val="20"/>
          <w:szCs w:val="20"/>
          <w:color w:val="auto"/>
        </w:rPr>
      </w:pPr>
    </w:p>
    <w:p>
      <w:pPr>
        <w:ind w:right="20" w:firstLine="373"/>
        <w:spacing w:after="0" w:line="260"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2021, such product returns were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 with Customers</w:t>
      </w:r>
    </w:p>
    <w:p>
      <w:pPr>
        <w:spacing w:after="0" w:line="168" w:lineRule="exact"/>
        <w:rPr>
          <w:sz w:val="20"/>
          <w:szCs w:val="20"/>
          <w:color w:val="auto"/>
        </w:rPr>
      </w:pPr>
    </w:p>
    <w:p>
      <w:pPr>
        <w:ind w:firstLine="373"/>
        <w:spacing w:after="0" w:line="262" w:lineRule="auto"/>
        <w:rPr>
          <w:sz w:val="20"/>
          <w:szCs w:val="20"/>
          <w:color w:val="auto"/>
        </w:rPr>
      </w:pPr>
      <w:r>
        <w:rPr>
          <w:rFonts w:ascii="Arial" w:cs="Arial" w:eastAsia="Arial" w:hAnsi="Arial"/>
          <w:sz w:val="17"/>
          <w:szCs w:val="17"/>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changes in the Company’s receivables, contract assets and contract liabilities with customers: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May 31, 2021</w:t>
            </w:r>
          </w:p>
        </w:tc>
        <w:tc>
          <w:tcPr>
            <w:tcW w:w="220" w:type="dxa"/>
            <w:vAlign w:val="bottom"/>
          </w:tcPr>
          <w:p>
            <w:pPr>
              <w:spacing w:after="0"/>
              <w:rPr>
                <w:sz w:val="15"/>
                <w:szCs w:val="15"/>
                <w:color w:val="auto"/>
              </w:rPr>
            </w:pPr>
          </w:p>
        </w:tc>
        <w:tc>
          <w:tcPr>
            <w:tcW w:w="1200" w:type="dxa"/>
            <w:vAlign w:val="bottom"/>
          </w:tcPr>
          <w:p>
            <w:pPr>
              <w:jc w:val="right"/>
              <w:ind w:right="238"/>
              <w:spacing w:after="0"/>
              <w:rPr>
                <w:sz w:val="20"/>
                <w:szCs w:val="20"/>
                <w:color w:val="auto"/>
              </w:rPr>
            </w:pPr>
            <w:r>
              <w:rPr>
                <w:rFonts w:ascii="Arial" w:cs="Arial" w:eastAsia="Arial" w:hAnsi="Arial"/>
                <w:sz w:val="14"/>
                <w:szCs w:val="14"/>
                <w:color w:val="auto"/>
              </w:rPr>
              <w:t>May 31, 2020</w:t>
            </w:r>
          </w:p>
        </w:tc>
      </w:tr>
      <w:tr>
        <w:trPr>
          <w:trHeight w:val="21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Receivables</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31,263</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Contract assets</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r>
    </w:tbl>
    <w:p>
      <w:pPr>
        <w:spacing w:after="0" w:line="234" w:lineRule="exact"/>
        <w:rPr>
          <w:sz w:val="20"/>
          <w:szCs w:val="20"/>
          <w:color w:val="auto"/>
        </w:rPr>
      </w:pPr>
    </w:p>
    <w:p>
      <w:pPr>
        <w:ind w:right="240" w:firstLine="373"/>
        <w:spacing w:after="0" w:line="317" w:lineRule="auto"/>
        <w:rPr>
          <w:sz w:val="20"/>
          <w:szCs w:val="20"/>
          <w:color w:val="auto"/>
        </w:rPr>
      </w:pPr>
      <w:r>
        <w:rPr>
          <w:rFonts w:ascii="Arial" w:cs="Arial" w:eastAsia="Arial" w:hAnsi="Arial"/>
          <w:sz w:val="16"/>
          <w:szCs w:val="16"/>
          <w:color w:val="auto"/>
        </w:rPr>
        <w:t>During the years ended May 31, 2021 and 2020, the Company had additions to contract liabilities of $1.0 million and $2.1 million, respectively. This was offset by $1.2 million and $2.2 million in revenue that was recognized during the years ended May 31, 2021 and 2020,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to Obtain or Fulfill a Customer Contract</w:t>
      </w:r>
    </w:p>
    <w:p>
      <w:pPr>
        <w:spacing w:after="0" w:line="168" w:lineRule="exact"/>
        <w:rPr>
          <w:sz w:val="20"/>
          <w:szCs w:val="20"/>
          <w:color w:val="auto"/>
        </w:rPr>
      </w:pPr>
    </w:p>
    <w:p>
      <w:pPr>
        <w:ind w:firstLine="373"/>
        <w:spacing w:after="0" w:line="264" w:lineRule="auto"/>
        <w:rPr>
          <w:sz w:val="20"/>
          <w:szCs w:val="20"/>
          <w:color w:val="auto"/>
        </w:rPr>
      </w:pPr>
      <w:r>
        <w:rPr>
          <w:rFonts w:ascii="Arial" w:cs="Arial" w:eastAsia="Arial" w:hAnsi="Arial"/>
          <w:sz w:val="17"/>
          <w:szCs w:val="17"/>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5" w:lineRule="exact"/>
        <w:rPr>
          <w:sz w:val="20"/>
          <w:szCs w:val="20"/>
          <w:color w:val="auto"/>
        </w:rPr>
      </w:pPr>
    </w:p>
    <w:p>
      <w:pPr>
        <w:ind w:right="180" w:firstLine="373"/>
        <w:spacing w:after="0" w:line="294"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OF FINANCIAL INSTRUMENTS</w:t>
      </w:r>
    </w:p>
    <w:p>
      <w:pPr>
        <w:spacing w:after="0" w:line="174" w:lineRule="exact"/>
        <w:rPr>
          <w:sz w:val="20"/>
          <w:szCs w:val="20"/>
          <w:color w:val="auto"/>
        </w:rPr>
      </w:pPr>
    </w:p>
    <w:p>
      <w:pPr>
        <w:ind w:right="120" w:firstLine="373"/>
        <w:spacing w:after="0" w:line="264"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9" w:name="page70"/>
    <w:bookmarkEnd w:id="69"/>
    <w:p>
      <w:pPr>
        <w:ind w:right="120"/>
        <w:spacing w:after="0" w:line="284" w:lineRule="auto"/>
        <w:rPr>
          <w:sz w:val="20"/>
          <w:szCs w:val="20"/>
          <w:color w:val="auto"/>
        </w:rPr>
      </w:pPr>
      <w:r>
        <w:rPr>
          <w:rFonts w:ascii="Arial" w:cs="Arial" w:eastAsia="Arial" w:hAnsi="Arial"/>
          <w:sz w:val="17"/>
          <w:szCs w:val="17"/>
          <w:color w:val="auto"/>
        </w:rPr>
        <w:t>and financial liabilities within the valuation hierarchy is based upon the lowest level of input that is significant to the measurement of fair value. The three levels of the hierarchy are defined as follows:</w:t>
      </w:r>
    </w:p>
    <w:p>
      <w:pPr>
        <w:spacing w:after="0" w:line="108" w:lineRule="exact"/>
        <w:rPr>
          <w:sz w:val="20"/>
          <w:szCs w:val="20"/>
          <w:color w:val="auto"/>
        </w:rPr>
      </w:pPr>
    </w:p>
    <w:p>
      <w:pPr>
        <w:ind w:left="620" w:hanging="305"/>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1 - Inputs to the valuation methodology are quoted market prices for identical assets or liabilities.</w:t>
      </w:r>
    </w:p>
    <w:p>
      <w:pPr>
        <w:spacing w:after="0" w:line="24" w:lineRule="exact"/>
        <w:rPr>
          <w:rFonts w:ascii="Arial" w:cs="Arial" w:eastAsia="Arial" w:hAnsi="Arial"/>
          <w:sz w:val="17"/>
          <w:szCs w:val="17"/>
          <w:color w:val="auto"/>
        </w:rPr>
      </w:pPr>
    </w:p>
    <w:p>
      <w:pPr>
        <w:ind w:left="620" w:hanging="305"/>
        <w:spacing w:after="0" w:line="254"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2 - Inputs to the valuation methodology are other observable inputs, including quoted market prices for similar assets or liabilities and market-corroborated inputs.</w:t>
      </w:r>
    </w:p>
    <w:p>
      <w:pPr>
        <w:spacing w:after="0" w:line="1" w:lineRule="exact"/>
        <w:rPr>
          <w:rFonts w:ascii="Arial" w:cs="Arial" w:eastAsia="Arial" w:hAnsi="Arial"/>
          <w:sz w:val="17"/>
          <w:szCs w:val="17"/>
          <w:color w:val="auto"/>
        </w:rPr>
      </w:pPr>
    </w:p>
    <w:p>
      <w:pPr>
        <w:ind w:left="620" w:hanging="305"/>
        <w:spacing w:after="0" w:line="26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20" w:lineRule="exact"/>
        <w:rPr>
          <w:sz w:val="20"/>
          <w:szCs w:val="20"/>
          <w:color w:val="auto"/>
        </w:rPr>
      </w:pPr>
    </w:p>
    <w:p>
      <w:pPr>
        <w:ind w:right="280" w:firstLine="373"/>
        <w:spacing w:after="0" w:line="321" w:lineRule="auto"/>
        <w:rPr>
          <w:sz w:val="20"/>
          <w:szCs w:val="20"/>
          <w:color w:val="auto"/>
        </w:rPr>
      </w:pPr>
      <w:r>
        <w:rPr>
          <w:rFonts w:ascii="Arial" w:cs="Arial" w:eastAsia="Arial" w:hAnsi="Arial"/>
          <w:sz w:val="15"/>
          <w:szCs w:val="15"/>
          <w:color w:val="auto"/>
        </w:rPr>
        <w:t>The Company's financial instruments include cash and cash equivalents, marketable securities,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provide information by level for assets and liabilities that are measured at fair value on a recurring basis: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4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60" w:type="dxa"/>
            <w:vAlign w:val="bottom"/>
            <w:gridSpan w:val="7"/>
          </w:tcPr>
          <w:p>
            <w:pPr>
              <w:jc w:val="right"/>
              <w:ind w:right="11"/>
              <w:spacing w:after="0"/>
              <w:rPr>
                <w:sz w:val="20"/>
                <w:szCs w:val="20"/>
                <w:color w:val="auto"/>
              </w:rPr>
            </w:pPr>
            <w:r>
              <w:rPr>
                <w:rFonts w:ascii="Arial" w:cs="Arial" w:eastAsia="Arial" w:hAnsi="Arial"/>
                <w:sz w:val="14"/>
                <w:szCs w:val="14"/>
                <w:color w:val="auto"/>
                <w:w w:val="88"/>
              </w:rPr>
              <w:t>Fair Value Measurements using inputs considered as: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1060" w:type="dxa"/>
            <w:vAlign w:val="bottom"/>
            <w:vMerge w:val="restart"/>
          </w:tcPr>
          <w:p>
            <w:pPr>
              <w:jc w:val="right"/>
              <w:ind w:right="59"/>
              <w:spacing w:after="0"/>
              <w:rPr>
                <w:sz w:val="20"/>
                <w:szCs w:val="20"/>
                <w:color w:val="auto"/>
              </w:rPr>
            </w:pPr>
            <w:r>
              <w:rPr>
                <w:rFonts w:ascii="Arial" w:cs="Arial" w:eastAsia="Arial" w:hAnsi="Arial"/>
                <w:sz w:val="14"/>
                <w:szCs w:val="14"/>
                <w:color w:val="auto"/>
              </w:rPr>
              <w:t>Level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color w:val="auto"/>
              </w:rPr>
              <w:t>Level 2</w:t>
            </w:r>
          </w:p>
        </w:tc>
        <w:tc>
          <w:tcPr>
            <w:tcW w:w="300" w:type="dxa"/>
            <w:vAlign w:val="bottom"/>
          </w:tcPr>
          <w:p>
            <w:pPr>
              <w:spacing w:after="0"/>
              <w:rPr>
                <w:sz w:val="12"/>
                <w:szCs w:val="12"/>
                <w:color w:val="auto"/>
              </w:rPr>
            </w:pPr>
          </w:p>
        </w:tc>
        <w:tc>
          <w:tcPr>
            <w:tcW w:w="1140" w:type="dxa"/>
            <w:vAlign w:val="bottom"/>
            <w:gridSpan w:val="2"/>
            <w:vMerge w:val="restart"/>
          </w:tcPr>
          <w:p>
            <w:pPr>
              <w:jc w:val="right"/>
              <w:ind w:right="45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2"/>
                <w:szCs w:val="12"/>
                <w:color w:val="auto"/>
              </w:rPr>
            </w:pPr>
          </w:p>
        </w:tc>
        <w:tc>
          <w:tcPr>
            <w:tcW w:w="130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1"/>
              </w:rPr>
              <w:t>Fair Value at May 31,</w:t>
            </w:r>
          </w:p>
        </w:tc>
        <w:tc>
          <w:tcPr>
            <w:tcW w:w="0" w:type="dxa"/>
            <w:vAlign w:val="bottom"/>
          </w:tcPr>
          <w:p>
            <w:pPr>
              <w:spacing w:after="0"/>
              <w:rPr>
                <w:sz w:val="1"/>
                <w:szCs w:val="1"/>
                <w:color w:val="auto"/>
              </w:rPr>
            </w:pPr>
          </w:p>
        </w:tc>
      </w:tr>
      <w:tr>
        <w:trPr>
          <w:trHeight w:val="178"/>
        </w:trPr>
        <w:tc>
          <w:tcPr>
            <w:tcW w:w="53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color w:val="auto"/>
                <w:w w:val="83"/>
              </w:rPr>
              <w:t>2021</w:t>
            </w:r>
          </w:p>
        </w:tc>
        <w:tc>
          <w:tcPr>
            <w:tcW w:w="0" w:type="dxa"/>
            <w:vAlign w:val="bottom"/>
          </w:tcPr>
          <w:p>
            <w:pPr>
              <w:spacing w:after="0"/>
              <w:rPr>
                <w:sz w:val="1"/>
                <w:szCs w:val="1"/>
                <w:color w:val="auto"/>
              </w:rPr>
            </w:pPr>
          </w:p>
        </w:tc>
      </w:tr>
      <w:tr>
        <w:trPr>
          <w:trHeight w:val="165"/>
        </w:trPr>
        <w:tc>
          <w:tcPr>
            <w:tcW w:w="5340" w:type="dxa"/>
            <w:vAlign w:val="bottom"/>
            <w:tcBorders>
              <w:top w:val="single" w:sz="8" w:color="CCEEFF"/>
              <w:left w:val="single" w:sz="8" w:color="CCEEFF"/>
            </w:tcBorders>
            <w:gridSpan w:val="2"/>
            <w:shd w:val="clear" w:color="auto" w:fill="CCEEFF"/>
          </w:tcPr>
          <w:p>
            <w:pPr>
              <w:ind w:left="20"/>
              <w:spacing w:after="0" w:line="165" w:lineRule="exact"/>
              <w:rPr>
                <w:sz w:val="20"/>
                <w:szCs w:val="20"/>
                <w:color w:val="auto"/>
              </w:rPr>
            </w:pPr>
            <w:r>
              <w:rPr>
                <w:rFonts w:ascii="Arial" w:cs="Arial" w:eastAsia="Arial" w:hAnsi="Arial"/>
                <w:sz w:val="17"/>
                <w:szCs w:val="17"/>
                <w:color w:val="auto"/>
              </w:rPr>
              <w:t>Financial Liabilities</w:t>
            </w: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00" w:type="dxa"/>
            <w:vAlign w:val="bottom"/>
            <w:tcBorders>
              <w:left w:val="single" w:sz="8" w:color="CCEEFF"/>
            </w:tcBorders>
            <w:shd w:val="clear" w:color="auto" w:fill="000000"/>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534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Contingent consideration for acquisition earn outs</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7"/>
                <w:szCs w:val="17"/>
                <w:color w:val="auto"/>
              </w:rPr>
              <w:t>15,741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15,741</w:t>
            </w:r>
          </w:p>
        </w:tc>
        <w:tc>
          <w:tcPr>
            <w:tcW w:w="0" w:type="dxa"/>
            <w:vAlign w:val="bottom"/>
          </w:tcPr>
          <w:p>
            <w:pPr>
              <w:spacing w:after="0"/>
              <w:rPr>
                <w:sz w:val="1"/>
                <w:szCs w:val="1"/>
                <w:color w:val="auto"/>
              </w:rPr>
            </w:pPr>
          </w:p>
        </w:tc>
      </w:tr>
      <w:tr>
        <w:trPr>
          <w:trHeight w:val="233"/>
        </w:trPr>
        <w:tc>
          <w:tcPr>
            <w:tcW w:w="5340" w:type="dxa"/>
            <w:vAlign w:val="bottom"/>
            <w:tcBorders>
              <w:left w:val="single" w:sz="8" w:color="CCEEFF"/>
              <w:bottom w:val="single" w:sz="8" w:color="CCEEFF"/>
            </w:tcBorders>
            <w:gridSpan w:val="2"/>
            <w:shd w:val="clear" w:color="auto" w:fill="CCEEFF"/>
          </w:tcPr>
          <w:p>
            <w:pPr>
              <w:ind w:left="1080"/>
              <w:spacing w:after="0"/>
              <w:rPr>
                <w:sz w:val="20"/>
                <w:szCs w:val="20"/>
                <w:color w:val="auto"/>
              </w:rPr>
            </w:pPr>
            <w:r>
              <w:rPr>
                <w:rFonts w:ascii="Arial" w:cs="Arial" w:eastAsia="Arial" w:hAnsi="Arial"/>
                <w:sz w:val="17"/>
                <w:szCs w:val="17"/>
                <w:color w:val="auto"/>
              </w:rPr>
              <w:t>Total Financial Liabilities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15,741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15,741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14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7"/>
          </w:tcPr>
          <w:p>
            <w:pPr>
              <w:jc w:val="right"/>
              <w:ind w:right="11"/>
              <w:spacing w:after="0"/>
              <w:rPr>
                <w:sz w:val="20"/>
                <w:szCs w:val="20"/>
                <w:color w:val="auto"/>
              </w:rPr>
            </w:pPr>
            <w:r>
              <w:rPr>
                <w:rFonts w:ascii="Arial" w:cs="Arial" w:eastAsia="Arial" w:hAnsi="Arial"/>
                <w:sz w:val="14"/>
                <w:szCs w:val="14"/>
                <w:color w:val="auto"/>
                <w:w w:val="88"/>
              </w:rPr>
              <w:t>Fair Value Measurements using inputs considered as: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1060" w:type="dxa"/>
            <w:vAlign w:val="bottom"/>
            <w:vMerge w:val="restart"/>
          </w:tcPr>
          <w:p>
            <w:pPr>
              <w:jc w:val="right"/>
              <w:ind w:right="59"/>
              <w:spacing w:after="0"/>
              <w:rPr>
                <w:sz w:val="20"/>
                <w:szCs w:val="20"/>
                <w:color w:val="auto"/>
              </w:rPr>
            </w:pPr>
            <w:r>
              <w:rPr>
                <w:rFonts w:ascii="Arial" w:cs="Arial" w:eastAsia="Arial" w:hAnsi="Arial"/>
                <w:sz w:val="14"/>
                <w:szCs w:val="14"/>
                <w:color w:val="auto"/>
              </w:rPr>
              <w:t>Level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color w:val="auto"/>
              </w:rPr>
              <w:t>Level 2</w:t>
            </w:r>
          </w:p>
        </w:tc>
        <w:tc>
          <w:tcPr>
            <w:tcW w:w="300" w:type="dxa"/>
            <w:vAlign w:val="bottom"/>
          </w:tcPr>
          <w:p>
            <w:pPr>
              <w:spacing w:after="0"/>
              <w:rPr>
                <w:sz w:val="12"/>
                <w:szCs w:val="12"/>
                <w:color w:val="auto"/>
              </w:rPr>
            </w:pPr>
          </w:p>
        </w:tc>
        <w:tc>
          <w:tcPr>
            <w:tcW w:w="1140" w:type="dxa"/>
            <w:vAlign w:val="bottom"/>
            <w:gridSpan w:val="2"/>
            <w:vMerge w:val="restart"/>
          </w:tcPr>
          <w:p>
            <w:pPr>
              <w:jc w:val="right"/>
              <w:ind w:right="45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2"/>
                <w:szCs w:val="12"/>
                <w:color w:val="auto"/>
              </w:rPr>
            </w:pPr>
          </w:p>
        </w:tc>
        <w:tc>
          <w:tcPr>
            <w:tcW w:w="130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1"/>
              </w:rPr>
              <w:t>Fair Value at May 31,</w:t>
            </w:r>
          </w:p>
        </w:tc>
        <w:tc>
          <w:tcPr>
            <w:tcW w:w="0" w:type="dxa"/>
            <w:vAlign w:val="bottom"/>
          </w:tcPr>
          <w:p>
            <w:pPr>
              <w:spacing w:after="0"/>
              <w:rPr>
                <w:sz w:val="1"/>
                <w:szCs w:val="1"/>
                <w:color w:val="auto"/>
              </w:rPr>
            </w:pPr>
          </w:p>
        </w:tc>
      </w:tr>
      <w:tr>
        <w:trPr>
          <w:trHeight w:val="178"/>
        </w:trPr>
        <w:tc>
          <w:tcPr>
            <w:tcW w:w="53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color w:val="auto"/>
                <w:w w:val="83"/>
              </w:rPr>
              <w:t>2020</w:t>
            </w:r>
          </w:p>
        </w:tc>
        <w:tc>
          <w:tcPr>
            <w:tcW w:w="0" w:type="dxa"/>
            <w:vAlign w:val="bottom"/>
          </w:tcPr>
          <w:p>
            <w:pPr>
              <w:spacing w:after="0"/>
              <w:rPr>
                <w:sz w:val="1"/>
                <w:szCs w:val="1"/>
                <w:color w:val="auto"/>
              </w:rPr>
            </w:pPr>
          </w:p>
        </w:tc>
      </w:tr>
      <w:tr>
        <w:trPr>
          <w:trHeight w:val="165"/>
        </w:trPr>
        <w:tc>
          <w:tcPr>
            <w:tcW w:w="5340" w:type="dxa"/>
            <w:vAlign w:val="bottom"/>
            <w:tcBorders>
              <w:top w:val="single" w:sz="8" w:color="CCEEFF"/>
              <w:left w:val="single" w:sz="8" w:color="CCEEFF"/>
            </w:tcBorders>
            <w:gridSpan w:val="2"/>
            <w:shd w:val="clear" w:color="auto" w:fill="CCEEFF"/>
          </w:tcPr>
          <w:p>
            <w:pPr>
              <w:ind w:left="20"/>
              <w:spacing w:after="0" w:line="165" w:lineRule="exact"/>
              <w:rPr>
                <w:sz w:val="20"/>
                <w:szCs w:val="20"/>
                <w:color w:val="auto"/>
              </w:rPr>
            </w:pPr>
            <w:r>
              <w:rPr>
                <w:rFonts w:ascii="Arial" w:cs="Arial" w:eastAsia="Arial" w:hAnsi="Arial"/>
                <w:sz w:val="17"/>
                <w:szCs w:val="17"/>
                <w:color w:val="auto"/>
              </w:rPr>
              <w:t>Financial Liabilities</w:t>
            </w: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00" w:type="dxa"/>
            <w:vAlign w:val="bottom"/>
            <w:tcBorders>
              <w:left w:val="single" w:sz="8" w:color="CCEEFF"/>
            </w:tcBorders>
            <w:shd w:val="clear" w:color="auto" w:fill="000000"/>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534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Contingent consideration for acquisition earn outs</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7"/>
                <w:szCs w:val="17"/>
                <w:color w:val="auto"/>
              </w:rPr>
              <w:t>15,647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15,647</w:t>
            </w:r>
          </w:p>
        </w:tc>
        <w:tc>
          <w:tcPr>
            <w:tcW w:w="0" w:type="dxa"/>
            <w:vAlign w:val="bottom"/>
          </w:tcPr>
          <w:p>
            <w:pPr>
              <w:spacing w:after="0"/>
              <w:rPr>
                <w:sz w:val="1"/>
                <w:szCs w:val="1"/>
                <w:color w:val="auto"/>
              </w:rPr>
            </w:pPr>
          </w:p>
        </w:tc>
      </w:tr>
      <w:tr>
        <w:trPr>
          <w:trHeight w:val="233"/>
        </w:trPr>
        <w:tc>
          <w:tcPr>
            <w:tcW w:w="5340" w:type="dxa"/>
            <w:vAlign w:val="bottom"/>
            <w:tcBorders>
              <w:left w:val="single" w:sz="8" w:color="CCEEFF"/>
              <w:bottom w:val="single" w:sz="8" w:color="CCEEFF"/>
            </w:tcBorders>
            <w:gridSpan w:val="2"/>
            <w:shd w:val="clear" w:color="auto" w:fill="CCEEFF"/>
          </w:tcPr>
          <w:p>
            <w:pPr>
              <w:ind w:left="1080"/>
              <w:spacing w:after="0"/>
              <w:rPr>
                <w:sz w:val="20"/>
                <w:szCs w:val="20"/>
                <w:color w:val="auto"/>
              </w:rPr>
            </w:pPr>
            <w:r>
              <w:rPr>
                <w:rFonts w:ascii="Arial" w:cs="Arial" w:eastAsia="Arial" w:hAnsi="Arial"/>
                <w:sz w:val="17"/>
                <w:szCs w:val="17"/>
                <w:color w:val="auto"/>
              </w:rPr>
              <w:t>Total Financial Liabilities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15,647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15,647</w:t>
            </w: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0" w:type="dxa"/>
            <w:vAlign w:val="bottom"/>
            <w:gridSpan w:val="8"/>
          </w:tcPr>
          <w:p>
            <w:pPr>
              <w:ind w:left="380"/>
              <w:spacing w:after="0"/>
              <w:rPr>
                <w:sz w:val="20"/>
                <w:szCs w:val="20"/>
                <w:color w:val="auto"/>
              </w:rPr>
            </w:pPr>
            <w:r>
              <w:rPr>
                <w:rFonts w:ascii="Arial" w:cs="Arial" w:eastAsia="Arial" w:hAnsi="Arial"/>
                <w:sz w:val="17"/>
                <w:szCs w:val="17"/>
                <w:color w:val="auto"/>
                <w:w w:val="92"/>
              </w:rPr>
              <w:t>There were no transfers in and out of Level 1, 2 and 3 measurements for the years ended May 31, 2021 and 2020.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400" w:type="dxa"/>
            <w:vAlign w:val="bottom"/>
            <w:gridSpan w:val="8"/>
          </w:tcPr>
          <w:p>
            <w:pPr>
              <w:spacing w:after="0"/>
              <w:rPr>
                <w:sz w:val="20"/>
                <w:szCs w:val="20"/>
                <w:color w:val="auto"/>
              </w:rPr>
            </w:pPr>
            <w:r>
              <w:rPr>
                <w:rFonts w:ascii="Arial" w:cs="Arial" w:eastAsia="Arial" w:hAnsi="Arial"/>
                <w:sz w:val="17"/>
                <w:szCs w:val="17"/>
                <w:color w:val="auto"/>
                <w:w w:val="92"/>
              </w:rPr>
              <w:t>The table below presents the changes in fair value components of Level 3 instruments for the year ended May 31, 2021: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4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38"/>
              <w:spacing w:after="0"/>
              <w:rPr>
                <w:sz w:val="20"/>
                <w:szCs w:val="20"/>
                <w:color w:val="auto"/>
              </w:rPr>
            </w:pPr>
            <w:r>
              <w:rPr>
                <w:rFonts w:ascii="Arial" w:cs="Arial" w:eastAsia="Arial" w:hAnsi="Arial"/>
                <w:sz w:val="14"/>
                <w:szCs w:val="14"/>
                <w:color w:val="auto"/>
                <w:w w:val="95"/>
              </w:rPr>
              <w:t>Financial Liabilities</w:t>
            </w:r>
          </w:p>
        </w:tc>
        <w:tc>
          <w:tcPr>
            <w:tcW w:w="0" w:type="dxa"/>
            <w:vAlign w:val="bottom"/>
          </w:tcPr>
          <w:p>
            <w:pPr>
              <w:spacing w:after="0"/>
              <w:rPr>
                <w:sz w:val="1"/>
                <w:szCs w:val="1"/>
                <w:color w:val="auto"/>
              </w:rPr>
            </w:pPr>
          </w:p>
        </w:tc>
      </w:tr>
      <w:tr>
        <w:trPr>
          <w:trHeight w:val="129"/>
        </w:trPr>
        <w:tc>
          <w:tcPr>
            <w:tcW w:w="14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gridSpan w:val="4"/>
          </w:tcPr>
          <w:p>
            <w:pPr>
              <w:jc w:val="center"/>
              <w:spacing w:after="0" w:line="129" w:lineRule="exact"/>
              <w:rPr>
                <w:sz w:val="20"/>
                <w:szCs w:val="20"/>
                <w:color w:val="auto"/>
              </w:rPr>
            </w:pPr>
            <w:r>
              <w:rPr>
                <w:rFonts w:ascii="Arial" w:cs="Arial" w:eastAsia="Arial" w:hAnsi="Arial"/>
                <w:sz w:val="14"/>
                <w:szCs w:val="14"/>
                <w:color w:val="auto"/>
                <w:w w:val="87"/>
              </w:rPr>
              <w:t>Fair Value Measurements</w:t>
            </w:r>
          </w:p>
        </w:tc>
        <w:tc>
          <w:tcPr>
            <w:tcW w:w="0" w:type="dxa"/>
            <w:vAlign w:val="bottom"/>
          </w:tcPr>
          <w:p>
            <w:pPr>
              <w:spacing w:after="0"/>
              <w:rPr>
                <w:sz w:val="1"/>
                <w:szCs w:val="1"/>
                <w:color w:val="auto"/>
              </w:rPr>
            </w:pPr>
          </w:p>
        </w:tc>
      </w:tr>
      <w:tr>
        <w:trPr>
          <w:trHeight w:val="130"/>
        </w:trPr>
        <w:tc>
          <w:tcPr>
            <w:tcW w:w="14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38"/>
              <w:spacing w:after="0" w:line="130" w:lineRule="exact"/>
              <w:rPr>
                <w:sz w:val="20"/>
                <w:szCs w:val="20"/>
                <w:color w:val="auto"/>
              </w:rPr>
            </w:pPr>
            <w:r>
              <w:rPr>
                <w:rFonts w:ascii="Arial" w:cs="Arial" w:eastAsia="Arial" w:hAnsi="Arial"/>
                <w:sz w:val="14"/>
                <w:szCs w:val="14"/>
                <w:color w:val="auto"/>
                <w:w w:val="92"/>
              </w:rPr>
              <w:t>Using Significant</w:t>
            </w:r>
          </w:p>
        </w:tc>
        <w:tc>
          <w:tcPr>
            <w:tcW w:w="0" w:type="dxa"/>
            <w:vAlign w:val="bottom"/>
          </w:tcPr>
          <w:p>
            <w:pPr>
              <w:spacing w:after="0"/>
              <w:rPr>
                <w:sz w:val="1"/>
                <w:szCs w:val="1"/>
                <w:color w:val="auto"/>
              </w:rPr>
            </w:pPr>
          </w:p>
        </w:tc>
      </w:tr>
      <w:tr>
        <w:trPr>
          <w:trHeight w:val="130"/>
        </w:trPr>
        <w:tc>
          <w:tcPr>
            <w:tcW w:w="53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center"/>
              <w:ind w:right="38"/>
              <w:spacing w:after="0" w:line="130" w:lineRule="exact"/>
              <w:rPr>
                <w:sz w:val="20"/>
                <w:szCs w:val="20"/>
                <w:color w:val="auto"/>
              </w:rPr>
            </w:pPr>
            <w:r>
              <w:rPr>
                <w:rFonts w:ascii="Arial" w:cs="Arial" w:eastAsia="Arial" w:hAnsi="Arial"/>
                <w:sz w:val="14"/>
                <w:szCs w:val="14"/>
                <w:color w:val="auto"/>
                <w:w w:val="90"/>
              </w:rPr>
              <w:t>Unobservable Inputs</w:t>
            </w:r>
          </w:p>
        </w:tc>
        <w:tc>
          <w:tcPr>
            <w:tcW w:w="0" w:type="dxa"/>
            <w:vAlign w:val="bottom"/>
          </w:tcPr>
          <w:p>
            <w:pPr>
              <w:spacing w:after="0"/>
              <w:rPr>
                <w:sz w:val="1"/>
                <w:szCs w:val="1"/>
                <w:color w:val="auto"/>
              </w:rPr>
            </w:pPr>
          </w:p>
        </w:tc>
      </w:tr>
      <w:tr>
        <w:trPr>
          <w:trHeight w:val="178"/>
        </w:trPr>
        <w:tc>
          <w:tcPr>
            <w:tcW w:w="5340" w:type="dxa"/>
            <w:vAlign w:val="bottom"/>
            <w:tcBorders>
              <w:bottom w:val="single" w:sz="8" w:color="CCEEFF"/>
            </w:tcBorders>
            <w:gridSpan w:val="2"/>
            <w:vMerge w:val="continue"/>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17"/>
        </w:trPr>
        <w:tc>
          <w:tcPr>
            <w:tcW w:w="534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May 31, 2020</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15,647</w:t>
            </w:r>
          </w:p>
        </w:tc>
        <w:tc>
          <w:tcPr>
            <w:tcW w:w="0" w:type="dxa"/>
            <w:vAlign w:val="bottom"/>
          </w:tcPr>
          <w:p>
            <w:pPr>
              <w:spacing w:after="0"/>
              <w:rPr>
                <w:sz w:val="1"/>
                <w:szCs w:val="1"/>
                <w:color w:val="auto"/>
              </w:rPr>
            </w:pPr>
          </w:p>
        </w:tc>
      </w:tr>
      <w:tr>
        <w:trPr>
          <w:trHeight w:val="220"/>
        </w:trPr>
        <w:tc>
          <w:tcPr>
            <w:tcW w:w="5340" w:type="dxa"/>
            <w:vAlign w:val="bottom"/>
            <w:gridSpan w:val="2"/>
          </w:tcPr>
          <w:p>
            <w:pPr>
              <w:ind w:left="340"/>
              <w:spacing w:after="0"/>
              <w:rPr>
                <w:sz w:val="20"/>
                <w:szCs w:val="20"/>
                <w:color w:val="auto"/>
              </w:rPr>
            </w:pPr>
            <w:r>
              <w:rPr>
                <w:rFonts w:ascii="Arial" w:cs="Arial" w:eastAsia="Arial" w:hAnsi="Arial"/>
                <w:sz w:val="17"/>
                <w:szCs w:val="17"/>
                <w:color w:val="auto"/>
              </w:rPr>
              <w:t xml:space="preserve">Change in present value of contingent consideration </w:t>
            </w:r>
            <w:r>
              <w:rPr>
                <w:rFonts w:ascii="Arial" w:cs="Arial" w:eastAsia="Arial" w:hAnsi="Arial"/>
                <w:sz w:val="15"/>
                <w:szCs w:val="15"/>
                <w:color w:val="auto"/>
              </w:rPr>
              <w:t>(1)</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0"/>
        </w:trPr>
        <w:tc>
          <w:tcPr>
            <w:tcW w:w="534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Currency (gain) loss from remeasurement</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3"/>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Balance at May 31, 2021</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15,741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580" w:firstLine="4"/>
        <w:spacing w:after="0" w:line="255" w:lineRule="auto"/>
        <w:tabs>
          <w:tab w:leader="none" w:pos="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The table below presents the changes in fair value components of Level 3 instruments for the year ended May 31,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5"/>
              </w:rPr>
              <w:t>Financial Liabilities</w:t>
            </w:r>
          </w:p>
        </w:tc>
        <w:tc>
          <w:tcPr>
            <w:tcW w:w="0" w:type="dxa"/>
            <w:vAlign w:val="bottom"/>
          </w:tcPr>
          <w:p>
            <w:pPr>
              <w:spacing w:after="0"/>
              <w:rPr>
                <w:sz w:val="1"/>
                <w:szCs w:val="1"/>
                <w:color w:val="auto"/>
              </w:rPr>
            </w:pPr>
          </w:p>
        </w:tc>
      </w:tr>
      <w:tr>
        <w:trPr>
          <w:trHeight w:val="129"/>
        </w:trPr>
        <w:tc>
          <w:tcPr>
            <w:tcW w:w="9720" w:type="dxa"/>
            <w:vAlign w:val="bottom"/>
          </w:tcPr>
          <w:p>
            <w:pPr>
              <w:spacing w:after="0"/>
              <w:rPr>
                <w:sz w:val="11"/>
                <w:szCs w:val="11"/>
                <w:color w:val="auto"/>
              </w:rPr>
            </w:pPr>
          </w:p>
        </w:tc>
        <w:tc>
          <w:tcPr>
            <w:tcW w:w="152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87"/>
              </w:rPr>
              <w:t>Fair Value Measurements</w:t>
            </w:r>
          </w:p>
        </w:tc>
        <w:tc>
          <w:tcPr>
            <w:tcW w:w="0" w:type="dxa"/>
            <w:vAlign w:val="bottom"/>
          </w:tcPr>
          <w:p>
            <w:pPr>
              <w:spacing w:after="0"/>
              <w:rPr>
                <w:sz w:val="1"/>
                <w:szCs w:val="1"/>
                <w:color w:val="auto"/>
              </w:rPr>
            </w:pPr>
          </w:p>
        </w:tc>
      </w:tr>
      <w:tr>
        <w:trPr>
          <w:trHeight w:val="130"/>
        </w:trPr>
        <w:tc>
          <w:tcPr>
            <w:tcW w:w="9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61"/>
              <w:spacing w:after="0" w:line="130" w:lineRule="exact"/>
              <w:rPr>
                <w:sz w:val="20"/>
                <w:szCs w:val="20"/>
                <w:color w:val="auto"/>
              </w:rPr>
            </w:pPr>
            <w:r>
              <w:rPr>
                <w:rFonts w:ascii="Arial" w:cs="Arial" w:eastAsia="Arial" w:hAnsi="Arial"/>
                <w:sz w:val="14"/>
                <w:szCs w:val="14"/>
                <w:color w:val="auto"/>
                <w:w w:val="92"/>
              </w:rPr>
              <w:t>Using Significant</w:t>
            </w:r>
          </w:p>
        </w:tc>
        <w:tc>
          <w:tcPr>
            <w:tcW w:w="0" w:type="dxa"/>
            <w:vAlign w:val="bottom"/>
          </w:tcPr>
          <w:p>
            <w:pPr>
              <w:spacing w:after="0"/>
              <w:rPr>
                <w:sz w:val="1"/>
                <w:szCs w:val="1"/>
                <w:color w:val="auto"/>
              </w:rPr>
            </w:pPr>
          </w:p>
        </w:tc>
      </w:tr>
      <w:tr>
        <w:trPr>
          <w:trHeight w:val="130"/>
        </w:trPr>
        <w:tc>
          <w:tcPr>
            <w:tcW w:w="97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1"/>
                <w:szCs w:val="11"/>
                <w:color w:val="auto"/>
              </w:rPr>
            </w:pPr>
          </w:p>
        </w:tc>
        <w:tc>
          <w:tcPr>
            <w:tcW w:w="1380" w:type="dxa"/>
            <w:vAlign w:val="bottom"/>
          </w:tcPr>
          <w:p>
            <w:pPr>
              <w:jc w:val="center"/>
              <w:ind w:right="61"/>
              <w:spacing w:after="0" w:line="130" w:lineRule="exact"/>
              <w:rPr>
                <w:sz w:val="20"/>
                <w:szCs w:val="20"/>
                <w:color w:val="auto"/>
              </w:rPr>
            </w:pPr>
            <w:r>
              <w:rPr>
                <w:rFonts w:ascii="Arial" w:cs="Arial" w:eastAsia="Arial" w:hAnsi="Arial"/>
                <w:sz w:val="14"/>
                <w:szCs w:val="14"/>
                <w:color w:val="auto"/>
                <w:w w:val="90"/>
              </w:rPr>
              <w:t>Unobservable Inputs</w:t>
            </w:r>
          </w:p>
        </w:tc>
        <w:tc>
          <w:tcPr>
            <w:tcW w:w="0" w:type="dxa"/>
            <w:vAlign w:val="bottom"/>
          </w:tcPr>
          <w:p>
            <w:pPr>
              <w:spacing w:after="0"/>
              <w:rPr>
                <w:sz w:val="1"/>
                <w:szCs w:val="1"/>
                <w:color w:val="auto"/>
              </w:rPr>
            </w:pPr>
          </w:p>
        </w:tc>
      </w:tr>
      <w:tr>
        <w:trPr>
          <w:trHeight w:val="178"/>
        </w:trPr>
        <w:tc>
          <w:tcPr>
            <w:tcW w:w="97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17"/>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May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13,486</w:t>
            </w:r>
          </w:p>
        </w:tc>
        <w:tc>
          <w:tcPr>
            <w:tcW w:w="0" w:type="dxa"/>
            <w:vAlign w:val="bottom"/>
          </w:tcPr>
          <w:p>
            <w:pPr>
              <w:spacing w:after="0"/>
              <w:rPr>
                <w:sz w:val="1"/>
                <w:szCs w:val="1"/>
                <w:color w:val="auto"/>
              </w:rPr>
            </w:pPr>
          </w:p>
        </w:tc>
      </w:tr>
      <w:tr>
        <w:trPr>
          <w:trHeight w:val="220"/>
        </w:trPr>
        <w:tc>
          <w:tcPr>
            <w:tcW w:w="9720" w:type="dxa"/>
            <w:vAlign w:val="bottom"/>
          </w:tcPr>
          <w:p>
            <w:pPr>
              <w:ind w:left="340"/>
              <w:spacing w:after="0"/>
              <w:rPr>
                <w:sz w:val="20"/>
                <w:szCs w:val="20"/>
                <w:color w:val="auto"/>
              </w:rPr>
            </w:pPr>
            <w:r>
              <w:rPr>
                <w:rFonts w:ascii="Arial" w:cs="Arial" w:eastAsia="Arial" w:hAnsi="Arial"/>
                <w:sz w:val="17"/>
                <w:szCs w:val="17"/>
                <w:color w:val="auto"/>
              </w:rPr>
              <w:t>Contingent consideration liabilities recorded as a result of the acquisitions (Note 2)</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14,900</w:t>
            </w:r>
          </w:p>
        </w:tc>
        <w:tc>
          <w:tcPr>
            <w:tcW w:w="0" w:type="dxa"/>
            <w:vAlign w:val="bottom"/>
          </w:tcPr>
          <w:p>
            <w:pPr>
              <w:spacing w:after="0"/>
              <w:rPr>
                <w:sz w:val="1"/>
                <w:szCs w:val="1"/>
                <w:color w:val="auto"/>
              </w:rPr>
            </w:pPr>
          </w:p>
        </w:tc>
      </w:tr>
      <w:tr>
        <w:trPr>
          <w:trHeight w:val="220"/>
        </w:trPr>
        <w:tc>
          <w:tcPr>
            <w:tcW w:w="9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 xml:space="preserve">Change in fair value of contingent consideration </w:t>
            </w:r>
            <w:r>
              <w:rPr>
                <w:rFonts w:ascii="Arial" w:cs="Arial" w:eastAsia="Arial" w:hAnsi="Arial"/>
                <w:sz w:val="15"/>
                <w:szCs w:val="15"/>
                <w:color w:val="auto"/>
              </w:rPr>
              <w:t>(1)</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(11,531)</w:t>
            </w:r>
          </w:p>
        </w:tc>
        <w:tc>
          <w:tcPr>
            <w:tcW w:w="0" w:type="dxa"/>
            <w:vAlign w:val="bottom"/>
          </w:tcPr>
          <w:p>
            <w:pPr>
              <w:spacing w:after="0"/>
              <w:rPr>
                <w:sz w:val="1"/>
                <w:szCs w:val="1"/>
                <w:color w:val="auto"/>
              </w:rPr>
            </w:pPr>
          </w:p>
        </w:tc>
      </w:tr>
      <w:tr>
        <w:trPr>
          <w:trHeight w:val="220"/>
        </w:trPr>
        <w:tc>
          <w:tcPr>
            <w:tcW w:w="97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Contingent consideration payments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(1,208)</w:t>
            </w:r>
          </w:p>
        </w:tc>
        <w:tc>
          <w:tcPr>
            <w:tcW w:w="0" w:type="dxa"/>
            <w:vAlign w:val="bottom"/>
          </w:tcPr>
          <w:p>
            <w:pPr>
              <w:spacing w:after="0"/>
              <w:rPr>
                <w:sz w:val="1"/>
                <w:szCs w:val="1"/>
                <w:color w:val="auto"/>
              </w:rPr>
            </w:pPr>
          </w:p>
        </w:tc>
      </w:tr>
      <w:tr>
        <w:trPr>
          <w:trHeight w:val="21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May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580" w:firstLine="4"/>
        <w:spacing w:after="0" w:line="255" w:lineRule="auto"/>
        <w:tabs>
          <w:tab w:leader="none" w:pos="2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25" w:lineRule="exact"/>
        <w:rPr>
          <w:sz w:val="20"/>
          <w:szCs w:val="20"/>
          <w:color w:val="auto"/>
        </w:rPr>
      </w:pPr>
    </w:p>
    <w:p>
      <w:pPr>
        <w:jc w:val="both"/>
        <w:ind w:right="60" w:firstLine="373"/>
        <w:spacing w:after="0" w:line="264" w:lineRule="auto"/>
        <w:rPr>
          <w:sz w:val="20"/>
          <w:szCs w:val="20"/>
          <w:color w:val="auto"/>
        </w:rPr>
      </w:pPr>
      <w:r>
        <w:rPr>
          <w:rFonts w:ascii="Arial" w:cs="Arial" w:eastAsia="Arial" w:hAnsi="Arial"/>
          <w:sz w:val="17"/>
          <w:szCs w:val="17"/>
          <w:color w:val="auto"/>
        </w:rPr>
        <w:t>During fiscal year 2020, the Company revised the sales projections for RadiaDyne products as a result of reviews performed by executive management. The adjustments to the sales projections over the contractual earn-out period resulted in a $9.2 million reduction in the fair value of the contingent liability. It was also determined that one of the technical milestones would not be achieved, which resulted in an additional reduction in the liability of $2.7 million. At May 31, 2021, there are no remaining amounts payable for the RadiaDyne contingent consideration.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Liability for Acquisition Earn Outs</w:t>
      </w:r>
    </w:p>
    <w:p>
      <w:pPr>
        <w:spacing w:after="0" w:line="168" w:lineRule="exact"/>
        <w:rPr>
          <w:sz w:val="20"/>
          <w:szCs w:val="20"/>
          <w:color w:val="auto"/>
        </w:rPr>
      </w:pPr>
    </w:p>
    <w:p>
      <w:pPr>
        <w:ind w:right="20" w:firstLine="373"/>
        <w:spacing w:after="0" w:line="260" w:lineRule="auto"/>
        <w:rPr>
          <w:sz w:val="20"/>
          <w:szCs w:val="20"/>
          <w:color w:val="auto"/>
        </w:rPr>
      </w:pPr>
      <w:r>
        <w:rPr>
          <w:rFonts w:ascii="Arial" w:cs="Arial" w:eastAsia="Arial" w:hAnsi="Arial"/>
          <w:sz w:val="17"/>
          <w:szCs w:val="17"/>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130" w:lineRule="exact"/>
        <w:rPr>
          <w:sz w:val="20"/>
          <w:szCs w:val="20"/>
          <w:color w:val="auto"/>
        </w:rPr>
      </w:pPr>
    </w:p>
    <w:p>
      <w:pPr>
        <w:ind w:right="100" w:firstLine="373"/>
        <w:spacing w:after="0" w:line="286" w:lineRule="auto"/>
        <w:rPr>
          <w:sz w:val="20"/>
          <w:szCs w:val="20"/>
          <w:color w:val="auto"/>
        </w:rPr>
      </w:pPr>
      <w:r>
        <w:rPr>
          <w:rFonts w:ascii="Arial" w:cs="Arial" w:eastAsia="Arial" w:hAnsi="Arial"/>
          <w:sz w:val="16"/>
          <w:szCs w:val="16"/>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08" w:lineRule="exact"/>
        <w:rPr>
          <w:sz w:val="20"/>
          <w:szCs w:val="20"/>
          <w:color w:val="auto"/>
        </w:rPr>
      </w:pPr>
    </w:p>
    <w:p>
      <w:pPr>
        <w:ind w:right="20" w:firstLine="373"/>
        <w:spacing w:after="0" w:line="284" w:lineRule="auto"/>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 May 31, 2021:</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Fair Value</w:t>
            </w:r>
          </w:p>
        </w:tc>
        <w:tc>
          <w:tcPr>
            <w:tcW w:w="10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Valuation Technique</w:t>
            </w:r>
          </w:p>
        </w:tc>
        <w:tc>
          <w:tcPr>
            <w:tcW w:w="100" w:type="dxa"/>
            <w:vAlign w:val="bottom"/>
            <w:tcBorders>
              <w:bottom w:val="single" w:sz="8" w:color="CCEEFF"/>
            </w:tcBorders>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Unobservable Input</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Range</w:t>
            </w: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based payments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15,741</w:t>
            </w: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Discounted cash flow</w:t>
            </w:r>
          </w:p>
        </w:tc>
        <w:tc>
          <w:tcPr>
            <w:tcW w:w="32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Discount rate</w:t>
            </w: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5%</w:t>
            </w:r>
          </w:p>
        </w:tc>
      </w:tr>
      <w:tr>
        <w:trPr>
          <w:trHeight w:val="220"/>
        </w:trPr>
        <w:tc>
          <w:tcPr>
            <w:tcW w:w="2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Probability of payment</w:t>
            </w:r>
          </w:p>
        </w:tc>
        <w:tc>
          <w:tcPr>
            <w:tcW w:w="1400" w:type="dxa"/>
            <w:vAlign w:val="bottom"/>
          </w:tcPr>
          <w:p>
            <w:pPr>
              <w:jc w:val="center"/>
              <w:spacing w:after="0"/>
              <w:rPr>
                <w:sz w:val="20"/>
                <w:szCs w:val="20"/>
                <w:color w:val="auto"/>
              </w:rPr>
            </w:pPr>
            <w:r>
              <w:rPr>
                <w:rFonts w:ascii="Arial" w:cs="Arial" w:eastAsia="Arial" w:hAnsi="Arial"/>
                <w:sz w:val="17"/>
                <w:szCs w:val="17"/>
                <w:color w:val="auto"/>
                <w:w w:val="94"/>
              </w:rPr>
              <w:t>66% - 100%</w:t>
            </w:r>
          </w:p>
        </w:tc>
      </w:tr>
      <w:tr>
        <w:trPr>
          <w:trHeight w:val="220"/>
        </w:trPr>
        <w:tc>
          <w:tcPr>
            <w:tcW w:w="2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Projected fiscal year of payment</w:t>
            </w: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2024 - 2025</w:t>
            </w:r>
          </w:p>
        </w:tc>
      </w:tr>
    </w:tbl>
    <w:p>
      <w:pPr>
        <w:spacing w:after="0" w:line="221" w:lineRule="exact"/>
        <w:rPr>
          <w:sz w:val="20"/>
          <w:szCs w:val="20"/>
          <w:color w:val="auto"/>
        </w:rPr>
      </w:pPr>
    </w:p>
    <w:p>
      <w:pPr>
        <w:ind w:right="240" w:firstLine="373"/>
        <w:spacing w:after="0" w:line="269" w:lineRule="auto"/>
        <w:rPr>
          <w:sz w:val="20"/>
          <w:szCs w:val="20"/>
          <w:color w:val="auto"/>
        </w:rPr>
      </w:pPr>
      <w:r>
        <w:rPr>
          <w:rFonts w:ascii="Arial" w:cs="Arial" w:eastAsia="Arial" w:hAnsi="Arial"/>
          <w:sz w:val="17"/>
          <w:szCs w:val="17"/>
          <w:color w:val="auto"/>
        </w:rPr>
        <w:t>At May 31, 2021, the amount of undiscounted future contingent consideration that the Company expects to pay as a result of all completed acquisitions is approximately $20.0 million. The milestones, including revenue projections and technical milestones, associated with the contingent consideration must be reached in future periods ranging from fiscal years 2021 to 2025 in order for the associated consideration to be paid.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Items Measured at Fair Value on a Nonrecurring Basis</w:t>
      </w:r>
    </w:p>
    <w:p>
      <w:pPr>
        <w:spacing w:after="0" w:line="168" w:lineRule="exact"/>
        <w:rPr>
          <w:sz w:val="20"/>
          <w:szCs w:val="20"/>
          <w:color w:val="auto"/>
        </w:rPr>
      </w:pPr>
    </w:p>
    <w:p>
      <w:pPr>
        <w:jc w:val="both"/>
        <w:ind w:right="180" w:firstLine="373"/>
        <w:spacing w:after="0" w:line="269" w:lineRule="auto"/>
        <w:rPr>
          <w:sz w:val="20"/>
          <w:szCs w:val="20"/>
          <w:color w:val="auto"/>
        </w:rPr>
      </w:pPr>
      <w:r>
        <w:rPr>
          <w:rFonts w:ascii="Arial" w:cs="Arial" w:eastAsia="Arial" w:hAnsi="Arial"/>
          <w:sz w:val="17"/>
          <w:szCs w:val="17"/>
          <w:color w:val="auto"/>
        </w:rPr>
        <w:t>During the fourth quarter of fiscal year 2021, the Company made the decision to abandon the OARtrac product technology and trademark. This resulted in an impairment charge of $14.0 million. The Company recorded a goodwill impairment charge of $158.6 million as of May 31, 2020 to write down the carrying value of the reporting unit to fair value using Level 3 inputs.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were no other items measured at fair value on a nonrecurring basis during the year ended May 31, 2020 or May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6. INVENTORIES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Inventories are stated at lower of cost and net realizable value (using the first-in, first-out method). Inventories consisted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May 31, 2021</w:t>
            </w:r>
          </w:p>
        </w:tc>
        <w:tc>
          <w:tcPr>
            <w:tcW w:w="220" w:type="dxa"/>
            <w:vAlign w:val="bottom"/>
          </w:tcPr>
          <w:p>
            <w:pPr>
              <w:spacing w:after="0"/>
              <w:rPr>
                <w:sz w:val="15"/>
                <w:szCs w:val="15"/>
                <w:color w:val="auto"/>
              </w:rPr>
            </w:pPr>
          </w:p>
        </w:tc>
        <w:tc>
          <w:tcPr>
            <w:tcW w:w="1200" w:type="dxa"/>
            <w:vAlign w:val="bottom"/>
          </w:tcPr>
          <w:p>
            <w:pPr>
              <w:jc w:val="right"/>
              <w:ind w:right="237"/>
              <w:spacing w:after="0"/>
              <w:rPr>
                <w:sz w:val="20"/>
                <w:szCs w:val="20"/>
                <w:color w:val="auto"/>
              </w:rPr>
            </w:pPr>
            <w:r>
              <w:rPr>
                <w:rFonts w:ascii="Arial" w:cs="Arial" w:eastAsia="Arial" w:hAnsi="Arial"/>
                <w:sz w:val="14"/>
                <w:szCs w:val="14"/>
                <w:color w:val="auto"/>
              </w:rPr>
              <w:t>May 31, 2020</w:t>
            </w:r>
          </w:p>
        </w:tc>
      </w:tr>
      <w:tr>
        <w:trPr>
          <w:trHeight w:val="21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23,308</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8,318</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28,279</w:t>
            </w:r>
          </w:p>
        </w:tc>
      </w:tr>
      <w:tr>
        <w:trPr>
          <w:trHeight w:val="213"/>
        </w:trPr>
        <w:tc>
          <w:tcPr>
            <w:tcW w:w="8280" w:type="dxa"/>
            <w:vAlign w:val="bottom"/>
          </w:tcPr>
          <w:p>
            <w:pPr>
              <w:ind w:left="3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48,614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59,905</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40" w:firstLine="373"/>
        <w:spacing w:after="0" w:line="269" w:lineRule="auto"/>
        <w:rPr>
          <w:sz w:val="20"/>
          <w:szCs w:val="20"/>
          <w:color w:val="auto"/>
        </w:rPr>
      </w:pPr>
      <w:r>
        <w:rPr>
          <w:rFonts w:ascii="Arial" w:cs="Arial" w:eastAsia="Arial" w:hAnsi="Arial"/>
          <w:sz w:val="17"/>
          <w:szCs w:val="17"/>
          <w:color w:val="auto"/>
        </w:rPr>
        <w:t>The Company periodically reviews its inventory for both obsolescence and loss of value. The Company makes assumptions about the future demand for and market value of the inventory. Based on these assumptions, the Company estimates the amount of obsolete, expiring and slow moving inventory. The total inventory reserve at May 31, 2021 and 2020 was $3.8 million and $4.7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PREPAID EXPENSES AND OTHER</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Prepaid expenses and other consisted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May 31, 2021</w:t>
            </w:r>
          </w:p>
        </w:tc>
        <w:tc>
          <w:tcPr>
            <w:tcW w:w="220" w:type="dxa"/>
            <w:vAlign w:val="bottom"/>
          </w:tcPr>
          <w:p>
            <w:pPr>
              <w:spacing w:after="0"/>
              <w:rPr>
                <w:sz w:val="15"/>
                <w:szCs w:val="15"/>
                <w:color w:val="auto"/>
              </w:rPr>
            </w:pPr>
          </w:p>
        </w:tc>
        <w:tc>
          <w:tcPr>
            <w:tcW w:w="1200" w:type="dxa"/>
            <w:vAlign w:val="bottom"/>
          </w:tcPr>
          <w:p>
            <w:pPr>
              <w:jc w:val="right"/>
              <w:ind w:right="235"/>
              <w:spacing w:after="0"/>
              <w:rPr>
                <w:sz w:val="20"/>
                <w:szCs w:val="20"/>
                <w:color w:val="auto"/>
              </w:rPr>
            </w:pPr>
            <w:r>
              <w:rPr>
                <w:rFonts w:ascii="Arial" w:cs="Arial" w:eastAsia="Arial" w:hAnsi="Arial"/>
                <w:sz w:val="14"/>
                <w:szCs w:val="14"/>
                <w:color w:val="auto"/>
              </w:rPr>
              <w:t>May 31, 2020</w:t>
            </w:r>
          </w:p>
        </w:tc>
      </w:tr>
      <w:tr>
        <w:trPr>
          <w:trHeight w:val="21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Deposits</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Employee Retention Tax Credit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licenses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TSA receivable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2,911</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 fees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Trade shows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Other prepaid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414</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1,549</w:t>
            </w:r>
          </w:p>
        </w:tc>
      </w:tr>
      <w:tr>
        <w:trPr>
          <w:trHeight w:val="213"/>
        </w:trPr>
        <w:tc>
          <w:tcPr>
            <w:tcW w:w="8280" w:type="dxa"/>
            <w:vAlign w:val="bottom"/>
          </w:tcPr>
          <w:p>
            <w:pPr>
              <w:ind w:left="3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8,699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7,310</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0" w:right="6840" w:hanging="376"/>
        <w:spacing w:after="0" w:line="498" w:lineRule="auto"/>
        <w:tabs>
          <w:tab w:leader="none" w:pos="18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PLANT AND EQUIPMENT, NET </w:t>
      </w:r>
      <w:r>
        <w:rPr>
          <w:rFonts w:ascii="Arial" w:cs="Arial" w:eastAsia="Arial" w:hAnsi="Arial"/>
          <w:sz w:val="16"/>
          <w:szCs w:val="16"/>
          <w:color w:val="auto"/>
        </w:rPr>
        <w:t>Property, plant and equipment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May 31, 2021</w:t>
            </w:r>
          </w:p>
        </w:tc>
        <w:tc>
          <w:tcPr>
            <w:tcW w:w="220" w:type="dxa"/>
            <w:vAlign w:val="bottom"/>
          </w:tcPr>
          <w:p>
            <w:pPr>
              <w:spacing w:after="0"/>
              <w:rPr>
                <w:sz w:val="15"/>
                <w:szCs w:val="15"/>
                <w:color w:val="auto"/>
              </w:rPr>
            </w:pPr>
          </w:p>
        </w:tc>
        <w:tc>
          <w:tcPr>
            <w:tcW w:w="1200" w:type="dxa"/>
            <w:vAlign w:val="bottom"/>
          </w:tcPr>
          <w:p>
            <w:pPr>
              <w:jc w:val="right"/>
              <w:ind w:right="235"/>
              <w:spacing w:after="0"/>
              <w:rPr>
                <w:sz w:val="20"/>
                <w:szCs w:val="20"/>
                <w:color w:val="auto"/>
              </w:rPr>
            </w:pPr>
            <w:r>
              <w:rPr>
                <w:rFonts w:ascii="Arial" w:cs="Arial" w:eastAsia="Arial" w:hAnsi="Arial"/>
                <w:sz w:val="14"/>
                <w:szCs w:val="14"/>
                <w:color w:val="auto"/>
              </w:rPr>
              <w:t>May 31, 2020</w:t>
            </w:r>
          </w:p>
        </w:tc>
      </w:tr>
      <w:tr>
        <w:trPr>
          <w:trHeight w:val="21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Building and building improvements</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27,119</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Computer software and equipment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24,730</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13,602</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Placement and evaluation units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3,050</w:t>
            </w:r>
          </w:p>
        </w:tc>
      </w:tr>
      <w:tr>
        <w:trPr>
          <w:trHeight w:val="213"/>
        </w:trPr>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82,236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68,501</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(40,661)</w:t>
            </w:r>
          </w:p>
        </w:tc>
      </w:tr>
      <w:tr>
        <w:trPr>
          <w:trHeight w:val="213"/>
        </w:trPr>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36,601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27,840</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and land improvements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w:t>
            </w:r>
          </w:p>
        </w:tc>
      </w:tr>
      <w:tr>
        <w:trPr>
          <w:trHeight w:val="213"/>
        </w:trPr>
        <w:tc>
          <w:tcPr>
            <w:tcW w:w="82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28,312</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expense for fiscal years 2021, 2020 and 2019 was $5.7 million, $3.3 million and $3.1 million, respectively.</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76200</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9. GOODWILL AND INTANGIBLE ASSETS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68" w:lineRule="exact"/>
        <w:rPr>
          <w:sz w:val="20"/>
          <w:szCs w:val="20"/>
          <w:color w:val="auto"/>
        </w:rPr>
      </w:pPr>
    </w:p>
    <w:p>
      <w:pPr>
        <w:ind w:right="80" w:firstLine="389"/>
        <w:spacing w:after="0" w:line="284"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08" w:lineRule="exact"/>
        <w:rPr>
          <w:sz w:val="20"/>
          <w:szCs w:val="20"/>
          <w:color w:val="auto"/>
        </w:rPr>
      </w:pPr>
    </w:p>
    <w:p>
      <w:pPr>
        <w:ind w:right="60" w:firstLine="389"/>
        <w:spacing w:after="0" w:line="264" w:lineRule="auto"/>
        <w:rPr>
          <w:sz w:val="20"/>
          <w:szCs w:val="20"/>
          <w:color w:val="auto"/>
        </w:rPr>
      </w:pPr>
      <w:r>
        <w:rPr>
          <w:rFonts w:ascii="Arial" w:cs="Arial" w:eastAsia="Arial" w:hAnsi="Arial"/>
          <w:sz w:val="17"/>
          <w:szCs w:val="17"/>
          <w:color w:val="auto"/>
        </w:rPr>
        <w:t>The Company's annual testing for impairment of goodwill was completed as of December 31, 2020.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25" w:lineRule="exact"/>
        <w:rPr>
          <w:sz w:val="20"/>
          <w:szCs w:val="20"/>
          <w:color w:val="auto"/>
        </w:rPr>
      </w:pPr>
    </w:p>
    <w:p>
      <w:pPr>
        <w:ind w:firstLine="389"/>
        <w:spacing w:after="0" w:line="264" w:lineRule="auto"/>
        <w:rPr>
          <w:sz w:val="20"/>
          <w:szCs w:val="20"/>
          <w:color w:val="auto"/>
        </w:rPr>
      </w:pPr>
      <w:r>
        <w:rPr>
          <w:rFonts w:ascii="Arial" w:cs="Arial" w:eastAsia="Arial" w:hAnsi="Arial"/>
          <w:sz w:val="17"/>
          <w:szCs w:val="17"/>
          <w:color w:val="auto"/>
        </w:rPr>
        <w:t>Even though the Company determined that there was no goodwill impairment as of December 31, 2020,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2021.</w:t>
      </w:r>
    </w:p>
    <w:p>
      <w:pPr>
        <w:spacing w:after="0" w:line="125" w:lineRule="exact"/>
        <w:rPr>
          <w:sz w:val="20"/>
          <w:szCs w:val="20"/>
          <w:color w:val="auto"/>
        </w:rPr>
      </w:pPr>
    </w:p>
    <w:p>
      <w:pPr>
        <w:ind w:right="280" w:firstLine="389"/>
        <w:spacing w:after="0" w:line="317" w:lineRule="auto"/>
        <w:rPr>
          <w:sz w:val="20"/>
          <w:szCs w:val="20"/>
          <w:color w:val="auto"/>
        </w:rPr>
      </w:pPr>
      <w:r>
        <w:rPr>
          <w:rFonts w:ascii="Arial" w:cs="Arial" w:eastAsia="Arial" w:hAnsi="Arial"/>
          <w:sz w:val="16"/>
          <w:szCs w:val="16"/>
          <w:color w:val="auto"/>
        </w:rPr>
        <w:t>There were no adjustments to goodwill for the year ended May 31, 2021 other than foreign currency translation adjustments. For the year ended May 31, 2020 the Company recorded a goodwill impairment charge of $158.6 million to write down the carrying value of the reporting unit to fair value.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Definite Lived Intangible Assets</w:t>
      </w:r>
    </w:p>
    <w:p>
      <w:pPr>
        <w:spacing w:after="0" w:line="168" w:lineRule="exact"/>
        <w:rPr>
          <w:sz w:val="20"/>
          <w:szCs w:val="20"/>
          <w:color w:val="auto"/>
        </w:rPr>
      </w:pPr>
    </w:p>
    <w:p>
      <w:pPr>
        <w:ind w:right="60" w:firstLine="373"/>
        <w:spacing w:after="0" w:line="279" w:lineRule="auto"/>
        <w:rPr>
          <w:sz w:val="20"/>
          <w:szCs w:val="20"/>
          <w:color w:val="auto"/>
        </w:rPr>
      </w:pPr>
      <w:r>
        <w:rPr>
          <w:rFonts w:ascii="Arial" w:cs="Arial" w:eastAsia="Arial" w:hAnsi="Arial"/>
          <w:sz w:val="16"/>
          <w:szCs w:val="16"/>
          <w:color w:val="auto"/>
        </w:rPr>
        <w:t>Definite lived intangible assets consist primarily of product technologies and customer relationships and are amortized over their estimated useful lives, which range between two to eighteen years, on either a straight-line basis over the expected period of benefit or as revenues are earned from the sales of the related product. Amortization expense was $18.1 million, $18.1 million and $17.1 million for fiscal years 2021, 2020 and 2019, respectively. During the fourth quarter of fiscal year 2021, the Company made the decision to abandon the OARtrac product technology and trademark. This resulted in an impairment charge of $14.0 million. The impairment charge is recorded in "Acquisition, restructuring and other items, net", on the Consolidated Statement of Operations (see Note 19). There were no impairment charges on definite lived intangible assets for the years ended May 31, 2020 and 2019.</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Intangible assets consisted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89"/>
              </w:rPr>
              <w:t>May 31, 2021</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7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0"/>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88"/>
              </w:rPr>
              <w:t>Accumulated</w:t>
            </w:r>
          </w:p>
        </w:tc>
        <w:tc>
          <w:tcPr>
            <w:tcW w:w="240" w:type="dxa"/>
            <w:vAlign w:val="bottom"/>
          </w:tcPr>
          <w:p>
            <w:pPr>
              <w:spacing w:after="0"/>
              <w:rPr>
                <w:sz w:val="11"/>
                <w:szCs w:val="11"/>
                <w:color w:val="auto"/>
              </w:rPr>
            </w:pPr>
          </w:p>
        </w:tc>
        <w:tc>
          <w:tcPr>
            <w:tcW w:w="1180" w:type="dxa"/>
            <w:vAlign w:val="bottom"/>
          </w:tcPr>
          <w:p>
            <w:pPr>
              <w:jc w:val="center"/>
              <w:ind w:right="159"/>
              <w:spacing w:after="0" w:line="129" w:lineRule="exact"/>
              <w:rPr>
                <w:sz w:val="20"/>
                <w:szCs w:val="20"/>
                <w:color w:val="auto"/>
              </w:rPr>
            </w:pPr>
            <w:r>
              <w:rPr>
                <w:rFonts w:ascii="Arial" w:cs="Arial" w:eastAsia="Arial" w:hAnsi="Arial"/>
                <w:sz w:val="14"/>
                <w:szCs w:val="14"/>
                <w:color w:val="auto"/>
                <w:w w:val="92"/>
              </w:rPr>
              <w:t>Net carrying</w:t>
            </w:r>
          </w:p>
        </w:tc>
        <w:tc>
          <w:tcPr>
            <w:tcW w:w="0" w:type="dxa"/>
            <w:vAlign w:val="bottom"/>
          </w:tcPr>
          <w:p>
            <w:pPr>
              <w:spacing w:after="0"/>
              <w:rPr>
                <w:sz w:val="1"/>
                <w:szCs w:val="1"/>
                <w:color w:val="auto"/>
              </w:rPr>
            </w:pPr>
          </w:p>
        </w:tc>
      </w:tr>
      <w:tr>
        <w:trPr>
          <w:trHeight w:val="178"/>
        </w:trPr>
        <w:tc>
          <w:tcPr>
            <w:tcW w:w="6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amortization</w:t>
            </w:r>
          </w:p>
        </w:tc>
        <w:tc>
          <w:tcPr>
            <w:tcW w:w="240" w:type="dxa"/>
            <w:vAlign w:val="bottom"/>
          </w:tcPr>
          <w:p>
            <w:pPr>
              <w:spacing w:after="0"/>
              <w:rPr>
                <w:sz w:val="15"/>
                <w:szCs w:val="15"/>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7"/>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Product technologies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236,907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(97,343)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139,564</w:t>
            </w: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26,127</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3,045</w:t>
            </w:r>
          </w:p>
        </w:tc>
        <w:tc>
          <w:tcPr>
            <w:tcW w:w="0" w:type="dxa"/>
            <w:vAlign w:val="bottom"/>
          </w:tcPr>
          <w:p>
            <w:pPr>
              <w:spacing w:after="0"/>
              <w:rPr>
                <w:sz w:val="1"/>
                <w:szCs w:val="1"/>
                <w:color w:val="auto"/>
              </w:rPr>
            </w:pPr>
          </w:p>
        </w:tc>
      </w:tr>
      <w:tr>
        <w:trPr>
          <w:trHeight w:val="22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Licenses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313,235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(144,258)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168,977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89"/>
              </w:rPr>
              <w:t>May 31, 2020</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7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0"/>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88"/>
              </w:rPr>
              <w:t>Accumulated</w:t>
            </w:r>
          </w:p>
        </w:tc>
        <w:tc>
          <w:tcPr>
            <w:tcW w:w="240" w:type="dxa"/>
            <w:vAlign w:val="bottom"/>
          </w:tcPr>
          <w:p>
            <w:pPr>
              <w:spacing w:after="0"/>
              <w:rPr>
                <w:sz w:val="11"/>
                <w:szCs w:val="11"/>
                <w:color w:val="auto"/>
              </w:rPr>
            </w:pPr>
          </w:p>
        </w:tc>
        <w:tc>
          <w:tcPr>
            <w:tcW w:w="1180" w:type="dxa"/>
            <w:vAlign w:val="bottom"/>
          </w:tcPr>
          <w:p>
            <w:pPr>
              <w:jc w:val="center"/>
              <w:ind w:right="159"/>
              <w:spacing w:after="0" w:line="129" w:lineRule="exact"/>
              <w:rPr>
                <w:sz w:val="20"/>
                <w:szCs w:val="20"/>
                <w:color w:val="auto"/>
              </w:rPr>
            </w:pPr>
            <w:r>
              <w:rPr>
                <w:rFonts w:ascii="Arial" w:cs="Arial" w:eastAsia="Arial" w:hAnsi="Arial"/>
                <w:sz w:val="14"/>
                <w:szCs w:val="14"/>
                <w:color w:val="auto"/>
                <w:w w:val="92"/>
              </w:rPr>
              <w:t>Net carrying</w:t>
            </w:r>
          </w:p>
        </w:tc>
        <w:tc>
          <w:tcPr>
            <w:tcW w:w="0" w:type="dxa"/>
            <w:vAlign w:val="bottom"/>
          </w:tcPr>
          <w:p>
            <w:pPr>
              <w:spacing w:after="0"/>
              <w:rPr>
                <w:sz w:val="1"/>
                <w:szCs w:val="1"/>
                <w:color w:val="auto"/>
              </w:rPr>
            </w:pPr>
          </w:p>
        </w:tc>
      </w:tr>
      <w:tr>
        <w:trPr>
          <w:trHeight w:val="178"/>
        </w:trPr>
        <w:tc>
          <w:tcPr>
            <w:tcW w:w="6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amortization</w:t>
            </w:r>
          </w:p>
        </w:tc>
        <w:tc>
          <w:tcPr>
            <w:tcW w:w="240" w:type="dxa"/>
            <w:vAlign w:val="bottom"/>
          </w:tcPr>
          <w:p>
            <w:pPr>
              <w:spacing w:after="0"/>
              <w:rPr>
                <w:sz w:val="15"/>
                <w:szCs w:val="15"/>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7"/>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Product technologies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251,569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(88,547)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163,022</w:t>
            </w: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30,142</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3,459</w:t>
            </w:r>
          </w:p>
        </w:tc>
        <w:tc>
          <w:tcPr>
            <w:tcW w:w="0" w:type="dxa"/>
            <w:vAlign w:val="bottom"/>
          </w:tcPr>
          <w:p>
            <w:pPr>
              <w:spacing w:after="0"/>
              <w:rPr>
                <w:sz w:val="1"/>
                <w:szCs w:val="1"/>
                <w:color w:val="auto"/>
              </w:rPr>
            </w:pPr>
          </w:p>
        </w:tc>
      </w:tr>
      <w:tr>
        <w:trPr>
          <w:trHeight w:val="22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Licenses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327,966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197,136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3" w:name="page74"/>
    <w:bookmarkEnd w:id="73"/>
    <w:p>
      <w:pPr>
        <w:ind w:left="400"/>
        <w:spacing w:after="0"/>
        <w:rPr>
          <w:sz w:val="20"/>
          <w:szCs w:val="20"/>
          <w:color w:val="auto"/>
        </w:rPr>
      </w:pPr>
      <w:r>
        <w:rPr>
          <w:rFonts w:ascii="Arial" w:cs="Arial" w:eastAsia="Arial" w:hAnsi="Arial"/>
          <w:sz w:val="17"/>
          <w:szCs w:val="17"/>
          <w:color w:val="auto"/>
        </w:rPr>
        <w:t>Expected future amortization expense related to the intangible assets for each of the following fiscal years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15,156</w:t>
            </w: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Arial" w:cs="Arial" w:eastAsia="Arial" w:hAnsi="Arial"/>
                <w:sz w:val="17"/>
                <w:szCs w:val="17"/>
                <w:color w:val="auto"/>
              </w:rPr>
              <w:t>2023</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15,595</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14,111</w:t>
            </w: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Arial" w:cs="Arial" w:eastAsia="Arial" w:hAnsi="Arial"/>
                <w:sz w:val="17"/>
                <w:szCs w:val="17"/>
                <w:color w:val="auto"/>
              </w:rPr>
              <w:t>2025</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15,131</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16,138</w:t>
            </w:r>
          </w:p>
        </w:tc>
        <w:tc>
          <w:tcPr>
            <w:tcW w:w="0" w:type="dxa"/>
            <w:vAlign w:val="bottom"/>
          </w:tcPr>
          <w:p>
            <w:pPr>
              <w:spacing w:after="0"/>
              <w:rPr>
                <w:sz w:val="1"/>
                <w:szCs w:val="1"/>
                <w:color w:val="auto"/>
              </w:rPr>
            </w:pPr>
          </w:p>
        </w:tc>
      </w:tr>
      <w:tr>
        <w:trPr>
          <w:trHeight w:val="22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2025 and thereafter</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92,846</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168,977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10. INCOME TAXES</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100" w:type="dxa"/>
            <w:vAlign w:val="bottom"/>
            <w:gridSpan w:val="2"/>
          </w:tcPr>
          <w:p>
            <w:pPr>
              <w:ind w:left="380"/>
              <w:spacing w:after="0"/>
              <w:rPr>
                <w:sz w:val="20"/>
                <w:szCs w:val="20"/>
                <w:color w:val="auto"/>
              </w:rPr>
            </w:pPr>
            <w:r>
              <w:rPr>
                <w:rFonts w:ascii="Arial" w:cs="Arial" w:eastAsia="Arial" w:hAnsi="Arial"/>
                <w:sz w:val="17"/>
                <w:szCs w:val="17"/>
                <w:color w:val="auto"/>
                <w:w w:val="96"/>
              </w:rPr>
              <w:t>The components of loss from continuing operations before income tax benefit are as follows: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88"/>
              </w:rPr>
              <w:t>Year ended May 31,</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continuing operations before tax expense: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U.S.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(31,595)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(166,984)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(15,593)</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Non-U.S.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(36,052)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(168,135)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(14,702)</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380"/>
              <w:spacing w:after="0"/>
              <w:rPr>
                <w:sz w:val="20"/>
                <w:szCs w:val="20"/>
                <w:color w:val="auto"/>
              </w:rPr>
            </w:pPr>
            <w:r>
              <w:rPr>
                <w:rFonts w:ascii="Arial" w:cs="Arial" w:eastAsia="Arial" w:hAnsi="Arial"/>
                <w:sz w:val="17"/>
                <w:szCs w:val="17"/>
                <w:color w:val="auto"/>
              </w:rPr>
              <w:t>Income tax benefit is comprised of the following:</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88"/>
              </w:rPr>
              <w:t>Year ended May 31,</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U.S.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 U.S.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U.S.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(3,948)</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 U.S.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(3,973)</w:t>
            </w:r>
          </w:p>
        </w:tc>
        <w:tc>
          <w:tcPr>
            <w:tcW w:w="0" w:type="dxa"/>
            <w:vAlign w:val="bottom"/>
          </w:tcPr>
          <w:p>
            <w:pPr>
              <w:spacing w:after="0"/>
              <w:rPr>
                <w:sz w:val="1"/>
                <w:szCs w:val="1"/>
                <w:color w:val="auto"/>
              </w:rPr>
            </w:pPr>
          </w:p>
        </w:tc>
      </w:tr>
      <w:tr>
        <w:trPr>
          <w:trHeight w:val="259"/>
        </w:trPr>
        <w:tc>
          <w:tcPr>
            <w:tcW w:w="67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7"/>
                <w:szCs w:val="17"/>
                <w:color w:val="auto"/>
              </w:rPr>
              <w:t>Income tax benefit</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4" w:name="page75"/>
    <w:bookmarkEnd w:id="74"/>
    <w:p>
      <w:pPr>
        <w:ind w:left="380"/>
        <w:spacing w:after="0"/>
        <w:rPr>
          <w:sz w:val="20"/>
          <w:szCs w:val="20"/>
          <w:color w:val="auto"/>
        </w:rPr>
      </w:pPr>
      <w:r>
        <w:rPr>
          <w:rFonts w:ascii="Arial" w:cs="Arial" w:eastAsia="Arial" w:hAnsi="Arial"/>
          <w:sz w:val="17"/>
          <w:szCs w:val="17"/>
          <w:color w:val="auto"/>
        </w:rPr>
        <w:t>Temporary differences that give rise to deferred tax assets and liabilities are summarized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May 31, 2021</w:t>
            </w:r>
          </w:p>
        </w:tc>
        <w:tc>
          <w:tcPr>
            <w:tcW w:w="220" w:type="dxa"/>
            <w:vAlign w:val="bottom"/>
          </w:tcPr>
          <w:p>
            <w:pPr>
              <w:spacing w:after="0"/>
              <w:rPr>
                <w:sz w:val="15"/>
                <w:szCs w:val="15"/>
                <w:color w:val="auto"/>
              </w:rPr>
            </w:pPr>
          </w:p>
        </w:tc>
        <w:tc>
          <w:tcPr>
            <w:tcW w:w="1200" w:type="dxa"/>
            <w:vAlign w:val="bottom"/>
          </w:tcPr>
          <w:p>
            <w:pPr>
              <w:jc w:val="right"/>
              <w:ind w:right="235"/>
              <w:spacing w:after="0"/>
              <w:rPr>
                <w:sz w:val="20"/>
                <w:szCs w:val="20"/>
                <w:color w:val="auto"/>
              </w:rPr>
            </w:pPr>
            <w:r>
              <w:rPr>
                <w:rFonts w:ascii="Arial" w:cs="Arial" w:eastAsia="Arial" w:hAnsi="Arial"/>
                <w:sz w:val="14"/>
                <w:szCs w:val="14"/>
                <w:color w:val="auto"/>
              </w:rPr>
              <w:t>May 31, 2020</w:t>
            </w:r>
          </w:p>
        </w:tc>
      </w:tr>
      <w:tr>
        <w:trPr>
          <w:trHeight w:val="206"/>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7"/>
                <w:szCs w:val="17"/>
                <w:color w:val="auto"/>
              </w:rPr>
              <w:t>Net operating loss carryforward</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31,564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26,697</w:t>
            </w: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2,923</w:t>
            </w:r>
          </w:p>
        </w:tc>
      </w:tr>
      <w:tr>
        <w:trPr>
          <w:trHeight w:val="220"/>
        </w:trPr>
        <w:tc>
          <w:tcPr>
            <w:tcW w:w="8280" w:type="dxa"/>
            <w:vAlign w:val="bottom"/>
          </w:tcPr>
          <w:p>
            <w:pPr>
              <w:ind w:left="340"/>
              <w:spacing w:after="0"/>
              <w:rPr>
                <w:sz w:val="20"/>
                <w:szCs w:val="20"/>
                <w:color w:val="auto"/>
              </w:rPr>
            </w:pPr>
            <w:r>
              <w:rPr>
                <w:rFonts w:ascii="Arial" w:cs="Arial" w:eastAsia="Arial" w:hAnsi="Arial"/>
                <w:sz w:val="17"/>
                <w:szCs w:val="17"/>
                <w:color w:val="auto"/>
              </w:rPr>
              <w:t>Federal and state R&amp;D tax credit carryforward</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5,412</w:t>
            </w: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r>
      <w:tr>
        <w:trPr>
          <w:trHeight w:val="220"/>
        </w:trPr>
        <w:tc>
          <w:tcPr>
            <w:tcW w:w="8280" w:type="dxa"/>
            <w:vAlign w:val="bottom"/>
          </w:tcPr>
          <w:p>
            <w:pPr>
              <w:ind w:left="340"/>
              <w:spacing w:after="0"/>
              <w:rPr>
                <w:sz w:val="20"/>
                <w:szCs w:val="20"/>
                <w:color w:val="auto"/>
              </w:rPr>
            </w:pPr>
            <w:r>
              <w:rPr>
                <w:rFonts w:ascii="Arial" w:cs="Arial" w:eastAsia="Arial" w:hAnsi="Arial"/>
                <w:sz w:val="17"/>
                <w:szCs w:val="17"/>
                <w:color w:val="auto"/>
              </w:rPr>
              <w:t>Expenses incurred not currently deductible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1,927</w:t>
            </w: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13"/>
        </w:trPr>
        <w:tc>
          <w:tcPr>
            <w:tcW w:w="82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Gross deferred tax asset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38,125</w:t>
            </w:r>
          </w:p>
        </w:tc>
      </w:tr>
      <w:tr>
        <w:trPr>
          <w:trHeight w:val="20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0"/>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49,023</w:t>
            </w:r>
          </w:p>
        </w:tc>
      </w:tr>
      <w:tr>
        <w:trPr>
          <w:trHeight w:val="213"/>
        </w:trPr>
        <w:tc>
          <w:tcPr>
            <w:tcW w:w="8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49,023</w:t>
            </w: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Valuation allowance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(13,114)</w:t>
            </w:r>
          </w:p>
        </w:tc>
      </w:tr>
      <w:tr>
        <w:trPr>
          <w:trHeight w:val="238"/>
        </w:trPr>
        <w:tc>
          <w:tcPr>
            <w:tcW w:w="8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Net deferred tax liability</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(24,012)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40" w:firstLine="373"/>
        <w:spacing w:after="0" w:line="264" w:lineRule="auto"/>
        <w:rPr>
          <w:sz w:val="20"/>
          <w:szCs w:val="20"/>
          <w:color w:val="auto"/>
        </w:rPr>
      </w:pPr>
      <w:r>
        <w:rPr>
          <w:rFonts w:ascii="Arial" w:cs="Arial" w:eastAsia="Arial" w:hAnsi="Arial"/>
          <w:sz w:val="17"/>
          <w:szCs w:val="17"/>
          <w:color w:val="auto"/>
        </w:rPr>
        <w:t>The net deferred tax liability in the U.S. as of May 31, 2021 and 2020 principally relates to tax amortization of intangibles that have an indefinite reversal period for book purposes, also known as a “naked credit deferred tax liability”, that cannot be considered as a source of income to recover the deferred tax asset. In addition, during the fiscal year ended May 31, 2020 a net deferred tax liability of $11.0 million was recorded in purchase accounting related to the stock acquisition of Eximo Medical Ltd. primarily related to book intangibles offset by tax net operating losses.</w:t>
      </w:r>
    </w:p>
    <w:p>
      <w:pPr>
        <w:spacing w:after="0" w:line="125" w:lineRule="exact"/>
        <w:rPr>
          <w:sz w:val="20"/>
          <w:szCs w:val="20"/>
          <w:color w:val="auto"/>
        </w:rPr>
      </w:pPr>
    </w:p>
    <w:p>
      <w:pPr>
        <w:ind w:right="200" w:firstLine="373"/>
        <w:spacing w:after="0" w:line="269" w:lineRule="auto"/>
        <w:rPr>
          <w:sz w:val="20"/>
          <w:szCs w:val="20"/>
          <w:color w:val="auto"/>
        </w:rPr>
      </w:pPr>
      <w:r>
        <w:rPr>
          <w:rFonts w:ascii="Arial" w:cs="Arial" w:eastAsia="Arial" w:hAnsi="Arial"/>
          <w:sz w:val="17"/>
          <w:szCs w:val="17"/>
          <w:color w:val="auto"/>
        </w:rPr>
        <w:t>The Company's U.S. Federal net operating loss carryforwards as of May 31, 2021 after considering IRC Section 382 limitations are $134.6 million. The expiration of the Federal net operating loss carryforwards are as follows: $8.6 million between 2022 and 2023, $79.4 million between 2028 and 2037 and $46.6 million indefinitely.</w:t>
      </w:r>
    </w:p>
    <w:p>
      <w:pPr>
        <w:spacing w:after="0" w:line="121" w:lineRule="exact"/>
        <w:rPr>
          <w:sz w:val="20"/>
          <w:szCs w:val="20"/>
          <w:color w:val="auto"/>
        </w:rPr>
      </w:pPr>
    </w:p>
    <w:p>
      <w:pPr>
        <w:ind w:right="140" w:firstLine="373"/>
        <w:spacing w:after="0" w:line="300" w:lineRule="auto"/>
        <w:rPr>
          <w:sz w:val="20"/>
          <w:szCs w:val="20"/>
          <w:color w:val="auto"/>
        </w:rPr>
      </w:pPr>
      <w:r>
        <w:rPr>
          <w:rFonts w:ascii="Arial" w:cs="Arial" w:eastAsia="Arial" w:hAnsi="Arial"/>
          <w:sz w:val="16"/>
          <w:szCs w:val="16"/>
          <w:color w:val="auto"/>
        </w:rPr>
        <w:t>The Company's state net operating loss carryforwards as of May 31, 2021 after considering remaining IRC Section 382 limitations are $20.0 million which expire in various years from 2029 to 2041. The Company has Israel tax net operating losses of $13.5 million that can be carried forward indefinitely.</w:t>
      </w:r>
    </w:p>
    <w:p>
      <w:pPr>
        <w:spacing w:after="0" w:line="72" w:lineRule="exact"/>
        <w:rPr>
          <w:sz w:val="20"/>
          <w:szCs w:val="20"/>
          <w:color w:val="auto"/>
        </w:rPr>
      </w:pPr>
    </w:p>
    <w:p>
      <w:pPr>
        <w:ind w:right="60" w:firstLine="373"/>
        <w:spacing w:after="0" w:line="230" w:lineRule="auto"/>
        <w:rPr>
          <w:sz w:val="20"/>
          <w:szCs w:val="20"/>
          <w:color w:val="auto"/>
        </w:rPr>
      </w:pPr>
      <w:r>
        <w:rPr>
          <w:rFonts w:ascii="Arial" w:cs="Arial" w:eastAsia="Arial" w:hAnsi="Arial"/>
          <w:sz w:val="17"/>
          <w:szCs w:val="17"/>
          <w:color w:val="auto"/>
        </w:rPr>
        <w:t>Beginning in 2018, except for the Global Intangible Low-Taxed Income, the Company will no longer record United States federal income tax on its share of the income of its foreign subsidiaries, nor will it record a benefit for foreign tax credits related to that income. Upon distribution of these earnings in the form of dividends or otherwise, the Company would be subject to withholding taxes payable, where applicable, to foreign countries, but would have no further federal income tax liability. The Company intends to indefinitely reinvest the unremitted foreign earnings of all other subsidiaries as of May 31, 2021, as well as all subsequent earnings generated by all of our foreign subsidiaries. Determining the amount of unrecognized deferred tax liability related to any additional outside basis difference in these entities is not practical.</w:t>
      </w:r>
    </w:p>
    <w:p>
      <w:pPr>
        <w:spacing w:after="0" w:line="134" w:lineRule="exact"/>
        <w:rPr>
          <w:sz w:val="20"/>
          <w:szCs w:val="20"/>
          <w:color w:val="auto"/>
        </w:rPr>
      </w:pPr>
    </w:p>
    <w:p>
      <w:pPr>
        <w:jc w:val="both"/>
        <w:ind w:right="80" w:firstLine="373"/>
        <w:spacing w:after="0" w:line="286"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except the naked credit deferred tax liability.</w:t>
      </w:r>
    </w:p>
    <w:p>
      <w:pPr>
        <w:spacing w:after="0" w:line="108" w:lineRule="exact"/>
        <w:rPr>
          <w:sz w:val="20"/>
          <w:szCs w:val="20"/>
          <w:color w:val="auto"/>
        </w:rPr>
      </w:pPr>
    </w:p>
    <w:p>
      <w:pPr>
        <w:ind w:right="120" w:firstLine="373"/>
        <w:spacing w:after="0" w:line="260" w:lineRule="auto"/>
        <w:rPr>
          <w:sz w:val="20"/>
          <w:szCs w:val="20"/>
          <w:color w:val="auto"/>
        </w:rPr>
      </w:pPr>
      <w:r>
        <w:rPr>
          <w:rFonts w:ascii="Arial" w:cs="Arial" w:eastAsia="Arial" w:hAnsi="Arial"/>
          <w:sz w:val="17"/>
          <w:szCs w:val="17"/>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2021.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5" w:name="page76"/>
    <w:bookmarkEnd w:id="75"/>
    <w:p>
      <w:pPr>
        <w:ind w:right="280" w:firstLine="373"/>
        <w:spacing w:after="0" w:line="284" w:lineRule="auto"/>
        <w:rPr>
          <w:sz w:val="20"/>
          <w:szCs w:val="20"/>
          <w:color w:val="auto"/>
        </w:rPr>
      </w:pPr>
      <w:r>
        <w:rPr>
          <w:rFonts w:ascii="Arial" w:cs="Arial" w:eastAsia="Arial" w:hAnsi="Arial"/>
          <w:sz w:val="17"/>
          <w:szCs w:val="17"/>
          <w:color w:val="auto"/>
        </w:rPr>
        <w:t>The Company's consolidated income tax expense has differed from the amount that would be provided by applying the U.S. Federal statutory income tax rate to the Company's income before income taxes for the following reasons: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8"/>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at federal statutory tax rate of 21.0%, 21.0% and 28.6%, respectively</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(3,087)</w:t>
            </w: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State income taxes, net of Federal tax benefit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Impact of Non-U.S.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Research and development tax credit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(936)</w:t>
            </w: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Meals and entertainment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Goodwill impairment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valuation allowance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Effect of elimination of stock compensation APIC pool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13"/>
        </w:trPr>
        <w:tc>
          <w:tcPr>
            <w:tcW w:w="6760" w:type="dxa"/>
            <w:vAlign w:val="bottom"/>
          </w:tcPr>
          <w:p>
            <w:pPr>
              <w:ind w:left="20"/>
              <w:spacing w:after="0"/>
              <w:rPr>
                <w:sz w:val="20"/>
                <w:szCs w:val="20"/>
                <w:color w:val="auto"/>
              </w:rPr>
            </w:pPr>
            <w:r>
              <w:rPr>
                <w:rFonts w:ascii="Arial" w:cs="Arial" w:eastAsia="Arial" w:hAnsi="Arial"/>
                <w:sz w:val="17"/>
                <w:szCs w:val="17"/>
                <w:color w:val="auto"/>
              </w:rPr>
              <w:t>Income tax benefit</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(3,556)</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60" w:firstLine="373"/>
        <w:spacing w:after="0" w:line="317" w:lineRule="auto"/>
        <w:rPr>
          <w:sz w:val="20"/>
          <w:szCs w:val="20"/>
          <w:color w:val="auto"/>
        </w:rPr>
      </w:pPr>
      <w:r>
        <w:rPr>
          <w:rFonts w:ascii="Arial" w:cs="Arial" w:eastAsia="Arial" w:hAnsi="Arial"/>
          <w:sz w:val="16"/>
          <w:szCs w:val="16"/>
          <w:color w:val="auto"/>
        </w:rPr>
        <w:t>During fiscal year 2020, the Company recorded a goodwill impairment of $158.6 million. The Company has made the tax accounting policy election to first allocate the impairment to the Company’s nondeductible goodwill based on the Company’s pre-impairment nondeductible goodwill balance.</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a reconciliation of the beginning and ending amount of unrecognized tax benefits: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8"/>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2019</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 balance at June 1</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r>
      <w:tr>
        <w:trPr>
          <w:trHeight w:val="220"/>
        </w:trPr>
        <w:tc>
          <w:tcPr>
            <w:tcW w:w="6760" w:type="dxa"/>
            <w:vAlign w:val="bottom"/>
          </w:tcPr>
          <w:p>
            <w:pPr>
              <w:ind w:left="20"/>
              <w:spacing w:after="0"/>
              <w:rPr>
                <w:sz w:val="20"/>
                <w:szCs w:val="20"/>
                <w:color w:val="auto"/>
              </w:rPr>
            </w:pPr>
            <w:r>
              <w:rPr>
                <w:rFonts w:ascii="Arial" w:cs="Arial" w:eastAsia="Arial" w:hAnsi="Arial"/>
                <w:sz w:val="17"/>
                <w:szCs w:val="17"/>
                <w:color w:val="auto"/>
              </w:rPr>
              <w:t>Decrease in gross amounts of tax positions related to prior years due to U.S. tax reform</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 due to lapse in statute of limitations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760" w:type="dxa"/>
            <w:vAlign w:val="bottom"/>
          </w:tcPr>
          <w:p>
            <w:pPr>
              <w:ind w:left="20"/>
              <w:spacing w:after="0"/>
              <w:rPr>
                <w:sz w:val="20"/>
                <w:szCs w:val="20"/>
                <w:color w:val="auto"/>
              </w:rPr>
            </w:pPr>
            <w:r>
              <w:rPr>
                <w:rFonts w:ascii="Arial" w:cs="Arial" w:eastAsia="Arial" w:hAnsi="Arial"/>
                <w:sz w:val="17"/>
                <w:szCs w:val="17"/>
                <w:color w:val="auto"/>
              </w:rPr>
              <w:t>Unrecognized tax benefits balance at May 31</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460" w:firstLine="373"/>
        <w:spacing w:after="0" w:line="284" w:lineRule="auto"/>
        <w:rPr>
          <w:sz w:val="20"/>
          <w:szCs w:val="20"/>
          <w:color w:val="auto"/>
        </w:rPr>
      </w:pPr>
      <w:r>
        <w:rPr>
          <w:rFonts w:ascii="Arial" w:cs="Arial" w:eastAsia="Arial" w:hAnsi="Arial"/>
          <w:sz w:val="17"/>
          <w:szCs w:val="17"/>
          <w:color w:val="auto"/>
        </w:rPr>
        <w:t>The table above includes unrecognized tax benefits associated with the calculation of limitations placed on the utilization of tax attributes related to an acquired company. If recognized, $0.5 million would result in adjustments to other tax accounts.</w:t>
      </w:r>
    </w:p>
    <w:p>
      <w:pPr>
        <w:spacing w:after="0" w:line="108" w:lineRule="exact"/>
        <w:rPr>
          <w:sz w:val="20"/>
          <w:szCs w:val="20"/>
          <w:color w:val="auto"/>
        </w:rPr>
      </w:pPr>
    </w:p>
    <w:p>
      <w:pPr>
        <w:ind w:right="280" w:firstLine="373"/>
        <w:spacing w:after="0" w:line="284" w:lineRule="auto"/>
        <w:rPr>
          <w:sz w:val="20"/>
          <w:szCs w:val="20"/>
          <w:color w:val="auto"/>
        </w:rPr>
      </w:pPr>
      <w:r>
        <w:rPr>
          <w:rFonts w:ascii="Arial" w:cs="Arial" w:eastAsia="Arial" w:hAnsi="Arial"/>
          <w:sz w:val="17"/>
          <w:szCs w:val="17"/>
          <w:color w:val="auto"/>
        </w:rPr>
        <w:t>The Company recognizes interest and penalties related to unrecognized tax benefits as a component of income tax expense. There are no accrued interest and penalties recognized in the consolidated balance sheet as of May 31, 2021 and May 31, 2020.</w:t>
      </w:r>
    </w:p>
    <w:p>
      <w:pPr>
        <w:spacing w:after="0" w:line="108" w:lineRule="exact"/>
        <w:rPr>
          <w:sz w:val="20"/>
          <w:szCs w:val="20"/>
          <w:color w:val="auto"/>
        </w:rPr>
      </w:pPr>
    </w:p>
    <w:p>
      <w:pPr>
        <w:ind w:right="320" w:firstLine="373"/>
        <w:spacing w:after="0" w:line="269" w:lineRule="auto"/>
        <w:rPr>
          <w:sz w:val="20"/>
          <w:szCs w:val="20"/>
          <w:color w:val="auto"/>
        </w:rPr>
      </w:pPr>
      <w:r>
        <w:rPr>
          <w:rFonts w:ascii="Arial" w:cs="Arial" w:eastAsia="Arial" w:hAnsi="Arial"/>
          <w:sz w:val="17"/>
          <w:szCs w:val="17"/>
          <w:color w:val="auto"/>
        </w:rPr>
        <w:t>The Company files income tax returns in the U.S. federal jurisdiction and various state and foreign jurisdictions. In the normal course of business the Company is subject to examination by taxing authorities throughout the world. Fiscal years 2018 through 2020 remain open to examination by the various tax authorities.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does not anticipate that the amount of unrecognized tax benefits will significantly change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11. ACCRUED LIABILITIES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Accrued liabilities consist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May 31, 2021</w:t>
            </w:r>
          </w:p>
        </w:tc>
        <w:tc>
          <w:tcPr>
            <w:tcW w:w="220" w:type="dxa"/>
            <w:vAlign w:val="bottom"/>
          </w:tcPr>
          <w:p>
            <w:pPr>
              <w:spacing w:after="0"/>
              <w:rPr>
                <w:sz w:val="15"/>
                <w:szCs w:val="15"/>
                <w:color w:val="auto"/>
              </w:rPr>
            </w:pPr>
          </w:p>
        </w:tc>
        <w:tc>
          <w:tcPr>
            <w:tcW w:w="1200" w:type="dxa"/>
            <w:vAlign w:val="bottom"/>
          </w:tcPr>
          <w:p>
            <w:pPr>
              <w:jc w:val="right"/>
              <w:ind w:right="235"/>
              <w:spacing w:after="0"/>
              <w:rPr>
                <w:sz w:val="20"/>
                <w:szCs w:val="20"/>
                <w:color w:val="auto"/>
              </w:rPr>
            </w:pPr>
            <w:r>
              <w:rPr>
                <w:rFonts w:ascii="Arial" w:cs="Arial" w:eastAsia="Arial" w:hAnsi="Arial"/>
                <w:sz w:val="14"/>
                <w:szCs w:val="14"/>
                <w:color w:val="auto"/>
              </w:rPr>
              <w:t>May 31, 2020</w:t>
            </w:r>
          </w:p>
        </w:tc>
      </w:tr>
      <w:tr>
        <w:trPr>
          <w:trHeight w:val="21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Payroll and related expenses</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13,059</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Outside services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2,222</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Royalties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2,392</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Accrued severance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794</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franchise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Litigation matters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Indemnification holdback</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5,279</w:t>
            </w:r>
          </w:p>
        </w:tc>
      </w:tr>
      <w:tr>
        <w:trPr>
          <w:trHeight w:val="238"/>
        </w:trPr>
        <w:tc>
          <w:tcPr>
            <w:tcW w:w="8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29,380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LONG-TERM DEBT</w:t>
      </w:r>
    </w:p>
    <w:p>
      <w:pPr>
        <w:spacing w:after="0" w:line="174" w:lineRule="exact"/>
        <w:rPr>
          <w:sz w:val="20"/>
          <w:szCs w:val="20"/>
          <w:color w:val="auto"/>
        </w:rPr>
      </w:pPr>
    </w:p>
    <w:p>
      <w:pPr>
        <w:ind w:right="60" w:firstLine="373"/>
        <w:spacing w:after="0" w:line="269" w:lineRule="auto"/>
        <w:rPr>
          <w:sz w:val="20"/>
          <w:szCs w:val="20"/>
          <w:color w:val="auto"/>
        </w:rPr>
      </w:pPr>
      <w:r>
        <w:rPr>
          <w:rFonts w:ascii="Arial" w:cs="Arial" w:eastAsia="Arial" w:hAnsi="Arial"/>
          <w:sz w:val="17"/>
          <w:szCs w:val="17"/>
          <w:color w:val="auto"/>
        </w:rPr>
        <w:t>On June 3, 2019 and in connection with the completion of the Fluid Management divestiture, the Company repaid all amounts outstanding under its existing Credit Agreement and entered into a new Credit Agreement with the lenders party thereto, JPMorgan Chase Bank, N.A., as administrative agent, and Bank of America, N.A. and KeyBank National Association, as co-syndication agents.</w:t>
      </w:r>
    </w:p>
    <w:p>
      <w:pPr>
        <w:spacing w:after="0" w:line="121" w:lineRule="exact"/>
        <w:rPr>
          <w:sz w:val="20"/>
          <w:szCs w:val="20"/>
          <w:color w:val="auto"/>
        </w:rPr>
      </w:pPr>
    </w:p>
    <w:p>
      <w:pPr>
        <w:ind w:right="100" w:firstLine="373"/>
        <w:spacing w:after="0" w:line="278" w:lineRule="auto"/>
        <w:rPr>
          <w:sz w:val="20"/>
          <w:szCs w:val="20"/>
          <w:color w:val="auto"/>
        </w:rPr>
      </w:pPr>
      <w:r>
        <w:rPr>
          <w:rFonts w:ascii="Arial" w:cs="Arial" w:eastAsia="Arial" w:hAnsi="Arial"/>
          <w:sz w:val="16"/>
          <w:szCs w:val="16"/>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20" w:lineRule="exact"/>
        <w:rPr>
          <w:sz w:val="20"/>
          <w:szCs w:val="20"/>
          <w:color w:val="auto"/>
        </w:rPr>
      </w:pPr>
    </w:p>
    <w:p>
      <w:pPr>
        <w:ind w:right="20" w:firstLine="373"/>
        <w:spacing w:after="0" w:line="264" w:lineRule="auto"/>
        <w:rPr>
          <w:sz w:val="20"/>
          <w:szCs w:val="20"/>
          <w:color w:val="auto"/>
        </w:rPr>
      </w:pPr>
      <w:r>
        <w:rPr>
          <w:rFonts w:ascii="Arial" w:cs="Arial" w:eastAsia="Arial" w:hAnsi="Arial"/>
          <w:sz w:val="17"/>
          <w:szCs w:val="17"/>
          <w:color w:val="auto"/>
        </w:rPr>
        <w:t>The Credit Agreement has a five year maturity. Interest on the facility is based, at the Company’s option, on either a base rate of LIBOR or alternate base rate, plus an applicable margin tied to the Company’s total leverage ratio and having ranges between 0.25% and 0.75% for base rate loans and between 1.25% and 1.75% for LIBOR loans. After default, the interest rate may be increased by 2.0%. The facility also carries a commitment fee of 0.20% to 0.25% per annum on the unused portion.</w:t>
      </w:r>
    </w:p>
    <w:p>
      <w:pPr>
        <w:spacing w:after="0" w:line="125" w:lineRule="exact"/>
        <w:rPr>
          <w:sz w:val="20"/>
          <w:szCs w:val="20"/>
          <w:color w:val="auto"/>
        </w:rPr>
      </w:pPr>
    </w:p>
    <w:p>
      <w:pPr>
        <w:ind w:right="40" w:firstLine="373"/>
        <w:spacing w:after="0" w:line="269" w:lineRule="auto"/>
        <w:rPr>
          <w:sz w:val="20"/>
          <w:szCs w:val="20"/>
          <w:color w:val="auto"/>
        </w:rPr>
      </w:pPr>
      <w:r>
        <w:rPr>
          <w:rFonts w:ascii="Arial" w:cs="Arial" w:eastAsia="Arial" w:hAnsi="Arial"/>
          <w:sz w:val="17"/>
          <w:szCs w:val="17"/>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21" w:lineRule="exact"/>
        <w:rPr>
          <w:sz w:val="20"/>
          <w:szCs w:val="20"/>
          <w:color w:val="auto"/>
        </w:rPr>
      </w:pPr>
    </w:p>
    <w:p>
      <w:pPr>
        <w:ind w:right="700" w:firstLine="373"/>
        <w:spacing w:after="0" w:line="284" w:lineRule="auto"/>
        <w:rPr>
          <w:sz w:val="20"/>
          <w:szCs w:val="20"/>
          <w:color w:val="auto"/>
        </w:rPr>
      </w:pPr>
      <w:r>
        <w:rPr>
          <w:rFonts w:ascii="Arial" w:cs="Arial" w:eastAsia="Arial" w:hAnsi="Arial"/>
          <w:sz w:val="17"/>
          <w:szCs w:val="17"/>
          <w:color w:val="auto"/>
        </w:rPr>
        <w:t>The Credit Agreement includes customary representations, warranties and covenants, and acceleration, indemnity and events of default provisions, including, among other things, two quarterly financial covenants as follows:</w:t>
      </w:r>
    </w:p>
    <w:p>
      <w:pPr>
        <w:spacing w:after="0" w:line="108" w:lineRule="exact"/>
        <w:rPr>
          <w:sz w:val="20"/>
          <w:szCs w:val="20"/>
          <w:color w:val="auto"/>
        </w:rPr>
      </w:pPr>
    </w:p>
    <w:p>
      <w:pPr>
        <w:ind w:left="620" w:right="60" w:hanging="227"/>
        <w:spacing w:after="0" w:line="262" w:lineRule="auto"/>
        <w:tabs>
          <w:tab w:leader="none" w:pos="616" w:val="left"/>
        </w:tabs>
        <w:numPr>
          <w:ilvl w:val="1"/>
          <w:numId w:val="44"/>
        </w:numPr>
        <w:rPr>
          <w:rFonts w:ascii="Arial" w:cs="Arial" w:eastAsia="Arial" w:hAnsi="Arial"/>
          <w:sz w:val="17"/>
          <w:szCs w:val="17"/>
          <w:color w:val="auto"/>
        </w:rPr>
      </w:pPr>
      <w:r>
        <w:rPr>
          <w:rFonts w:ascii="Arial" w:cs="Arial" w:eastAsia="Arial" w:hAnsi="Arial"/>
          <w:sz w:val="17"/>
          <w:szCs w:val="17"/>
          <w:color w:val="auto"/>
        </w:rPr>
        <w:t>Maximum leverage ratio of consolidated total indebtedness* to consolidated EBITDA* of not greater than 3.00 to 1.00 (during certain periods following material acquisitions the ratio shall be increased to 3.50 to 1.00).</w:t>
      </w:r>
    </w:p>
    <w:p>
      <w:pPr>
        <w:ind w:left="620" w:right="60" w:hanging="227"/>
        <w:spacing w:after="0" w:line="269" w:lineRule="auto"/>
        <w:tabs>
          <w:tab w:leader="none" w:pos="616" w:val="left"/>
        </w:tabs>
        <w:numPr>
          <w:ilvl w:val="1"/>
          <w:numId w:val="44"/>
        </w:numPr>
        <w:rPr>
          <w:rFonts w:ascii="Arial" w:cs="Arial" w:eastAsia="Arial" w:hAnsi="Arial"/>
          <w:sz w:val="17"/>
          <w:szCs w:val="17"/>
          <w:color w:val="auto"/>
        </w:rPr>
      </w:pPr>
      <w:r>
        <w:rPr>
          <w:rFonts w:ascii="Arial" w:cs="Arial" w:eastAsia="Arial" w:hAnsi="Arial"/>
          <w:sz w:val="17"/>
          <w:szCs w:val="17"/>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13" w:lineRule="exact"/>
        <w:rPr>
          <w:rFonts w:ascii="Arial" w:cs="Arial" w:eastAsia="Arial" w:hAnsi="Arial"/>
          <w:sz w:val="17"/>
          <w:szCs w:val="17"/>
          <w:color w:val="auto"/>
        </w:rPr>
      </w:pPr>
    </w:p>
    <w:p>
      <w:pPr>
        <w:ind w:right="140"/>
        <w:spacing w:after="0" w:line="253" w:lineRule="auto"/>
        <w:rPr>
          <w:rFonts w:ascii="Arial" w:cs="Arial" w:eastAsia="Arial" w:hAnsi="Arial"/>
          <w:sz w:val="17"/>
          <w:szCs w:val="17"/>
          <w:color w:val="auto"/>
        </w:rPr>
      </w:pPr>
      <w:r>
        <w:rPr>
          <w:rFonts w:ascii="Arial" w:cs="Arial" w:eastAsia="Arial" w:hAnsi="Arial"/>
          <w:sz w:val="14"/>
          <w:szCs w:val="14"/>
          <w:color w:val="auto"/>
        </w:rPr>
        <w:t>* The definitions of consolidated total indebtedness, consolidated EBITDA, consolidated capital expenditures and consolidated interest expense are specifically defined in the credit agreement included as an exhibit to Form 8-K filed on June 6, 2019.</w:t>
      </w:r>
    </w:p>
    <w:p>
      <w:pPr>
        <w:spacing w:after="0" w:line="133" w:lineRule="exact"/>
        <w:rPr>
          <w:sz w:val="20"/>
          <w:szCs w:val="20"/>
          <w:color w:val="auto"/>
        </w:rPr>
      </w:pPr>
    </w:p>
    <w:p>
      <w:pPr>
        <w:ind w:right="140" w:firstLine="373"/>
        <w:spacing w:after="0" w:line="284" w:lineRule="auto"/>
        <w:rPr>
          <w:sz w:val="20"/>
          <w:szCs w:val="20"/>
          <w:color w:val="auto"/>
        </w:rPr>
      </w:pPr>
      <w:r>
        <w:rPr>
          <w:rFonts w:ascii="Arial" w:cs="Arial" w:eastAsia="Arial" w:hAnsi="Arial"/>
          <w:sz w:val="17"/>
          <w:szCs w:val="17"/>
          <w:color w:val="auto"/>
        </w:rPr>
        <w:t>As of May 31, 2021 there was $20.0 million outstanding on the Revolving Facility. As of May 31, 2021 and May 31, 2020, the carrying value of long-term debt approximated its fair market value.</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interest rate on the Revolving Facility at May 31, 2021 was 1.36%.</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was in compliance with the Credit Agreement covenants as of May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13. RETIREMENT PLANS</w:t>
      </w:r>
    </w:p>
    <w:p>
      <w:pPr>
        <w:spacing w:after="0" w:line="174" w:lineRule="exact"/>
        <w:rPr>
          <w:sz w:val="20"/>
          <w:szCs w:val="20"/>
          <w:color w:val="auto"/>
        </w:rPr>
      </w:pPr>
    </w:p>
    <w:p>
      <w:pPr>
        <w:ind w:right="480" w:firstLine="373"/>
        <w:spacing w:after="0" w:line="269" w:lineRule="auto"/>
        <w:rPr>
          <w:sz w:val="20"/>
          <w:szCs w:val="20"/>
          <w:color w:val="auto"/>
        </w:rPr>
      </w:pPr>
      <w:r>
        <w:rPr>
          <w:rFonts w:ascii="Arial" w:cs="Arial" w:eastAsia="Arial" w:hAnsi="Arial"/>
          <w:sz w:val="17"/>
          <w:szCs w:val="17"/>
          <w:color w:val="auto"/>
        </w:rPr>
        <w:t>The Company has a 401(k) plan under which eligible employees can defer a portion of their compensation, part of which is matched by the Company. Matching contributions were $3.8 million, $3.2 million and $3.6 million in 2021, 2020 and 2019, respectively. There are also various immaterial foreign retirement plans.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STOCKHOLDERS’ EQUITY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Capitalization</w:t>
      </w:r>
    </w:p>
    <w:p>
      <w:pPr>
        <w:spacing w:after="0" w:line="168" w:lineRule="exact"/>
        <w:rPr>
          <w:sz w:val="20"/>
          <w:szCs w:val="20"/>
          <w:color w:val="auto"/>
        </w:rPr>
      </w:pPr>
    </w:p>
    <w:p>
      <w:pPr>
        <w:ind w:right="80" w:firstLine="373"/>
        <w:spacing w:after="0" w:line="269" w:lineRule="auto"/>
        <w:rPr>
          <w:sz w:val="20"/>
          <w:szCs w:val="20"/>
          <w:color w:val="auto"/>
        </w:rPr>
      </w:pPr>
      <w:r>
        <w:rPr>
          <w:rFonts w:ascii="Arial" w:cs="Arial" w:eastAsia="Arial" w:hAnsi="Arial"/>
          <w:sz w:val="17"/>
          <w:szCs w:val="17"/>
          <w:color w:val="auto"/>
        </w:rPr>
        <w:t>On October 29, 2014, the Board of Directors approved the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w:t>
      </w:r>
    </w:p>
    <w:p>
      <w:pPr>
        <w:spacing w:after="0" w:line="121" w:lineRule="exact"/>
        <w:rPr>
          <w:sz w:val="20"/>
          <w:szCs w:val="20"/>
          <w:color w:val="auto"/>
        </w:rPr>
      </w:pPr>
    </w:p>
    <w:p>
      <w:pPr>
        <w:ind w:right="80" w:firstLine="373"/>
        <w:spacing w:after="0" w:line="259" w:lineRule="auto"/>
        <w:rPr>
          <w:sz w:val="20"/>
          <w:szCs w:val="20"/>
          <w:color w:val="auto"/>
        </w:rPr>
      </w:pPr>
      <w:r>
        <w:rPr>
          <w:rFonts w:ascii="Arial" w:cs="Arial" w:eastAsia="Arial" w:hAnsi="Arial"/>
          <w:sz w:val="17"/>
          <w:szCs w:val="17"/>
          <w:color w:val="auto"/>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the Company liquidates, dissolves, or winds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31" w:lineRule="exact"/>
        <w:rPr>
          <w:sz w:val="20"/>
          <w:szCs w:val="20"/>
          <w:color w:val="auto"/>
        </w:rPr>
      </w:pPr>
    </w:p>
    <w:p>
      <w:pPr>
        <w:jc w:val="both"/>
        <w:ind w:right="60" w:firstLine="373"/>
        <w:spacing w:after="0" w:line="294" w:lineRule="auto"/>
        <w:rPr>
          <w:sz w:val="20"/>
          <w:szCs w:val="20"/>
          <w:color w:val="auto"/>
        </w:rPr>
      </w:pPr>
      <w:r>
        <w:rPr>
          <w:rFonts w:ascii="Arial" w:cs="Arial" w:eastAsia="Arial" w:hAnsi="Arial"/>
          <w:sz w:val="16"/>
          <w:szCs w:val="16"/>
          <w:color w:val="auto"/>
        </w:rPr>
        <w:t>The Board of Directors has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the Company's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68" w:lineRule="exact"/>
        <w:rPr>
          <w:sz w:val="20"/>
          <w:szCs w:val="20"/>
          <w:color w:val="auto"/>
        </w:rPr>
      </w:pPr>
    </w:p>
    <w:p>
      <w:pPr>
        <w:ind w:right="80" w:firstLine="389"/>
        <w:spacing w:after="0" w:line="264" w:lineRule="auto"/>
        <w:rPr>
          <w:sz w:val="20"/>
          <w:szCs w:val="20"/>
          <w:color w:val="auto"/>
        </w:rPr>
      </w:pPr>
      <w:r>
        <w:rPr>
          <w:rFonts w:ascii="Arial" w:cs="Arial" w:eastAsia="Arial" w:hAnsi="Arial"/>
          <w:sz w:val="17"/>
          <w:szCs w:val="17"/>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A total of 2.4 million shares of common stock have been reserved for issuance under the 2020 Plan.</w:t>
      </w:r>
    </w:p>
    <w:p>
      <w:pPr>
        <w:spacing w:after="0" w:line="125" w:lineRule="exact"/>
        <w:rPr>
          <w:sz w:val="20"/>
          <w:szCs w:val="20"/>
          <w:color w:val="auto"/>
        </w:rPr>
      </w:pPr>
    </w:p>
    <w:p>
      <w:pPr>
        <w:ind w:right="120" w:firstLine="389"/>
        <w:spacing w:after="0" w:line="269" w:lineRule="auto"/>
        <w:rPr>
          <w:sz w:val="20"/>
          <w:szCs w:val="20"/>
          <w:color w:val="auto"/>
        </w:rPr>
      </w:pPr>
      <w:r>
        <w:rPr>
          <w:rFonts w:ascii="Arial" w:cs="Arial" w:eastAsia="Arial" w:hAnsi="Arial"/>
          <w:sz w:val="17"/>
          <w:szCs w:val="17"/>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May 31, 2021, there remained approximately 2.3 million shares available for granting under the 2020 Plan.</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information about stock option activity for the fiscal year ended May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color w:val="auto"/>
              </w:rPr>
              <w:t>Weighted 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Weighted average</w:t>
            </w:r>
          </w:p>
        </w:tc>
        <w:tc>
          <w:tcPr>
            <w:tcW w:w="120" w:type="dxa"/>
            <w:vAlign w:val="bottom"/>
          </w:tcPr>
          <w:p>
            <w:pPr>
              <w:spacing w:after="0"/>
              <w:rPr>
                <w:sz w:val="14"/>
                <w:szCs w:val="14"/>
                <w:color w:val="auto"/>
              </w:rPr>
            </w:pPr>
          </w:p>
        </w:tc>
        <w:tc>
          <w:tcPr>
            <w:tcW w:w="1300" w:type="dxa"/>
            <w:vAlign w:val="bottom"/>
            <w:vMerge w:val="restart"/>
          </w:tcPr>
          <w:p>
            <w:pPr>
              <w:jc w:val="right"/>
              <w:ind w:right="101"/>
              <w:spacing w:after="0"/>
              <w:rPr>
                <w:sz w:val="20"/>
                <w:szCs w:val="20"/>
                <w:color w:val="auto"/>
              </w:rPr>
            </w:pPr>
            <w:r>
              <w:rPr>
                <w:rFonts w:ascii="Arial" w:cs="Arial" w:eastAsia="Arial" w:hAnsi="Arial"/>
                <w:sz w:val="14"/>
                <w:szCs w:val="14"/>
                <w:color w:val="auto"/>
                <w:w w:val="94"/>
              </w:rPr>
              <w:t>Aggregate intrinsic</w:t>
            </w:r>
          </w:p>
        </w:tc>
        <w:tc>
          <w:tcPr>
            <w:tcW w:w="0" w:type="dxa"/>
            <w:vAlign w:val="bottom"/>
          </w:tcPr>
          <w:p>
            <w:pPr>
              <w:spacing w:after="0"/>
              <w:rPr>
                <w:sz w:val="1"/>
                <w:szCs w:val="1"/>
                <w:color w:val="auto"/>
              </w:rPr>
            </w:pPr>
          </w:p>
        </w:tc>
      </w:tr>
      <w:tr>
        <w:trPr>
          <w:trHeight w:val="130"/>
        </w:trPr>
        <w:tc>
          <w:tcPr>
            <w:tcW w:w="5220" w:type="dxa"/>
            <w:vAlign w:val="bottom"/>
          </w:tcPr>
          <w:p>
            <w:pPr>
              <w:spacing w:after="0"/>
              <w:rPr>
                <w:sz w:val="11"/>
                <w:szCs w:val="11"/>
                <w:color w:val="auto"/>
              </w:rPr>
            </w:pPr>
          </w:p>
        </w:tc>
        <w:tc>
          <w:tcPr>
            <w:tcW w:w="1440" w:type="dxa"/>
            <w:vAlign w:val="bottom"/>
            <w:vMerge w:val="restart"/>
          </w:tcPr>
          <w:p>
            <w:pPr>
              <w:jc w:val="right"/>
              <w:ind w:right="456"/>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89"/>
              </w:rPr>
              <w:t>remaining contractual</w:t>
            </w: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color w:val="auto"/>
              </w:rPr>
              <w:t>exercise price</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w w:val="90"/>
              </w:rPr>
              <w:t>value (in thousands)</w:t>
            </w:r>
          </w:p>
        </w:tc>
        <w:tc>
          <w:tcPr>
            <w:tcW w:w="0" w:type="dxa"/>
            <w:vAlign w:val="bottom"/>
          </w:tcPr>
          <w:p>
            <w:pPr>
              <w:spacing w:after="0"/>
              <w:rPr>
                <w:sz w:val="1"/>
                <w:szCs w:val="1"/>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7"/>
                <w:szCs w:val="17"/>
                <w:color w:val="auto"/>
              </w:rPr>
              <w:t>Outstanding at beginning of year - June 1, 2020</w:t>
            </w:r>
          </w:p>
        </w:tc>
        <w:tc>
          <w:tcPr>
            <w:tcW w:w="1440" w:type="dxa"/>
            <w:vAlign w:val="bottom"/>
          </w:tcPr>
          <w:p>
            <w:pPr>
              <w:jc w:val="right"/>
              <w:spacing w:after="0"/>
              <w:rPr>
                <w:sz w:val="20"/>
                <w:szCs w:val="20"/>
                <w:color w:val="auto"/>
              </w:rPr>
            </w:pPr>
            <w:r>
              <w:rPr>
                <w:rFonts w:ascii="Arial" w:cs="Arial" w:eastAsia="Arial" w:hAnsi="Arial"/>
                <w:sz w:val="17"/>
                <w:szCs w:val="17"/>
                <w:color w:val="auto"/>
              </w:rPr>
              <w:t>1,938,753</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16.89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Granted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7"/>
                <w:szCs w:val="17"/>
                <w:color w:val="auto"/>
              </w:rPr>
              <w:t>Exercised</w:t>
            </w:r>
          </w:p>
        </w:tc>
        <w:tc>
          <w:tcPr>
            <w:tcW w:w="1440" w:type="dxa"/>
            <w:vAlign w:val="bottom"/>
          </w:tcPr>
          <w:p>
            <w:pPr>
              <w:jc w:val="right"/>
              <w:spacing w:after="0"/>
              <w:rPr>
                <w:sz w:val="20"/>
                <w:szCs w:val="20"/>
                <w:color w:val="auto"/>
              </w:rPr>
            </w:pPr>
            <w:r>
              <w:rPr>
                <w:rFonts w:ascii="Arial" w:cs="Arial" w:eastAsia="Arial" w:hAnsi="Arial"/>
                <w:sz w:val="17"/>
                <w:szCs w:val="17"/>
                <w:color w:val="auto"/>
              </w:rPr>
              <w:t>(137,237)</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16.45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(50,470)</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12.33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end of year - May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2,146,960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16,176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Options exercisable at year-end</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16.26</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7,324</w:t>
            </w:r>
          </w:p>
        </w:tc>
        <w:tc>
          <w:tcPr>
            <w:tcW w:w="0" w:type="dxa"/>
            <w:vAlign w:val="bottom"/>
          </w:tcPr>
          <w:p>
            <w:pPr>
              <w:spacing w:after="0" w:line="20" w:lineRule="exact"/>
              <w:rPr>
                <w:sz w:val="1"/>
                <w:szCs w:val="1"/>
                <w:color w:val="auto"/>
              </w:rPr>
            </w:pPr>
          </w:p>
        </w:tc>
      </w:tr>
      <w:tr>
        <w:trPr>
          <w:trHeight w:val="192"/>
        </w:trPr>
        <w:tc>
          <w:tcPr>
            <w:tcW w:w="5220" w:type="dxa"/>
            <w:vAlign w:val="bottom"/>
            <w:vMerge w:val="continue"/>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Arial" w:cs="Arial" w:eastAsia="Arial" w:hAnsi="Arial"/>
                <w:sz w:val="17"/>
                <w:szCs w:val="17"/>
                <w:color w:val="auto"/>
              </w:rPr>
              <w:t>1,067,686</w:t>
            </w:r>
          </w:p>
        </w:tc>
        <w:tc>
          <w:tcPr>
            <w:tcW w:w="2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expected to vest in future periods</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1,079,274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60" w:firstLine="373"/>
        <w:spacing w:after="0" w:line="269" w:lineRule="auto"/>
        <w:rPr>
          <w:sz w:val="20"/>
          <w:szCs w:val="20"/>
          <w:color w:val="auto"/>
        </w:rPr>
      </w:pPr>
      <w:r>
        <w:rPr>
          <w:rFonts w:ascii="Arial" w:cs="Arial" w:eastAsia="Arial" w:hAnsi="Arial"/>
          <w:sz w:val="17"/>
          <w:szCs w:val="17"/>
          <w:color w:val="auto"/>
        </w:rPr>
        <w:t>Stock options are granted at exercise prices equal to the quoted market price of common stock at the date of the grant. Options vest 25% per year over four years for employees. Stock options granted prior to May 1, 2007 and after June 1, 2017 expire on the tenth anniversary of the grant date. Stock options granted between May 1, 2007 through May 31, 2017 expire on the seventh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8" w:name="page79"/>
    <w:bookmarkEnd w:id="78"/>
    <w:p>
      <w:pPr>
        <w:ind w:right="160" w:firstLine="373"/>
        <w:spacing w:after="0" w:line="278" w:lineRule="auto"/>
        <w:rPr>
          <w:sz w:val="20"/>
          <w:szCs w:val="20"/>
          <w:color w:val="auto"/>
        </w:rPr>
      </w:pPr>
      <w:r>
        <w:rPr>
          <w:rFonts w:ascii="Arial" w:cs="Arial" w:eastAsia="Arial" w:hAnsi="Arial"/>
          <w:sz w:val="16"/>
          <w:szCs w:val="16"/>
          <w:color w:val="auto"/>
        </w:rPr>
        <w:t>The Company measures the fair value of each stock option grant at the date of grant using a Black-Scholes option pricing model. The weighted average grant-date fair value of options granted during the years ended May 31, 2021, 2020 and 2019 was $3.97, $5.46, and $6.53, respectively. The following assumptions were used in arriving at the fair value of options granted during 2021, 2020 and 2019, respectively: risk-free interest rates of 0.34%, 1.63% and 2.78%; expected volatility of 39%, 31%, and 31%; and expected lives of 4.96 years, 4.91 years, and 4.79 years. The Company does not declare dividends therefore a dividend yield of zero was used for the years ended May 31, 2021, 2020 and 2019. Risk-free interest rates reflect the yield on zero-coupon U.S. Treasury bonds whose maturity period equals the expected term of the option. Expected volatilities are based on the historical volatility of the Company's stock. The expected option lives are based on historical experience of employee exercise behavior.</w:t>
      </w:r>
    </w:p>
    <w:p>
      <w:pPr>
        <w:spacing w:after="0" w:line="116" w:lineRule="exact"/>
        <w:rPr>
          <w:sz w:val="20"/>
          <w:szCs w:val="20"/>
          <w:color w:val="auto"/>
        </w:rPr>
      </w:pPr>
    </w:p>
    <w:p>
      <w:pPr>
        <w:jc w:val="both"/>
        <w:ind w:right="660" w:firstLine="373"/>
        <w:spacing w:after="0" w:line="269" w:lineRule="auto"/>
        <w:rPr>
          <w:sz w:val="20"/>
          <w:szCs w:val="20"/>
          <w:color w:val="auto"/>
        </w:rPr>
      </w:pPr>
      <w:r>
        <w:rPr>
          <w:rFonts w:ascii="Arial" w:cs="Arial" w:eastAsia="Arial" w:hAnsi="Arial"/>
          <w:sz w:val="17"/>
          <w:szCs w:val="17"/>
          <w:color w:val="auto"/>
        </w:rPr>
        <w:t>The total intrinsic value of options exercised during the years ended May 31, 2021, 2020 and 2019 was $0.8 million, $0.5 million, and $1.4 million, respectively. As of May 31, 2021, there was $3.9 million of total unrecognized compensation cost related to non-vested options, which is expected to be recognized over a weighted average period of 6 years.</w:t>
      </w:r>
    </w:p>
    <w:p>
      <w:pPr>
        <w:spacing w:after="0" w:line="121" w:lineRule="exact"/>
        <w:rPr>
          <w:sz w:val="20"/>
          <w:szCs w:val="20"/>
          <w:color w:val="auto"/>
        </w:rPr>
      </w:pPr>
    </w:p>
    <w:p>
      <w:pPr>
        <w:jc w:val="both"/>
        <w:ind w:right="640" w:firstLine="373"/>
        <w:spacing w:after="0" w:line="284" w:lineRule="auto"/>
        <w:rPr>
          <w:sz w:val="20"/>
          <w:szCs w:val="20"/>
          <w:color w:val="auto"/>
        </w:rPr>
      </w:pPr>
      <w:r>
        <w:rPr>
          <w:rFonts w:ascii="Arial" w:cs="Arial" w:eastAsia="Arial" w:hAnsi="Arial"/>
          <w:sz w:val="17"/>
          <w:szCs w:val="17"/>
          <w:color w:val="auto"/>
        </w:rPr>
        <w:t>Cash received from option exercises during 2021, 2020 and 2019 was $1.9 million, $0.6 million and $1.5 million, respectively. Due to the valuation allowance there was no tax benefit realized from stock option exercises during the years ended May 31, 2021, 2020 and 2019.</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and Performance Share Awards</w:t>
      </w:r>
    </w:p>
    <w:p>
      <w:pPr>
        <w:spacing w:after="0" w:line="168" w:lineRule="exact"/>
        <w:rPr>
          <w:sz w:val="20"/>
          <w:szCs w:val="20"/>
          <w:color w:val="auto"/>
        </w:rPr>
      </w:pPr>
    </w:p>
    <w:p>
      <w:pPr>
        <w:ind w:firstLine="373"/>
        <w:spacing w:after="0" w:line="264" w:lineRule="auto"/>
        <w:rPr>
          <w:sz w:val="20"/>
          <w:szCs w:val="20"/>
          <w:color w:val="auto"/>
        </w:rPr>
      </w:pPr>
      <w:r>
        <w:rPr>
          <w:rFonts w:ascii="Arial" w:cs="Arial" w:eastAsia="Arial" w:hAnsi="Arial"/>
          <w:sz w:val="17"/>
          <w:szCs w:val="17"/>
          <w:color w:val="auto"/>
        </w:rPr>
        <w:t>The Company grants restricted stock units to certain employees under the 2020 Plan, and historically under the 2004 Plan, which give the recipients the right to receive shares of Company stock upon vesting. The restricted stock unit awards vest in four equal annual installments beginning on the first anniversary of the grant date. Restricted stock unit awards granted to directors vest over one year. Unvested restricted stock unit awards will be forfeited if the recipient ceases to be employed by the Company.</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information about restricted stock unit activity for the year ended May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40" w:type="dxa"/>
            <w:vAlign w:val="bottom"/>
            <w:vMerge w:val="restart"/>
          </w:tcPr>
          <w:p>
            <w:pPr>
              <w:jc w:val="right"/>
              <w:ind w:right="16"/>
              <w:spacing w:after="0"/>
              <w:rPr>
                <w:sz w:val="20"/>
                <w:szCs w:val="20"/>
                <w:color w:val="auto"/>
              </w:rPr>
            </w:pPr>
            <w:r>
              <w:rPr>
                <w:rFonts w:ascii="Arial" w:cs="Arial" w:eastAsia="Arial" w:hAnsi="Arial"/>
                <w:sz w:val="14"/>
                <w:szCs w:val="14"/>
                <w:color w:val="auto"/>
                <w:w w:val="95"/>
              </w:rPr>
              <w:t>Restricted Stock Units</w:t>
            </w:r>
          </w:p>
        </w:tc>
        <w:tc>
          <w:tcPr>
            <w:tcW w:w="12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color w:val="auto"/>
                <w:w w:val="88"/>
              </w:rPr>
              <w:t>Weighted Average Grant-</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w w:val="96"/>
              </w:rPr>
              <w:t>Date Fair Value</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beginning of year, June 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464,921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w:t>
            </w:r>
          </w:p>
        </w:tc>
        <w:tc>
          <w:tcPr>
            <w:tcW w:w="0" w:type="dxa"/>
            <w:vAlign w:val="bottom"/>
          </w:tcPr>
          <w:p>
            <w:pPr>
              <w:spacing w:after="0"/>
              <w:rPr>
                <w:sz w:val="1"/>
                <w:szCs w:val="1"/>
                <w:color w:val="auto"/>
              </w:rPr>
            </w:pPr>
          </w:p>
        </w:tc>
      </w:tr>
      <w:tr>
        <w:trPr>
          <w:trHeight w:val="220"/>
        </w:trPr>
        <w:tc>
          <w:tcPr>
            <w:tcW w:w="8240" w:type="dxa"/>
            <w:vAlign w:val="bottom"/>
          </w:tcPr>
          <w:p>
            <w:pPr>
              <w:ind w:left="20"/>
              <w:spacing w:after="0"/>
              <w:rPr>
                <w:sz w:val="20"/>
                <w:szCs w:val="20"/>
                <w:color w:val="auto"/>
              </w:rPr>
            </w:pPr>
            <w:r>
              <w:rPr>
                <w:rFonts w:ascii="Arial" w:cs="Arial" w:eastAsia="Arial" w:hAnsi="Arial"/>
                <w:sz w:val="17"/>
                <w:szCs w:val="17"/>
                <w:color w:val="auto"/>
              </w:rPr>
              <w:t>Granted</w:t>
            </w:r>
          </w:p>
        </w:tc>
        <w:tc>
          <w:tcPr>
            <w:tcW w:w="1440" w:type="dxa"/>
            <w:vAlign w:val="bottom"/>
          </w:tcPr>
          <w:p>
            <w:pPr>
              <w:jc w:val="right"/>
              <w:spacing w:after="0"/>
              <w:rPr>
                <w:sz w:val="20"/>
                <w:szCs w:val="20"/>
                <w:color w:val="auto"/>
              </w:rPr>
            </w:pPr>
            <w:r>
              <w:rPr>
                <w:rFonts w:ascii="Arial" w:cs="Arial" w:eastAsia="Arial" w:hAnsi="Arial"/>
                <w:sz w:val="17"/>
                <w:szCs w:val="17"/>
                <w:color w:val="auto"/>
              </w:rPr>
              <w:t>533,708</w:t>
            </w:r>
          </w:p>
        </w:tc>
        <w:tc>
          <w:tcPr>
            <w:tcW w:w="3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10.40</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(205,202)</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(31,324)</w:t>
            </w:r>
          </w:p>
        </w:tc>
        <w:tc>
          <w:tcPr>
            <w:tcW w:w="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17.30</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end of year, May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762,103</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73"/>
        <w:spacing w:after="0" w:line="262" w:lineRule="auto"/>
        <w:rPr>
          <w:sz w:val="20"/>
          <w:szCs w:val="20"/>
          <w:color w:val="auto"/>
        </w:rPr>
      </w:pPr>
      <w:r>
        <w:rPr>
          <w:rFonts w:ascii="Arial" w:cs="Arial" w:eastAsia="Arial" w:hAnsi="Arial"/>
          <w:sz w:val="17"/>
          <w:szCs w:val="17"/>
          <w:color w:val="auto"/>
        </w:rPr>
        <w:t>The fair value of each restricted stock unit is the market price of Company stock on the date of grant. The weighted average grant date fair value of restricted stock units granted during the years ended May 31, 2021, 2020 and 2019 was $10.40, $20.35 and $20.87, respectively. The total intrinsic value of restricted stock units (meaning the fair value of the units on the date of vest) vesting during the years ended May 31, 2021, 2020 and 2019 was $2.1 million, $3.9 million, and $4.6 million, respectively. As of May 31, 2021, there was $6.5 million of total unrecognized compensation cost related to non-vested restricted stock awards, which is expected to be recognized over a weighted average period of 3 years.</w:t>
      </w:r>
    </w:p>
    <w:p>
      <w:pPr>
        <w:spacing w:after="0" w:line="126" w:lineRule="exact"/>
        <w:rPr>
          <w:sz w:val="20"/>
          <w:szCs w:val="20"/>
          <w:color w:val="auto"/>
        </w:rPr>
      </w:pPr>
    </w:p>
    <w:p>
      <w:pPr>
        <w:ind w:right="180" w:firstLine="373"/>
        <w:spacing w:after="0" w:line="268" w:lineRule="auto"/>
        <w:rPr>
          <w:sz w:val="20"/>
          <w:szCs w:val="20"/>
          <w:color w:val="auto"/>
        </w:rPr>
      </w:pPr>
      <w:r>
        <w:rPr>
          <w:rFonts w:ascii="Arial" w:cs="Arial" w:eastAsia="Arial" w:hAnsi="Arial"/>
          <w:sz w:val="17"/>
          <w:szCs w:val="17"/>
          <w:color w:val="auto"/>
        </w:rPr>
        <w:t>The Company grants performance share awards to certain employees under the 2020 Plan, and historically under the 2004 Plan, which gives the recipients the right to receive shares of Company stock if certain criteria is met.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information about performance unit award activity for the year ended May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color w:val="auto"/>
              </w:rPr>
              <w:t>Performance Unit</w:t>
            </w:r>
          </w:p>
        </w:tc>
        <w:tc>
          <w:tcPr>
            <w:tcW w:w="12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color w:val="auto"/>
                <w:w w:val="88"/>
              </w:rPr>
              <w:t>Weighted Average Grant-</w:t>
            </w:r>
          </w:p>
        </w:tc>
      </w:tr>
      <w:tr>
        <w:trPr>
          <w:trHeight w:val="178"/>
        </w:trPr>
        <w:tc>
          <w:tcPr>
            <w:tcW w:w="82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Awards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w w:val="96"/>
              </w:rPr>
              <w:t>Date Fair Value</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beginning of year, June 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273,121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w:t>
            </w:r>
          </w:p>
        </w:tc>
      </w:tr>
      <w:tr>
        <w:trPr>
          <w:trHeight w:val="220"/>
        </w:trPr>
        <w:tc>
          <w:tcPr>
            <w:tcW w:w="8240" w:type="dxa"/>
            <w:vAlign w:val="bottom"/>
          </w:tcPr>
          <w:p>
            <w:pPr>
              <w:ind w:left="20"/>
              <w:spacing w:after="0"/>
              <w:rPr>
                <w:sz w:val="20"/>
                <w:szCs w:val="20"/>
                <w:color w:val="auto"/>
              </w:rPr>
            </w:pPr>
            <w:r>
              <w:rPr>
                <w:rFonts w:ascii="Arial" w:cs="Arial" w:eastAsia="Arial" w:hAnsi="Arial"/>
                <w:sz w:val="17"/>
                <w:szCs w:val="17"/>
                <w:color w:val="auto"/>
              </w:rPr>
              <w:t>Granted</w:t>
            </w:r>
          </w:p>
        </w:tc>
        <w:tc>
          <w:tcPr>
            <w:tcW w:w="1440" w:type="dxa"/>
            <w:vAlign w:val="bottom"/>
          </w:tcPr>
          <w:p>
            <w:pPr>
              <w:jc w:val="right"/>
              <w:spacing w:after="0"/>
              <w:rPr>
                <w:sz w:val="20"/>
                <w:szCs w:val="20"/>
                <w:color w:val="auto"/>
              </w:rPr>
            </w:pPr>
            <w:r>
              <w:rPr>
                <w:rFonts w:ascii="Arial" w:cs="Arial" w:eastAsia="Arial" w:hAnsi="Arial"/>
                <w:sz w:val="17"/>
                <w:szCs w:val="17"/>
                <w:color w:val="auto"/>
              </w:rPr>
              <w:t>232,236</w:t>
            </w:r>
          </w:p>
        </w:tc>
        <w:tc>
          <w:tcPr>
            <w:tcW w:w="3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9.72</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(129,066)</w:t>
            </w:r>
          </w:p>
        </w:tc>
        <w:tc>
          <w:tcPr>
            <w:tcW w:w="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21.28</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end of year, May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376,291</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ind w:right="160" w:firstLine="373"/>
        <w:spacing w:after="0" w:line="284" w:lineRule="auto"/>
        <w:rPr>
          <w:sz w:val="20"/>
          <w:szCs w:val="20"/>
          <w:color w:val="auto"/>
        </w:rPr>
      </w:pPr>
      <w:r>
        <w:rPr>
          <w:rFonts w:ascii="Arial" w:cs="Arial" w:eastAsia="Arial" w:hAnsi="Arial"/>
          <w:sz w:val="17"/>
          <w:szCs w:val="17"/>
          <w:color w:val="auto"/>
        </w:rPr>
        <w:t>During fiscal year 2021 and 2020, the Company granted performance unit awards. Performance unit awards subject to vesting are based on the Company's level of attainment of the performance targets which are set for each of the three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9" w:name="page80"/>
    <w:bookmarkEnd w:id="79"/>
    <w:p>
      <w:pPr>
        <w:ind w:right="40"/>
        <w:spacing w:after="0" w:line="317" w:lineRule="auto"/>
        <w:rPr>
          <w:sz w:val="20"/>
          <w:szCs w:val="20"/>
          <w:color w:val="auto"/>
        </w:rPr>
      </w:pPr>
      <w:r>
        <w:rPr>
          <w:rFonts w:ascii="Arial" w:cs="Arial" w:eastAsia="Arial" w:hAnsi="Arial"/>
          <w:sz w:val="16"/>
          <w:szCs w:val="16"/>
          <w:color w:val="auto"/>
        </w:rPr>
        <w:t>performance years along with continued employment of the grantee. At the end of the three year period, the vested shares are subject to modification based on the Company’s TSR targets relative to the percentage appreciation of a specified index of companies for the respective three-year period.</w:t>
      </w:r>
    </w:p>
    <w:p>
      <w:pPr>
        <w:spacing w:after="0" w:line="84" w:lineRule="exact"/>
        <w:rPr>
          <w:sz w:val="20"/>
          <w:szCs w:val="20"/>
          <w:color w:val="auto"/>
        </w:rPr>
      </w:pPr>
    </w:p>
    <w:p>
      <w:pPr>
        <w:ind w:right="60" w:firstLine="373"/>
        <w:spacing w:after="0" w:line="269" w:lineRule="auto"/>
        <w:rPr>
          <w:sz w:val="20"/>
          <w:szCs w:val="20"/>
          <w:color w:val="auto"/>
        </w:rPr>
      </w:pPr>
      <w:r>
        <w:rPr>
          <w:rFonts w:ascii="Arial" w:cs="Arial" w:eastAsia="Arial" w:hAnsi="Arial"/>
          <w:sz w:val="17"/>
          <w:szCs w:val="17"/>
          <w:color w:val="auto"/>
        </w:rPr>
        <w:t>During fiscal year 2019, the Company granted performance unit awards that include a three-year market condition. Vesting of the performance unit awards is based on the Company's level of attainment of specified TSR targets relative to the percentage appreciation of a specified index of companies for the respective three-year periods. It is also subject to the continued employment of the grantees.</w:t>
      </w:r>
    </w:p>
    <w:p>
      <w:pPr>
        <w:spacing w:after="0" w:line="121" w:lineRule="exact"/>
        <w:rPr>
          <w:sz w:val="20"/>
          <w:szCs w:val="20"/>
          <w:color w:val="auto"/>
        </w:rPr>
      </w:pPr>
    </w:p>
    <w:p>
      <w:pPr>
        <w:ind w:right="60" w:firstLine="373"/>
        <w:spacing w:after="0" w:line="264" w:lineRule="auto"/>
        <w:rPr>
          <w:sz w:val="20"/>
          <w:szCs w:val="20"/>
          <w:color w:val="auto"/>
        </w:rPr>
      </w:pPr>
      <w:r>
        <w:rPr>
          <w:rFonts w:ascii="Arial" w:cs="Arial" w:eastAsia="Arial" w:hAnsi="Arial"/>
          <w:sz w:val="17"/>
          <w:szCs w:val="17"/>
          <w:color w:val="auto"/>
        </w:rPr>
        <w:t>In order to estimate the fair value of such awards, a Monte Carlo Simulation valuation model on the date of the grant was used. For the years ended May 31, 2021, 2020 and 2019, the weighted average grant date fair market value for new grants was $9.72, $14.06 and $28.62, respectively. Compensation cost is recognized over the performance period which is typically three years. As of May 31, 2021, there was $2.1 million of unrecognized compensation cost which is expected to be recognized over a weighted average period of 2 years.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Expense</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represents the break out of share-based compensation included in the Company's consolidated statement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r>
      <w:tr>
        <w:trPr>
          <w:trHeight w:val="220"/>
        </w:trPr>
        <w:tc>
          <w:tcPr>
            <w:tcW w:w="66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724</w:t>
            </w:r>
          </w:p>
        </w:tc>
      </w:tr>
      <w:tr>
        <w:trPr>
          <w:trHeight w:val="220"/>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w:t>
            </w:r>
          </w:p>
        </w:tc>
      </w:tr>
      <w:tr>
        <w:trPr>
          <w:trHeight w:val="22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6,112</w:t>
            </w:r>
          </w:p>
        </w:tc>
      </w:tr>
      <w:tr>
        <w:trPr>
          <w:trHeight w:val="238"/>
        </w:trPr>
        <w:tc>
          <w:tcPr>
            <w:tcW w:w="66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320" w:firstLine="373"/>
        <w:spacing w:after="0" w:line="269" w:lineRule="auto"/>
        <w:rPr>
          <w:sz w:val="20"/>
          <w:szCs w:val="20"/>
          <w:color w:val="auto"/>
        </w:rPr>
      </w:pPr>
      <w:r>
        <w:rPr>
          <w:rFonts w:ascii="Arial" w:cs="Arial" w:eastAsia="Arial" w:hAnsi="Arial"/>
          <w:sz w:val="17"/>
          <w:szCs w:val="17"/>
          <w:color w:val="auto"/>
        </w:rPr>
        <w:t>The income tax benefit on the compensation expense recognized for all share-based compensation arrangements was $2.0 million, $1.7 million and $2.1 million for the years ended May 31, 2021, 2020 and 2019, respectively. The income tax benefit for 2021, 2020 and 2019 are negated by the full valuation allowance recorded against the deferred tax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68" w:lineRule="exact"/>
        <w:rPr>
          <w:sz w:val="20"/>
          <w:szCs w:val="20"/>
          <w:color w:val="auto"/>
        </w:rPr>
      </w:pPr>
    </w:p>
    <w:p>
      <w:pPr>
        <w:ind w:right="20" w:firstLine="373"/>
        <w:spacing w:after="0" w:line="275" w:lineRule="auto"/>
        <w:rPr>
          <w:sz w:val="20"/>
          <w:szCs w:val="20"/>
          <w:color w:val="auto"/>
        </w:rPr>
      </w:pPr>
      <w:r>
        <w:rPr>
          <w:rFonts w:ascii="Arial" w:cs="Arial" w:eastAsia="Arial" w:hAnsi="Arial"/>
          <w:sz w:val="16"/>
          <w:szCs w:val="16"/>
          <w:color w:val="auto"/>
        </w:rPr>
        <w:t>The Employee Stock Purchase Plan (the “Stock Purchase Plan”) provides a means by which employees (the “participants”) are given an opportunity to purchase the Company's common stock through payroll deductions. A total of 4,000,000 shares of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stock are not eligible to participate in the Stock Purchase Plan. The purchase price of the shares of common stock acquired on each purchase date will be the lower of (i) 85% of the fair market value of a share of common 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During the years ended May 31, 2017, 2019 and 2021, an additional 500,000, 1,000,000 and 500,000 shares of the Company's common stock, respectively, were reserved for issuance under the Stock Purchase Plan.</w:t>
      </w:r>
    </w:p>
    <w:p>
      <w:pPr>
        <w:spacing w:after="0" w:line="118" w:lineRule="exact"/>
        <w:rPr>
          <w:sz w:val="20"/>
          <w:szCs w:val="20"/>
          <w:color w:val="auto"/>
        </w:rPr>
      </w:pPr>
    </w:p>
    <w:p>
      <w:pPr>
        <w:ind w:right="120" w:firstLine="373"/>
        <w:spacing w:after="0" w:line="264" w:lineRule="auto"/>
        <w:rPr>
          <w:sz w:val="20"/>
          <w:szCs w:val="20"/>
          <w:color w:val="auto"/>
        </w:rPr>
      </w:pPr>
      <w:r>
        <w:rPr>
          <w:rFonts w:ascii="Arial" w:cs="Arial" w:eastAsia="Arial" w:hAnsi="Arial"/>
          <w:sz w:val="17"/>
          <w:szCs w:val="17"/>
          <w:color w:val="auto"/>
        </w:rPr>
        <w:t>The Company uses the Black-Scholes option-pricing model to calculate the purchase date fair value of the shares issued under the Stock Purchase Plan and recognize expense related to shares purchased ratably over the offering period. During the years ended May 31, 2021, 2020 and 2019, 164,194, 100,567 and 72,863 shares, respectively, were issued at an average price of $7.95, $12.11 and $16.08, respectively, under the Stock Purchase Plan. As of May 31, 2021, 2.4 million shares remained available for future purchases under the Stock Purchase Plan.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EARNINGS PER SHARE</w:t>
      </w:r>
    </w:p>
    <w:p>
      <w:pPr>
        <w:spacing w:after="0" w:line="174" w:lineRule="exact"/>
        <w:rPr>
          <w:sz w:val="20"/>
          <w:szCs w:val="20"/>
          <w:color w:val="auto"/>
        </w:rPr>
      </w:pPr>
    </w:p>
    <w:p>
      <w:pPr>
        <w:jc w:val="both"/>
        <w:ind w:right="500" w:firstLine="373"/>
        <w:spacing w:after="0" w:line="269" w:lineRule="auto"/>
        <w:rPr>
          <w:sz w:val="20"/>
          <w:szCs w:val="20"/>
          <w:color w:val="auto"/>
        </w:rPr>
      </w:pPr>
      <w:r>
        <w:rPr>
          <w:rFonts w:ascii="Arial" w:cs="Arial" w:eastAsia="Arial" w:hAnsi="Arial"/>
          <w:sz w:val="17"/>
          <w:szCs w:val="17"/>
          <w:color w:val="auto"/>
        </w:rPr>
        <w:t>Basic earnings per share are based on the weighted average number of common shares outstanding. In addition, diluted earnings per share include the dilutive effect of potential common stock consisting of stock options, restricted stock units and performance stock units, provided that the inclusion of such securities is not anti-dilutive. In periods with a net loss, stock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options and restricted stock units are not included in the computation of basic loss per share as the impact would be anti-dilutive.</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reconciles basic to diluted weighted average shares outstanding for the years ended May 31, 2021, 2020 and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6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Year ended May 31,</w:t>
            </w:r>
          </w:p>
        </w:tc>
        <w:tc>
          <w:tcPr>
            <w:tcW w:w="1420" w:type="dxa"/>
            <w:vAlign w:val="bottom"/>
            <w:tcBorders>
              <w:bottom w:val="single" w:sz="8" w:color="auto"/>
            </w:tcBorders>
          </w:tcPr>
          <w:p>
            <w:pPr>
              <w:spacing w:after="0"/>
              <w:rPr>
                <w:sz w:val="15"/>
                <w:szCs w:val="15"/>
                <w:color w:val="auto"/>
              </w:rPr>
            </w:pPr>
          </w:p>
        </w:tc>
      </w:tr>
      <w:tr>
        <w:trPr>
          <w:trHeight w:val="177"/>
        </w:trPr>
        <w:tc>
          <w:tcPr>
            <w:tcW w:w="67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2019</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38,342,476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37,961,224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37,484,573</w:t>
            </w:r>
          </w:p>
        </w:tc>
      </w:tr>
      <w:tr>
        <w:trPr>
          <w:trHeight w:val="220"/>
        </w:trPr>
        <w:tc>
          <w:tcPr>
            <w:tcW w:w="676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38,342,476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37,961,224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37,484,573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6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Securities excluded as their inclusion would be anti-dilutive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3,285,354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2,581,006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2,200,318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LEASES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Adoption of ASU No. 2016-02, Leases (Topic 842)</w:t>
      </w:r>
    </w:p>
    <w:p>
      <w:pPr>
        <w:spacing w:after="0" w:line="168" w:lineRule="exact"/>
        <w:rPr>
          <w:sz w:val="20"/>
          <w:szCs w:val="20"/>
          <w:color w:val="auto"/>
        </w:rPr>
      </w:pPr>
    </w:p>
    <w:p>
      <w:pPr>
        <w:ind w:right="200" w:firstLine="373"/>
        <w:spacing w:after="0" w:line="269" w:lineRule="auto"/>
        <w:rPr>
          <w:sz w:val="20"/>
          <w:szCs w:val="20"/>
          <w:color w:val="auto"/>
        </w:rPr>
      </w:pPr>
      <w:r>
        <w:rPr>
          <w:rFonts w:ascii="Arial" w:cs="Arial" w:eastAsia="Arial" w:hAnsi="Arial"/>
          <w:sz w:val="17"/>
          <w:szCs w:val="17"/>
          <w:color w:val="auto"/>
        </w:rPr>
        <w:t>On June 1, 2019, the Company adopted ASU No. 2016-02 using the modified retrospective approach. This ASU increases transparency and comparability among organizations by recognizing lease assets and liabilities on the balance sheet and disclosing key information about leasing arrangements. Comparative periods prior to adoption have not been retrospectively adjusted.</w:t>
      </w:r>
    </w:p>
    <w:p>
      <w:pPr>
        <w:spacing w:after="0" w:line="121" w:lineRule="exact"/>
        <w:rPr>
          <w:sz w:val="20"/>
          <w:szCs w:val="20"/>
          <w:color w:val="auto"/>
        </w:rPr>
      </w:pPr>
    </w:p>
    <w:p>
      <w:pPr>
        <w:ind w:right="80" w:firstLine="373"/>
        <w:spacing w:after="0" w:line="264" w:lineRule="auto"/>
        <w:rPr>
          <w:sz w:val="20"/>
          <w:szCs w:val="20"/>
          <w:color w:val="auto"/>
        </w:rPr>
      </w:pPr>
      <w:r>
        <w:rPr>
          <w:rFonts w:ascii="Arial" w:cs="Arial" w:eastAsia="Arial" w:hAnsi="Arial"/>
          <w:sz w:val="17"/>
          <w:szCs w:val="17"/>
          <w:color w:val="auto"/>
        </w:rPr>
        <w:t>The Company elected the three practical expedients that permit an entity to a) not reassess whether expired or existing contracts contain leases, b) not reassess lease classification for existing or expired leases, and c) not consider whether previously capitalized initial direct costs would be appropriate under the new standard. Further, the Company has elected to not recognize leases with terms of 12 months or less on the balance sheet, and elected to account for lease and non-lease components as a single component for certain classes of assets.</w:t>
      </w:r>
    </w:p>
    <w:p>
      <w:pPr>
        <w:spacing w:after="0" w:line="125" w:lineRule="exact"/>
        <w:rPr>
          <w:sz w:val="20"/>
          <w:szCs w:val="20"/>
          <w:color w:val="auto"/>
        </w:rPr>
      </w:pPr>
    </w:p>
    <w:p>
      <w:pPr>
        <w:ind w:right="320" w:firstLine="373"/>
        <w:spacing w:after="0" w:line="284" w:lineRule="auto"/>
        <w:rPr>
          <w:sz w:val="20"/>
          <w:szCs w:val="20"/>
          <w:color w:val="auto"/>
        </w:rPr>
      </w:pPr>
      <w:r>
        <w:rPr>
          <w:rFonts w:ascii="Arial" w:cs="Arial" w:eastAsia="Arial" w:hAnsi="Arial"/>
          <w:sz w:val="17"/>
          <w:szCs w:val="17"/>
          <w:color w:val="auto"/>
        </w:rPr>
        <w:t>The adoption of this standard resulted in the recording of an additional lease asset and lease liability of approximately $5.6 million. The standard did not have a material impact on the Company's Consolidated Statement of Operations, Stockholders Equity or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68" w:lineRule="exact"/>
        <w:rPr>
          <w:sz w:val="20"/>
          <w:szCs w:val="20"/>
          <w:color w:val="auto"/>
        </w:rPr>
      </w:pPr>
    </w:p>
    <w:p>
      <w:pPr>
        <w:ind w:right="420" w:firstLine="373"/>
        <w:spacing w:after="0" w:line="284" w:lineRule="auto"/>
        <w:rPr>
          <w:sz w:val="20"/>
          <w:szCs w:val="20"/>
          <w:color w:val="auto"/>
        </w:rPr>
      </w:pPr>
      <w:r>
        <w:rPr>
          <w:rFonts w:ascii="Arial" w:cs="Arial" w:eastAsia="Arial" w:hAnsi="Arial"/>
          <w:sz w:val="17"/>
          <w:szCs w:val="17"/>
          <w:color w:val="auto"/>
        </w:rPr>
        <w:t>The Company determines if an arrangement is a lease at inception of the contract. The Company has operating leases for buildings, primarily for office space, R&amp;D, manufacturing and warehousing.</w:t>
      </w:r>
    </w:p>
    <w:p>
      <w:pPr>
        <w:spacing w:after="0" w:line="108" w:lineRule="exact"/>
        <w:rPr>
          <w:sz w:val="20"/>
          <w:szCs w:val="20"/>
          <w:color w:val="auto"/>
        </w:rPr>
      </w:pPr>
    </w:p>
    <w:p>
      <w:pPr>
        <w:ind w:firstLine="373"/>
        <w:spacing w:after="0" w:line="264" w:lineRule="auto"/>
        <w:rPr>
          <w:sz w:val="20"/>
          <w:szCs w:val="20"/>
          <w:color w:val="auto"/>
        </w:rPr>
      </w:pPr>
      <w:r>
        <w:rPr>
          <w:rFonts w:ascii="Arial" w:cs="Arial" w:eastAsia="Arial" w:hAnsi="Arial"/>
          <w:sz w:val="17"/>
          <w:szCs w:val="17"/>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supplemental balance sheet information related to leases: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740" w:type="dxa"/>
            <w:vAlign w:val="bottom"/>
            <w:gridSpan w:val="2"/>
          </w:tcPr>
          <w:p>
            <w:pPr>
              <w:ind w:left="660"/>
              <w:spacing w:after="0"/>
              <w:rPr>
                <w:sz w:val="20"/>
                <w:szCs w:val="20"/>
                <w:color w:val="auto"/>
              </w:rPr>
            </w:pPr>
            <w:r>
              <w:rPr>
                <w:rFonts w:ascii="Arial" w:cs="Arial" w:eastAsia="Arial" w:hAnsi="Arial"/>
                <w:sz w:val="14"/>
                <w:szCs w:val="14"/>
                <w:color w:val="auto"/>
              </w:rPr>
              <w:t>Balance Sheet Location</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May 31, 2021</w:t>
            </w:r>
          </w:p>
        </w:tc>
        <w:tc>
          <w:tcPr>
            <w:tcW w:w="220" w:type="dxa"/>
            <w:vAlign w:val="bottom"/>
          </w:tcPr>
          <w:p>
            <w:pPr>
              <w:spacing w:after="0"/>
              <w:rPr>
                <w:sz w:val="15"/>
                <w:szCs w:val="15"/>
                <w:color w:val="auto"/>
              </w:rPr>
            </w:pPr>
          </w:p>
        </w:tc>
        <w:tc>
          <w:tcPr>
            <w:tcW w:w="1200" w:type="dxa"/>
            <w:vAlign w:val="bottom"/>
          </w:tcPr>
          <w:p>
            <w:pPr>
              <w:jc w:val="right"/>
              <w:ind w:right="237"/>
              <w:spacing w:after="0"/>
              <w:rPr>
                <w:sz w:val="20"/>
                <w:szCs w:val="20"/>
                <w:color w:val="auto"/>
              </w:rPr>
            </w:pPr>
            <w:r>
              <w:rPr>
                <w:rFonts w:ascii="Arial" w:cs="Arial" w:eastAsia="Arial" w:hAnsi="Arial"/>
                <w:sz w:val="14"/>
                <w:szCs w:val="14"/>
                <w:color w:val="auto"/>
              </w:rPr>
              <w:t>May 31, 2020</w:t>
            </w:r>
          </w:p>
        </w:tc>
      </w:tr>
      <w:tr>
        <w:trPr>
          <w:trHeight w:val="206"/>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0"/>
        </w:trPr>
        <w:tc>
          <w:tcPr>
            <w:tcW w:w="5540" w:type="dxa"/>
            <w:vAlign w:val="bottom"/>
          </w:tcPr>
          <w:p>
            <w:pPr>
              <w:ind w:left="220"/>
              <w:spacing w:after="0"/>
              <w:rPr>
                <w:sz w:val="20"/>
                <w:szCs w:val="20"/>
                <w:color w:val="auto"/>
              </w:rPr>
            </w:pPr>
            <w:r>
              <w:rPr>
                <w:rFonts w:ascii="Arial" w:cs="Arial" w:eastAsia="Arial" w:hAnsi="Arial"/>
                <w:sz w:val="17"/>
                <w:szCs w:val="17"/>
                <w:color w:val="auto"/>
              </w:rPr>
              <w:t>Operating lease ROU asset</w:t>
            </w:r>
          </w:p>
        </w:tc>
        <w:tc>
          <w:tcPr>
            <w:tcW w:w="2740" w:type="dxa"/>
            <w:vAlign w:val="bottom"/>
            <w:gridSpan w:val="2"/>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9,382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10,146</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5540" w:type="dxa"/>
            <w:vAlign w:val="bottom"/>
          </w:tcPr>
          <w:p>
            <w:pPr>
              <w:ind w:left="220"/>
              <w:spacing w:after="0"/>
              <w:rPr>
                <w:sz w:val="20"/>
                <w:szCs w:val="20"/>
                <w:color w:val="auto"/>
              </w:rPr>
            </w:pPr>
            <w:r>
              <w:rPr>
                <w:rFonts w:ascii="Arial" w:cs="Arial" w:eastAsia="Arial" w:hAnsi="Arial"/>
                <w:sz w:val="17"/>
                <w:szCs w:val="17"/>
                <w:color w:val="auto"/>
              </w:rPr>
              <w:t>Current operating lease liabilities</w:t>
            </w:r>
          </w:p>
        </w:tc>
        <w:tc>
          <w:tcPr>
            <w:tcW w:w="2740" w:type="dxa"/>
            <w:vAlign w:val="bottom"/>
            <w:gridSpan w:val="2"/>
          </w:tcPr>
          <w:p>
            <w:pPr>
              <w:ind w:left="20"/>
              <w:spacing w:after="0"/>
              <w:rPr>
                <w:sz w:val="20"/>
                <w:szCs w:val="20"/>
                <w:color w:val="auto"/>
              </w:rPr>
            </w:pPr>
            <w:r>
              <w:rPr>
                <w:rFonts w:ascii="Arial" w:cs="Arial" w:eastAsia="Arial" w:hAnsi="Arial"/>
                <w:sz w:val="17"/>
                <w:szCs w:val="17"/>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2,077</w:t>
            </w:r>
          </w:p>
        </w:tc>
      </w:tr>
      <w:tr>
        <w:trPr>
          <w:trHeight w:val="220"/>
        </w:trPr>
        <w:tc>
          <w:tcPr>
            <w:tcW w:w="5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Non-current operating lease liabilities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8,345</w:t>
            </w:r>
          </w:p>
        </w:tc>
      </w:tr>
      <w:tr>
        <w:trPr>
          <w:trHeight w:val="213"/>
        </w:trPr>
        <w:tc>
          <w:tcPr>
            <w:tcW w:w="5540" w:type="dxa"/>
            <w:vAlign w:val="bottom"/>
          </w:tcPr>
          <w:p>
            <w:pPr>
              <w:ind w:left="20"/>
              <w:spacing w:after="0"/>
              <w:rPr>
                <w:sz w:val="20"/>
                <w:szCs w:val="20"/>
                <w:color w:val="auto"/>
              </w:rPr>
            </w:pPr>
            <w:r>
              <w:rPr>
                <w:rFonts w:ascii="Arial" w:cs="Arial" w:eastAsia="Arial" w:hAnsi="Arial"/>
                <w:sz w:val="17"/>
                <w:szCs w:val="17"/>
                <w:color w:val="auto"/>
              </w:rPr>
              <w:t>Total lease liabilities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10,422</w:t>
            </w:r>
          </w:p>
        </w:tc>
      </w:tr>
      <w:tr>
        <w:trPr>
          <w:trHeight w:val="20"/>
        </w:trPr>
        <w:tc>
          <w:tcPr>
            <w:tcW w:w="5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firstLine="373"/>
        <w:spacing w:after="0" w:line="264" w:lineRule="auto"/>
        <w:rPr>
          <w:sz w:val="20"/>
          <w:szCs w:val="20"/>
          <w:color w:val="auto"/>
        </w:rPr>
      </w:pPr>
      <w:r>
        <w:rPr>
          <w:rFonts w:ascii="Arial" w:cs="Arial" w:eastAsia="Arial" w:hAnsi="Arial"/>
          <w:sz w:val="17"/>
          <w:szCs w:val="17"/>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1"/>
        </w:trPr>
        <w:tc>
          <w:tcPr>
            <w:tcW w:w="8060" w:type="dxa"/>
            <w:vAlign w:val="bottom"/>
          </w:tcPr>
          <w:p>
            <w:pPr>
              <w:spacing w:after="0"/>
              <w:rPr>
                <w:sz w:val="15"/>
                <w:szCs w:val="15"/>
                <w:color w:val="auto"/>
              </w:rPr>
            </w:pPr>
          </w:p>
        </w:tc>
        <w:tc>
          <w:tcPr>
            <w:tcW w:w="1640" w:type="dxa"/>
            <w:vAlign w:val="bottom"/>
            <w:gridSpan w:val="2"/>
          </w:tcPr>
          <w:p>
            <w:pPr>
              <w:ind w:left="400"/>
              <w:spacing w:after="0"/>
              <w:rPr>
                <w:sz w:val="20"/>
                <w:szCs w:val="20"/>
                <w:color w:val="auto"/>
              </w:rPr>
            </w:pPr>
            <w:r>
              <w:rPr>
                <w:rFonts w:ascii="Arial" w:cs="Arial" w:eastAsia="Arial" w:hAnsi="Arial"/>
                <w:sz w:val="14"/>
                <w:szCs w:val="14"/>
                <w:color w:val="auto"/>
              </w:rPr>
              <w:t>May 31, 2021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296"/>
              <w:spacing w:after="0"/>
              <w:rPr>
                <w:sz w:val="20"/>
                <w:szCs w:val="20"/>
                <w:color w:val="auto"/>
              </w:rPr>
            </w:pPr>
            <w:r>
              <w:rPr>
                <w:rFonts w:ascii="Arial" w:cs="Arial" w:eastAsia="Arial" w:hAnsi="Arial"/>
                <w:sz w:val="14"/>
                <w:szCs w:val="14"/>
                <w:color w:val="auto"/>
                <w:w w:val="98"/>
              </w:rPr>
              <w:t>May 31, 2020</w:t>
            </w:r>
          </w:p>
        </w:tc>
      </w:tr>
      <w:tr>
        <w:trPr>
          <w:trHeight w:val="21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remaining term (in years)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1"/>
        </w:trPr>
        <w:tc>
          <w:tcPr>
            <w:tcW w:w="806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1560" w:type="dxa"/>
            <w:vAlign w:val="bottom"/>
          </w:tcPr>
          <w:p>
            <w:pPr>
              <w:jc w:val="right"/>
              <w:spacing w:after="0"/>
              <w:rPr>
                <w:sz w:val="20"/>
                <w:szCs w:val="20"/>
                <w:color w:val="auto"/>
              </w:rPr>
            </w:pPr>
            <w:r>
              <w:rPr>
                <w:rFonts w:ascii="Arial" w:cs="Arial" w:eastAsia="Arial" w:hAnsi="Arial"/>
                <w:sz w:val="17"/>
                <w:szCs w:val="17"/>
                <w:color w:val="auto"/>
              </w:rPr>
              <w:t>3.8 %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4.2 %</w:t>
            </w:r>
          </w:p>
        </w:tc>
      </w:tr>
      <w:tr>
        <w:trPr>
          <w:trHeight w:val="454"/>
        </w:trPr>
        <w:tc>
          <w:tcPr>
            <w:tcW w:w="8060" w:type="dxa"/>
            <w:vAlign w:val="bottom"/>
          </w:tcPr>
          <w:p>
            <w:pPr>
              <w:ind w:left="380"/>
              <w:spacing w:after="0"/>
              <w:rPr>
                <w:sz w:val="20"/>
                <w:szCs w:val="20"/>
                <w:color w:val="auto"/>
              </w:rPr>
            </w:pPr>
            <w:r>
              <w:rPr>
                <w:rFonts w:ascii="Arial" w:cs="Arial" w:eastAsia="Arial" w:hAnsi="Arial"/>
                <w:sz w:val="17"/>
                <w:szCs w:val="17"/>
                <w:color w:val="auto"/>
              </w:rPr>
              <w:t>The maturities of the lease liabilities for each of the following fiscal years is: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May 31, 2021</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2,735</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2022</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2,787</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2024</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1,454</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2026 and thereafter</w:t>
            </w: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10,504</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obligations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9,734</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 of lease obligations</w:t>
            </w: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2,415</w:t>
            </w:r>
          </w:p>
        </w:tc>
      </w:tr>
      <w:tr>
        <w:trPr>
          <w:trHeight w:val="233"/>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lease obligations</w:t>
            </w: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160" w:firstLine="373"/>
        <w:spacing w:after="0" w:line="317" w:lineRule="auto"/>
        <w:rPr>
          <w:sz w:val="20"/>
          <w:szCs w:val="20"/>
          <w:color w:val="auto"/>
        </w:rPr>
      </w:pPr>
      <w:r>
        <w:rPr>
          <w:rFonts w:ascii="Arial" w:cs="Arial" w:eastAsia="Arial" w:hAnsi="Arial"/>
          <w:sz w:val="16"/>
          <w:szCs w:val="16"/>
          <w:color w:val="auto"/>
        </w:rPr>
        <w:t>During the years ended May 31, 2021 and May 31, 2020, the Company recognized operating lease expense which includes immaterial short-term leases of $3.2 million and $3.4 million, respectively. Rent expense prior to adoption of ASC 842 amounted to $2.5 million for the year ended May 31, 2019.</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May 31, 2021 and 2020, the expenses on the Consolidated Statement of Operations were classified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3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May 31, 2021</w:t>
            </w:r>
          </w:p>
        </w:tc>
        <w:tc>
          <w:tcPr>
            <w:tcW w:w="220" w:type="dxa"/>
            <w:vAlign w:val="bottom"/>
          </w:tcPr>
          <w:p>
            <w:pPr>
              <w:spacing w:after="0"/>
              <w:rPr>
                <w:sz w:val="15"/>
                <w:szCs w:val="15"/>
                <w:color w:val="auto"/>
              </w:rPr>
            </w:pPr>
          </w:p>
        </w:tc>
        <w:tc>
          <w:tcPr>
            <w:tcW w:w="1200" w:type="dxa"/>
            <w:vAlign w:val="bottom"/>
          </w:tcPr>
          <w:p>
            <w:pPr>
              <w:jc w:val="right"/>
              <w:ind w:right="237"/>
              <w:spacing w:after="0"/>
              <w:rPr>
                <w:sz w:val="20"/>
                <w:szCs w:val="20"/>
                <w:color w:val="auto"/>
              </w:rPr>
            </w:pPr>
            <w:r>
              <w:rPr>
                <w:rFonts w:ascii="Arial" w:cs="Arial" w:eastAsia="Arial" w:hAnsi="Arial"/>
                <w:sz w:val="14"/>
                <w:szCs w:val="14"/>
                <w:color w:val="auto"/>
              </w:rPr>
              <w:t>May 31, 2020</w:t>
            </w:r>
          </w:p>
        </w:tc>
      </w:tr>
      <w:tr>
        <w:trPr>
          <w:trHeight w:val="219"/>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w:t>
            </w:r>
          </w:p>
        </w:tc>
      </w:tr>
      <w:tr>
        <w:trPr>
          <w:trHeight w:val="220"/>
        </w:trPr>
        <w:tc>
          <w:tcPr>
            <w:tcW w:w="830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583</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r>
      <w:tr>
        <w:trPr>
          <w:trHeight w:val="22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w:t>
            </w:r>
          </w:p>
        </w:tc>
      </w:tr>
      <w:tr>
        <w:trPr>
          <w:trHeight w:val="238"/>
        </w:trPr>
        <w:tc>
          <w:tcPr>
            <w:tcW w:w="8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26"/>
        </w:trPr>
        <w:tc>
          <w:tcPr>
            <w:tcW w:w="9820" w:type="dxa"/>
            <w:vAlign w:val="bottom"/>
            <w:gridSpan w:val="4"/>
          </w:tcPr>
          <w:p>
            <w:pPr>
              <w:ind w:left="380"/>
              <w:spacing w:after="0"/>
              <w:rPr>
                <w:sz w:val="20"/>
                <w:szCs w:val="20"/>
                <w:color w:val="auto"/>
              </w:rPr>
            </w:pPr>
            <w:r>
              <w:rPr>
                <w:rFonts w:ascii="Arial" w:cs="Arial" w:eastAsia="Arial" w:hAnsi="Arial"/>
                <w:sz w:val="17"/>
                <w:szCs w:val="17"/>
                <w:color w:val="auto"/>
                <w:w w:val="92"/>
              </w:rPr>
              <w:t>The following table presents supplemental cash flow and other information related to leases for the year ended May 31, 2021 and 2020:</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6"/>
        </w:trPr>
        <w:tc>
          <w:tcPr>
            <w:tcW w:w="83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May 31, 2021</w:t>
            </w:r>
          </w:p>
        </w:tc>
        <w:tc>
          <w:tcPr>
            <w:tcW w:w="220" w:type="dxa"/>
            <w:vAlign w:val="bottom"/>
          </w:tcPr>
          <w:p>
            <w:pPr>
              <w:spacing w:after="0"/>
              <w:rPr>
                <w:sz w:val="24"/>
                <w:szCs w:val="24"/>
                <w:color w:val="auto"/>
              </w:rPr>
            </w:pPr>
          </w:p>
        </w:tc>
        <w:tc>
          <w:tcPr>
            <w:tcW w:w="1200" w:type="dxa"/>
            <w:vAlign w:val="bottom"/>
          </w:tcPr>
          <w:p>
            <w:pPr>
              <w:jc w:val="right"/>
              <w:ind w:right="237"/>
              <w:spacing w:after="0"/>
              <w:rPr>
                <w:sz w:val="20"/>
                <w:szCs w:val="20"/>
                <w:color w:val="auto"/>
              </w:rPr>
            </w:pPr>
            <w:r>
              <w:rPr>
                <w:rFonts w:ascii="Arial" w:cs="Arial" w:eastAsia="Arial" w:hAnsi="Arial"/>
                <w:sz w:val="14"/>
                <w:szCs w:val="14"/>
                <w:color w:val="auto"/>
              </w:rPr>
              <w:t>May 31, 2020</w:t>
            </w:r>
          </w:p>
        </w:tc>
      </w:tr>
      <w:tr>
        <w:trPr>
          <w:trHeight w:val="207"/>
        </w:trPr>
        <w:tc>
          <w:tcPr>
            <w:tcW w:w="830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20"/>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2,372</w:t>
            </w:r>
          </w:p>
        </w:tc>
      </w:tr>
      <w:tr>
        <w:trPr>
          <w:trHeight w:val="220"/>
        </w:trPr>
        <w:tc>
          <w:tcPr>
            <w:tcW w:w="8300" w:type="dxa"/>
            <w:vAlign w:val="bottom"/>
          </w:tcPr>
          <w:p>
            <w:pPr>
              <w:ind w:left="20"/>
              <w:spacing w:after="0"/>
              <w:rPr>
                <w:sz w:val="20"/>
                <w:szCs w:val="20"/>
                <w:color w:val="auto"/>
              </w:rPr>
            </w:pPr>
            <w:r>
              <w:rPr>
                <w:rFonts w:ascii="Arial" w:cs="Arial" w:eastAsia="Arial" w:hAnsi="Arial"/>
                <w:sz w:val="17"/>
                <w:szCs w:val="17"/>
                <w:color w:val="auto"/>
              </w:rPr>
              <w:t>ROU assets obtained in exchange for lease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6,918</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COMMITMENTS AND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 and Contingencies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Company's other future commitments and contingencies as of May 31, 2021:</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820" w:type="dxa"/>
            <w:vAlign w:val="bottom"/>
            <w:vMerge w:val="restart"/>
          </w:tcPr>
          <w:p>
            <w:pPr>
              <w:jc w:val="right"/>
              <w:ind w:right="298"/>
              <w:spacing w:after="0"/>
              <w:rPr>
                <w:sz w:val="20"/>
                <w:szCs w:val="20"/>
                <w:color w:val="auto"/>
              </w:rPr>
            </w:pPr>
            <w:r>
              <w:rPr>
                <w:rFonts w:ascii="Arial" w:cs="Arial" w:eastAsia="Arial" w:hAnsi="Arial"/>
                <w:sz w:val="14"/>
                <w:szCs w:val="14"/>
                <w:color w:val="auto"/>
              </w:rPr>
              <w:t>Total</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01"/>
              <w:spacing w:after="0"/>
              <w:rPr>
                <w:sz w:val="20"/>
                <w:szCs w:val="20"/>
                <w:color w:val="auto"/>
              </w:rPr>
            </w:pPr>
            <w:r>
              <w:rPr>
                <w:rFonts w:ascii="Arial" w:cs="Arial" w:eastAsia="Arial" w:hAnsi="Arial"/>
                <w:sz w:val="14"/>
                <w:szCs w:val="14"/>
                <w:color w:val="auto"/>
                <w:w w:val="99"/>
              </w:rPr>
              <w:t>2026 and</w:t>
            </w:r>
          </w:p>
        </w:tc>
        <w:tc>
          <w:tcPr>
            <w:tcW w:w="0" w:type="dxa"/>
            <w:vAlign w:val="bottom"/>
          </w:tcPr>
          <w:p>
            <w:pPr>
              <w:spacing w:after="0"/>
              <w:rPr>
                <w:sz w:val="1"/>
                <w:szCs w:val="1"/>
                <w:color w:val="auto"/>
              </w:rPr>
            </w:pPr>
          </w:p>
        </w:tc>
      </w:tr>
      <w:tr>
        <w:trPr>
          <w:trHeight w:val="178"/>
        </w:trPr>
        <w:tc>
          <w:tcPr>
            <w:tcW w:w="44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w w:val="96"/>
              </w:rPr>
              <w:t>thereafter</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line="217"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ind w:left="20"/>
              <w:spacing w:after="0" w:line="221" w:lineRule="exact"/>
              <w:rPr>
                <w:sz w:val="20"/>
                <w:szCs w:val="20"/>
                <w:color w:val="auto"/>
              </w:rPr>
            </w:pPr>
            <w:r>
              <w:rPr>
                <w:rFonts w:ascii="Arial" w:cs="Arial" w:eastAsia="Arial" w:hAnsi="Arial"/>
                <w:sz w:val="17"/>
                <w:szCs w:val="17"/>
                <w:color w:val="auto"/>
              </w:rPr>
              <w:t xml:space="preserve">Royalties </w:t>
            </w:r>
            <w:r>
              <w:rPr>
                <w:rFonts w:ascii="Arial" w:cs="Arial" w:eastAsia="Arial" w:hAnsi="Arial"/>
                <w:sz w:val="22"/>
                <w:szCs w:val="22"/>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32,500</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32,500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4"/>
        <w:spacing w:after="0" w:line="255" w:lineRule="auto"/>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non-cancelable inventory purchase obligations are not reflected on the consolidated balance sheets under accounting principles generally accepted in the United States of America.</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(2) These are future minimum royalty payments.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74" w:lineRule="exact"/>
        <w:rPr>
          <w:sz w:val="20"/>
          <w:szCs w:val="20"/>
          <w:color w:val="auto"/>
        </w:rPr>
      </w:pPr>
    </w:p>
    <w:p>
      <w:pPr>
        <w:ind w:right="260" w:firstLine="389"/>
        <w:spacing w:after="0" w:line="264"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 Bard, Inc. v. AngioDynamics, Inc.</w:t>
      </w:r>
    </w:p>
    <w:p>
      <w:pPr>
        <w:spacing w:after="0" w:line="174" w:lineRule="exact"/>
        <w:rPr>
          <w:sz w:val="20"/>
          <w:szCs w:val="20"/>
          <w:color w:val="auto"/>
        </w:rPr>
      </w:pPr>
    </w:p>
    <w:p>
      <w:pPr>
        <w:ind w:firstLine="389"/>
        <w:spacing w:after="0" w:line="295" w:lineRule="auto"/>
        <w:rPr>
          <w:sz w:val="20"/>
          <w:szCs w:val="20"/>
          <w:color w:val="auto"/>
        </w:rPr>
      </w:pPr>
      <w:r>
        <w:rPr>
          <w:rFonts w:ascii="Arial" w:cs="Arial" w:eastAsia="Arial" w:hAnsi="Arial"/>
          <w:sz w:val="15"/>
          <w:szCs w:val="15"/>
          <w:color w:val="auto"/>
        </w:rPr>
        <w:t>On January 11, 2012, C.R. Bard, Inc. (“Bard”) filed a suit in the United States District Court of Utah claiming certain of the Company's implantable port products infringe on three U.S. patents held by Bard (US Patent Nos. 7,785,302, 7,959,615 (“615”) and 7,947,022).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A scheduling order was entered on March 23, 2021. The Company filed a Motion to Amend its Answer and Counterclaims on April 14, 2021. This motion seeks to add counterclaims for infringement of U.S. Patent Nos. 9,168,365; 9,895,523; and 10,632,295, as well as a counterclaim of inequitable conduct, and remains pending. The Company served its initial invalidity contentions on July 2, 2021, consistent with the scheduling order.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10" w:lineRule="exact"/>
        <w:rPr>
          <w:sz w:val="20"/>
          <w:szCs w:val="20"/>
          <w:color w:val="auto"/>
        </w:rPr>
      </w:pPr>
    </w:p>
    <w:p>
      <w:pPr>
        <w:ind w:right="20" w:firstLine="389"/>
        <w:spacing w:after="0" w:line="275" w:lineRule="auto"/>
        <w:rPr>
          <w:sz w:val="20"/>
          <w:szCs w:val="20"/>
          <w:color w:val="auto"/>
        </w:rPr>
      </w:pPr>
      <w:r>
        <w:rPr>
          <w:rFonts w:ascii="Arial" w:cs="Arial" w:eastAsia="Arial" w:hAnsi="Arial"/>
          <w:sz w:val="16"/>
          <w:szCs w:val="16"/>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On day four of the jury trial, at the close of Bard’s case, the Court granted the Company's oral motion for judgment as a matter of law as well as its motions for summary judgment on the grounds that the asserted patents are invalid, ineligible, not infringed and not willfully infringed. On May 10, 2019, the Company filed a motion for attorney fees and non-taxable expenses under 35 USC Sec. 285. Bard appealed the judgment to the Federal Circuit and on November 10, 2020, the Federal Circuit reversed the judgment in part with respect to Section 101, and vacated and remanded the trial court’s invalidity and non-infringement judgments. The Company filed a combined Petition for rehearing and rehearing en banc on December 10, 2020, which was denied on January 15, 2021. The Federal Circuit issued its mandate on January 22, 2021. On March 15, 2021, the District of Delaware entered an order requiring the parties to submit status reports and denied as moot the Company’s motion for attorney’s fees and expenses. The parties submitted status reports on March 29, 2021. The matter remains pending.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18" w:lineRule="exact"/>
        <w:rPr>
          <w:sz w:val="20"/>
          <w:szCs w:val="20"/>
          <w:color w:val="auto"/>
        </w:rPr>
      </w:pPr>
    </w:p>
    <w:p>
      <w:pPr>
        <w:ind w:right="20" w:firstLine="389"/>
        <w:spacing w:after="0" w:line="310" w:lineRule="auto"/>
        <w:rPr>
          <w:sz w:val="20"/>
          <w:szCs w:val="20"/>
          <w:color w:val="auto"/>
        </w:rPr>
      </w:pPr>
      <w:r>
        <w:rPr>
          <w:rFonts w:ascii="Arial" w:cs="Arial" w:eastAsia="Arial" w:hAnsi="Arial"/>
          <w:sz w:val="15"/>
          <w:szCs w:val="15"/>
          <w:color w:val="auto"/>
        </w:rPr>
        <w:t>On March 8, 2021, Bard filed suit in the District of Delaware asserting certain of the Company’s port products (including certain related infusion sets) infringe U.S. Patent Nos. 8,025,639, 9,603,992 (“992”) and 9,603,993 (“993”). On May 20, 2021, the Company filed a Motion to Dismiss Bard’s claims with respect to the 992 and 993 patents, and the motion remains pending.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AngioDynamics, Inc. v. C.R. Bard, Inc.</w:t>
      </w:r>
    </w:p>
    <w:p>
      <w:pPr>
        <w:spacing w:after="0" w:line="174" w:lineRule="exact"/>
        <w:rPr>
          <w:sz w:val="20"/>
          <w:szCs w:val="20"/>
          <w:color w:val="auto"/>
        </w:rPr>
      </w:pPr>
    </w:p>
    <w:p>
      <w:pPr>
        <w:ind w:firstLine="389"/>
        <w:spacing w:after="0" w:line="278" w:lineRule="auto"/>
        <w:rPr>
          <w:sz w:val="20"/>
          <w:szCs w:val="20"/>
          <w:color w:val="auto"/>
        </w:rPr>
      </w:pPr>
      <w:r>
        <w:rPr>
          <w:rFonts w:ascii="Arial" w:cs="Arial" w:eastAsia="Arial" w:hAnsi="Arial"/>
          <w:sz w:val="16"/>
          <w:szCs w:val="16"/>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Bard made a motion for summary judgment which was denied in its entirety in a decision issued by the Court on May 5, 2021. Bard also raised a series of challenges targeted at one of AngioDynamics’ expert witnesses, which the Court denied in part and granted in part in decisions on May 5, 2021 and June 11, 2021. Discovery is largely complete, and the case is expected to proceed to trial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Merz North America Settlement</w:t>
      </w:r>
    </w:p>
    <w:p>
      <w:pPr>
        <w:spacing w:after="0" w:line="174" w:lineRule="exact"/>
        <w:rPr>
          <w:sz w:val="20"/>
          <w:szCs w:val="20"/>
          <w:color w:val="auto"/>
        </w:rPr>
      </w:pPr>
    </w:p>
    <w:p>
      <w:pPr>
        <w:ind w:right="60" w:firstLine="389"/>
        <w:spacing w:after="0" w:line="286" w:lineRule="auto"/>
        <w:rPr>
          <w:sz w:val="20"/>
          <w:szCs w:val="20"/>
          <w:color w:val="auto"/>
        </w:rPr>
      </w:pPr>
      <w:r>
        <w:rPr>
          <w:rFonts w:ascii="Arial" w:cs="Arial" w:eastAsia="Arial" w:hAnsi="Arial"/>
          <w:sz w:val="16"/>
          <w:szCs w:val="16"/>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of fiscal year 2020. The case was subsequently dismissed.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SEGMENTS AND GEOGRAPHIC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68" w:lineRule="exact"/>
        <w:rPr>
          <w:sz w:val="20"/>
          <w:szCs w:val="20"/>
          <w:color w:val="auto"/>
        </w:rPr>
      </w:pPr>
    </w:p>
    <w:p>
      <w:pPr>
        <w:ind w:right="120" w:firstLine="373"/>
        <w:spacing w:after="0" w:line="262" w:lineRule="auto"/>
        <w:rPr>
          <w:sz w:val="20"/>
          <w:szCs w:val="20"/>
          <w:color w:val="auto"/>
        </w:rPr>
      </w:pPr>
      <w:r>
        <w:rPr>
          <w:rFonts w:ascii="Arial" w:cs="Arial" w:eastAsia="Arial" w:hAnsi="Arial"/>
          <w:sz w:val="17"/>
          <w:szCs w:val="17"/>
          <w:color w:val="auto"/>
        </w:rPr>
        <w:t>The Company considers its business to be a single segment entity related to the development, manufacture and sale on a global basis of medical devices for vascular access, surgery, peripheral vascular disease and oncology. The Company's chief operating decision maker (CEO) evaluates the various global product portfolios on a net sales basis. Executives reporting in to the CEO include those responsible for operations and supply chain management, research and development, sales, franchise marketing and certain corporate functions. The CEO evaluates profitability, investment and cash flow metrics on a consolidated worldwide basis due to shared infrastructure and resources.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sales by product category are summarized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88"/>
              </w:rPr>
              <w:t>Year ended May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 by Product Category</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Endovascular Therapies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135,079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112,706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119,901</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Vascular Access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94,730</w:t>
            </w:r>
          </w:p>
        </w:tc>
        <w:tc>
          <w:tcPr>
            <w:tcW w:w="0" w:type="dxa"/>
            <w:vAlign w:val="bottom"/>
          </w:tcPr>
          <w:p>
            <w:pPr>
              <w:spacing w:after="0"/>
              <w:rPr>
                <w:sz w:val="1"/>
                <w:szCs w:val="1"/>
                <w:color w:val="auto"/>
              </w:rPr>
            </w:pPr>
          </w:p>
        </w:tc>
      </w:tr>
      <w:tr>
        <w:trPr>
          <w:trHeight w:val="220"/>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Oncology/Surgery</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56,003</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291,010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264,157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270,634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Geographic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760" w:type="dxa"/>
            <w:vAlign w:val="bottom"/>
          </w:tcPr>
          <w:p>
            <w:pPr>
              <w:ind w:left="380"/>
              <w:spacing w:after="0"/>
              <w:rPr>
                <w:sz w:val="20"/>
                <w:szCs w:val="20"/>
                <w:color w:val="auto"/>
              </w:rPr>
            </w:pPr>
            <w:r>
              <w:rPr>
                <w:rFonts w:ascii="Arial" w:cs="Arial" w:eastAsia="Arial" w:hAnsi="Arial"/>
                <w:sz w:val="17"/>
                <w:szCs w:val="17"/>
                <w:color w:val="auto"/>
              </w:rPr>
              <w:t>Total sales for geographic areas are summarized below:</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88"/>
              </w:rPr>
              <w:t>Year ended May 31,</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 by Geography</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237,043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207,980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216,957</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53,677</w:t>
            </w:r>
          </w:p>
        </w:tc>
        <w:tc>
          <w:tcPr>
            <w:tcW w:w="0" w:type="dxa"/>
            <w:vAlign w:val="bottom"/>
          </w:tcPr>
          <w:p>
            <w:pPr>
              <w:spacing w:after="0"/>
              <w:rPr>
                <w:sz w:val="1"/>
                <w:szCs w:val="1"/>
                <w:color w:val="auto"/>
              </w:rPr>
            </w:pPr>
          </w:p>
        </w:tc>
      </w:tr>
      <w:tr>
        <w:trPr>
          <w:trHeight w:val="213"/>
        </w:trPr>
        <w:tc>
          <w:tcPr>
            <w:tcW w:w="6760" w:type="dxa"/>
            <w:vAlign w:val="bottom"/>
          </w:tcPr>
          <w:p>
            <w:pPr>
              <w:ind w:left="6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291,010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264,157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270,634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0" w:firstLine="373"/>
        <w:spacing w:after="0" w:line="294" w:lineRule="auto"/>
        <w:rPr>
          <w:sz w:val="20"/>
          <w:szCs w:val="20"/>
          <w:color w:val="auto"/>
        </w:rPr>
      </w:pPr>
      <w:r>
        <w:rPr>
          <w:rFonts w:ascii="Arial" w:cs="Arial" w:eastAsia="Arial" w:hAnsi="Arial"/>
          <w:sz w:val="16"/>
          <w:szCs w:val="16"/>
          <w:color w:val="auto"/>
        </w:rPr>
        <w:t>For fiscal years 2021, 2020 and 2019, international sales as a percentage of total net sales were 19%, 21% and 20%, respectively. Sales to any one country outside the U.S., as determined by shipment destination, did not comprise a material portion of net sales in any of the last three fiscal years. In addition, no one customer represents more than 10% of consolidated net sales. 99% of long-lived assets are located within the United States.</w:t>
      </w:r>
    </w:p>
    <w:p>
      <w:pPr>
        <w:spacing w:after="0" w:line="96" w:lineRule="exact"/>
        <w:rPr>
          <w:sz w:val="20"/>
          <w:szCs w:val="20"/>
          <w:color w:val="auto"/>
        </w:rPr>
      </w:pPr>
    </w:p>
    <w:p>
      <w:pPr>
        <w:ind w:left="380" w:right="6060" w:hanging="376"/>
        <w:spacing w:after="0" w:line="483" w:lineRule="auto"/>
        <w:tabs>
          <w:tab w:leader="none" w:pos="266"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 RESTRUCTURING AND OTHER ITEMS, NET </w:t>
      </w:r>
      <w:r>
        <w:rPr>
          <w:rFonts w:ascii="Arial" w:cs="Arial" w:eastAsia="Arial" w:hAnsi="Arial"/>
          <w:sz w:val="17"/>
          <w:szCs w:val="17"/>
          <w:color w:val="auto"/>
        </w:rPr>
        <w:t>Acquisition, restructuring and other items, net consisted of: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0"/>
        </w:trPr>
        <w:tc>
          <w:tcPr>
            <w:tcW w:w="6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67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r>
      <w:tr>
        <w:trPr>
          <w:trHeight w:val="220"/>
        </w:trPr>
        <w:tc>
          <w:tcPr>
            <w:tcW w:w="676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Legal </w:t>
            </w:r>
            <w:r>
              <w:rPr>
                <w:rFonts w:ascii="Arial" w:cs="Arial" w:eastAsia="Arial" w:hAnsi="Arial"/>
                <w:sz w:val="22"/>
                <w:szCs w:val="22"/>
                <w:color w:val="auto"/>
                <w:vertAlign w:val="superscript"/>
              </w:rPr>
              <w:t>(1)</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6,161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2,666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7,802</w:t>
            </w:r>
          </w:p>
        </w:tc>
      </w:tr>
      <w:tr>
        <w:trPr>
          <w:trHeight w:val="220"/>
        </w:trPr>
        <w:tc>
          <w:tcPr>
            <w:tcW w:w="676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Mergers and acquisitions </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w:t>
            </w:r>
          </w:p>
        </w:tc>
      </w:tr>
      <w:tr>
        <w:trPr>
          <w:trHeight w:val="220"/>
        </w:trPr>
        <w:tc>
          <w:tcPr>
            <w:tcW w:w="6760" w:type="dxa"/>
            <w:vAlign w:val="bottom"/>
          </w:tcPr>
          <w:p>
            <w:pPr>
              <w:ind w:left="20"/>
              <w:spacing w:after="0" w:line="221" w:lineRule="exact"/>
              <w:rPr>
                <w:sz w:val="20"/>
                <w:szCs w:val="20"/>
                <w:color w:val="auto"/>
              </w:rPr>
            </w:pPr>
            <w:r>
              <w:rPr>
                <w:rFonts w:ascii="Arial" w:cs="Arial" w:eastAsia="Arial" w:hAnsi="Arial"/>
                <w:sz w:val="17"/>
                <w:szCs w:val="17"/>
                <w:color w:val="auto"/>
              </w:rPr>
              <w:t xml:space="preserve">Transition service agreement </w:t>
            </w:r>
            <w:r>
              <w:rPr>
                <w:rFonts w:ascii="Arial" w:cs="Arial" w:eastAsia="Arial" w:hAnsi="Arial"/>
                <w:sz w:val="22"/>
                <w:szCs w:val="22"/>
                <w:color w:val="auto"/>
                <w:vertAlign w:val="superscript"/>
              </w:rPr>
              <w:t>(3)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6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Divestiture </w:t>
            </w:r>
            <w:r>
              <w:rPr>
                <w:rFonts w:ascii="Arial" w:cs="Arial" w:eastAsia="Arial" w:hAnsi="Arial"/>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60" w:type="dxa"/>
            <w:vAlign w:val="bottom"/>
          </w:tcPr>
          <w:p>
            <w:pPr>
              <w:ind w:left="20"/>
              <w:spacing w:after="0" w:line="221" w:lineRule="exact"/>
              <w:rPr>
                <w:sz w:val="20"/>
                <w:szCs w:val="20"/>
                <w:color w:val="auto"/>
              </w:rPr>
            </w:pPr>
            <w:r>
              <w:rPr>
                <w:rFonts w:ascii="Arial" w:cs="Arial" w:eastAsia="Arial" w:hAnsi="Arial"/>
                <w:sz w:val="17"/>
                <w:szCs w:val="17"/>
                <w:color w:val="auto"/>
              </w:rPr>
              <w:t xml:space="preserve">Intangible and other asset impairment </w:t>
            </w:r>
            <w:r>
              <w:rPr>
                <w:rFonts w:ascii="Arial" w:cs="Arial" w:eastAsia="Arial" w:hAnsi="Arial"/>
                <w:sz w:val="22"/>
                <w:szCs w:val="22"/>
                <w:color w:val="auto"/>
                <w:vertAlign w:val="superscript"/>
              </w:rPr>
              <w:t>(5)</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1,704</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r>
      <w:tr>
        <w:trPr>
          <w:trHeight w:val="22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1,302</w:t>
            </w:r>
          </w:p>
        </w:tc>
      </w:tr>
      <w:tr>
        <w:trPr>
          <w:trHeight w:val="238"/>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220" w:hanging="216"/>
        <w:spacing w:after="0"/>
        <w:tabs>
          <w:tab w:leader="none" w:pos="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11" w:lineRule="exact"/>
        <w:rPr>
          <w:rFonts w:ascii="Arial" w:cs="Arial" w:eastAsia="Arial" w:hAnsi="Arial"/>
          <w:sz w:val="16"/>
          <w:szCs w:val="16"/>
          <w:color w:val="auto"/>
        </w:rPr>
      </w:pPr>
    </w:p>
    <w:p>
      <w:pPr>
        <w:ind w:left="220" w:hanging="216"/>
        <w:spacing w:after="0" w:line="236" w:lineRule="auto"/>
        <w:tabs>
          <w:tab w:leader="none" w:pos="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Mergers and acquisitions expenses related to investment banking, legal and due diligence.</w:t>
      </w:r>
    </w:p>
    <w:p>
      <w:pPr>
        <w:ind w:left="220" w:hanging="216"/>
        <w:spacing w:after="0" w:line="236" w:lineRule="auto"/>
        <w:tabs>
          <w:tab w:leader="none" w:pos="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Fluid Management business.</w:t>
      </w:r>
    </w:p>
    <w:p>
      <w:pPr>
        <w:ind w:left="220" w:hanging="216"/>
        <w:spacing w:after="0" w:line="236" w:lineRule="auto"/>
        <w:tabs>
          <w:tab w:leader="none" w:pos="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Divestiture expenses incurred to transition manufacturing from Glens Falls, NY to Queensbury, NY.</w:t>
      </w:r>
    </w:p>
    <w:p>
      <w:pPr>
        <w:ind w:firstLine="4"/>
        <w:spacing w:after="0" w:line="246" w:lineRule="auto"/>
        <w:tabs>
          <w:tab w:leader="none" w:pos="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During the fourth quarter of fiscal year 2021, the Company made the decision to abandon the OARtrac product technology and trademark. This resulted in an impairment charge of </w:t>
      </w:r>
      <w:r>
        <w:rPr>
          <w:rFonts w:ascii="Arial" w:cs="Arial" w:eastAsia="Arial" w:hAnsi="Arial"/>
          <w:sz w:val="17"/>
          <w:szCs w:val="17"/>
          <w:color w:val="auto"/>
        </w:rPr>
        <w:t>$14.0 million</w:t>
      </w:r>
    </w:p>
    <w:p>
      <w:pPr>
        <w:spacing w:after="0" w:line="139" w:lineRule="exact"/>
        <w:rPr>
          <w:sz w:val="20"/>
          <w:szCs w:val="20"/>
          <w:color w:val="auto"/>
        </w:rPr>
      </w:pPr>
    </w:p>
    <w:p>
      <w:pPr>
        <w:ind w:right="160" w:firstLine="373"/>
        <w:spacing w:after="0" w:line="294" w:lineRule="auto"/>
        <w:rPr>
          <w:sz w:val="20"/>
          <w:szCs w:val="20"/>
          <w:color w:val="auto"/>
        </w:rPr>
      </w:pPr>
      <w:r>
        <w:rPr>
          <w:rFonts w:ascii="Arial" w:cs="Arial" w:eastAsia="Arial" w:hAnsi="Arial"/>
          <w:sz w:val="16"/>
          <w:szCs w:val="16"/>
          <w:color w:val="auto"/>
        </w:rPr>
        <w:t>Included in legal for fiscal year 2021, is a $1.0 million settlement expense. Included in legal for fiscal years 2020 and 2019 are settlements received for the Biolitec litigation of $0.5 million and $3.4 million, respectively. The settlement received partially offsets legal expenses paid related to the settlement proceedings. In addition, the $2.5 million accrual for the settlement of the Merz contract termination is included in legal expenses for fiscal year 2019.</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ACCUMULATED OTHER COMPREHENSIVE INCOME (LOSS)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Changes in each component of accumulated other comprehensive income (loss), net of tax, are as follows for fiscal years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157"/>
              <w:spacing w:after="0"/>
              <w:rPr>
                <w:sz w:val="20"/>
                <w:szCs w:val="20"/>
                <w:color w:val="auto"/>
              </w:rPr>
            </w:pPr>
            <w:r>
              <w:rPr>
                <w:rFonts w:ascii="Arial" w:cs="Arial" w:eastAsia="Arial" w:hAnsi="Arial"/>
                <w:sz w:val="14"/>
                <w:szCs w:val="14"/>
                <w:color w:val="auto"/>
              </w:rPr>
              <w:t>Foreign currency</w:t>
            </w:r>
          </w:p>
        </w:tc>
        <w:tc>
          <w:tcPr>
            <w:tcW w:w="0" w:type="dxa"/>
            <w:vAlign w:val="bottom"/>
          </w:tcPr>
          <w:p>
            <w:pPr>
              <w:spacing w:after="0"/>
              <w:rPr>
                <w:sz w:val="1"/>
                <w:szCs w:val="1"/>
                <w:color w:val="auto"/>
              </w:rPr>
            </w:pPr>
          </w:p>
        </w:tc>
      </w:tr>
      <w:tr>
        <w:trPr>
          <w:trHeight w:val="178"/>
        </w:trPr>
        <w:tc>
          <w:tcPr>
            <w:tcW w:w="5360" w:type="dxa"/>
            <w:vAlign w:val="bottom"/>
            <w:tcBorders>
              <w:bottom w:val="single" w:sz="8" w:color="CCEEFF"/>
            </w:tcBorders>
            <w:vMerge w:val="continue"/>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w w:val="88"/>
              </w:rPr>
              <w:t>translation gain (loss)</w:t>
            </w: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May 31, 2019</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w:t>
            </w:r>
          </w:p>
        </w:tc>
        <w:tc>
          <w:tcPr>
            <w:tcW w:w="0" w:type="dxa"/>
            <w:vAlign w:val="bottom"/>
          </w:tcPr>
          <w:p>
            <w:pPr>
              <w:spacing w:after="0"/>
              <w:rPr>
                <w:sz w:val="1"/>
                <w:szCs w:val="1"/>
                <w:color w:val="auto"/>
              </w:rPr>
            </w:pPr>
          </w:p>
        </w:tc>
      </w:tr>
      <w:tr>
        <w:trPr>
          <w:trHeight w:val="220"/>
        </w:trPr>
        <w:tc>
          <w:tcPr>
            <w:tcW w:w="53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comprehensive income before reclassifications, net of tax</w:t>
            </w:r>
          </w:p>
        </w:tc>
        <w:tc>
          <w:tcPr>
            <w:tcW w:w="4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3"/>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other comprehensive income</w:t>
            </w:r>
          </w:p>
        </w:tc>
        <w:tc>
          <w:tcPr>
            <w:tcW w:w="4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7"/>
                <w:szCs w:val="17"/>
                <w:color w:val="auto"/>
              </w:rPr>
              <w:t>Balance at May 31, 2020</w:t>
            </w:r>
          </w:p>
        </w:tc>
        <w:tc>
          <w:tcPr>
            <w:tcW w:w="4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(1,341)</w:t>
            </w:r>
          </w:p>
        </w:tc>
        <w:tc>
          <w:tcPr>
            <w:tcW w:w="0" w:type="dxa"/>
            <w:vAlign w:val="bottom"/>
          </w:tcPr>
          <w:p>
            <w:pPr>
              <w:spacing w:after="0"/>
              <w:rPr>
                <w:sz w:val="1"/>
                <w:szCs w:val="1"/>
                <w:color w:val="auto"/>
              </w:rPr>
            </w:pPr>
          </w:p>
        </w:tc>
      </w:tr>
      <w:tr>
        <w:trPr>
          <w:trHeight w:val="220"/>
        </w:trPr>
        <w:tc>
          <w:tcPr>
            <w:tcW w:w="5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5"/>
              </w:rPr>
              <w:t>Other comprehensive income (loss) before reclassifications, net of tax</w:t>
            </w:r>
          </w:p>
        </w:tc>
        <w:tc>
          <w:tcPr>
            <w:tcW w:w="4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4,494</w:t>
            </w:r>
          </w:p>
        </w:tc>
        <w:tc>
          <w:tcPr>
            <w:tcW w:w="0" w:type="dxa"/>
            <w:vAlign w:val="bottom"/>
          </w:tcPr>
          <w:p>
            <w:pPr>
              <w:spacing w:after="0"/>
              <w:rPr>
                <w:sz w:val="1"/>
                <w:szCs w:val="1"/>
                <w:color w:val="auto"/>
              </w:rPr>
            </w:pPr>
          </w:p>
        </w:tc>
      </w:tr>
      <w:tr>
        <w:trPr>
          <w:trHeight w:val="21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other comprehensive loss</w:t>
            </w:r>
          </w:p>
        </w:tc>
        <w:tc>
          <w:tcPr>
            <w:tcW w:w="4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4,494</w:t>
            </w:r>
          </w:p>
        </w:tc>
        <w:tc>
          <w:tcPr>
            <w:tcW w:w="0" w:type="dxa"/>
            <w:vAlign w:val="bottom"/>
          </w:tcPr>
          <w:p>
            <w:pPr>
              <w:spacing w:after="0"/>
              <w:rPr>
                <w:sz w:val="1"/>
                <w:szCs w:val="1"/>
                <w:color w:val="auto"/>
              </w:rPr>
            </w:pPr>
          </w:p>
        </w:tc>
      </w:tr>
      <w:tr>
        <w:trPr>
          <w:trHeight w:val="233"/>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May 31, 2021</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4014"/>
              <w:spacing w:after="0"/>
              <w:rPr>
                <w:sz w:val="20"/>
                <w:szCs w:val="20"/>
                <w:color w:val="auto"/>
              </w:rPr>
            </w:pPr>
            <w:r>
              <w:rPr>
                <w:rFonts w:ascii="Arial" w:cs="Arial" w:eastAsia="Arial" w:hAnsi="Arial"/>
                <w:sz w:val="17"/>
                <w:szCs w:val="17"/>
                <w:color w:val="auto"/>
              </w:rPr>
              <w:t>83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1"/>
        </w:trPr>
        <w:tc>
          <w:tcPr>
            <w:tcW w:w="53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36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5" w:name="page86"/>
    <w:bookmarkEnd w:id="85"/>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AngioDynamics, Inc. and Subsidiaries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5"/>
                <w:szCs w:val="15"/>
                <w:color w:val="auto"/>
              </w:rPr>
            </w:pPr>
          </w:p>
        </w:tc>
        <w:tc>
          <w:tcPr>
            <w:tcW w:w="5060" w:type="dxa"/>
            <w:vAlign w:val="bottom"/>
            <w:tcBorders>
              <w:bottom w:val="single" w:sz="8" w:color="auto"/>
            </w:tcBorders>
            <w:gridSpan w:val="9"/>
          </w:tcPr>
          <w:p>
            <w:pPr>
              <w:ind w:left="1020"/>
              <w:spacing w:after="0"/>
              <w:rPr>
                <w:sz w:val="20"/>
                <w:szCs w:val="20"/>
                <w:color w:val="auto"/>
              </w:rPr>
            </w:pPr>
            <w:r>
              <w:rPr>
                <w:rFonts w:ascii="Arial" w:cs="Arial" w:eastAsia="Arial" w:hAnsi="Arial"/>
                <w:sz w:val="14"/>
                <w:szCs w:val="14"/>
                <w:color w:val="auto"/>
              </w:rPr>
              <w:t>SCHEDULE II -VALUATION AND QUALIFYING ACCOUNTS</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20" w:type="dxa"/>
            <w:vAlign w:val="bottom"/>
            <w:vMerge w:val="restart"/>
          </w:tcPr>
          <w:p>
            <w:pPr>
              <w:ind w:left="2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color w:val="auto"/>
                <w:w w:val="90"/>
              </w:rPr>
              <w:t>Balance at Beginning</w:t>
            </w:r>
          </w:p>
        </w:tc>
        <w:tc>
          <w:tcPr>
            <w:tcW w:w="152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0"/>
              </w:rPr>
              <w:t>Additions - Charged to</w:t>
            </w:r>
          </w:p>
        </w:tc>
        <w:tc>
          <w:tcPr>
            <w:tcW w:w="260" w:type="dxa"/>
            <w:vAlign w:val="bottom"/>
          </w:tcPr>
          <w:p>
            <w:pPr>
              <w:spacing w:after="0"/>
              <w:rPr>
                <w:sz w:val="11"/>
                <w:szCs w:val="11"/>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color w:val="auto"/>
              </w:rPr>
              <w:t>Deductions</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w w:val="89"/>
              </w:rPr>
              <w:t>Balance at End of Period</w:t>
            </w:r>
          </w:p>
        </w:tc>
        <w:tc>
          <w:tcPr>
            <w:tcW w:w="0" w:type="dxa"/>
            <w:vAlign w:val="bottom"/>
          </w:tcPr>
          <w:p>
            <w:pPr>
              <w:spacing w:after="0"/>
              <w:rPr>
                <w:sz w:val="1"/>
                <w:szCs w:val="1"/>
                <w:color w:val="auto"/>
              </w:rPr>
            </w:pPr>
          </w:p>
        </w:tc>
      </w:tr>
      <w:tr>
        <w:trPr>
          <w:trHeight w:val="178"/>
        </w:trPr>
        <w:tc>
          <w:tcPr>
            <w:tcW w:w="5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of Year</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costs and expenses</w:t>
            </w:r>
          </w:p>
        </w:tc>
        <w:tc>
          <w:tcPr>
            <w:tcW w:w="2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May 31, 2019</w:t>
            </w: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7"/>
                <w:szCs w:val="17"/>
                <w:color w:val="auto"/>
              </w:rPr>
              <w:t>Allowance for deferred tax asset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26,607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(14,919)</w:t>
            </w:r>
          </w:p>
        </w:tc>
        <w:tc>
          <w:tcPr>
            <w:tcW w:w="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11,688</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sales returns and doubtful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1,906</w:t>
            </w:r>
          </w:p>
        </w:tc>
        <w:tc>
          <w:tcPr>
            <w:tcW w:w="0" w:type="dxa"/>
            <w:vAlign w:val="bottom"/>
          </w:tcPr>
          <w:p>
            <w:pPr>
              <w:spacing w:after="0"/>
              <w:rPr>
                <w:sz w:val="1"/>
                <w:szCs w:val="1"/>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7"/>
                <w:szCs w:val="17"/>
                <w:color w:val="auto"/>
              </w:rPr>
              <w:t>Year Ended May 31, 2020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deferred tax asset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13,114</w:t>
            </w:r>
          </w:p>
        </w:tc>
        <w:tc>
          <w:tcPr>
            <w:tcW w:w="0" w:type="dxa"/>
            <w:vAlign w:val="bottom"/>
          </w:tcPr>
          <w:p>
            <w:pPr>
              <w:spacing w:after="0"/>
              <w:rPr>
                <w:sz w:val="1"/>
                <w:szCs w:val="1"/>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7"/>
                <w:szCs w:val="17"/>
                <w:color w:val="auto"/>
              </w:rPr>
              <w:t>Allowance for sales returns and doubtful accounts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1,906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(974)</w:t>
            </w:r>
          </w:p>
        </w:tc>
        <w:tc>
          <w:tcPr>
            <w:tcW w:w="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2,150</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May 31, 2021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tcPr>
          <w:p>
            <w:pPr>
              <w:ind w:left="20"/>
              <w:spacing w:after="0"/>
              <w:rPr>
                <w:sz w:val="20"/>
                <w:szCs w:val="20"/>
                <w:color w:val="auto"/>
              </w:rPr>
            </w:pPr>
            <w:r>
              <w:rPr>
                <w:rFonts w:ascii="Arial" w:cs="Arial" w:eastAsia="Arial" w:hAnsi="Arial"/>
                <w:sz w:val="17"/>
                <w:szCs w:val="17"/>
                <w:color w:val="auto"/>
              </w:rPr>
              <w:t>Allowance for deferred tax asset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13,114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3,921</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580" w:type="dxa"/>
            <w:vAlign w:val="bottom"/>
          </w:tcPr>
          <w:p>
            <w:pPr>
              <w:ind w:lef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17,035</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sales returns and doubtful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0"/>
        </w:trPr>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18"/>
          </w:tcPr>
          <w:p>
            <w:pPr>
              <w:ind w:left="340"/>
              <w:spacing w:after="0"/>
              <w:rPr>
                <w:sz w:val="20"/>
                <w:szCs w:val="20"/>
                <w:color w:val="auto"/>
              </w:rPr>
            </w:pPr>
            <w:r>
              <w:rPr>
                <w:rFonts w:ascii="Arial" w:cs="Arial" w:eastAsia="Arial" w:hAnsi="Arial"/>
                <w:sz w:val="17"/>
                <w:szCs w:val="17"/>
                <w:color w:val="auto"/>
              </w:rPr>
              <w:t>EXHIBITS</w:t>
            </w: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Incorporated by Reference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50" w:lineRule="exact"/>
              <w:rPr>
                <w:sz w:val="20"/>
                <w:szCs w:val="20"/>
                <w:color w:val="auto"/>
              </w:rPr>
            </w:pPr>
            <w:r>
              <w:rPr>
                <w:rFonts w:ascii="Arial" w:cs="Arial" w:eastAsia="Arial" w:hAnsi="Arial"/>
                <w:sz w:val="17"/>
                <w:szCs w:val="17"/>
                <w:color w:val="auto"/>
                <w:w w:val="97"/>
              </w:rPr>
              <w:t>Exhibit</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80" w:type="dxa"/>
            <w:vAlign w:val="bottom"/>
            <w:gridSpan w:val="24"/>
            <w:vMerge w:val="restart"/>
          </w:tcPr>
          <w:p>
            <w:pPr>
              <w:ind w:left="480"/>
              <w:spacing w:after="0"/>
              <w:rPr>
                <w:sz w:val="20"/>
                <w:szCs w:val="20"/>
                <w:color w:val="auto"/>
              </w:rPr>
            </w:pPr>
            <w:r>
              <w:rPr>
                <w:rFonts w:ascii="Arial" w:cs="Arial" w:eastAsia="Arial" w:hAnsi="Arial"/>
                <w:sz w:val="17"/>
                <w:szCs w:val="17"/>
                <w:color w:val="auto"/>
              </w:rPr>
              <w:t>Description of Exhibits</w:t>
            </w:r>
          </w:p>
        </w:tc>
        <w:tc>
          <w:tcPr>
            <w:tcW w:w="1060" w:type="dxa"/>
            <w:vAlign w:val="bottom"/>
            <w:vMerge w:val="restart"/>
          </w:tcPr>
          <w:p>
            <w:pPr>
              <w:jc w:val="center"/>
              <w:ind w:left="94"/>
              <w:spacing w:after="0"/>
              <w:rPr>
                <w:sz w:val="20"/>
                <w:szCs w:val="20"/>
                <w:color w:val="auto"/>
              </w:rPr>
            </w:pPr>
            <w:r>
              <w:rPr>
                <w:rFonts w:ascii="Arial" w:cs="Arial" w:eastAsia="Arial" w:hAnsi="Arial"/>
                <w:sz w:val="17"/>
                <w:szCs w:val="17"/>
                <w:color w:val="auto"/>
                <w:w w:val="90"/>
              </w:rPr>
              <w:t>Form</w:t>
            </w:r>
          </w:p>
        </w:tc>
        <w:tc>
          <w:tcPr>
            <w:tcW w:w="1400" w:type="dxa"/>
            <w:vAlign w:val="bottom"/>
            <w:vMerge w:val="restart"/>
          </w:tcPr>
          <w:p>
            <w:pPr>
              <w:ind w:left="640"/>
              <w:spacing w:after="0"/>
              <w:rPr>
                <w:sz w:val="20"/>
                <w:szCs w:val="20"/>
                <w:color w:val="auto"/>
              </w:rPr>
            </w:pPr>
            <w:r>
              <w:rPr>
                <w:rFonts w:ascii="Arial" w:cs="Arial" w:eastAsia="Arial" w:hAnsi="Arial"/>
                <w:sz w:val="17"/>
                <w:szCs w:val="17"/>
                <w:color w:val="auto"/>
              </w:rPr>
              <w:t>Exhibit</w:t>
            </w:r>
          </w:p>
        </w:tc>
        <w:tc>
          <w:tcPr>
            <w:tcW w:w="1700" w:type="dxa"/>
            <w:vAlign w:val="bottom"/>
            <w:gridSpan w:val="2"/>
            <w:vMerge w:val="restart"/>
          </w:tcPr>
          <w:p>
            <w:pPr>
              <w:jc w:val="center"/>
              <w:ind w:left="114"/>
              <w:spacing w:after="0"/>
              <w:rPr>
                <w:sz w:val="20"/>
                <w:szCs w:val="20"/>
                <w:color w:val="auto"/>
              </w:rPr>
            </w:pPr>
            <w:r>
              <w:rPr>
                <w:rFonts w:ascii="Arial" w:cs="Arial" w:eastAsia="Arial" w:hAnsi="Arial"/>
                <w:sz w:val="17"/>
                <w:szCs w:val="17"/>
                <w:color w:val="auto"/>
                <w:w w:val="95"/>
              </w:rPr>
              <w:t>Filing Date</w:t>
            </w:r>
          </w:p>
        </w:tc>
        <w:tc>
          <w:tcPr>
            <w:tcW w:w="0" w:type="dxa"/>
            <w:vAlign w:val="bottom"/>
          </w:tcPr>
          <w:p>
            <w:pPr>
              <w:spacing w:after="0"/>
              <w:rPr>
                <w:sz w:val="1"/>
                <w:szCs w:val="1"/>
                <w:color w:val="auto"/>
              </w:rPr>
            </w:pPr>
          </w:p>
        </w:tc>
      </w:tr>
      <w:tr>
        <w:trPr>
          <w:trHeight w:val="220"/>
        </w:trPr>
        <w:tc>
          <w:tcPr>
            <w:tcW w:w="1120" w:type="dxa"/>
            <w:vAlign w:val="bottom"/>
          </w:tcPr>
          <w:p>
            <w:pPr>
              <w:jc w:val="center"/>
              <w:spacing w:after="0"/>
              <w:rPr>
                <w:sz w:val="20"/>
                <w:szCs w:val="20"/>
                <w:color w:val="auto"/>
              </w:rPr>
            </w:pPr>
            <w:r>
              <w:rPr>
                <w:rFonts w:ascii="Arial" w:cs="Arial" w:eastAsia="Arial" w:hAnsi="Arial"/>
                <w:sz w:val="17"/>
                <w:szCs w:val="17"/>
                <w:color w:val="auto"/>
                <w:w w:val="92"/>
              </w:rPr>
              <w:t>Number</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80" w:type="dxa"/>
            <w:vAlign w:val="bottom"/>
            <w:gridSpan w:val="24"/>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2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7"/>
                <w:szCs w:val="17"/>
                <w:color w:val="auto"/>
                <w:w w:val="92"/>
              </w:rPr>
              <w:t>2.2</w:t>
            </w:r>
          </w:p>
        </w:tc>
        <w:tc>
          <w:tcPr>
            <w:tcW w:w="5960" w:type="dxa"/>
            <w:vAlign w:val="bottom"/>
            <w:tcBorders>
              <w:top w:val="single" w:sz="8" w:color="auto"/>
            </w:tcBorders>
            <w:gridSpan w:val="27"/>
            <w:shd w:val="clear" w:color="auto" w:fill="CCEEFF"/>
          </w:tcPr>
          <w:p>
            <w:pPr>
              <w:spacing w:after="0" w:line="175" w:lineRule="exact"/>
              <w:rPr>
                <w:rFonts w:ascii="Arial" w:cs="Arial" w:eastAsia="Arial" w:hAnsi="Arial"/>
                <w:sz w:val="17"/>
                <w:szCs w:val="17"/>
                <w:color w:val="0000FF"/>
              </w:rPr>
            </w:pPr>
            <w:hyperlink r:id="rId107">
              <w:r>
                <w:rPr>
                  <w:rFonts w:ascii="Arial" w:cs="Arial" w:eastAsia="Arial" w:hAnsi="Arial"/>
                  <w:sz w:val="17"/>
                  <w:szCs w:val="17"/>
                  <w:color w:val="0000FF"/>
                </w:rPr>
                <w:t>Stock Purchase Agreement, dated as of October 8, 2012, by and among</w:t>
              </w:r>
            </w:hyperlink>
          </w:p>
        </w:tc>
        <w:tc>
          <w:tcPr>
            <w:tcW w:w="1060" w:type="dxa"/>
            <w:vAlign w:val="bottom"/>
            <w:tcBorders>
              <w:top w:val="single" w:sz="8" w:color="auto"/>
            </w:tcBorders>
            <w:shd w:val="clear" w:color="auto" w:fill="CCEEFF"/>
          </w:tcPr>
          <w:p>
            <w:pPr>
              <w:jc w:val="center"/>
              <w:ind w:left="94"/>
              <w:spacing w:after="0" w:line="175" w:lineRule="exact"/>
              <w:rPr>
                <w:sz w:val="20"/>
                <w:szCs w:val="20"/>
                <w:color w:val="auto"/>
              </w:rPr>
            </w:pPr>
            <w:r>
              <w:rPr>
                <w:rFonts w:ascii="Arial" w:cs="Arial" w:eastAsia="Arial" w:hAnsi="Arial"/>
                <w:sz w:val="17"/>
                <w:szCs w:val="17"/>
                <w:color w:val="auto"/>
              </w:rPr>
              <w:t>8-K</w:t>
            </w:r>
          </w:p>
        </w:tc>
        <w:tc>
          <w:tcPr>
            <w:tcW w:w="1400" w:type="dxa"/>
            <w:vAlign w:val="bottom"/>
            <w:tcBorders>
              <w:top w:val="single" w:sz="8" w:color="auto"/>
            </w:tcBorders>
            <w:shd w:val="clear" w:color="auto" w:fill="CCEEFF"/>
          </w:tcPr>
          <w:p>
            <w:pPr>
              <w:jc w:val="center"/>
              <w:ind w:left="294"/>
              <w:spacing w:after="0" w:line="175" w:lineRule="exact"/>
              <w:rPr>
                <w:sz w:val="20"/>
                <w:szCs w:val="20"/>
                <w:color w:val="auto"/>
              </w:rPr>
            </w:pPr>
            <w:r>
              <w:rPr>
                <w:rFonts w:ascii="Arial" w:cs="Arial" w:eastAsia="Arial" w:hAnsi="Arial"/>
                <w:sz w:val="17"/>
                <w:szCs w:val="17"/>
                <w:color w:val="auto"/>
                <w:w w:val="92"/>
              </w:rPr>
              <w:t>2.1</w:t>
            </w:r>
          </w:p>
        </w:tc>
        <w:tc>
          <w:tcPr>
            <w:tcW w:w="1680" w:type="dxa"/>
            <w:vAlign w:val="bottom"/>
            <w:tcBorders>
              <w:top w:val="single" w:sz="8" w:color="auto"/>
            </w:tcBorders>
            <w:shd w:val="clear" w:color="auto" w:fill="CCEEFF"/>
          </w:tcPr>
          <w:p>
            <w:pPr>
              <w:jc w:val="center"/>
              <w:ind w:left="114"/>
              <w:spacing w:after="0" w:line="175" w:lineRule="exact"/>
              <w:rPr>
                <w:sz w:val="20"/>
                <w:szCs w:val="20"/>
                <w:color w:val="auto"/>
              </w:rPr>
            </w:pPr>
            <w:r>
              <w:rPr>
                <w:rFonts w:ascii="Arial" w:cs="Arial" w:eastAsia="Arial" w:hAnsi="Arial"/>
                <w:sz w:val="17"/>
                <w:szCs w:val="17"/>
                <w:color w:val="auto"/>
                <w:w w:val="91"/>
              </w:rPr>
              <w:t>October 12, 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20" w:type="dxa"/>
            <w:vAlign w:val="bottom"/>
            <w:tcBorders>
              <w:top w:val="single" w:sz="8" w:color="CCEEFF"/>
            </w:tcBorders>
            <w:shd w:val="clear" w:color="auto" w:fill="CCEEFF"/>
          </w:tcPr>
          <w:p>
            <w:pPr>
              <w:spacing w:after="0"/>
              <w:rPr>
                <w:sz w:val="12"/>
                <w:szCs w:val="12"/>
                <w:color w:val="auto"/>
              </w:rPr>
            </w:pPr>
          </w:p>
        </w:tc>
        <w:tc>
          <w:tcPr>
            <w:tcW w:w="4940" w:type="dxa"/>
            <w:vAlign w:val="bottom"/>
            <w:tcBorders>
              <w:top w:val="single" w:sz="8" w:color="0000FF"/>
            </w:tcBorders>
            <w:gridSpan w:val="14"/>
            <w:shd w:val="clear" w:color="auto" w:fill="CCEEFF"/>
          </w:tcPr>
          <w:p>
            <w:pPr>
              <w:spacing w:after="0" w:line="149" w:lineRule="exact"/>
              <w:rPr>
                <w:rFonts w:ascii="Arial" w:cs="Arial" w:eastAsia="Arial" w:hAnsi="Arial"/>
                <w:sz w:val="17"/>
                <w:szCs w:val="17"/>
                <w:color w:val="0000FF"/>
                <w:w w:val="93"/>
              </w:rPr>
            </w:pPr>
            <w:hyperlink r:id="rId107">
              <w:r>
                <w:rPr>
                  <w:rFonts w:ascii="Arial" w:cs="Arial" w:eastAsia="Arial" w:hAnsi="Arial"/>
                  <w:sz w:val="17"/>
                  <w:szCs w:val="17"/>
                  <w:color w:val="0000FF"/>
                  <w:w w:val="93"/>
                </w:rPr>
                <w:t>AngioDynamics, Inc., Vortex Medical, Inc. (“Vortex”), the stockholders</w:t>
              </w:r>
            </w:hyperlink>
          </w:p>
        </w:tc>
        <w:tc>
          <w:tcPr>
            <w:tcW w:w="1020" w:type="dxa"/>
            <w:vAlign w:val="bottom"/>
            <w:tcBorders>
              <w:top w:val="single" w:sz="8" w:color="CCEEFF"/>
            </w:tcBorders>
            <w:gridSpan w:val="13"/>
            <w:shd w:val="clear" w:color="auto" w:fill="CCEEFF"/>
          </w:tcPr>
          <w:p>
            <w:pPr>
              <w:ind w:left="80"/>
              <w:spacing w:after="0" w:line="149" w:lineRule="exact"/>
              <w:rPr>
                <w:rFonts w:ascii="Arial" w:cs="Arial" w:eastAsia="Arial" w:hAnsi="Arial"/>
                <w:sz w:val="17"/>
                <w:szCs w:val="17"/>
                <w:color w:val="0000FF"/>
                <w:w w:val="96"/>
              </w:rPr>
            </w:pPr>
            <w:hyperlink r:id="rId107">
              <w:r>
                <w:rPr>
                  <w:rFonts w:ascii="Arial" w:cs="Arial" w:eastAsia="Arial" w:hAnsi="Arial"/>
                  <w:sz w:val="17"/>
                  <w:szCs w:val="17"/>
                  <w:color w:val="0000FF"/>
                  <w:w w:val="96"/>
                </w:rPr>
                <w:t>of Vortex set</w:t>
              </w:r>
            </w:hyperlink>
          </w:p>
        </w:tc>
        <w:tc>
          <w:tcPr>
            <w:tcW w:w="10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Borders>
              <w:top w:val="single" w:sz="8" w:color="CCEEFF"/>
            </w:tcBorders>
            <w:shd w:val="clear" w:color="auto" w:fill="CCEEFF"/>
          </w:tcPr>
          <w:p>
            <w:pPr>
              <w:spacing w:after="0"/>
              <w:rPr>
                <w:sz w:val="12"/>
                <w:szCs w:val="12"/>
                <w:color w:val="auto"/>
              </w:rPr>
            </w:pPr>
          </w:p>
        </w:tc>
        <w:tc>
          <w:tcPr>
            <w:tcW w:w="5920" w:type="dxa"/>
            <w:vAlign w:val="bottom"/>
            <w:tcBorders>
              <w:top w:val="single" w:sz="8" w:color="0000FF"/>
            </w:tcBorders>
            <w:gridSpan w:val="25"/>
            <w:shd w:val="clear" w:color="auto" w:fill="CCEEFF"/>
          </w:tcPr>
          <w:p>
            <w:pPr>
              <w:spacing w:after="0" w:line="149" w:lineRule="exact"/>
              <w:rPr>
                <w:rFonts w:ascii="Arial" w:cs="Arial" w:eastAsia="Arial" w:hAnsi="Arial"/>
                <w:sz w:val="17"/>
                <w:szCs w:val="17"/>
                <w:color w:val="0000FF"/>
                <w:w w:val="97"/>
              </w:rPr>
            </w:pPr>
            <w:hyperlink r:id="rId107">
              <w:r>
                <w:rPr>
                  <w:rFonts w:ascii="Arial" w:cs="Arial" w:eastAsia="Arial" w:hAnsi="Arial"/>
                  <w:sz w:val="17"/>
                  <w:szCs w:val="17"/>
                  <w:color w:val="0000FF"/>
                  <w:w w:val="97"/>
                </w:rPr>
                <w:t>forth on the signature pages thereto, the option holders of Vortex set forth on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Borders>
              <w:top w:val="single" w:sz="8" w:color="CCEEFF"/>
            </w:tcBorders>
            <w:shd w:val="clear" w:color="auto" w:fill="CCEEFF"/>
          </w:tcPr>
          <w:p>
            <w:pPr>
              <w:spacing w:after="0"/>
              <w:rPr>
                <w:sz w:val="12"/>
                <w:szCs w:val="12"/>
                <w:color w:val="auto"/>
              </w:rPr>
            </w:pPr>
          </w:p>
        </w:tc>
        <w:tc>
          <w:tcPr>
            <w:tcW w:w="5560" w:type="dxa"/>
            <w:vAlign w:val="bottom"/>
            <w:tcBorders>
              <w:top w:val="single" w:sz="8" w:color="0000FF"/>
            </w:tcBorders>
            <w:gridSpan w:val="19"/>
            <w:shd w:val="clear" w:color="auto" w:fill="CCEEFF"/>
          </w:tcPr>
          <w:p>
            <w:pPr>
              <w:spacing w:after="0" w:line="149" w:lineRule="exact"/>
              <w:rPr>
                <w:rFonts w:ascii="Arial" w:cs="Arial" w:eastAsia="Arial" w:hAnsi="Arial"/>
                <w:sz w:val="17"/>
                <w:szCs w:val="17"/>
                <w:color w:val="0000FF"/>
                <w:w w:val="99"/>
              </w:rPr>
            </w:pPr>
            <w:hyperlink r:id="rId107">
              <w:r>
                <w:rPr>
                  <w:rFonts w:ascii="Arial" w:cs="Arial" w:eastAsia="Arial" w:hAnsi="Arial"/>
                  <w:sz w:val="17"/>
                  <w:szCs w:val="17"/>
                  <w:color w:val="0000FF"/>
                  <w:w w:val="99"/>
                </w:rPr>
                <w:t>signature pages thereto and CHTP Management Services, Inc., as sellers’</w:t>
              </w:r>
            </w:hyperlink>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0000FF"/>
              <w:bottom w:val="single" w:sz="8" w:color="0000FF"/>
            </w:tcBorders>
            <w:gridSpan w:val="2"/>
            <w:shd w:val="clear" w:color="auto" w:fill="CCEEFF"/>
          </w:tcPr>
          <w:p>
            <w:pPr>
              <w:spacing w:after="0" w:line="149" w:lineRule="exact"/>
              <w:rPr>
                <w:rFonts w:ascii="Arial" w:cs="Arial" w:eastAsia="Arial" w:hAnsi="Arial"/>
                <w:sz w:val="17"/>
                <w:szCs w:val="17"/>
                <w:color w:val="0000FF"/>
                <w:w w:val="88"/>
              </w:rPr>
            </w:pPr>
            <w:hyperlink r:id="rId107">
              <w:r>
                <w:rPr>
                  <w:rFonts w:ascii="Arial" w:cs="Arial" w:eastAsia="Arial" w:hAnsi="Arial"/>
                  <w:sz w:val="17"/>
                  <w:szCs w:val="17"/>
                  <w:color w:val="0000FF"/>
                  <w:w w:val="88"/>
                </w:rPr>
                <w:t>representative.</w:t>
              </w:r>
            </w:hyperlink>
          </w:p>
        </w:tc>
        <w:tc>
          <w:tcPr>
            <w:tcW w:w="404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CCEEFF"/>
              <w:bottom w:val="single" w:sz="8" w:color="CCEEFF"/>
            </w:tcBorders>
            <w:shd w:val="clear" w:color="auto" w:fill="CCEEFF"/>
          </w:tcPr>
          <w:p>
            <w:pPr>
              <w:spacing w:after="0"/>
              <w:rPr>
                <w:sz w:val="14"/>
                <w:szCs w:val="14"/>
                <w:color w:val="auto"/>
              </w:rPr>
            </w:pPr>
          </w:p>
        </w:tc>
        <w:tc>
          <w:tcPr>
            <w:tcW w:w="16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2"/>
              </w:rPr>
              <w:t>2.3</w:t>
            </w:r>
          </w:p>
        </w:tc>
        <w:tc>
          <w:tcPr>
            <w:tcW w:w="5960" w:type="dxa"/>
            <w:vAlign w:val="bottom"/>
            <w:gridSpan w:val="27"/>
          </w:tcPr>
          <w:p>
            <w:pPr>
              <w:spacing w:after="0" w:line="181" w:lineRule="exact"/>
              <w:rPr>
                <w:rFonts w:ascii="Arial" w:cs="Arial" w:eastAsia="Arial" w:hAnsi="Arial"/>
                <w:sz w:val="17"/>
                <w:szCs w:val="17"/>
                <w:color w:val="0000FF"/>
              </w:rPr>
            </w:pPr>
            <w:hyperlink r:id="rId108">
              <w:r>
                <w:rPr>
                  <w:rFonts w:ascii="Arial" w:cs="Arial" w:eastAsia="Arial" w:hAnsi="Arial"/>
                  <w:sz w:val="17"/>
                  <w:szCs w:val="17"/>
                  <w:color w:val="0000FF"/>
                </w:rPr>
                <w:t>Asset Purchase Agreement dated as of April 17, 2019 by and between</w:t>
              </w:r>
            </w:hyperlink>
          </w:p>
        </w:tc>
        <w:tc>
          <w:tcPr>
            <w:tcW w:w="1060" w:type="dxa"/>
            <w:vAlign w:val="bottom"/>
          </w:tcPr>
          <w:p>
            <w:pPr>
              <w:jc w:val="center"/>
              <w:ind w:left="94"/>
              <w:spacing w:after="0" w:line="181" w:lineRule="exact"/>
              <w:rPr>
                <w:sz w:val="20"/>
                <w:szCs w:val="20"/>
                <w:color w:val="auto"/>
              </w:rPr>
            </w:pPr>
            <w:r>
              <w:rPr>
                <w:rFonts w:ascii="Arial" w:cs="Arial" w:eastAsia="Arial" w:hAnsi="Arial"/>
                <w:sz w:val="17"/>
                <w:szCs w:val="17"/>
                <w:color w:val="auto"/>
              </w:rPr>
              <w:t>8-K</w:t>
            </w:r>
          </w:p>
        </w:tc>
        <w:tc>
          <w:tcPr>
            <w:tcW w:w="140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2"/>
              </w:rPr>
              <w:t>2.1</w:t>
            </w:r>
          </w:p>
        </w:tc>
        <w:tc>
          <w:tcPr>
            <w:tcW w:w="1700" w:type="dxa"/>
            <w:vAlign w:val="bottom"/>
            <w:gridSpan w:val="2"/>
          </w:tcPr>
          <w:p>
            <w:pPr>
              <w:jc w:val="center"/>
              <w:ind w:left="114"/>
              <w:spacing w:after="0" w:line="181" w:lineRule="exact"/>
              <w:rPr>
                <w:sz w:val="20"/>
                <w:szCs w:val="20"/>
                <w:color w:val="auto"/>
              </w:rPr>
            </w:pPr>
            <w:r>
              <w:rPr>
                <w:rFonts w:ascii="Arial" w:cs="Arial" w:eastAsia="Arial" w:hAnsi="Arial"/>
                <w:sz w:val="17"/>
                <w:szCs w:val="17"/>
                <w:color w:val="auto"/>
                <w:w w:val="97"/>
              </w:rPr>
              <w:t>April 18, 2019</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840" w:type="dxa"/>
            <w:vAlign w:val="bottom"/>
            <w:tcBorders>
              <w:top w:val="single" w:sz="8" w:color="0000FF"/>
            </w:tcBorders>
            <w:gridSpan w:val="13"/>
          </w:tcPr>
          <w:p>
            <w:pPr>
              <w:spacing w:after="0" w:line="149" w:lineRule="exact"/>
              <w:rPr>
                <w:rFonts w:ascii="Arial" w:cs="Arial" w:eastAsia="Arial" w:hAnsi="Arial"/>
                <w:sz w:val="17"/>
                <w:szCs w:val="17"/>
                <w:color w:val="0000FF"/>
              </w:rPr>
            </w:pPr>
            <w:hyperlink r:id="rId108">
              <w:r>
                <w:rPr>
                  <w:rFonts w:ascii="Arial" w:cs="Arial" w:eastAsia="Arial" w:hAnsi="Arial"/>
                  <w:sz w:val="17"/>
                  <w:szCs w:val="17"/>
                  <w:color w:val="0000FF"/>
                </w:rPr>
                <w:t>AngioDynamics, Inc. and Medline Industries Inc.</w:t>
              </w:r>
            </w:hyperlink>
          </w:p>
        </w:tc>
        <w:tc>
          <w:tcPr>
            <w:tcW w:w="32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Borders>
              <w:bottom w:val="single" w:sz="8" w:color="CCEEFF"/>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9"/>
              </w:rPr>
              <w:t>3.1.1</w:t>
            </w:r>
          </w:p>
        </w:tc>
        <w:tc>
          <w:tcPr>
            <w:tcW w:w="3600" w:type="dxa"/>
            <w:vAlign w:val="bottom"/>
            <w:tcBorders>
              <w:bottom w:val="single" w:sz="8" w:color="0000FF"/>
            </w:tcBorders>
            <w:gridSpan w:val="8"/>
            <w:shd w:val="clear" w:color="auto" w:fill="CCEEFF"/>
          </w:tcPr>
          <w:p>
            <w:pPr>
              <w:spacing w:after="0" w:line="191" w:lineRule="exact"/>
              <w:rPr>
                <w:rFonts w:ascii="Arial" w:cs="Arial" w:eastAsia="Arial" w:hAnsi="Arial"/>
                <w:sz w:val="17"/>
                <w:szCs w:val="17"/>
                <w:color w:val="0000FF"/>
                <w:w w:val="92"/>
              </w:rPr>
            </w:pPr>
            <w:hyperlink r:id="rId109">
              <w:r>
                <w:rPr>
                  <w:rFonts w:ascii="Arial" w:cs="Arial" w:eastAsia="Arial" w:hAnsi="Arial"/>
                  <w:sz w:val="17"/>
                  <w:szCs w:val="17"/>
                  <w:color w:val="0000FF"/>
                  <w:w w:val="92"/>
                </w:rPr>
                <w:t>Amended and Restated Certificate of Incorporation.</w:t>
              </w:r>
            </w:hyperlink>
          </w:p>
        </w:tc>
        <w:tc>
          <w:tcPr>
            <w:tcW w:w="2360" w:type="dxa"/>
            <w:vAlign w:val="bottom"/>
            <w:tcBorders>
              <w:bottom w:val="single" w:sz="8" w:color="CCEEFF"/>
            </w:tcBorders>
            <w:gridSpan w:val="19"/>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w w:val="95"/>
              </w:rPr>
              <w:t>10-Q</w:t>
            </w:r>
          </w:p>
        </w:tc>
        <w:tc>
          <w:tcPr>
            <w:tcW w:w="1400" w:type="dxa"/>
            <w:vAlign w:val="bottom"/>
            <w:tcBorders>
              <w:bottom w:val="single" w:sz="8" w:color="CCEEFF"/>
            </w:tcBorders>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2"/>
              </w:rPr>
              <w:t>3.1</w:t>
            </w:r>
          </w:p>
        </w:tc>
        <w:tc>
          <w:tcPr>
            <w:tcW w:w="1680" w:type="dxa"/>
            <w:vAlign w:val="bottom"/>
            <w:tcBorders>
              <w:bottom w:val="single" w:sz="8" w:color="CCEEFF"/>
            </w:tcBorders>
            <w:shd w:val="clear" w:color="auto" w:fill="CCEEFF"/>
          </w:tcPr>
          <w:p>
            <w:pPr>
              <w:jc w:val="center"/>
              <w:ind w:left="114"/>
              <w:spacing w:after="0" w:line="191" w:lineRule="exact"/>
              <w:rPr>
                <w:sz w:val="20"/>
                <w:szCs w:val="20"/>
                <w:color w:val="auto"/>
              </w:rPr>
            </w:pPr>
            <w:r>
              <w:rPr>
                <w:rFonts w:ascii="Arial" w:cs="Arial" w:eastAsia="Arial" w:hAnsi="Arial"/>
                <w:sz w:val="17"/>
                <w:szCs w:val="17"/>
                <w:color w:val="auto"/>
                <w:w w:val="91"/>
              </w:rPr>
              <w:t>October 7, 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89"/>
              </w:rPr>
              <w:t>3.1.2</w:t>
            </w:r>
          </w:p>
        </w:tc>
        <w:tc>
          <w:tcPr>
            <w:tcW w:w="5960" w:type="dxa"/>
            <w:vAlign w:val="bottom"/>
            <w:gridSpan w:val="27"/>
          </w:tcPr>
          <w:p>
            <w:pPr>
              <w:spacing w:after="0" w:line="181" w:lineRule="exact"/>
              <w:rPr>
                <w:rFonts w:ascii="Arial" w:cs="Arial" w:eastAsia="Arial" w:hAnsi="Arial"/>
                <w:sz w:val="17"/>
                <w:szCs w:val="17"/>
                <w:color w:val="0000FF"/>
                <w:w w:val="94"/>
              </w:rPr>
            </w:pPr>
            <w:hyperlink r:id="rId110">
              <w:r>
                <w:rPr>
                  <w:rFonts w:ascii="Arial" w:cs="Arial" w:eastAsia="Arial" w:hAnsi="Arial"/>
                  <w:sz w:val="17"/>
                  <w:szCs w:val="17"/>
                  <w:color w:val="0000FF"/>
                  <w:w w:val="94"/>
                </w:rPr>
                <w:t>Certificate of Amendment to the Amended and Restated Certificate of Incorporation</w:t>
              </w:r>
            </w:hyperlink>
          </w:p>
        </w:tc>
        <w:tc>
          <w:tcPr>
            <w:tcW w:w="1060" w:type="dxa"/>
            <w:vAlign w:val="bottom"/>
          </w:tcPr>
          <w:p>
            <w:pPr>
              <w:jc w:val="center"/>
              <w:ind w:left="94"/>
              <w:spacing w:after="0" w:line="181" w:lineRule="exact"/>
              <w:rPr>
                <w:sz w:val="20"/>
                <w:szCs w:val="20"/>
                <w:color w:val="auto"/>
              </w:rPr>
            </w:pPr>
            <w:r>
              <w:rPr>
                <w:rFonts w:ascii="Arial" w:cs="Arial" w:eastAsia="Arial" w:hAnsi="Arial"/>
                <w:sz w:val="17"/>
                <w:szCs w:val="17"/>
                <w:color w:val="auto"/>
              </w:rPr>
              <w:t>10-K</w:t>
            </w:r>
          </w:p>
        </w:tc>
        <w:tc>
          <w:tcPr>
            <w:tcW w:w="140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89"/>
              </w:rPr>
              <w:t>3.1.2</w:t>
            </w:r>
          </w:p>
        </w:tc>
        <w:tc>
          <w:tcPr>
            <w:tcW w:w="1700" w:type="dxa"/>
            <w:vAlign w:val="bottom"/>
            <w:gridSpan w:val="2"/>
          </w:tcPr>
          <w:p>
            <w:pPr>
              <w:jc w:val="center"/>
              <w:ind w:left="114"/>
              <w:spacing w:after="0" w:line="181" w:lineRule="exact"/>
              <w:rPr>
                <w:sz w:val="20"/>
                <w:szCs w:val="20"/>
                <w:color w:val="auto"/>
              </w:rPr>
            </w:pPr>
            <w:r>
              <w:rPr>
                <w:rFonts w:ascii="Arial" w:cs="Arial" w:eastAsia="Arial" w:hAnsi="Arial"/>
                <w:sz w:val="17"/>
                <w:szCs w:val="17"/>
                <w:color w:val="auto"/>
                <w:w w:val="92"/>
              </w:rPr>
              <w:t>August 10, 2015</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3"/>
          </w:tcPr>
          <w:p>
            <w:pPr>
              <w:spacing w:after="0" w:line="149" w:lineRule="exact"/>
              <w:rPr>
                <w:rFonts w:ascii="Arial" w:cs="Arial" w:eastAsia="Arial" w:hAnsi="Arial"/>
                <w:sz w:val="17"/>
                <w:szCs w:val="17"/>
                <w:color w:val="0000FF"/>
                <w:w w:val="95"/>
              </w:rPr>
            </w:pPr>
            <w:hyperlink r:id="rId110">
              <w:r>
                <w:rPr>
                  <w:rFonts w:ascii="Arial" w:cs="Arial" w:eastAsia="Arial" w:hAnsi="Arial"/>
                  <w:sz w:val="17"/>
                  <w:szCs w:val="17"/>
                  <w:color w:val="0000FF"/>
                  <w:w w:val="95"/>
                </w:rPr>
                <w:t>of AngioDynamics, Inc.</w:t>
              </w:r>
            </w:hyperlink>
          </w:p>
        </w:tc>
        <w:tc>
          <w:tcPr>
            <w:tcW w:w="418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CCEEFF"/>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92"/>
              </w:rPr>
              <w:t>3.2</w:t>
            </w:r>
          </w:p>
        </w:tc>
        <w:tc>
          <w:tcPr>
            <w:tcW w:w="4820" w:type="dxa"/>
            <w:vAlign w:val="bottom"/>
            <w:tcBorders>
              <w:bottom w:val="single" w:sz="8" w:color="0000FF"/>
            </w:tcBorders>
            <w:gridSpan w:val="12"/>
            <w:shd w:val="clear" w:color="auto" w:fill="CCEEFF"/>
          </w:tcPr>
          <w:p>
            <w:pPr>
              <w:spacing w:after="0" w:line="191" w:lineRule="exact"/>
              <w:rPr>
                <w:rFonts w:ascii="Arial" w:cs="Arial" w:eastAsia="Arial" w:hAnsi="Arial"/>
                <w:sz w:val="17"/>
                <w:szCs w:val="17"/>
                <w:color w:val="0000FF"/>
                <w:w w:val="91"/>
              </w:rPr>
            </w:pPr>
            <w:hyperlink r:id="rId111">
              <w:r>
                <w:rPr>
                  <w:rFonts w:ascii="Arial" w:cs="Arial" w:eastAsia="Arial" w:hAnsi="Arial"/>
                  <w:sz w:val="17"/>
                  <w:szCs w:val="17"/>
                  <w:color w:val="0000FF"/>
                  <w:w w:val="91"/>
                </w:rPr>
                <w:t>Second Amended and Restated By-Laws, effective October 16, 2015.</w:t>
              </w:r>
            </w:hyperlink>
          </w:p>
        </w:tc>
        <w:tc>
          <w:tcPr>
            <w:tcW w:w="1140" w:type="dxa"/>
            <w:vAlign w:val="bottom"/>
            <w:tcBorders>
              <w:bottom w:val="single" w:sz="8" w:color="CCEEFF"/>
            </w:tcBorders>
            <w:gridSpan w:val="15"/>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rPr>
              <w:t>8-K</w:t>
            </w:r>
          </w:p>
        </w:tc>
        <w:tc>
          <w:tcPr>
            <w:tcW w:w="1400" w:type="dxa"/>
            <w:vAlign w:val="bottom"/>
            <w:tcBorders>
              <w:bottom w:val="single" w:sz="8" w:color="CCEEFF"/>
            </w:tcBorders>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0"/>
              </w:rPr>
              <w:t>10.1</w:t>
            </w:r>
          </w:p>
        </w:tc>
        <w:tc>
          <w:tcPr>
            <w:tcW w:w="1680" w:type="dxa"/>
            <w:vAlign w:val="bottom"/>
            <w:tcBorders>
              <w:bottom w:val="single" w:sz="8" w:color="CCEEFF"/>
            </w:tcBorders>
            <w:shd w:val="clear" w:color="auto" w:fill="CCEEFF"/>
          </w:tcPr>
          <w:p>
            <w:pPr>
              <w:jc w:val="center"/>
              <w:ind w:left="114"/>
              <w:spacing w:after="0" w:line="191" w:lineRule="exact"/>
              <w:rPr>
                <w:sz w:val="20"/>
                <w:szCs w:val="20"/>
                <w:color w:val="auto"/>
              </w:rPr>
            </w:pPr>
            <w:r>
              <w:rPr>
                <w:rFonts w:ascii="Arial" w:cs="Arial" w:eastAsia="Arial" w:hAnsi="Arial"/>
                <w:sz w:val="17"/>
                <w:szCs w:val="17"/>
                <w:color w:val="auto"/>
                <w:w w:val="91"/>
              </w:rPr>
              <w:t>October 21,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0"/>
              </w:rPr>
              <w:t>10.1</w:t>
            </w:r>
          </w:p>
        </w:tc>
        <w:tc>
          <w:tcPr>
            <w:tcW w:w="5960" w:type="dxa"/>
            <w:vAlign w:val="bottom"/>
            <w:gridSpan w:val="27"/>
          </w:tcPr>
          <w:p>
            <w:pPr>
              <w:spacing w:after="0" w:line="181" w:lineRule="exact"/>
              <w:rPr>
                <w:rFonts w:ascii="Arial" w:cs="Arial" w:eastAsia="Arial" w:hAnsi="Arial"/>
                <w:sz w:val="17"/>
                <w:szCs w:val="17"/>
                <w:color w:val="0000FF"/>
                <w:w w:val="92"/>
              </w:rPr>
            </w:pPr>
            <w:hyperlink r:id="rId112">
              <w:r>
                <w:rPr>
                  <w:rFonts w:ascii="Arial" w:cs="Arial" w:eastAsia="Arial" w:hAnsi="Arial"/>
                  <w:sz w:val="17"/>
                  <w:szCs w:val="17"/>
                  <w:color w:val="0000FF"/>
                  <w:w w:val="92"/>
                </w:rPr>
                <w:t>Credit Agreement, dated as of June 3, 2019, by and among AngioDynamics, Inc., the</w:t>
              </w:r>
            </w:hyperlink>
          </w:p>
        </w:tc>
        <w:tc>
          <w:tcPr>
            <w:tcW w:w="1060" w:type="dxa"/>
            <w:vAlign w:val="bottom"/>
          </w:tcPr>
          <w:p>
            <w:pPr>
              <w:jc w:val="center"/>
              <w:ind w:left="94"/>
              <w:spacing w:after="0" w:line="181" w:lineRule="exact"/>
              <w:rPr>
                <w:sz w:val="20"/>
                <w:szCs w:val="20"/>
                <w:color w:val="auto"/>
              </w:rPr>
            </w:pPr>
            <w:r>
              <w:rPr>
                <w:rFonts w:ascii="Arial" w:cs="Arial" w:eastAsia="Arial" w:hAnsi="Arial"/>
                <w:sz w:val="17"/>
                <w:szCs w:val="17"/>
                <w:color w:val="auto"/>
              </w:rPr>
              <w:t>8-K</w:t>
            </w:r>
          </w:p>
        </w:tc>
        <w:tc>
          <w:tcPr>
            <w:tcW w:w="140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0"/>
              </w:rPr>
              <w:t>10.1</w:t>
            </w:r>
          </w:p>
        </w:tc>
        <w:tc>
          <w:tcPr>
            <w:tcW w:w="1700" w:type="dxa"/>
            <w:vAlign w:val="bottom"/>
            <w:gridSpan w:val="2"/>
          </w:tcPr>
          <w:p>
            <w:pPr>
              <w:jc w:val="center"/>
              <w:ind w:left="94"/>
              <w:spacing w:after="0" w:line="181" w:lineRule="exact"/>
              <w:rPr>
                <w:sz w:val="20"/>
                <w:szCs w:val="20"/>
                <w:color w:val="auto"/>
              </w:rPr>
            </w:pPr>
            <w:r>
              <w:rPr>
                <w:rFonts w:ascii="Arial" w:cs="Arial" w:eastAsia="Arial" w:hAnsi="Arial"/>
                <w:sz w:val="17"/>
                <w:szCs w:val="17"/>
                <w:color w:val="auto"/>
                <w:w w:val="89"/>
              </w:rPr>
              <w:t>June 6, 2019</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900" w:type="dxa"/>
            <w:vAlign w:val="bottom"/>
            <w:tcBorders>
              <w:top w:val="single" w:sz="8" w:color="0000FF"/>
            </w:tcBorders>
            <w:gridSpan w:val="24"/>
          </w:tcPr>
          <w:p>
            <w:pPr>
              <w:spacing w:after="0" w:line="149" w:lineRule="exact"/>
              <w:rPr>
                <w:rFonts w:ascii="Arial" w:cs="Arial" w:eastAsia="Arial" w:hAnsi="Arial"/>
                <w:sz w:val="17"/>
                <w:szCs w:val="17"/>
                <w:color w:val="0000FF"/>
                <w:w w:val="92"/>
              </w:rPr>
            </w:pPr>
            <w:hyperlink r:id="rId112">
              <w:r>
                <w:rPr>
                  <w:rFonts w:ascii="Arial" w:cs="Arial" w:eastAsia="Arial" w:hAnsi="Arial"/>
                  <w:sz w:val="17"/>
                  <w:szCs w:val="17"/>
                  <w:color w:val="0000FF"/>
                  <w:w w:val="92"/>
                </w:rPr>
                <w:t>lenders party thereto, JPMorgan Chase Bank, N.A., as administrative agent, Bank of</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17"/>
          </w:tcPr>
          <w:p>
            <w:pPr>
              <w:spacing w:after="0" w:line="149" w:lineRule="exact"/>
              <w:rPr>
                <w:rFonts w:ascii="Arial" w:cs="Arial" w:eastAsia="Arial" w:hAnsi="Arial"/>
                <w:sz w:val="17"/>
                <w:szCs w:val="17"/>
                <w:color w:val="0000FF"/>
                <w:w w:val="92"/>
              </w:rPr>
            </w:pPr>
            <w:hyperlink r:id="rId112">
              <w:r>
                <w:rPr>
                  <w:rFonts w:ascii="Arial" w:cs="Arial" w:eastAsia="Arial" w:hAnsi="Arial"/>
                  <w:sz w:val="17"/>
                  <w:szCs w:val="17"/>
                  <w:color w:val="0000FF"/>
                  <w:w w:val="92"/>
                </w:rPr>
                <w:t>America, N.A. and Keybank National Association as co-syndication agents.</w:t>
              </w:r>
            </w:hyperlink>
          </w:p>
        </w:tc>
        <w:tc>
          <w:tcPr>
            <w:tcW w:w="580" w:type="dxa"/>
            <w:vAlign w:val="bottom"/>
            <w:tcBorders>
              <w:top w:val="single" w:sz="8" w:color="0000FF"/>
            </w:tcBorders>
            <w:gridSpan w:val="5"/>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CCEEFF"/>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92"/>
              </w:rPr>
              <w:t>10.1.3</w:t>
            </w:r>
          </w:p>
        </w:tc>
        <w:tc>
          <w:tcPr>
            <w:tcW w:w="5160" w:type="dxa"/>
            <w:vAlign w:val="bottom"/>
            <w:tcBorders>
              <w:bottom w:val="single" w:sz="8" w:color="0000FF"/>
            </w:tcBorders>
            <w:gridSpan w:val="16"/>
            <w:shd w:val="clear" w:color="auto" w:fill="CCEEFF"/>
          </w:tcPr>
          <w:p>
            <w:pPr>
              <w:spacing w:after="0" w:line="191" w:lineRule="exact"/>
              <w:rPr>
                <w:rFonts w:ascii="Arial" w:cs="Arial" w:eastAsia="Arial" w:hAnsi="Arial"/>
                <w:sz w:val="17"/>
                <w:szCs w:val="17"/>
                <w:color w:val="0000FF"/>
                <w:w w:val="92"/>
              </w:rPr>
            </w:pPr>
            <w:hyperlink r:id="rId113">
              <w:r>
                <w:rPr>
                  <w:rFonts w:ascii="Arial" w:cs="Arial" w:eastAsia="Arial" w:hAnsi="Arial"/>
                  <w:sz w:val="17"/>
                  <w:szCs w:val="17"/>
                  <w:color w:val="0000FF"/>
                  <w:w w:val="92"/>
                </w:rPr>
                <w:t>AngioDynamics, Inc. 2004 Stock and Incentive Award Plan (as amended).</w:t>
              </w:r>
            </w:hyperlink>
          </w:p>
        </w:tc>
        <w:tc>
          <w:tcPr>
            <w:tcW w:w="800" w:type="dxa"/>
            <w:vAlign w:val="bottom"/>
            <w:tcBorders>
              <w:bottom w:val="single" w:sz="8" w:color="CCEEFF"/>
            </w:tcBorders>
            <w:gridSpan w:val="11"/>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w w:val="98"/>
              </w:rPr>
              <w:t>DEF 14A</w:t>
            </w:r>
          </w:p>
        </w:tc>
        <w:tc>
          <w:tcPr>
            <w:tcW w:w="14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w w:val="92"/>
              </w:rPr>
              <w:t>August 30,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2"/>
              </w:rPr>
              <w:t>10.1.6</w:t>
            </w:r>
          </w:p>
        </w:tc>
        <w:tc>
          <w:tcPr>
            <w:tcW w:w="5960" w:type="dxa"/>
            <w:vAlign w:val="bottom"/>
            <w:gridSpan w:val="27"/>
          </w:tcPr>
          <w:p>
            <w:pPr>
              <w:spacing w:after="0" w:line="181" w:lineRule="exact"/>
              <w:rPr>
                <w:rFonts w:ascii="Arial" w:cs="Arial" w:eastAsia="Arial" w:hAnsi="Arial"/>
                <w:sz w:val="17"/>
                <w:szCs w:val="17"/>
                <w:color w:val="0000FF"/>
              </w:rPr>
            </w:pPr>
            <w:hyperlink r:id="rId114">
              <w:r>
                <w:rPr>
                  <w:rFonts w:ascii="Arial" w:cs="Arial" w:eastAsia="Arial" w:hAnsi="Arial"/>
                  <w:sz w:val="17"/>
                  <w:szCs w:val="17"/>
                  <w:color w:val="0000FF"/>
                </w:rPr>
                <w:t>AngioDynamics 2017 Total Shareholder Return Performance Unit Agreement</w:t>
              </w:r>
            </w:hyperlink>
          </w:p>
        </w:tc>
        <w:tc>
          <w:tcPr>
            <w:tcW w:w="1060" w:type="dxa"/>
            <w:vAlign w:val="bottom"/>
          </w:tcPr>
          <w:p>
            <w:pPr>
              <w:jc w:val="center"/>
              <w:ind w:left="94"/>
              <w:spacing w:after="0" w:line="181" w:lineRule="exact"/>
              <w:rPr>
                <w:sz w:val="20"/>
                <w:szCs w:val="20"/>
                <w:color w:val="auto"/>
              </w:rPr>
            </w:pPr>
            <w:r>
              <w:rPr>
                <w:rFonts w:ascii="Arial" w:cs="Arial" w:eastAsia="Arial" w:hAnsi="Arial"/>
                <w:sz w:val="17"/>
                <w:szCs w:val="17"/>
                <w:color w:val="auto"/>
                <w:w w:val="95"/>
              </w:rPr>
              <w:t>10-Q</w:t>
            </w:r>
          </w:p>
        </w:tc>
        <w:tc>
          <w:tcPr>
            <w:tcW w:w="140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0"/>
              </w:rPr>
              <w:t>10.1</w:t>
            </w:r>
          </w:p>
        </w:tc>
        <w:tc>
          <w:tcPr>
            <w:tcW w:w="1700" w:type="dxa"/>
            <w:vAlign w:val="bottom"/>
            <w:gridSpan w:val="2"/>
          </w:tcPr>
          <w:p>
            <w:pPr>
              <w:jc w:val="center"/>
              <w:ind w:left="114"/>
              <w:spacing w:after="0" w:line="181" w:lineRule="exact"/>
              <w:rPr>
                <w:sz w:val="20"/>
                <w:szCs w:val="20"/>
                <w:color w:val="auto"/>
              </w:rPr>
            </w:pPr>
            <w:r>
              <w:rPr>
                <w:rFonts w:ascii="Arial" w:cs="Arial" w:eastAsia="Arial" w:hAnsi="Arial"/>
                <w:sz w:val="17"/>
                <w:szCs w:val="17"/>
                <w:color w:val="auto"/>
                <w:w w:val="89"/>
              </w:rPr>
              <w:t>September 29, 2017</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400" w:type="dxa"/>
            <w:vAlign w:val="bottom"/>
            <w:tcBorders>
              <w:top w:val="single" w:sz="8" w:color="0000FF"/>
            </w:tcBorders>
            <w:gridSpan w:val="18"/>
          </w:tcPr>
          <w:p>
            <w:pPr>
              <w:spacing w:after="0" w:line="149" w:lineRule="exact"/>
              <w:rPr>
                <w:rFonts w:ascii="Arial" w:cs="Arial" w:eastAsia="Arial" w:hAnsi="Arial"/>
                <w:sz w:val="17"/>
                <w:szCs w:val="17"/>
                <w:color w:val="0000FF"/>
              </w:rPr>
            </w:pPr>
            <w:hyperlink r:id="rId114">
              <w:r>
                <w:rPr>
                  <w:rFonts w:ascii="Arial" w:cs="Arial" w:eastAsia="Arial" w:hAnsi="Arial"/>
                  <w:sz w:val="17"/>
                  <w:szCs w:val="17"/>
                  <w:color w:val="0000FF"/>
                </w:rPr>
                <w:t>Program.</w:t>
              </w:r>
            </w:hyperlink>
          </w:p>
        </w:tc>
        <w:tc>
          <w:tcPr>
            <w:tcW w:w="2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1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20" w:type="dxa"/>
            <w:vAlign w:val="bottom"/>
            <w:shd w:val="clear" w:color="auto" w:fill="CCEEFF"/>
          </w:tcPr>
          <w:p>
            <w:pPr>
              <w:jc w:val="center"/>
              <w:spacing w:after="0" w:line="181" w:lineRule="exact"/>
              <w:rPr>
                <w:sz w:val="20"/>
                <w:szCs w:val="20"/>
                <w:color w:val="auto"/>
              </w:rPr>
            </w:pPr>
            <w:r>
              <w:rPr>
                <w:rFonts w:ascii="Arial" w:cs="Arial" w:eastAsia="Arial" w:hAnsi="Arial"/>
                <w:sz w:val="17"/>
                <w:szCs w:val="17"/>
                <w:color w:val="auto"/>
                <w:w w:val="92"/>
              </w:rPr>
              <w:t>10.1.7</w:t>
            </w:r>
          </w:p>
        </w:tc>
        <w:tc>
          <w:tcPr>
            <w:tcW w:w="5960" w:type="dxa"/>
            <w:vAlign w:val="bottom"/>
            <w:gridSpan w:val="27"/>
            <w:shd w:val="clear" w:color="auto" w:fill="CCEEFF"/>
          </w:tcPr>
          <w:p>
            <w:pPr>
              <w:spacing w:after="0" w:line="181" w:lineRule="exact"/>
              <w:rPr>
                <w:rFonts w:ascii="Arial" w:cs="Arial" w:eastAsia="Arial" w:hAnsi="Arial"/>
                <w:sz w:val="17"/>
                <w:szCs w:val="17"/>
                <w:color w:val="0000FF"/>
              </w:rPr>
            </w:pPr>
            <w:hyperlink r:id="rId115">
              <w:r>
                <w:rPr>
                  <w:rFonts w:ascii="Arial" w:cs="Arial" w:eastAsia="Arial" w:hAnsi="Arial"/>
                  <w:sz w:val="17"/>
                  <w:szCs w:val="17"/>
                  <w:color w:val="0000FF"/>
                </w:rPr>
                <w:t>AngioDynamics 2018 Total Shareholder Return Performance Unit Agreement</w:t>
              </w:r>
            </w:hyperlink>
          </w:p>
        </w:tc>
        <w:tc>
          <w:tcPr>
            <w:tcW w:w="1060" w:type="dxa"/>
            <w:vAlign w:val="bottom"/>
            <w:shd w:val="clear" w:color="auto" w:fill="CCEEFF"/>
          </w:tcPr>
          <w:p>
            <w:pPr>
              <w:jc w:val="center"/>
              <w:ind w:left="94"/>
              <w:spacing w:after="0" w:line="181" w:lineRule="exact"/>
              <w:rPr>
                <w:sz w:val="20"/>
                <w:szCs w:val="20"/>
                <w:color w:val="auto"/>
              </w:rPr>
            </w:pPr>
            <w:r>
              <w:rPr>
                <w:rFonts w:ascii="Arial" w:cs="Arial" w:eastAsia="Arial" w:hAnsi="Arial"/>
                <w:sz w:val="17"/>
                <w:szCs w:val="17"/>
                <w:color w:val="auto"/>
              </w:rPr>
              <w:t>10-K</w:t>
            </w:r>
          </w:p>
        </w:tc>
        <w:tc>
          <w:tcPr>
            <w:tcW w:w="1400" w:type="dxa"/>
            <w:vAlign w:val="bottom"/>
            <w:shd w:val="clear" w:color="auto" w:fill="CCEEFF"/>
          </w:tcPr>
          <w:p>
            <w:pPr>
              <w:jc w:val="center"/>
              <w:ind w:left="294"/>
              <w:spacing w:after="0" w:line="181" w:lineRule="exact"/>
              <w:rPr>
                <w:sz w:val="20"/>
                <w:szCs w:val="20"/>
                <w:color w:val="auto"/>
              </w:rPr>
            </w:pPr>
            <w:r>
              <w:rPr>
                <w:rFonts w:ascii="Arial" w:cs="Arial" w:eastAsia="Arial" w:hAnsi="Arial"/>
                <w:sz w:val="17"/>
                <w:szCs w:val="17"/>
                <w:color w:val="auto"/>
                <w:w w:val="88"/>
              </w:rPr>
              <w:t>10.1.7</w:t>
            </w:r>
          </w:p>
        </w:tc>
        <w:tc>
          <w:tcPr>
            <w:tcW w:w="1680" w:type="dxa"/>
            <w:vAlign w:val="bottom"/>
            <w:shd w:val="clear" w:color="auto" w:fill="CCEEFF"/>
          </w:tcPr>
          <w:p>
            <w:pPr>
              <w:jc w:val="center"/>
              <w:ind w:left="134"/>
              <w:spacing w:after="0" w:line="181" w:lineRule="exact"/>
              <w:rPr>
                <w:sz w:val="20"/>
                <w:szCs w:val="20"/>
                <w:color w:val="auto"/>
              </w:rPr>
            </w:pPr>
            <w:r>
              <w:rPr>
                <w:rFonts w:ascii="Arial" w:cs="Arial" w:eastAsia="Arial" w:hAnsi="Arial"/>
                <w:sz w:val="17"/>
                <w:szCs w:val="17"/>
                <w:color w:val="auto"/>
                <w:w w:val="92"/>
              </w:rPr>
              <w:t>July 23,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20" w:type="dxa"/>
            <w:vAlign w:val="bottom"/>
            <w:tcBorders>
              <w:top w:val="single" w:sz="8" w:color="CCEEFF"/>
            </w:tcBorders>
            <w:shd w:val="clear" w:color="auto" w:fill="CCEEFF"/>
          </w:tcPr>
          <w:p>
            <w:pPr>
              <w:spacing w:after="0"/>
              <w:rPr>
                <w:sz w:val="12"/>
                <w:szCs w:val="12"/>
                <w:color w:val="auto"/>
              </w:rPr>
            </w:pPr>
          </w:p>
        </w:tc>
        <w:tc>
          <w:tcPr>
            <w:tcW w:w="5400" w:type="dxa"/>
            <w:vAlign w:val="bottom"/>
            <w:tcBorders>
              <w:top w:val="single" w:sz="8" w:color="0000FF"/>
            </w:tcBorders>
            <w:gridSpan w:val="18"/>
            <w:shd w:val="clear" w:color="auto" w:fill="CCEEFF"/>
          </w:tcPr>
          <w:p>
            <w:pPr>
              <w:spacing w:after="0" w:line="149" w:lineRule="exact"/>
              <w:rPr>
                <w:rFonts w:ascii="Arial" w:cs="Arial" w:eastAsia="Arial" w:hAnsi="Arial"/>
                <w:sz w:val="17"/>
                <w:szCs w:val="17"/>
                <w:color w:val="0000FF"/>
              </w:rPr>
            </w:pPr>
            <w:hyperlink r:id="rId115">
              <w:r>
                <w:rPr>
                  <w:rFonts w:ascii="Arial" w:cs="Arial" w:eastAsia="Arial" w:hAnsi="Arial"/>
                  <w:sz w:val="17"/>
                  <w:szCs w:val="17"/>
                  <w:color w:val="0000FF"/>
                </w:rPr>
                <w:t>Program.</w:t>
              </w:r>
            </w:hyperlink>
          </w:p>
        </w:tc>
        <w:tc>
          <w:tcPr>
            <w:tcW w:w="2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0000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right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2"/>
              </w:rPr>
              <w:t>10.1.8</w:t>
            </w:r>
          </w:p>
        </w:tc>
        <w:tc>
          <w:tcPr>
            <w:tcW w:w="5960" w:type="dxa"/>
            <w:vAlign w:val="bottom"/>
            <w:gridSpan w:val="27"/>
          </w:tcPr>
          <w:p>
            <w:pPr>
              <w:spacing w:after="0" w:line="181" w:lineRule="exact"/>
              <w:rPr>
                <w:rFonts w:ascii="Arial" w:cs="Arial" w:eastAsia="Arial" w:hAnsi="Arial"/>
                <w:sz w:val="17"/>
                <w:szCs w:val="17"/>
                <w:color w:val="0000FF"/>
              </w:rPr>
            </w:pPr>
            <w:hyperlink r:id="rId116">
              <w:r>
                <w:rPr>
                  <w:rFonts w:ascii="Arial" w:cs="Arial" w:eastAsia="Arial" w:hAnsi="Arial"/>
                  <w:sz w:val="17"/>
                  <w:szCs w:val="17"/>
                  <w:color w:val="0000FF"/>
                </w:rPr>
                <w:t>AngioDynamics 2019 Total Shareholder Return Performance Unit Agreement</w:t>
              </w:r>
            </w:hyperlink>
          </w:p>
        </w:tc>
        <w:tc>
          <w:tcPr>
            <w:tcW w:w="1060" w:type="dxa"/>
            <w:vAlign w:val="bottom"/>
          </w:tcPr>
          <w:p>
            <w:pPr>
              <w:jc w:val="center"/>
              <w:ind w:left="94"/>
              <w:spacing w:after="0" w:line="181" w:lineRule="exact"/>
              <w:rPr>
                <w:sz w:val="20"/>
                <w:szCs w:val="20"/>
                <w:color w:val="auto"/>
              </w:rPr>
            </w:pPr>
            <w:r>
              <w:rPr>
                <w:rFonts w:ascii="Arial" w:cs="Arial" w:eastAsia="Arial" w:hAnsi="Arial"/>
                <w:sz w:val="17"/>
                <w:szCs w:val="17"/>
                <w:color w:val="auto"/>
                <w:w w:val="95"/>
              </w:rPr>
              <w:t>10-Q</w:t>
            </w:r>
          </w:p>
        </w:tc>
        <w:tc>
          <w:tcPr>
            <w:tcW w:w="140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88"/>
              </w:rPr>
              <w:t>10.1.8</w:t>
            </w:r>
          </w:p>
        </w:tc>
        <w:tc>
          <w:tcPr>
            <w:tcW w:w="1700" w:type="dxa"/>
            <w:vAlign w:val="bottom"/>
            <w:gridSpan w:val="2"/>
          </w:tcPr>
          <w:p>
            <w:pPr>
              <w:jc w:val="center"/>
              <w:ind w:left="114"/>
              <w:spacing w:after="0" w:line="181" w:lineRule="exact"/>
              <w:rPr>
                <w:sz w:val="20"/>
                <w:szCs w:val="20"/>
                <w:color w:val="auto"/>
              </w:rPr>
            </w:pPr>
            <w:r>
              <w:rPr>
                <w:rFonts w:ascii="Arial" w:cs="Arial" w:eastAsia="Arial" w:hAnsi="Arial"/>
                <w:sz w:val="17"/>
                <w:szCs w:val="17"/>
                <w:color w:val="auto"/>
                <w:w w:val="90"/>
              </w:rPr>
              <w:t>January 8, 2020</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400" w:type="dxa"/>
            <w:vAlign w:val="bottom"/>
            <w:tcBorders>
              <w:top w:val="single" w:sz="8" w:color="0000FF"/>
            </w:tcBorders>
            <w:gridSpan w:val="18"/>
          </w:tcPr>
          <w:p>
            <w:pPr>
              <w:spacing w:after="0" w:line="149" w:lineRule="exact"/>
              <w:rPr>
                <w:rFonts w:ascii="Arial" w:cs="Arial" w:eastAsia="Arial" w:hAnsi="Arial"/>
                <w:sz w:val="17"/>
                <w:szCs w:val="17"/>
                <w:color w:val="0000FF"/>
              </w:rPr>
            </w:pPr>
            <w:hyperlink r:id="rId116">
              <w:r>
                <w:rPr>
                  <w:rFonts w:ascii="Arial" w:cs="Arial" w:eastAsia="Arial" w:hAnsi="Arial"/>
                  <w:sz w:val="17"/>
                  <w:szCs w:val="17"/>
                  <w:color w:val="0000FF"/>
                </w:rPr>
                <w:t>Program.</w:t>
              </w:r>
            </w:hyperlink>
          </w:p>
        </w:tc>
        <w:tc>
          <w:tcPr>
            <w:tcW w:w="2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Borders>
              <w:bottom w:val="single" w:sz="8" w:color="CCEEFF"/>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92"/>
              </w:rPr>
              <w:t>10.1.9</w:t>
            </w:r>
          </w:p>
        </w:tc>
        <w:tc>
          <w:tcPr>
            <w:tcW w:w="4140" w:type="dxa"/>
            <w:vAlign w:val="bottom"/>
            <w:tcBorders>
              <w:bottom w:val="single" w:sz="8" w:color="0000FF"/>
            </w:tcBorders>
            <w:gridSpan w:val="10"/>
            <w:shd w:val="clear" w:color="auto" w:fill="CCEEFF"/>
          </w:tcPr>
          <w:p>
            <w:pPr>
              <w:spacing w:after="0" w:line="191" w:lineRule="exact"/>
              <w:rPr>
                <w:rFonts w:ascii="Arial" w:cs="Arial" w:eastAsia="Arial" w:hAnsi="Arial"/>
                <w:sz w:val="17"/>
                <w:szCs w:val="17"/>
                <w:color w:val="0000FF"/>
                <w:w w:val="93"/>
              </w:rPr>
            </w:pPr>
            <w:hyperlink r:id="rId117">
              <w:r>
                <w:rPr>
                  <w:rFonts w:ascii="Arial" w:cs="Arial" w:eastAsia="Arial" w:hAnsi="Arial"/>
                  <w:sz w:val="17"/>
                  <w:szCs w:val="17"/>
                  <w:color w:val="0000FF"/>
                  <w:w w:val="93"/>
                </w:rPr>
                <w:t>AngioDynamics, Inc. 2020 Stock and Incentive Award Plan</w:t>
              </w:r>
            </w:hyperlink>
          </w:p>
        </w:tc>
        <w:tc>
          <w:tcPr>
            <w:tcW w:w="1820" w:type="dxa"/>
            <w:vAlign w:val="bottom"/>
            <w:tcBorders>
              <w:bottom w:val="single" w:sz="8" w:color="CCEEFF"/>
            </w:tcBorders>
            <w:gridSpan w:val="17"/>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w w:val="98"/>
              </w:rPr>
              <w:t>DEF 14A</w:t>
            </w:r>
          </w:p>
        </w:tc>
        <w:tc>
          <w:tcPr>
            <w:tcW w:w="14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w w:val="89"/>
              </w:rPr>
              <w:t>September 3,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0"/>
              </w:rPr>
              <w:t>10.2</w:t>
            </w:r>
          </w:p>
        </w:tc>
        <w:tc>
          <w:tcPr>
            <w:tcW w:w="4700" w:type="dxa"/>
            <w:vAlign w:val="bottom"/>
            <w:tcBorders>
              <w:bottom w:val="single" w:sz="8" w:color="0000FF"/>
            </w:tcBorders>
            <w:gridSpan w:val="11"/>
          </w:tcPr>
          <w:p>
            <w:pPr>
              <w:spacing w:after="0" w:line="181" w:lineRule="exact"/>
              <w:rPr>
                <w:rFonts w:ascii="Arial" w:cs="Arial" w:eastAsia="Arial" w:hAnsi="Arial"/>
                <w:sz w:val="17"/>
                <w:szCs w:val="17"/>
                <w:color w:val="0000FF"/>
                <w:w w:val="91"/>
              </w:rPr>
            </w:pPr>
            <w:hyperlink r:id="rId117">
              <w:r>
                <w:rPr>
                  <w:rFonts w:ascii="Arial" w:cs="Arial" w:eastAsia="Arial" w:hAnsi="Arial"/>
                  <w:sz w:val="17"/>
                  <w:szCs w:val="17"/>
                  <w:color w:val="0000FF"/>
                  <w:w w:val="91"/>
                </w:rPr>
                <w:t>AngioDynamics, Inc. Employee Stock Purchase Plan (as amended).</w:t>
              </w:r>
            </w:hyperlink>
          </w:p>
        </w:tc>
        <w:tc>
          <w:tcPr>
            <w:tcW w:w="1260" w:type="dxa"/>
            <w:vAlign w:val="bottom"/>
            <w:gridSpan w:val="16"/>
          </w:tcPr>
          <w:p>
            <w:pPr>
              <w:spacing w:after="0"/>
              <w:rPr>
                <w:sz w:val="16"/>
                <w:szCs w:val="16"/>
                <w:color w:val="auto"/>
              </w:rPr>
            </w:pPr>
          </w:p>
        </w:tc>
        <w:tc>
          <w:tcPr>
            <w:tcW w:w="1060" w:type="dxa"/>
            <w:vAlign w:val="bottom"/>
          </w:tcPr>
          <w:p>
            <w:pPr>
              <w:jc w:val="center"/>
              <w:ind w:left="94"/>
              <w:spacing w:after="0" w:line="181" w:lineRule="exact"/>
              <w:rPr>
                <w:sz w:val="20"/>
                <w:szCs w:val="20"/>
                <w:color w:val="auto"/>
              </w:rPr>
            </w:pPr>
            <w:r>
              <w:rPr>
                <w:rFonts w:ascii="Arial" w:cs="Arial" w:eastAsia="Arial" w:hAnsi="Arial"/>
                <w:sz w:val="17"/>
                <w:szCs w:val="17"/>
                <w:color w:val="auto"/>
                <w:w w:val="98"/>
              </w:rPr>
              <w:t>DEF 14A</w:t>
            </w:r>
          </w:p>
        </w:tc>
        <w:tc>
          <w:tcPr>
            <w:tcW w:w="1400" w:type="dxa"/>
            <w:vAlign w:val="bottom"/>
          </w:tcPr>
          <w:p>
            <w:pPr>
              <w:spacing w:after="0"/>
              <w:rPr>
                <w:sz w:val="16"/>
                <w:szCs w:val="16"/>
                <w:color w:val="auto"/>
              </w:rPr>
            </w:pPr>
          </w:p>
        </w:tc>
        <w:tc>
          <w:tcPr>
            <w:tcW w:w="1700" w:type="dxa"/>
            <w:vAlign w:val="bottom"/>
            <w:gridSpan w:val="2"/>
          </w:tcPr>
          <w:p>
            <w:pPr>
              <w:jc w:val="center"/>
              <w:ind w:left="114"/>
              <w:spacing w:after="0" w:line="181" w:lineRule="exact"/>
              <w:rPr>
                <w:sz w:val="20"/>
                <w:szCs w:val="20"/>
                <w:color w:val="auto"/>
              </w:rPr>
            </w:pPr>
            <w:r>
              <w:rPr>
                <w:rFonts w:ascii="Arial" w:cs="Arial" w:eastAsia="Arial" w:hAnsi="Arial"/>
                <w:sz w:val="17"/>
                <w:szCs w:val="17"/>
                <w:color w:val="auto"/>
                <w:w w:val="89"/>
              </w:rPr>
              <w:t>September 3, 2020</w:t>
            </w:r>
          </w:p>
        </w:tc>
        <w:tc>
          <w:tcPr>
            <w:tcW w:w="0" w:type="dxa"/>
            <w:vAlign w:val="bottom"/>
          </w:tcPr>
          <w:p>
            <w:pPr>
              <w:spacing w:after="0"/>
              <w:rPr>
                <w:sz w:val="1"/>
                <w:szCs w:val="1"/>
                <w:color w:val="auto"/>
              </w:rPr>
            </w:pPr>
          </w:p>
        </w:tc>
      </w:tr>
      <w:tr>
        <w:trPr>
          <w:trHeight w:val="191"/>
        </w:trPr>
        <w:tc>
          <w:tcPr>
            <w:tcW w:w="112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90"/>
              </w:rPr>
              <w:t>10.3</w:t>
            </w:r>
          </w:p>
        </w:tc>
        <w:tc>
          <w:tcPr>
            <w:tcW w:w="5960" w:type="dxa"/>
            <w:vAlign w:val="bottom"/>
            <w:gridSpan w:val="27"/>
            <w:shd w:val="clear" w:color="auto" w:fill="CCEEFF"/>
          </w:tcPr>
          <w:p>
            <w:pPr>
              <w:spacing w:after="0" w:line="191" w:lineRule="exact"/>
              <w:rPr>
                <w:rFonts w:ascii="Arial" w:cs="Arial" w:eastAsia="Arial" w:hAnsi="Arial"/>
                <w:sz w:val="17"/>
                <w:szCs w:val="17"/>
                <w:color w:val="0000FF"/>
                <w:w w:val="98"/>
              </w:rPr>
            </w:pPr>
            <w:hyperlink r:id="rId118">
              <w:r>
                <w:rPr>
                  <w:rFonts w:ascii="Arial" w:cs="Arial" w:eastAsia="Arial" w:hAnsi="Arial"/>
                  <w:sz w:val="17"/>
                  <w:szCs w:val="17"/>
                  <w:color w:val="0000FF"/>
                  <w:w w:val="98"/>
                </w:rPr>
                <w:t>Form of Non-Statutory Stock Option Agreement pursuant to the AngioDynamics,</w:t>
              </w:r>
            </w:hyperlink>
          </w:p>
        </w:tc>
        <w:tc>
          <w:tcPr>
            <w:tcW w:w="1060" w:type="dxa"/>
            <w:vAlign w:val="bottom"/>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w w:val="95"/>
              </w:rPr>
              <w:t>10-Q</w:t>
            </w:r>
          </w:p>
        </w:tc>
        <w:tc>
          <w:tcPr>
            <w:tcW w:w="1400" w:type="dxa"/>
            <w:vAlign w:val="bottom"/>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0"/>
              </w:rPr>
              <w:t>10.1</w:t>
            </w:r>
          </w:p>
        </w:tc>
        <w:tc>
          <w:tcPr>
            <w:tcW w:w="1680" w:type="dxa"/>
            <w:vAlign w:val="bottom"/>
            <w:shd w:val="clear" w:color="auto" w:fill="CCEEFF"/>
          </w:tcPr>
          <w:p>
            <w:pPr>
              <w:jc w:val="center"/>
              <w:ind w:left="114"/>
              <w:spacing w:after="0" w:line="191" w:lineRule="exact"/>
              <w:rPr>
                <w:sz w:val="20"/>
                <w:szCs w:val="20"/>
                <w:color w:val="auto"/>
              </w:rPr>
            </w:pPr>
            <w:r>
              <w:rPr>
                <w:rFonts w:ascii="Arial" w:cs="Arial" w:eastAsia="Arial" w:hAnsi="Arial"/>
                <w:sz w:val="17"/>
                <w:szCs w:val="17"/>
                <w:color w:val="auto"/>
                <w:w w:val="91"/>
              </w:rPr>
              <w:t>October 12, 2004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2580" w:type="dxa"/>
            <w:vAlign w:val="bottom"/>
            <w:tcBorders>
              <w:top w:val="single" w:sz="8" w:color="0000FF"/>
              <w:bottom w:val="single" w:sz="8" w:color="0000FF"/>
            </w:tcBorders>
            <w:gridSpan w:val="4"/>
            <w:shd w:val="clear" w:color="auto" w:fill="CCEEFF"/>
          </w:tcPr>
          <w:p>
            <w:pPr>
              <w:spacing w:after="0" w:line="149" w:lineRule="exact"/>
              <w:rPr>
                <w:rFonts w:ascii="Arial" w:cs="Arial" w:eastAsia="Arial" w:hAnsi="Arial"/>
                <w:sz w:val="17"/>
                <w:szCs w:val="17"/>
                <w:color w:val="0000FF"/>
                <w:w w:val="92"/>
              </w:rPr>
            </w:pPr>
            <w:hyperlink r:id="rId118">
              <w:r>
                <w:rPr>
                  <w:rFonts w:ascii="Arial" w:cs="Arial" w:eastAsia="Arial" w:hAnsi="Arial"/>
                  <w:sz w:val="17"/>
                  <w:szCs w:val="17"/>
                  <w:color w:val="0000FF"/>
                  <w:w w:val="92"/>
                </w:rPr>
                <w:t>Inc. Stock and Incentive Award Plan.</w:t>
              </w:r>
            </w:hyperlink>
          </w:p>
        </w:tc>
        <w:tc>
          <w:tcPr>
            <w:tcW w:w="308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28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CCEEFF"/>
              <w:bottom w:val="single" w:sz="8" w:color="CCEEFF"/>
            </w:tcBorders>
            <w:shd w:val="clear" w:color="auto" w:fill="CCEEFF"/>
          </w:tcPr>
          <w:p>
            <w:pPr>
              <w:spacing w:after="0"/>
              <w:rPr>
                <w:sz w:val="14"/>
                <w:szCs w:val="14"/>
                <w:color w:val="auto"/>
              </w:rPr>
            </w:pPr>
          </w:p>
        </w:tc>
        <w:tc>
          <w:tcPr>
            <w:tcW w:w="16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2"/>
              </w:rPr>
              <w:t>10.3.1</w:t>
            </w:r>
          </w:p>
        </w:tc>
        <w:tc>
          <w:tcPr>
            <w:tcW w:w="5960" w:type="dxa"/>
            <w:vAlign w:val="bottom"/>
            <w:gridSpan w:val="27"/>
          </w:tcPr>
          <w:p>
            <w:pPr>
              <w:spacing w:after="0" w:line="181" w:lineRule="exact"/>
              <w:rPr>
                <w:rFonts w:ascii="Arial" w:cs="Arial" w:eastAsia="Arial" w:hAnsi="Arial"/>
                <w:sz w:val="17"/>
                <w:szCs w:val="17"/>
                <w:color w:val="0000FF"/>
                <w:w w:val="98"/>
              </w:rPr>
            </w:pPr>
            <w:hyperlink r:id="rId119">
              <w:r>
                <w:rPr>
                  <w:rFonts w:ascii="Arial" w:cs="Arial" w:eastAsia="Arial" w:hAnsi="Arial"/>
                  <w:sz w:val="17"/>
                  <w:szCs w:val="17"/>
                  <w:color w:val="0000FF"/>
                  <w:w w:val="98"/>
                </w:rPr>
                <w:t>Form of Non-Statutory Stock Option Agreement pursuant to the AngioDynamics,</w:t>
              </w:r>
            </w:hyperlink>
          </w:p>
        </w:tc>
        <w:tc>
          <w:tcPr>
            <w:tcW w:w="1060" w:type="dxa"/>
            <w:vAlign w:val="bottom"/>
          </w:tcPr>
          <w:p>
            <w:pPr>
              <w:jc w:val="center"/>
              <w:ind w:left="94"/>
              <w:spacing w:after="0" w:line="181" w:lineRule="exact"/>
              <w:rPr>
                <w:sz w:val="20"/>
                <w:szCs w:val="20"/>
                <w:color w:val="auto"/>
              </w:rPr>
            </w:pPr>
            <w:r>
              <w:rPr>
                <w:rFonts w:ascii="Arial" w:cs="Arial" w:eastAsia="Arial" w:hAnsi="Arial"/>
                <w:sz w:val="17"/>
                <w:szCs w:val="17"/>
                <w:color w:val="auto"/>
              </w:rPr>
              <w:t>10-K</w:t>
            </w:r>
          </w:p>
        </w:tc>
        <w:tc>
          <w:tcPr>
            <w:tcW w:w="140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88"/>
              </w:rPr>
              <w:t>10.3.1</w:t>
            </w:r>
          </w:p>
        </w:tc>
        <w:tc>
          <w:tcPr>
            <w:tcW w:w="1700" w:type="dxa"/>
            <w:vAlign w:val="bottom"/>
            <w:gridSpan w:val="2"/>
          </w:tcPr>
          <w:p>
            <w:pPr>
              <w:jc w:val="center"/>
              <w:ind w:left="114"/>
              <w:spacing w:after="0" w:line="181" w:lineRule="exact"/>
              <w:rPr>
                <w:sz w:val="20"/>
                <w:szCs w:val="20"/>
                <w:color w:val="auto"/>
              </w:rPr>
            </w:pPr>
            <w:r>
              <w:rPr>
                <w:rFonts w:ascii="Arial" w:cs="Arial" w:eastAsia="Arial" w:hAnsi="Arial"/>
                <w:sz w:val="17"/>
                <w:szCs w:val="17"/>
                <w:color w:val="auto"/>
                <w:w w:val="92"/>
              </w:rPr>
              <w:t>July 23, 2018</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4"/>
          </w:tcPr>
          <w:p>
            <w:pPr>
              <w:spacing w:after="0" w:line="149" w:lineRule="exact"/>
              <w:rPr>
                <w:rFonts w:ascii="Arial" w:cs="Arial" w:eastAsia="Arial" w:hAnsi="Arial"/>
                <w:sz w:val="17"/>
                <w:szCs w:val="17"/>
                <w:color w:val="0000FF"/>
                <w:w w:val="92"/>
              </w:rPr>
            </w:pPr>
            <w:hyperlink r:id="rId119">
              <w:r>
                <w:rPr>
                  <w:rFonts w:ascii="Arial" w:cs="Arial" w:eastAsia="Arial" w:hAnsi="Arial"/>
                  <w:sz w:val="17"/>
                  <w:szCs w:val="17"/>
                  <w:color w:val="0000FF"/>
                  <w:w w:val="92"/>
                </w:rPr>
                <w:t>Inc. Stock and Incentive Award Plan.</w:t>
              </w:r>
            </w:hyperlink>
          </w:p>
        </w:tc>
        <w:tc>
          <w:tcPr>
            <w:tcW w:w="3080" w:type="dxa"/>
            <w:vAlign w:val="bottom"/>
            <w:tcBorders>
              <w:top w:val="single" w:sz="8" w:color="0000FF"/>
            </w:tcBorders>
            <w:gridSpan w:val="17"/>
          </w:tcPr>
          <w:p>
            <w:pPr>
              <w:spacing w:after="0"/>
              <w:rPr>
                <w:sz w:val="13"/>
                <w:szCs w:val="13"/>
                <w:color w:val="auto"/>
              </w:rPr>
            </w:pPr>
          </w:p>
        </w:tc>
        <w:tc>
          <w:tcPr>
            <w:tcW w:w="2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2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92"/>
              </w:rPr>
              <w:t>10.4.3</w:t>
            </w:r>
          </w:p>
        </w:tc>
        <w:tc>
          <w:tcPr>
            <w:tcW w:w="5960" w:type="dxa"/>
            <w:vAlign w:val="bottom"/>
            <w:gridSpan w:val="27"/>
            <w:shd w:val="clear" w:color="auto" w:fill="CCEEFF"/>
          </w:tcPr>
          <w:p>
            <w:pPr>
              <w:spacing w:after="0" w:line="191" w:lineRule="exact"/>
              <w:rPr>
                <w:rFonts w:ascii="Arial" w:cs="Arial" w:eastAsia="Arial" w:hAnsi="Arial"/>
                <w:sz w:val="17"/>
                <w:szCs w:val="17"/>
                <w:color w:val="0000FF"/>
                <w:w w:val="92"/>
              </w:rPr>
            </w:pPr>
            <w:hyperlink r:id="rId120">
              <w:r>
                <w:rPr>
                  <w:rFonts w:ascii="Arial" w:cs="Arial" w:eastAsia="Arial" w:hAnsi="Arial"/>
                  <w:sz w:val="17"/>
                  <w:szCs w:val="17"/>
                  <w:color w:val="0000FF"/>
                  <w:w w:val="92"/>
                </w:rPr>
                <w:t>Form of 2016 Performance Share Award Agreement pursuant to the AngioDynamics,</w:t>
              </w:r>
            </w:hyperlink>
          </w:p>
        </w:tc>
        <w:tc>
          <w:tcPr>
            <w:tcW w:w="1060" w:type="dxa"/>
            <w:vAlign w:val="bottom"/>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w w:val="95"/>
              </w:rPr>
              <w:t>10-Q</w:t>
            </w:r>
          </w:p>
        </w:tc>
        <w:tc>
          <w:tcPr>
            <w:tcW w:w="1400" w:type="dxa"/>
            <w:vAlign w:val="bottom"/>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0"/>
              </w:rPr>
              <w:t>10.2</w:t>
            </w:r>
          </w:p>
        </w:tc>
        <w:tc>
          <w:tcPr>
            <w:tcW w:w="1680" w:type="dxa"/>
            <w:vAlign w:val="bottom"/>
            <w:shd w:val="clear" w:color="auto" w:fill="CCEEFF"/>
          </w:tcPr>
          <w:p>
            <w:pPr>
              <w:jc w:val="center"/>
              <w:ind w:left="114"/>
              <w:spacing w:after="0" w:line="191" w:lineRule="exact"/>
              <w:rPr>
                <w:sz w:val="20"/>
                <w:szCs w:val="20"/>
                <w:color w:val="auto"/>
              </w:rPr>
            </w:pPr>
            <w:r>
              <w:rPr>
                <w:rFonts w:ascii="Arial" w:cs="Arial" w:eastAsia="Arial" w:hAnsi="Arial"/>
                <w:sz w:val="17"/>
                <w:szCs w:val="17"/>
                <w:color w:val="auto"/>
                <w:w w:val="91"/>
              </w:rPr>
              <w:t>October 5, 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20" w:type="dxa"/>
            <w:vAlign w:val="bottom"/>
            <w:tcBorders>
              <w:top w:val="single" w:sz="8" w:color="CCEEFF"/>
            </w:tcBorders>
            <w:shd w:val="clear" w:color="auto" w:fill="CCEEFF"/>
          </w:tcPr>
          <w:p>
            <w:pPr>
              <w:spacing w:after="0"/>
              <w:rPr>
                <w:sz w:val="12"/>
                <w:szCs w:val="12"/>
                <w:color w:val="auto"/>
              </w:rPr>
            </w:pPr>
          </w:p>
        </w:tc>
        <w:tc>
          <w:tcPr>
            <w:tcW w:w="5940" w:type="dxa"/>
            <w:vAlign w:val="bottom"/>
            <w:tcBorders>
              <w:top w:val="single" w:sz="8" w:color="0000FF"/>
            </w:tcBorders>
            <w:gridSpan w:val="26"/>
            <w:shd w:val="clear" w:color="auto" w:fill="CCEEFF"/>
          </w:tcPr>
          <w:p>
            <w:pPr>
              <w:spacing w:after="0" w:line="149" w:lineRule="exact"/>
              <w:rPr>
                <w:rFonts w:ascii="Arial" w:cs="Arial" w:eastAsia="Arial" w:hAnsi="Arial"/>
                <w:sz w:val="17"/>
                <w:szCs w:val="17"/>
                <w:color w:val="0000FF"/>
              </w:rPr>
            </w:pPr>
            <w:hyperlink r:id="rId120">
              <w:r>
                <w:rPr>
                  <w:rFonts w:ascii="Arial" w:cs="Arial" w:eastAsia="Arial" w:hAnsi="Arial"/>
                  <w:sz w:val="17"/>
                  <w:szCs w:val="17"/>
                  <w:color w:val="0000FF"/>
                </w:rPr>
                <w:t>Inc. 2004 Stock and Incentive Award Plan.</w:t>
              </w:r>
            </w:hyperlink>
          </w:p>
        </w:tc>
        <w:tc>
          <w:tcPr>
            <w:tcW w:w="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2"/>
              </w:rPr>
              <w:t>10.4.4</w:t>
            </w:r>
          </w:p>
        </w:tc>
        <w:tc>
          <w:tcPr>
            <w:tcW w:w="5960" w:type="dxa"/>
            <w:vAlign w:val="bottom"/>
            <w:gridSpan w:val="27"/>
          </w:tcPr>
          <w:p>
            <w:pPr>
              <w:spacing w:after="0" w:line="181" w:lineRule="exact"/>
              <w:rPr>
                <w:rFonts w:ascii="Arial" w:cs="Arial" w:eastAsia="Arial" w:hAnsi="Arial"/>
                <w:sz w:val="17"/>
                <w:szCs w:val="17"/>
                <w:color w:val="0000FF"/>
                <w:w w:val="92"/>
              </w:rPr>
            </w:pPr>
            <w:hyperlink r:id="rId121">
              <w:r>
                <w:rPr>
                  <w:rFonts w:ascii="Arial" w:cs="Arial" w:eastAsia="Arial" w:hAnsi="Arial"/>
                  <w:sz w:val="17"/>
                  <w:szCs w:val="17"/>
                  <w:color w:val="0000FF"/>
                  <w:w w:val="92"/>
                </w:rPr>
                <w:t>Form of 2017 Performance Share Award Agreement pursuant to the AngioDynamics,</w:t>
              </w:r>
            </w:hyperlink>
          </w:p>
        </w:tc>
        <w:tc>
          <w:tcPr>
            <w:tcW w:w="1060" w:type="dxa"/>
            <w:vAlign w:val="bottom"/>
          </w:tcPr>
          <w:p>
            <w:pPr>
              <w:jc w:val="center"/>
              <w:ind w:left="94"/>
              <w:spacing w:after="0" w:line="181" w:lineRule="exact"/>
              <w:rPr>
                <w:sz w:val="20"/>
                <w:szCs w:val="20"/>
                <w:color w:val="auto"/>
              </w:rPr>
            </w:pPr>
            <w:r>
              <w:rPr>
                <w:rFonts w:ascii="Arial" w:cs="Arial" w:eastAsia="Arial" w:hAnsi="Arial"/>
                <w:sz w:val="17"/>
                <w:szCs w:val="17"/>
                <w:color w:val="auto"/>
                <w:w w:val="95"/>
              </w:rPr>
              <w:t>10-Q</w:t>
            </w:r>
          </w:p>
        </w:tc>
        <w:tc>
          <w:tcPr>
            <w:tcW w:w="140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0"/>
              </w:rPr>
              <w:t>10.2</w:t>
            </w:r>
          </w:p>
        </w:tc>
        <w:tc>
          <w:tcPr>
            <w:tcW w:w="1700" w:type="dxa"/>
            <w:vAlign w:val="bottom"/>
            <w:gridSpan w:val="2"/>
          </w:tcPr>
          <w:p>
            <w:pPr>
              <w:jc w:val="center"/>
              <w:ind w:left="114"/>
              <w:spacing w:after="0" w:line="181" w:lineRule="exact"/>
              <w:rPr>
                <w:sz w:val="20"/>
                <w:szCs w:val="20"/>
                <w:color w:val="auto"/>
              </w:rPr>
            </w:pPr>
            <w:r>
              <w:rPr>
                <w:rFonts w:ascii="Arial" w:cs="Arial" w:eastAsia="Arial" w:hAnsi="Arial"/>
                <w:sz w:val="17"/>
                <w:szCs w:val="17"/>
                <w:color w:val="auto"/>
                <w:w w:val="89"/>
              </w:rPr>
              <w:t>September 29, 2017</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940" w:type="dxa"/>
            <w:vAlign w:val="bottom"/>
            <w:tcBorders>
              <w:top w:val="single" w:sz="8" w:color="0000FF"/>
            </w:tcBorders>
            <w:gridSpan w:val="26"/>
          </w:tcPr>
          <w:p>
            <w:pPr>
              <w:spacing w:after="0" w:line="149" w:lineRule="exact"/>
              <w:rPr>
                <w:rFonts w:ascii="Arial" w:cs="Arial" w:eastAsia="Arial" w:hAnsi="Arial"/>
                <w:sz w:val="17"/>
                <w:szCs w:val="17"/>
                <w:color w:val="0000FF"/>
              </w:rPr>
            </w:pPr>
            <w:hyperlink r:id="rId121">
              <w:r>
                <w:rPr>
                  <w:rFonts w:ascii="Arial" w:cs="Arial" w:eastAsia="Arial" w:hAnsi="Arial"/>
                  <w:sz w:val="17"/>
                  <w:szCs w:val="17"/>
                  <w:color w:val="0000FF"/>
                </w:rPr>
                <w:t>Inc. 2004 Stock and Incentive Award Plan.</w:t>
              </w:r>
            </w:hyperlink>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12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92"/>
              </w:rPr>
              <w:t>10.4.5</w:t>
            </w:r>
          </w:p>
        </w:tc>
        <w:tc>
          <w:tcPr>
            <w:tcW w:w="5960" w:type="dxa"/>
            <w:vAlign w:val="bottom"/>
            <w:gridSpan w:val="27"/>
            <w:shd w:val="clear" w:color="auto" w:fill="CCEEFF"/>
          </w:tcPr>
          <w:p>
            <w:pPr>
              <w:spacing w:after="0" w:line="191" w:lineRule="exact"/>
              <w:rPr>
                <w:rFonts w:ascii="Arial" w:cs="Arial" w:eastAsia="Arial" w:hAnsi="Arial"/>
                <w:sz w:val="17"/>
                <w:szCs w:val="17"/>
                <w:color w:val="0000FF"/>
                <w:w w:val="92"/>
              </w:rPr>
            </w:pPr>
            <w:hyperlink r:id="rId122">
              <w:r>
                <w:rPr>
                  <w:rFonts w:ascii="Arial" w:cs="Arial" w:eastAsia="Arial" w:hAnsi="Arial"/>
                  <w:sz w:val="17"/>
                  <w:szCs w:val="17"/>
                  <w:color w:val="0000FF"/>
                  <w:w w:val="92"/>
                </w:rPr>
                <w:t>Form of 2018 Performance Share Award Agreement pursuant to the AngioDynamics,</w:t>
              </w:r>
            </w:hyperlink>
          </w:p>
        </w:tc>
        <w:tc>
          <w:tcPr>
            <w:tcW w:w="1060" w:type="dxa"/>
            <w:vAlign w:val="bottom"/>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rPr>
              <w:t>10-K</w:t>
            </w:r>
          </w:p>
        </w:tc>
        <w:tc>
          <w:tcPr>
            <w:tcW w:w="1400" w:type="dxa"/>
            <w:vAlign w:val="bottom"/>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88"/>
              </w:rPr>
              <w:t>10.4.5</w:t>
            </w:r>
          </w:p>
        </w:tc>
        <w:tc>
          <w:tcPr>
            <w:tcW w:w="1680" w:type="dxa"/>
            <w:vAlign w:val="bottom"/>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w w:val="92"/>
              </w:rPr>
              <w:t>July 23,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20" w:type="dxa"/>
            <w:vAlign w:val="bottom"/>
            <w:tcBorders>
              <w:top w:val="single" w:sz="8" w:color="CCEEFF"/>
            </w:tcBorders>
            <w:shd w:val="clear" w:color="auto" w:fill="CCEEFF"/>
          </w:tcPr>
          <w:p>
            <w:pPr>
              <w:spacing w:after="0"/>
              <w:rPr>
                <w:sz w:val="12"/>
                <w:szCs w:val="12"/>
                <w:color w:val="auto"/>
              </w:rPr>
            </w:pPr>
          </w:p>
        </w:tc>
        <w:tc>
          <w:tcPr>
            <w:tcW w:w="5940" w:type="dxa"/>
            <w:vAlign w:val="bottom"/>
            <w:tcBorders>
              <w:top w:val="single" w:sz="8" w:color="0000FF"/>
            </w:tcBorders>
            <w:gridSpan w:val="26"/>
            <w:shd w:val="clear" w:color="auto" w:fill="CCEEFF"/>
          </w:tcPr>
          <w:p>
            <w:pPr>
              <w:spacing w:after="0" w:line="149" w:lineRule="exact"/>
              <w:rPr>
                <w:rFonts w:ascii="Arial" w:cs="Arial" w:eastAsia="Arial" w:hAnsi="Arial"/>
                <w:sz w:val="17"/>
                <w:szCs w:val="17"/>
                <w:color w:val="0000FF"/>
              </w:rPr>
            </w:pPr>
            <w:hyperlink r:id="rId122">
              <w:r>
                <w:rPr>
                  <w:rFonts w:ascii="Arial" w:cs="Arial" w:eastAsia="Arial" w:hAnsi="Arial"/>
                  <w:sz w:val="17"/>
                  <w:szCs w:val="17"/>
                  <w:color w:val="0000FF"/>
                </w:rPr>
                <w:t>Inc. 2004 Stock and Incentive Award Plan.</w:t>
              </w:r>
            </w:hyperlink>
          </w:p>
        </w:tc>
        <w:tc>
          <w:tcPr>
            <w:tcW w:w="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2"/>
              </w:rPr>
              <w:t>10.4.6</w:t>
            </w:r>
          </w:p>
        </w:tc>
        <w:tc>
          <w:tcPr>
            <w:tcW w:w="5960" w:type="dxa"/>
            <w:vAlign w:val="bottom"/>
            <w:gridSpan w:val="27"/>
          </w:tcPr>
          <w:p>
            <w:pPr>
              <w:spacing w:after="0" w:line="181" w:lineRule="exact"/>
              <w:rPr>
                <w:rFonts w:ascii="Arial" w:cs="Arial" w:eastAsia="Arial" w:hAnsi="Arial"/>
                <w:sz w:val="17"/>
                <w:szCs w:val="17"/>
                <w:color w:val="0000FF"/>
                <w:w w:val="92"/>
              </w:rPr>
            </w:pPr>
            <w:hyperlink r:id="rId123">
              <w:r>
                <w:rPr>
                  <w:rFonts w:ascii="Arial" w:cs="Arial" w:eastAsia="Arial" w:hAnsi="Arial"/>
                  <w:sz w:val="17"/>
                  <w:szCs w:val="17"/>
                  <w:color w:val="0000FF"/>
                  <w:w w:val="92"/>
                </w:rPr>
                <w:t>Form of 2020 Performance Share Award Agreement pursuant to the AngioDynamics,</w:t>
              </w:r>
            </w:hyperlink>
          </w:p>
        </w:tc>
        <w:tc>
          <w:tcPr>
            <w:tcW w:w="1060" w:type="dxa"/>
            <w:vAlign w:val="bottom"/>
          </w:tcPr>
          <w:p>
            <w:pPr>
              <w:jc w:val="center"/>
              <w:ind w:left="94"/>
              <w:spacing w:after="0" w:line="181" w:lineRule="exact"/>
              <w:rPr>
                <w:sz w:val="20"/>
                <w:szCs w:val="20"/>
                <w:color w:val="auto"/>
              </w:rPr>
            </w:pPr>
            <w:r>
              <w:rPr>
                <w:rFonts w:ascii="Arial" w:cs="Arial" w:eastAsia="Arial" w:hAnsi="Arial"/>
                <w:sz w:val="17"/>
                <w:szCs w:val="17"/>
                <w:color w:val="auto"/>
                <w:w w:val="95"/>
              </w:rPr>
              <w:t>10-Q</w:t>
            </w:r>
          </w:p>
        </w:tc>
        <w:tc>
          <w:tcPr>
            <w:tcW w:w="140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88"/>
              </w:rPr>
              <w:t>10.4.6</w:t>
            </w:r>
          </w:p>
        </w:tc>
        <w:tc>
          <w:tcPr>
            <w:tcW w:w="1700" w:type="dxa"/>
            <w:vAlign w:val="bottom"/>
            <w:gridSpan w:val="2"/>
          </w:tcPr>
          <w:p>
            <w:pPr>
              <w:jc w:val="center"/>
              <w:ind w:left="114"/>
              <w:spacing w:after="0" w:line="181" w:lineRule="exact"/>
              <w:rPr>
                <w:sz w:val="20"/>
                <w:szCs w:val="20"/>
                <w:color w:val="auto"/>
              </w:rPr>
            </w:pPr>
            <w:r>
              <w:rPr>
                <w:rFonts w:ascii="Arial" w:cs="Arial" w:eastAsia="Arial" w:hAnsi="Arial"/>
                <w:sz w:val="17"/>
                <w:szCs w:val="17"/>
                <w:color w:val="auto"/>
                <w:w w:val="90"/>
              </w:rPr>
              <w:t>January 8, 2021</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6"/>
          </w:tcPr>
          <w:p>
            <w:pPr>
              <w:spacing w:after="0" w:line="149" w:lineRule="exact"/>
              <w:rPr>
                <w:rFonts w:ascii="Arial" w:cs="Arial" w:eastAsia="Arial" w:hAnsi="Arial"/>
                <w:sz w:val="17"/>
                <w:szCs w:val="17"/>
                <w:color w:val="0000FF"/>
                <w:w w:val="92"/>
              </w:rPr>
            </w:pPr>
            <w:hyperlink r:id="rId123">
              <w:r>
                <w:rPr>
                  <w:rFonts w:ascii="Arial" w:cs="Arial" w:eastAsia="Arial" w:hAnsi="Arial"/>
                  <w:sz w:val="17"/>
                  <w:szCs w:val="17"/>
                  <w:color w:val="0000FF"/>
                  <w:w w:val="92"/>
                </w:rPr>
                <w:t>Inc. 2004 Stock and Incentive Award Plan</w:t>
              </w:r>
            </w:hyperlink>
          </w:p>
        </w:tc>
        <w:tc>
          <w:tcPr>
            <w:tcW w:w="29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2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90"/>
              </w:rPr>
              <w:t>10.5</w:t>
            </w:r>
          </w:p>
        </w:tc>
        <w:tc>
          <w:tcPr>
            <w:tcW w:w="5960" w:type="dxa"/>
            <w:vAlign w:val="bottom"/>
            <w:gridSpan w:val="27"/>
            <w:shd w:val="clear" w:color="auto" w:fill="CCEEFF"/>
          </w:tcPr>
          <w:p>
            <w:pPr>
              <w:spacing w:after="0" w:line="191" w:lineRule="exact"/>
              <w:rPr>
                <w:rFonts w:ascii="Arial" w:cs="Arial" w:eastAsia="Arial" w:hAnsi="Arial"/>
                <w:sz w:val="17"/>
                <w:szCs w:val="17"/>
                <w:color w:val="0000FF"/>
                <w:w w:val="98"/>
              </w:rPr>
            </w:pPr>
            <w:hyperlink r:id="rId124">
              <w:r>
                <w:rPr>
                  <w:rFonts w:ascii="Arial" w:cs="Arial" w:eastAsia="Arial" w:hAnsi="Arial"/>
                  <w:sz w:val="17"/>
                  <w:szCs w:val="17"/>
                  <w:color w:val="0000FF"/>
                  <w:w w:val="98"/>
                </w:rPr>
                <w:t>Form of Restricted Stock Award Agreement pursuant to the AngioDynamics, Inc.</w:t>
              </w:r>
            </w:hyperlink>
          </w:p>
        </w:tc>
        <w:tc>
          <w:tcPr>
            <w:tcW w:w="1060" w:type="dxa"/>
            <w:vAlign w:val="bottom"/>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rPr>
              <w:t>8-K</w:t>
            </w:r>
          </w:p>
        </w:tc>
        <w:tc>
          <w:tcPr>
            <w:tcW w:w="1400" w:type="dxa"/>
            <w:vAlign w:val="bottom"/>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0"/>
              </w:rPr>
              <w:t>10.3</w:t>
            </w:r>
          </w:p>
        </w:tc>
        <w:tc>
          <w:tcPr>
            <w:tcW w:w="1680" w:type="dxa"/>
            <w:vAlign w:val="bottom"/>
            <w:shd w:val="clear" w:color="auto" w:fill="CCEEFF"/>
          </w:tcPr>
          <w:p>
            <w:pPr>
              <w:jc w:val="center"/>
              <w:ind w:left="114"/>
              <w:spacing w:after="0" w:line="191" w:lineRule="exact"/>
              <w:rPr>
                <w:sz w:val="20"/>
                <w:szCs w:val="20"/>
                <w:color w:val="auto"/>
              </w:rPr>
            </w:pPr>
            <w:r>
              <w:rPr>
                <w:rFonts w:ascii="Arial" w:cs="Arial" w:eastAsia="Arial" w:hAnsi="Arial"/>
                <w:sz w:val="17"/>
                <w:szCs w:val="17"/>
                <w:color w:val="auto"/>
                <w:w w:val="93"/>
              </w:rPr>
              <w:t>May 12, 2005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2660" w:type="dxa"/>
            <w:vAlign w:val="bottom"/>
            <w:tcBorders>
              <w:top w:val="single" w:sz="8" w:color="0000FF"/>
              <w:bottom w:val="single" w:sz="8" w:color="0000FF"/>
            </w:tcBorders>
            <w:gridSpan w:val="5"/>
            <w:shd w:val="clear" w:color="auto" w:fill="CCEEFF"/>
          </w:tcPr>
          <w:p>
            <w:pPr>
              <w:spacing w:after="0" w:line="149" w:lineRule="exact"/>
              <w:rPr>
                <w:rFonts w:ascii="Arial" w:cs="Arial" w:eastAsia="Arial" w:hAnsi="Arial"/>
                <w:sz w:val="17"/>
                <w:szCs w:val="17"/>
                <w:color w:val="0000FF"/>
                <w:w w:val="91"/>
              </w:rPr>
            </w:pPr>
            <w:hyperlink r:id="rId124">
              <w:r>
                <w:rPr>
                  <w:rFonts w:ascii="Arial" w:cs="Arial" w:eastAsia="Arial" w:hAnsi="Arial"/>
                  <w:sz w:val="17"/>
                  <w:szCs w:val="17"/>
                  <w:color w:val="0000FF"/>
                  <w:w w:val="91"/>
                </w:rPr>
                <w:t>2004 Stock and Incentive Award Plan.</w:t>
              </w:r>
            </w:hyperlink>
          </w:p>
        </w:tc>
        <w:tc>
          <w:tcPr>
            <w:tcW w:w="2980" w:type="dxa"/>
            <w:vAlign w:val="bottom"/>
            <w:tcBorders>
              <w:top w:val="single" w:sz="8" w:color="0000FF"/>
              <w:bottom w:val="single" w:sz="8" w:color="CCEEFF"/>
            </w:tcBorders>
            <w:gridSpan w:val="15"/>
            <w:shd w:val="clear" w:color="auto" w:fill="CCEEFF"/>
          </w:tcPr>
          <w:p>
            <w:pPr>
              <w:spacing w:after="0"/>
              <w:rPr>
                <w:sz w:val="14"/>
                <w:szCs w:val="14"/>
                <w:color w:val="auto"/>
              </w:rPr>
            </w:pPr>
          </w:p>
        </w:tc>
        <w:tc>
          <w:tcPr>
            <w:tcW w:w="32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CCEEFF"/>
              <w:bottom w:val="single" w:sz="8" w:color="CCEEFF"/>
            </w:tcBorders>
            <w:shd w:val="clear" w:color="auto" w:fill="CCEEFF"/>
          </w:tcPr>
          <w:p>
            <w:pPr>
              <w:spacing w:after="0"/>
              <w:rPr>
                <w:sz w:val="14"/>
                <w:szCs w:val="14"/>
                <w:color w:val="auto"/>
              </w:rPr>
            </w:pPr>
          </w:p>
        </w:tc>
        <w:tc>
          <w:tcPr>
            <w:tcW w:w="16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0"/>
              </w:rPr>
              <w:t>10.6</w:t>
            </w:r>
          </w:p>
        </w:tc>
        <w:tc>
          <w:tcPr>
            <w:tcW w:w="3780" w:type="dxa"/>
            <w:vAlign w:val="bottom"/>
            <w:tcBorders>
              <w:bottom w:val="single" w:sz="8" w:color="0000FF"/>
            </w:tcBorders>
            <w:gridSpan w:val="9"/>
          </w:tcPr>
          <w:p>
            <w:pPr>
              <w:spacing w:after="0" w:line="181" w:lineRule="exact"/>
              <w:rPr>
                <w:rFonts w:ascii="Arial" w:cs="Arial" w:eastAsia="Arial" w:hAnsi="Arial"/>
                <w:sz w:val="17"/>
                <w:szCs w:val="17"/>
                <w:color w:val="0000FF"/>
                <w:w w:val="92"/>
              </w:rPr>
            </w:pPr>
            <w:hyperlink r:id="rId125">
              <w:r>
                <w:rPr>
                  <w:rFonts w:ascii="Arial" w:cs="Arial" w:eastAsia="Arial" w:hAnsi="Arial"/>
                  <w:sz w:val="17"/>
                  <w:szCs w:val="17"/>
                  <w:color w:val="0000FF"/>
                  <w:w w:val="92"/>
                </w:rPr>
                <w:t>Rita Medical Systems, Inc. 1994 Incentive Stock Plan.</w:t>
              </w:r>
            </w:hyperlink>
          </w:p>
        </w:tc>
        <w:tc>
          <w:tcPr>
            <w:tcW w:w="2180" w:type="dxa"/>
            <w:vAlign w:val="bottom"/>
            <w:gridSpan w:val="18"/>
          </w:tcPr>
          <w:p>
            <w:pPr>
              <w:spacing w:after="0"/>
              <w:rPr>
                <w:sz w:val="15"/>
                <w:szCs w:val="15"/>
                <w:color w:val="auto"/>
              </w:rPr>
            </w:pPr>
          </w:p>
        </w:tc>
        <w:tc>
          <w:tcPr>
            <w:tcW w:w="1060" w:type="dxa"/>
            <w:vAlign w:val="bottom"/>
          </w:tcPr>
          <w:p>
            <w:pPr>
              <w:jc w:val="center"/>
              <w:ind w:left="94"/>
              <w:spacing w:after="0" w:line="181" w:lineRule="exact"/>
              <w:rPr>
                <w:sz w:val="20"/>
                <w:szCs w:val="20"/>
                <w:color w:val="auto"/>
              </w:rPr>
            </w:pPr>
            <w:r>
              <w:rPr>
                <w:rFonts w:ascii="Arial" w:cs="Arial" w:eastAsia="Arial" w:hAnsi="Arial"/>
                <w:sz w:val="17"/>
                <w:szCs w:val="17"/>
                <w:color w:val="auto"/>
                <w:w w:val="90"/>
              </w:rPr>
              <w:t>S-1</w:t>
            </w:r>
          </w:p>
        </w:tc>
        <w:tc>
          <w:tcPr>
            <w:tcW w:w="140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0"/>
              </w:rPr>
              <w:t>10.2</w:t>
            </w:r>
          </w:p>
        </w:tc>
        <w:tc>
          <w:tcPr>
            <w:tcW w:w="1700" w:type="dxa"/>
            <w:vAlign w:val="bottom"/>
            <w:gridSpan w:val="2"/>
          </w:tcPr>
          <w:p>
            <w:pPr>
              <w:jc w:val="center"/>
              <w:ind w:left="94"/>
              <w:spacing w:after="0" w:line="181" w:lineRule="exact"/>
              <w:rPr>
                <w:sz w:val="20"/>
                <w:szCs w:val="20"/>
                <w:color w:val="auto"/>
              </w:rPr>
            </w:pPr>
            <w:r>
              <w:rPr>
                <w:rFonts w:ascii="Arial" w:cs="Arial" w:eastAsia="Arial" w:hAnsi="Arial"/>
                <w:sz w:val="17"/>
                <w:szCs w:val="17"/>
                <w:color w:val="auto"/>
                <w:w w:val="94"/>
              </w:rPr>
              <w:t>May 3, 2000</w:t>
            </w:r>
          </w:p>
        </w:tc>
        <w:tc>
          <w:tcPr>
            <w:tcW w:w="0" w:type="dxa"/>
            <w:vAlign w:val="bottom"/>
          </w:tcPr>
          <w:p>
            <w:pPr>
              <w:spacing w:after="0"/>
              <w:rPr>
                <w:sz w:val="1"/>
                <w:szCs w:val="1"/>
                <w:color w:val="auto"/>
              </w:rPr>
            </w:pPr>
          </w:p>
        </w:tc>
      </w:tr>
      <w:tr>
        <w:trPr>
          <w:trHeight w:val="849"/>
        </w:trPr>
        <w:tc>
          <w:tcPr>
            <w:tcW w:w="1120" w:type="dxa"/>
            <w:vAlign w:val="bottom"/>
          </w:tcPr>
          <w:p>
            <w:pPr>
              <w:spacing w:after="0"/>
              <w:rPr>
                <w:sz w:val="24"/>
                <w:szCs w:val="24"/>
                <w:color w:val="auto"/>
              </w:rPr>
            </w:pPr>
          </w:p>
        </w:tc>
        <w:tc>
          <w:tcPr>
            <w:tcW w:w="4700" w:type="dxa"/>
            <w:vAlign w:val="bottom"/>
            <w:gridSpan w:val="11"/>
          </w:tcPr>
          <w:p>
            <w:pPr>
              <w:ind w:left="4420"/>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0"/>
        </w:trPr>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Incorporated by Reference</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50" w:lineRule="exact"/>
              <w:rPr>
                <w:sz w:val="20"/>
                <w:szCs w:val="20"/>
                <w:color w:val="auto"/>
              </w:rPr>
            </w:pPr>
            <w:r>
              <w:rPr>
                <w:rFonts w:ascii="Arial" w:cs="Arial" w:eastAsia="Arial" w:hAnsi="Arial"/>
                <w:sz w:val="17"/>
                <w:szCs w:val="17"/>
                <w:color w:val="auto"/>
                <w:w w:val="97"/>
              </w:rPr>
              <w:t>Exhibit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320" w:type="dxa"/>
            <w:vAlign w:val="bottom"/>
            <w:gridSpan w:val="17"/>
            <w:vMerge w:val="restart"/>
          </w:tcPr>
          <w:p>
            <w:pPr>
              <w:ind w:left="520"/>
              <w:spacing w:after="0"/>
              <w:rPr>
                <w:sz w:val="20"/>
                <w:szCs w:val="20"/>
                <w:color w:val="auto"/>
              </w:rPr>
            </w:pPr>
            <w:r>
              <w:rPr>
                <w:rFonts w:ascii="Arial" w:cs="Arial" w:eastAsia="Arial" w:hAnsi="Arial"/>
                <w:sz w:val="17"/>
                <w:szCs w:val="17"/>
                <w:color w:val="auto"/>
              </w:rPr>
              <w:t>Description of Exhibits</w:t>
            </w:r>
          </w:p>
        </w:tc>
        <w:tc>
          <w:tcPr>
            <w:tcW w:w="1020" w:type="dxa"/>
            <w:vAlign w:val="bottom"/>
            <w:vMerge w:val="restart"/>
          </w:tcPr>
          <w:p>
            <w:pPr>
              <w:jc w:val="center"/>
              <w:ind w:left="134"/>
              <w:spacing w:after="0"/>
              <w:rPr>
                <w:sz w:val="20"/>
                <w:szCs w:val="20"/>
                <w:color w:val="auto"/>
              </w:rPr>
            </w:pPr>
            <w:r>
              <w:rPr>
                <w:rFonts w:ascii="Arial" w:cs="Arial" w:eastAsia="Arial" w:hAnsi="Arial"/>
                <w:sz w:val="17"/>
                <w:szCs w:val="17"/>
                <w:color w:val="auto"/>
                <w:w w:val="90"/>
              </w:rPr>
              <w:t>Form</w:t>
            </w:r>
          </w:p>
        </w:tc>
        <w:tc>
          <w:tcPr>
            <w:tcW w:w="1480" w:type="dxa"/>
            <w:vAlign w:val="bottom"/>
            <w:vMerge w:val="restart"/>
          </w:tcPr>
          <w:p>
            <w:pPr>
              <w:ind w:left="680"/>
              <w:spacing w:after="0"/>
              <w:rPr>
                <w:sz w:val="20"/>
                <w:szCs w:val="20"/>
                <w:color w:val="auto"/>
              </w:rPr>
            </w:pPr>
            <w:r>
              <w:rPr>
                <w:rFonts w:ascii="Arial" w:cs="Arial" w:eastAsia="Arial" w:hAnsi="Arial"/>
                <w:sz w:val="17"/>
                <w:szCs w:val="17"/>
                <w:color w:val="auto"/>
              </w:rPr>
              <w:t>Exhibit</w:t>
            </w:r>
          </w:p>
        </w:tc>
        <w:tc>
          <w:tcPr>
            <w:tcW w:w="1640" w:type="dxa"/>
            <w:vAlign w:val="bottom"/>
            <w:vMerge w:val="restart"/>
          </w:tcPr>
          <w:p>
            <w:pPr>
              <w:jc w:val="center"/>
              <w:ind w:left="94"/>
              <w:spacing w:after="0"/>
              <w:rPr>
                <w:sz w:val="20"/>
                <w:szCs w:val="20"/>
                <w:color w:val="auto"/>
              </w:rPr>
            </w:pPr>
            <w:r>
              <w:rPr>
                <w:rFonts w:ascii="Arial" w:cs="Arial" w:eastAsia="Arial" w:hAnsi="Arial"/>
                <w:sz w:val="17"/>
                <w:szCs w:val="17"/>
                <w:color w:val="auto"/>
                <w:w w:val="95"/>
              </w:rPr>
              <w:t>Filing Date</w:t>
            </w:r>
          </w:p>
        </w:tc>
        <w:tc>
          <w:tcPr>
            <w:tcW w:w="0" w:type="dxa"/>
            <w:vAlign w:val="bottom"/>
          </w:tcPr>
          <w:p>
            <w:pPr>
              <w:spacing w:after="0"/>
              <w:rPr>
                <w:sz w:val="1"/>
                <w:szCs w:val="1"/>
                <w:color w:val="auto"/>
              </w:rPr>
            </w:pPr>
          </w:p>
        </w:tc>
      </w:tr>
      <w:tr>
        <w:trPr>
          <w:trHeight w:val="220"/>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Number</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7"/>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12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90"/>
              </w:rPr>
              <w:t>10.7</w:t>
            </w:r>
          </w:p>
        </w:tc>
        <w:tc>
          <w:tcPr>
            <w:tcW w:w="5960" w:type="dxa"/>
            <w:vAlign w:val="bottom"/>
            <w:gridSpan w:val="21"/>
            <w:shd w:val="clear" w:color="auto" w:fill="CCEEFF"/>
          </w:tcPr>
          <w:p>
            <w:pPr>
              <w:spacing w:after="0" w:line="175" w:lineRule="exact"/>
              <w:rPr>
                <w:rFonts w:ascii="Arial" w:cs="Arial" w:eastAsia="Arial" w:hAnsi="Arial"/>
                <w:sz w:val="17"/>
                <w:szCs w:val="17"/>
                <w:color w:val="0000FF"/>
              </w:rPr>
            </w:pPr>
            <w:hyperlink r:id="rId128">
              <w:r>
                <w:rPr>
                  <w:rFonts w:ascii="Arial" w:cs="Arial" w:eastAsia="Arial" w:hAnsi="Arial"/>
                  <w:sz w:val="17"/>
                  <w:szCs w:val="17"/>
                  <w:color w:val="0000FF"/>
                </w:rPr>
                <w:t>Horizon Medical Products, Inc. 1998 Stock Incentive Plan.</w:t>
              </w:r>
            </w:hyperlink>
          </w:p>
        </w:tc>
        <w:tc>
          <w:tcPr>
            <w:tcW w:w="1020" w:type="dxa"/>
            <w:vAlign w:val="bottom"/>
            <w:shd w:val="clear" w:color="auto" w:fill="CCEEFF"/>
          </w:tcPr>
          <w:p>
            <w:pPr>
              <w:jc w:val="center"/>
              <w:ind w:left="134"/>
              <w:spacing w:after="0" w:line="175" w:lineRule="exact"/>
              <w:rPr>
                <w:sz w:val="20"/>
                <w:szCs w:val="20"/>
                <w:color w:val="auto"/>
              </w:rPr>
            </w:pPr>
            <w:r>
              <w:rPr>
                <w:rFonts w:ascii="Arial" w:cs="Arial" w:eastAsia="Arial" w:hAnsi="Arial"/>
                <w:sz w:val="17"/>
                <w:szCs w:val="17"/>
                <w:color w:val="auto"/>
                <w:w w:val="90"/>
              </w:rPr>
              <w:t>S-1</w:t>
            </w:r>
          </w:p>
        </w:tc>
        <w:tc>
          <w:tcPr>
            <w:tcW w:w="1480" w:type="dxa"/>
            <w:vAlign w:val="bottom"/>
            <w:shd w:val="clear" w:color="auto" w:fill="CCEEFF"/>
          </w:tcPr>
          <w:p>
            <w:pPr>
              <w:jc w:val="center"/>
              <w:ind w:left="294"/>
              <w:spacing w:after="0" w:line="175" w:lineRule="exact"/>
              <w:rPr>
                <w:sz w:val="20"/>
                <w:szCs w:val="20"/>
                <w:color w:val="auto"/>
              </w:rPr>
            </w:pPr>
            <w:r>
              <w:rPr>
                <w:rFonts w:ascii="Arial" w:cs="Arial" w:eastAsia="Arial" w:hAnsi="Arial"/>
                <w:sz w:val="17"/>
                <w:szCs w:val="17"/>
                <w:color w:val="auto"/>
                <w:w w:val="89"/>
              </w:rPr>
              <w:t>10.11</w:t>
            </w:r>
          </w:p>
        </w:tc>
        <w:tc>
          <w:tcPr>
            <w:tcW w:w="1640" w:type="dxa"/>
            <w:vAlign w:val="bottom"/>
            <w:shd w:val="clear" w:color="auto" w:fill="CCEEFF"/>
          </w:tcPr>
          <w:p>
            <w:pPr>
              <w:jc w:val="center"/>
              <w:ind w:left="94"/>
              <w:spacing w:after="0" w:line="175" w:lineRule="exact"/>
              <w:rPr>
                <w:sz w:val="20"/>
                <w:szCs w:val="20"/>
                <w:color w:val="auto"/>
              </w:rPr>
            </w:pPr>
            <w:r>
              <w:rPr>
                <w:rFonts w:ascii="Arial" w:cs="Arial" w:eastAsia="Arial" w:hAnsi="Arial"/>
                <w:sz w:val="17"/>
                <w:szCs w:val="17"/>
                <w:color w:val="auto"/>
                <w:w w:val="90"/>
              </w:rPr>
              <w:t>February 13, 1998</w:t>
            </w:r>
          </w:p>
        </w:tc>
        <w:tc>
          <w:tcPr>
            <w:tcW w:w="0" w:type="dxa"/>
            <w:vAlign w:val="bottom"/>
          </w:tcPr>
          <w:p>
            <w:pPr>
              <w:spacing w:after="0"/>
              <w:rPr>
                <w:sz w:val="1"/>
                <w:szCs w:val="1"/>
                <w:color w:val="auto"/>
              </w:rPr>
            </w:pPr>
          </w:p>
        </w:tc>
      </w:tr>
      <w:tr>
        <w:trPr>
          <w:trHeight w:val="182"/>
        </w:trPr>
        <w:tc>
          <w:tcPr>
            <w:tcW w:w="112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auto"/>
                <w:w w:val="90"/>
              </w:rPr>
              <w:t>10.8</w:t>
            </w:r>
          </w:p>
        </w:tc>
        <w:tc>
          <w:tcPr>
            <w:tcW w:w="4080" w:type="dxa"/>
            <w:vAlign w:val="bottom"/>
            <w:tcBorders>
              <w:top w:val="single" w:sz="8" w:color="0000FF"/>
            </w:tcBorders>
            <w:gridSpan w:val="10"/>
          </w:tcPr>
          <w:p>
            <w:pPr>
              <w:spacing w:after="0" w:line="181" w:lineRule="exact"/>
              <w:rPr>
                <w:rFonts w:ascii="Arial" w:cs="Arial" w:eastAsia="Arial" w:hAnsi="Arial"/>
                <w:sz w:val="17"/>
                <w:szCs w:val="17"/>
                <w:color w:val="0000FF"/>
              </w:rPr>
            </w:pPr>
            <w:hyperlink r:id="rId129">
              <w:r>
                <w:rPr>
                  <w:rFonts w:ascii="Arial" w:cs="Arial" w:eastAsia="Arial" w:hAnsi="Arial"/>
                  <w:sz w:val="17"/>
                  <w:szCs w:val="17"/>
                  <w:color w:val="0000FF"/>
                </w:rPr>
                <w:t>Rita Medical Systems, Inc. 2000 Stock Plan.</w:t>
              </w:r>
            </w:hyperlink>
          </w:p>
        </w:tc>
        <w:tc>
          <w:tcPr>
            <w:tcW w:w="1880" w:type="dxa"/>
            <w:vAlign w:val="bottom"/>
            <w:tcBorders>
              <w:top w:val="single" w:sz="8" w:color="CCEEFF"/>
            </w:tcBorders>
            <w:gridSpan w:val="11"/>
          </w:tcPr>
          <w:p>
            <w:pPr>
              <w:spacing w:after="0"/>
              <w:rPr>
                <w:sz w:val="15"/>
                <w:szCs w:val="15"/>
                <w:color w:val="auto"/>
              </w:rPr>
            </w:pPr>
          </w:p>
        </w:tc>
        <w:tc>
          <w:tcPr>
            <w:tcW w:w="1020" w:type="dxa"/>
            <w:vAlign w:val="bottom"/>
            <w:tcBorders>
              <w:top w:val="single" w:sz="8" w:color="CCEEFF"/>
            </w:tcBorders>
          </w:tcPr>
          <w:p>
            <w:pPr>
              <w:jc w:val="center"/>
              <w:ind w:left="134"/>
              <w:spacing w:after="0" w:line="181" w:lineRule="exact"/>
              <w:rPr>
                <w:sz w:val="20"/>
                <w:szCs w:val="20"/>
                <w:color w:val="auto"/>
              </w:rPr>
            </w:pPr>
            <w:r>
              <w:rPr>
                <w:rFonts w:ascii="Arial" w:cs="Arial" w:eastAsia="Arial" w:hAnsi="Arial"/>
                <w:sz w:val="17"/>
                <w:szCs w:val="17"/>
                <w:color w:val="auto"/>
                <w:w w:val="93"/>
              </w:rPr>
              <w:t>S-1/A</w:t>
            </w:r>
          </w:p>
        </w:tc>
        <w:tc>
          <w:tcPr>
            <w:tcW w:w="1480" w:type="dxa"/>
            <w:vAlign w:val="bottom"/>
            <w:tcBorders>
              <w:top w:val="single" w:sz="8" w:color="CCEEFF"/>
            </w:tcBorders>
          </w:tcPr>
          <w:p>
            <w:pPr>
              <w:jc w:val="center"/>
              <w:ind w:left="294"/>
              <w:spacing w:after="0" w:line="181" w:lineRule="exact"/>
              <w:rPr>
                <w:sz w:val="20"/>
                <w:szCs w:val="20"/>
                <w:color w:val="auto"/>
              </w:rPr>
            </w:pPr>
            <w:r>
              <w:rPr>
                <w:rFonts w:ascii="Arial" w:cs="Arial" w:eastAsia="Arial" w:hAnsi="Arial"/>
                <w:sz w:val="17"/>
                <w:szCs w:val="17"/>
                <w:color w:val="auto"/>
                <w:w w:val="90"/>
              </w:rPr>
              <w:t>10.3</w:t>
            </w:r>
          </w:p>
        </w:tc>
        <w:tc>
          <w:tcPr>
            <w:tcW w:w="1640" w:type="dxa"/>
            <w:vAlign w:val="bottom"/>
            <w:tcBorders>
              <w:top w:val="single" w:sz="8" w:color="CCEEFF"/>
            </w:tcBorders>
          </w:tcPr>
          <w:p>
            <w:pPr>
              <w:jc w:val="center"/>
              <w:ind w:left="74"/>
              <w:spacing w:after="0" w:line="181" w:lineRule="exact"/>
              <w:rPr>
                <w:sz w:val="20"/>
                <w:szCs w:val="20"/>
                <w:color w:val="auto"/>
              </w:rPr>
            </w:pPr>
            <w:r>
              <w:rPr>
                <w:rFonts w:ascii="Arial" w:cs="Arial" w:eastAsia="Arial" w:hAnsi="Arial"/>
                <w:sz w:val="17"/>
                <w:szCs w:val="17"/>
                <w:color w:val="auto"/>
                <w:w w:val="89"/>
              </w:rPr>
              <w:t>June 14, 2000</w:t>
            </w: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0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Borders>
              <w:bottom w:val="single" w:sz="8" w:color="CCEEFF"/>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90"/>
              </w:rPr>
              <w:t>10.9</w:t>
            </w:r>
          </w:p>
        </w:tc>
        <w:tc>
          <w:tcPr>
            <w:tcW w:w="5880" w:type="dxa"/>
            <w:vAlign w:val="bottom"/>
            <w:tcBorders>
              <w:bottom w:val="single" w:sz="8" w:color="0000FF"/>
            </w:tcBorders>
            <w:gridSpan w:val="19"/>
            <w:shd w:val="clear" w:color="auto" w:fill="CCEEFF"/>
          </w:tcPr>
          <w:p>
            <w:pPr>
              <w:spacing w:after="0" w:line="191" w:lineRule="exact"/>
              <w:rPr>
                <w:rFonts w:ascii="Arial" w:cs="Arial" w:eastAsia="Arial" w:hAnsi="Arial"/>
                <w:sz w:val="17"/>
                <w:szCs w:val="17"/>
                <w:color w:val="0000FF"/>
                <w:w w:val="91"/>
              </w:rPr>
            </w:pPr>
            <w:hyperlink r:id="rId130">
              <w:r>
                <w:rPr>
                  <w:rFonts w:ascii="Arial" w:cs="Arial" w:eastAsia="Arial" w:hAnsi="Arial"/>
                  <w:sz w:val="17"/>
                  <w:szCs w:val="17"/>
                  <w:color w:val="0000FF"/>
                  <w:w w:val="91"/>
                </w:rPr>
                <w:t>Rita Medical Systems, Inc. 2000 Directors’ Stock Plan, as amended on June 8, 2005.</w:t>
              </w:r>
            </w:hyperlink>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w w:val="90"/>
              </w:rPr>
              <w:t>S-8</w:t>
            </w:r>
          </w:p>
        </w:tc>
        <w:tc>
          <w:tcPr>
            <w:tcW w:w="1480" w:type="dxa"/>
            <w:vAlign w:val="bottom"/>
            <w:tcBorders>
              <w:bottom w:val="single" w:sz="8" w:color="CCEEFF"/>
            </w:tcBorders>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0"/>
              </w:rPr>
              <w:t>99.2</w:t>
            </w:r>
          </w:p>
        </w:tc>
        <w:tc>
          <w:tcPr>
            <w:tcW w:w="1640" w:type="dxa"/>
            <w:vAlign w:val="bottom"/>
            <w:tcBorders>
              <w:bottom w:val="single" w:sz="8" w:color="CCEEFF"/>
            </w:tcBorders>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w w:val="93"/>
              </w:rPr>
              <w:t>July 8, 2005</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89"/>
              </w:rPr>
              <w:t>10.10</w:t>
            </w:r>
          </w:p>
        </w:tc>
        <w:tc>
          <w:tcPr>
            <w:tcW w:w="5960" w:type="dxa"/>
            <w:vAlign w:val="bottom"/>
            <w:gridSpan w:val="21"/>
          </w:tcPr>
          <w:p>
            <w:pPr>
              <w:spacing w:after="0" w:line="181" w:lineRule="exact"/>
              <w:rPr>
                <w:rFonts w:ascii="Arial" w:cs="Arial" w:eastAsia="Arial" w:hAnsi="Arial"/>
                <w:sz w:val="17"/>
                <w:szCs w:val="17"/>
                <w:color w:val="0000FF"/>
              </w:rPr>
            </w:pPr>
            <w:hyperlink r:id="rId131">
              <w:r>
                <w:rPr>
                  <w:rFonts w:ascii="Arial" w:cs="Arial" w:eastAsia="Arial" w:hAnsi="Arial"/>
                  <w:sz w:val="17"/>
                  <w:szCs w:val="17"/>
                  <w:color w:val="0000FF"/>
                </w:rPr>
                <w:t>Rita Medical Systems, Inc. 2005 Stock and Incentive Plan.</w:t>
              </w:r>
            </w:hyperlink>
          </w:p>
        </w:tc>
        <w:tc>
          <w:tcPr>
            <w:tcW w:w="1020" w:type="dxa"/>
            <w:vAlign w:val="bottom"/>
          </w:tcPr>
          <w:p>
            <w:pPr>
              <w:jc w:val="center"/>
              <w:ind w:left="134"/>
              <w:spacing w:after="0" w:line="181" w:lineRule="exact"/>
              <w:rPr>
                <w:sz w:val="20"/>
                <w:szCs w:val="20"/>
                <w:color w:val="auto"/>
              </w:rPr>
            </w:pPr>
            <w:r>
              <w:rPr>
                <w:rFonts w:ascii="Arial" w:cs="Arial" w:eastAsia="Arial" w:hAnsi="Arial"/>
                <w:sz w:val="17"/>
                <w:szCs w:val="17"/>
                <w:color w:val="auto"/>
                <w:w w:val="90"/>
              </w:rPr>
              <w:t>S-8</w:t>
            </w:r>
          </w:p>
        </w:tc>
        <w:tc>
          <w:tcPr>
            <w:tcW w:w="148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0"/>
              </w:rPr>
              <w:t>99.1</w:t>
            </w:r>
          </w:p>
        </w:tc>
        <w:tc>
          <w:tcPr>
            <w:tcW w:w="1640" w:type="dxa"/>
            <w:vAlign w:val="bottom"/>
          </w:tcPr>
          <w:p>
            <w:pPr>
              <w:jc w:val="center"/>
              <w:ind w:left="94"/>
              <w:spacing w:after="0" w:line="181" w:lineRule="exact"/>
              <w:rPr>
                <w:sz w:val="20"/>
                <w:szCs w:val="20"/>
                <w:color w:val="auto"/>
              </w:rPr>
            </w:pPr>
            <w:r>
              <w:rPr>
                <w:rFonts w:ascii="Arial" w:cs="Arial" w:eastAsia="Arial" w:hAnsi="Arial"/>
                <w:sz w:val="17"/>
                <w:szCs w:val="17"/>
                <w:color w:val="auto"/>
                <w:w w:val="93"/>
              </w:rPr>
              <w:t>July 8, 2005</w:t>
            </w: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0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Borders>
              <w:bottom w:val="single" w:sz="8" w:color="CCEEFF"/>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9"/>
              </w:rPr>
              <w:t>10.11</w:t>
            </w:r>
          </w:p>
        </w:tc>
        <w:tc>
          <w:tcPr>
            <w:tcW w:w="4240" w:type="dxa"/>
            <w:vAlign w:val="bottom"/>
            <w:tcBorders>
              <w:bottom w:val="single" w:sz="8" w:color="0000FF"/>
            </w:tcBorders>
            <w:gridSpan w:val="11"/>
            <w:shd w:val="clear" w:color="auto" w:fill="CCEEFF"/>
          </w:tcPr>
          <w:p>
            <w:pPr>
              <w:spacing w:after="0" w:line="191" w:lineRule="exact"/>
              <w:rPr>
                <w:rFonts w:ascii="Arial" w:cs="Arial" w:eastAsia="Arial" w:hAnsi="Arial"/>
                <w:sz w:val="17"/>
                <w:szCs w:val="17"/>
                <w:color w:val="0000FF"/>
                <w:w w:val="95"/>
              </w:rPr>
            </w:pPr>
            <w:hyperlink r:id="rId132">
              <w:r>
                <w:rPr>
                  <w:rFonts w:ascii="Arial" w:cs="Arial" w:eastAsia="Arial" w:hAnsi="Arial"/>
                  <w:sz w:val="17"/>
                  <w:szCs w:val="17"/>
                  <w:color w:val="0000FF"/>
                  <w:w w:val="95"/>
                </w:rPr>
                <w:t>Form of Indemnification Agreement of AngioDynamics, Inc.</w:t>
              </w:r>
            </w:hyperlink>
          </w:p>
        </w:tc>
        <w:tc>
          <w:tcPr>
            <w:tcW w:w="1720" w:type="dxa"/>
            <w:vAlign w:val="bottom"/>
            <w:tcBorders>
              <w:bottom w:val="single" w:sz="8" w:color="CCEEFF"/>
            </w:tcBorders>
            <w:gridSpan w:val="10"/>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rPr>
              <w:t>8-K</w:t>
            </w:r>
          </w:p>
        </w:tc>
        <w:tc>
          <w:tcPr>
            <w:tcW w:w="1480" w:type="dxa"/>
            <w:vAlign w:val="bottom"/>
            <w:tcBorders>
              <w:bottom w:val="single" w:sz="8" w:color="CCEEFF"/>
            </w:tcBorders>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0"/>
              </w:rPr>
              <w:t>10.1</w:t>
            </w:r>
          </w:p>
        </w:tc>
        <w:tc>
          <w:tcPr>
            <w:tcW w:w="1640" w:type="dxa"/>
            <w:vAlign w:val="bottom"/>
            <w:tcBorders>
              <w:bottom w:val="single" w:sz="8" w:color="CCEEFF"/>
            </w:tcBorders>
            <w:shd w:val="clear" w:color="auto" w:fill="CCEEFF"/>
          </w:tcPr>
          <w:p>
            <w:pPr>
              <w:jc w:val="center"/>
              <w:ind w:left="74"/>
              <w:spacing w:after="0" w:line="191" w:lineRule="exact"/>
              <w:rPr>
                <w:sz w:val="20"/>
                <w:szCs w:val="20"/>
                <w:color w:val="auto"/>
              </w:rPr>
            </w:pPr>
            <w:r>
              <w:rPr>
                <w:rFonts w:ascii="Arial" w:cs="Arial" w:eastAsia="Arial" w:hAnsi="Arial"/>
                <w:sz w:val="17"/>
                <w:szCs w:val="17"/>
                <w:color w:val="auto"/>
                <w:w w:val="93"/>
              </w:rPr>
              <w:t>May 12, 2006</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1"/>
              </w:rPr>
              <w:t>10.11.1</w:t>
            </w:r>
          </w:p>
        </w:tc>
        <w:tc>
          <w:tcPr>
            <w:tcW w:w="5960" w:type="dxa"/>
            <w:vAlign w:val="bottom"/>
            <w:gridSpan w:val="21"/>
          </w:tcPr>
          <w:p>
            <w:pPr>
              <w:spacing w:after="0" w:line="181" w:lineRule="exact"/>
              <w:rPr>
                <w:rFonts w:ascii="Arial" w:cs="Arial" w:eastAsia="Arial" w:hAnsi="Arial"/>
                <w:sz w:val="17"/>
                <w:szCs w:val="17"/>
                <w:color w:val="0000FF"/>
                <w:w w:val="98"/>
              </w:rPr>
            </w:pPr>
            <w:hyperlink r:id="rId133">
              <w:r>
                <w:rPr>
                  <w:rFonts w:ascii="Arial" w:cs="Arial" w:eastAsia="Arial" w:hAnsi="Arial"/>
                  <w:sz w:val="17"/>
                  <w:szCs w:val="17"/>
                  <w:color w:val="0000FF"/>
                  <w:w w:val="98"/>
                </w:rPr>
                <w:t>Employment Agreement, dated April 1, 2016, between AngioDynamics, Inc. and</w:t>
              </w:r>
            </w:hyperlink>
          </w:p>
        </w:tc>
        <w:tc>
          <w:tcPr>
            <w:tcW w:w="1020" w:type="dxa"/>
            <w:vAlign w:val="bottom"/>
          </w:tcPr>
          <w:p>
            <w:pPr>
              <w:jc w:val="center"/>
              <w:ind w:left="134"/>
              <w:spacing w:after="0" w:line="181" w:lineRule="exact"/>
              <w:rPr>
                <w:sz w:val="20"/>
                <w:szCs w:val="20"/>
                <w:color w:val="auto"/>
              </w:rPr>
            </w:pPr>
            <w:r>
              <w:rPr>
                <w:rFonts w:ascii="Arial" w:cs="Arial" w:eastAsia="Arial" w:hAnsi="Arial"/>
                <w:sz w:val="17"/>
                <w:szCs w:val="17"/>
                <w:color w:val="auto"/>
              </w:rPr>
              <w:t>8-K</w:t>
            </w:r>
          </w:p>
        </w:tc>
        <w:tc>
          <w:tcPr>
            <w:tcW w:w="148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0"/>
              </w:rPr>
              <w:t>10.1</w:t>
            </w:r>
          </w:p>
        </w:tc>
        <w:tc>
          <w:tcPr>
            <w:tcW w:w="1640" w:type="dxa"/>
            <w:vAlign w:val="bottom"/>
          </w:tcPr>
          <w:p>
            <w:pPr>
              <w:jc w:val="center"/>
              <w:ind w:left="74"/>
              <w:spacing w:after="0" w:line="181" w:lineRule="exact"/>
              <w:rPr>
                <w:sz w:val="20"/>
                <w:szCs w:val="20"/>
                <w:color w:val="auto"/>
              </w:rPr>
            </w:pPr>
            <w:r>
              <w:rPr>
                <w:rFonts w:ascii="Arial" w:cs="Arial" w:eastAsia="Arial" w:hAnsi="Arial"/>
                <w:sz w:val="17"/>
                <w:szCs w:val="17"/>
                <w:color w:val="auto"/>
                <w:w w:val="96"/>
              </w:rPr>
              <w:t>April 6, 2016</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620" w:type="dxa"/>
            <w:vAlign w:val="bottom"/>
            <w:tcBorders>
              <w:top w:val="single" w:sz="8" w:color="0000FF"/>
            </w:tcBorders>
            <w:gridSpan w:val="15"/>
          </w:tcPr>
          <w:p>
            <w:pPr>
              <w:spacing w:after="0" w:line="149" w:lineRule="exact"/>
              <w:rPr>
                <w:rFonts w:ascii="Arial" w:cs="Arial" w:eastAsia="Arial" w:hAnsi="Arial"/>
                <w:sz w:val="17"/>
                <w:szCs w:val="17"/>
                <w:color w:val="0000FF"/>
              </w:rPr>
            </w:pPr>
            <w:hyperlink r:id="rId133">
              <w:r>
                <w:rPr>
                  <w:rFonts w:ascii="Arial" w:cs="Arial" w:eastAsia="Arial" w:hAnsi="Arial"/>
                  <w:sz w:val="17"/>
                  <w:szCs w:val="17"/>
                  <w:color w:val="0000FF"/>
                </w:rPr>
                <w:t>James C. Clemmer.</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12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89"/>
              </w:rPr>
              <w:t>10.12</w:t>
            </w:r>
          </w:p>
        </w:tc>
        <w:tc>
          <w:tcPr>
            <w:tcW w:w="5960" w:type="dxa"/>
            <w:vAlign w:val="bottom"/>
            <w:gridSpan w:val="21"/>
            <w:shd w:val="clear" w:color="auto" w:fill="CCEEFF"/>
          </w:tcPr>
          <w:p>
            <w:pPr>
              <w:spacing w:after="0" w:line="191" w:lineRule="exact"/>
              <w:rPr>
                <w:rFonts w:ascii="Arial" w:cs="Arial" w:eastAsia="Arial" w:hAnsi="Arial"/>
                <w:sz w:val="17"/>
                <w:szCs w:val="17"/>
                <w:color w:val="0000FF"/>
                <w:w w:val="97"/>
              </w:rPr>
            </w:pPr>
            <w:hyperlink r:id="rId134">
              <w:r>
                <w:rPr>
                  <w:rFonts w:ascii="Arial" w:cs="Arial" w:eastAsia="Arial" w:hAnsi="Arial"/>
                  <w:sz w:val="17"/>
                  <w:szCs w:val="17"/>
                  <w:color w:val="0000FF"/>
                  <w:w w:val="97"/>
                </w:rPr>
                <w:t>Change in Control Agreement, dated April 1, 2016, between AngioDynamics, Inc.</w:t>
              </w:r>
            </w:hyperlink>
          </w:p>
        </w:tc>
        <w:tc>
          <w:tcPr>
            <w:tcW w:w="1020" w:type="dxa"/>
            <w:vAlign w:val="bottom"/>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rPr>
              <w:t>8-K</w:t>
            </w:r>
          </w:p>
        </w:tc>
        <w:tc>
          <w:tcPr>
            <w:tcW w:w="1480" w:type="dxa"/>
            <w:vAlign w:val="bottom"/>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0"/>
              </w:rPr>
              <w:t>10.2</w:t>
            </w:r>
          </w:p>
        </w:tc>
        <w:tc>
          <w:tcPr>
            <w:tcW w:w="1640" w:type="dxa"/>
            <w:vAlign w:val="bottom"/>
            <w:shd w:val="clear" w:color="auto" w:fill="CCEEFF"/>
          </w:tcPr>
          <w:p>
            <w:pPr>
              <w:jc w:val="center"/>
              <w:ind w:left="74"/>
              <w:spacing w:after="0" w:line="191" w:lineRule="exact"/>
              <w:rPr>
                <w:sz w:val="20"/>
                <w:szCs w:val="20"/>
                <w:color w:val="auto"/>
              </w:rPr>
            </w:pPr>
            <w:r>
              <w:rPr>
                <w:rFonts w:ascii="Arial" w:cs="Arial" w:eastAsia="Arial" w:hAnsi="Arial"/>
                <w:sz w:val="17"/>
                <w:szCs w:val="17"/>
                <w:color w:val="auto"/>
                <w:w w:val="96"/>
              </w:rPr>
              <w:t>April 6, 2016</w:t>
            </w:r>
          </w:p>
        </w:tc>
        <w:tc>
          <w:tcPr>
            <w:tcW w:w="0" w:type="dxa"/>
            <w:vAlign w:val="bottom"/>
          </w:tcPr>
          <w:p>
            <w:pPr>
              <w:spacing w:after="0"/>
              <w:rPr>
                <w:sz w:val="1"/>
                <w:szCs w:val="1"/>
                <w:color w:val="auto"/>
              </w:rPr>
            </w:pPr>
          </w:p>
        </w:tc>
      </w:tr>
      <w:tr>
        <w:trPr>
          <w:trHeight w:val="167"/>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0000FF"/>
              <w:bottom w:val="single" w:sz="8" w:color="0000FF"/>
            </w:tcBorders>
            <w:gridSpan w:val="4"/>
            <w:shd w:val="clear" w:color="auto" w:fill="CCEEFF"/>
          </w:tcPr>
          <w:p>
            <w:pPr>
              <w:spacing w:after="0" w:line="149" w:lineRule="exact"/>
              <w:rPr>
                <w:rFonts w:ascii="Arial" w:cs="Arial" w:eastAsia="Arial" w:hAnsi="Arial"/>
                <w:sz w:val="17"/>
                <w:szCs w:val="17"/>
                <w:color w:val="0000FF"/>
                <w:w w:val="88"/>
              </w:rPr>
            </w:pPr>
            <w:hyperlink r:id="rId134">
              <w:r>
                <w:rPr>
                  <w:rFonts w:ascii="Arial" w:cs="Arial" w:eastAsia="Arial" w:hAnsi="Arial"/>
                  <w:sz w:val="17"/>
                  <w:szCs w:val="17"/>
                  <w:color w:val="0000FF"/>
                  <w:w w:val="88"/>
                </w:rPr>
                <w:t>and James C. Clemmer.</w:t>
              </w:r>
            </w:hyperlink>
          </w:p>
        </w:tc>
        <w:tc>
          <w:tcPr>
            <w:tcW w:w="408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1"/>
              </w:rPr>
              <w:t>10.12.2</w:t>
            </w:r>
          </w:p>
        </w:tc>
        <w:tc>
          <w:tcPr>
            <w:tcW w:w="5960" w:type="dxa"/>
            <w:vAlign w:val="bottom"/>
            <w:gridSpan w:val="21"/>
          </w:tcPr>
          <w:p>
            <w:pPr>
              <w:spacing w:after="0" w:line="181" w:lineRule="exact"/>
              <w:rPr>
                <w:rFonts w:ascii="Arial" w:cs="Arial" w:eastAsia="Arial" w:hAnsi="Arial"/>
                <w:sz w:val="17"/>
                <w:szCs w:val="17"/>
                <w:color w:val="0000FF"/>
              </w:rPr>
            </w:pPr>
            <w:hyperlink r:id="rId135">
              <w:r>
                <w:rPr>
                  <w:rFonts w:ascii="Arial" w:cs="Arial" w:eastAsia="Arial" w:hAnsi="Arial"/>
                  <w:sz w:val="17"/>
                  <w:szCs w:val="17"/>
                  <w:color w:val="0000FF"/>
                </w:rPr>
                <w:t>Form of Severance Agreement of AngioDynamics, Inc.</w:t>
              </w:r>
            </w:hyperlink>
          </w:p>
        </w:tc>
        <w:tc>
          <w:tcPr>
            <w:tcW w:w="1020" w:type="dxa"/>
            <w:vAlign w:val="bottom"/>
          </w:tcPr>
          <w:p>
            <w:pPr>
              <w:jc w:val="center"/>
              <w:ind w:left="134"/>
              <w:spacing w:after="0" w:line="181" w:lineRule="exact"/>
              <w:rPr>
                <w:sz w:val="20"/>
                <w:szCs w:val="20"/>
                <w:color w:val="auto"/>
              </w:rPr>
            </w:pPr>
            <w:r>
              <w:rPr>
                <w:rFonts w:ascii="Arial" w:cs="Arial" w:eastAsia="Arial" w:hAnsi="Arial"/>
                <w:sz w:val="17"/>
                <w:szCs w:val="17"/>
                <w:color w:val="auto"/>
              </w:rPr>
              <w:t>10-K</w:t>
            </w:r>
          </w:p>
        </w:tc>
        <w:tc>
          <w:tcPr>
            <w:tcW w:w="1480" w:type="dxa"/>
            <w:vAlign w:val="bottom"/>
          </w:tcPr>
          <w:p>
            <w:pPr>
              <w:jc w:val="center"/>
              <w:ind w:left="314"/>
              <w:spacing w:after="0" w:line="181" w:lineRule="exact"/>
              <w:rPr>
                <w:sz w:val="20"/>
                <w:szCs w:val="20"/>
                <w:color w:val="auto"/>
              </w:rPr>
            </w:pPr>
            <w:r>
              <w:rPr>
                <w:rFonts w:ascii="Arial" w:cs="Arial" w:eastAsia="Arial" w:hAnsi="Arial"/>
                <w:sz w:val="17"/>
                <w:szCs w:val="17"/>
                <w:color w:val="auto"/>
                <w:w w:val="91"/>
              </w:rPr>
              <w:t>10.12.2</w:t>
            </w:r>
          </w:p>
        </w:tc>
        <w:tc>
          <w:tcPr>
            <w:tcW w:w="1640" w:type="dxa"/>
            <w:vAlign w:val="bottom"/>
          </w:tcPr>
          <w:p>
            <w:pPr>
              <w:jc w:val="center"/>
              <w:ind w:left="94"/>
              <w:spacing w:after="0" w:line="181" w:lineRule="exact"/>
              <w:rPr>
                <w:sz w:val="20"/>
                <w:szCs w:val="20"/>
                <w:color w:val="auto"/>
              </w:rPr>
            </w:pPr>
            <w:r>
              <w:rPr>
                <w:rFonts w:ascii="Arial" w:cs="Arial" w:eastAsia="Arial" w:hAnsi="Arial"/>
                <w:sz w:val="17"/>
                <w:szCs w:val="17"/>
                <w:color w:val="auto"/>
                <w:w w:val="92"/>
              </w:rPr>
              <w:t>August 10, 2020</w:t>
            </w:r>
          </w:p>
        </w:tc>
        <w:tc>
          <w:tcPr>
            <w:tcW w:w="0" w:type="dxa"/>
            <w:vAlign w:val="bottom"/>
          </w:tcPr>
          <w:p>
            <w:pPr>
              <w:spacing w:after="0"/>
              <w:rPr>
                <w:sz w:val="1"/>
                <w:szCs w:val="1"/>
                <w:color w:val="auto"/>
              </w:rPr>
            </w:pPr>
          </w:p>
        </w:tc>
      </w:tr>
      <w:tr>
        <w:trPr>
          <w:trHeight w:val="210"/>
        </w:trPr>
        <w:tc>
          <w:tcPr>
            <w:tcW w:w="1120" w:type="dxa"/>
            <w:vAlign w:val="bottom"/>
            <w:tcBorders>
              <w:bottom w:val="single" w:sz="8" w:color="CCEEFF"/>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9"/>
              </w:rPr>
              <w:t>10.13</w:t>
            </w:r>
          </w:p>
        </w:tc>
        <w:tc>
          <w:tcPr>
            <w:tcW w:w="2740" w:type="dxa"/>
            <w:vAlign w:val="bottom"/>
            <w:tcBorders>
              <w:top w:val="single" w:sz="8" w:color="0000FF"/>
              <w:bottom w:val="single" w:sz="8" w:color="0000FF"/>
              <w:right w:val="single" w:sz="8" w:color="CCEEFF"/>
            </w:tcBorders>
            <w:gridSpan w:val="5"/>
            <w:shd w:val="clear" w:color="auto" w:fill="CCEEFF"/>
          </w:tcPr>
          <w:p>
            <w:pPr>
              <w:spacing w:after="0" w:line="191" w:lineRule="exact"/>
              <w:rPr>
                <w:rFonts w:ascii="Arial" w:cs="Arial" w:eastAsia="Arial" w:hAnsi="Arial"/>
                <w:sz w:val="17"/>
                <w:szCs w:val="17"/>
                <w:color w:val="0000FF"/>
                <w:w w:val="92"/>
              </w:rPr>
            </w:pPr>
            <w:hyperlink r:id="rId136">
              <w:r>
                <w:rPr>
                  <w:rFonts w:ascii="Arial" w:cs="Arial" w:eastAsia="Arial" w:hAnsi="Arial"/>
                  <w:sz w:val="17"/>
                  <w:szCs w:val="17"/>
                  <w:color w:val="0000FF"/>
                  <w:w w:val="92"/>
                </w:rPr>
                <w:t>Form of Change in Control Agreement.</w:t>
              </w:r>
            </w:hyperlink>
          </w:p>
        </w:tc>
        <w:tc>
          <w:tcPr>
            <w:tcW w:w="11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2120" w:type="dxa"/>
            <w:vAlign w:val="bottom"/>
            <w:tcBorders>
              <w:bottom w:val="single" w:sz="8" w:color="CCEEFF"/>
            </w:tcBorders>
            <w:gridSpan w:val="13"/>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w w:val="99"/>
              </w:rPr>
              <w:t>10-K/A</w:t>
            </w:r>
          </w:p>
        </w:tc>
        <w:tc>
          <w:tcPr>
            <w:tcW w:w="1480" w:type="dxa"/>
            <w:vAlign w:val="bottom"/>
            <w:tcBorders>
              <w:bottom w:val="single" w:sz="8" w:color="CCEEFF"/>
            </w:tcBorders>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89"/>
              </w:rPr>
              <w:t>10.13</w:t>
            </w:r>
          </w:p>
        </w:tc>
        <w:tc>
          <w:tcPr>
            <w:tcW w:w="1640" w:type="dxa"/>
            <w:vAlign w:val="bottom"/>
            <w:tcBorders>
              <w:bottom w:val="single" w:sz="8" w:color="CCEEFF"/>
            </w:tcBorders>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w w:val="89"/>
              </w:rPr>
              <w:t>January 12, 2015</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89"/>
              </w:rPr>
              <w:t>10.14</w:t>
            </w:r>
          </w:p>
        </w:tc>
        <w:tc>
          <w:tcPr>
            <w:tcW w:w="5960" w:type="dxa"/>
            <w:vAlign w:val="bottom"/>
            <w:gridSpan w:val="21"/>
          </w:tcPr>
          <w:p>
            <w:pPr>
              <w:spacing w:after="0" w:line="181" w:lineRule="exact"/>
              <w:rPr>
                <w:rFonts w:ascii="Arial" w:cs="Arial" w:eastAsia="Arial" w:hAnsi="Arial"/>
                <w:sz w:val="17"/>
                <w:szCs w:val="17"/>
                <w:color w:val="0000FF"/>
                <w:w w:val="96"/>
              </w:rPr>
            </w:pPr>
            <w:hyperlink r:id="rId137">
              <w:r>
                <w:rPr>
                  <w:rFonts w:ascii="Arial" w:cs="Arial" w:eastAsia="Arial" w:hAnsi="Arial"/>
                  <w:sz w:val="17"/>
                  <w:szCs w:val="17"/>
                  <w:color w:val="0000FF"/>
                  <w:w w:val="96"/>
                </w:rPr>
                <w:t>Performance Share Award Agreement, with a grant date of April 4, 2016, between</w:t>
              </w:r>
            </w:hyperlink>
          </w:p>
        </w:tc>
        <w:tc>
          <w:tcPr>
            <w:tcW w:w="1020" w:type="dxa"/>
            <w:vAlign w:val="bottom"/>
          </w:tcPr>
          <w:p>
            <w:pPr>
              <w:jc w:val="center"/>
              <w:ind w:left="134"/>
              <w:spacing w:after="0" w:line="181" w:lineRule="exact"/>
              <w:rPr>
                <w:sz w:val="20"/>
                <w:szCs w:val="20"/>
                <w:color w:val="auto"/>
              </w:rPr>
            </w:pPr>
            <w:r>
              <w:rPr>
                <w:rFonts w:ascii="Arial" w:cs="Arial" w:eastAsia="Arial" w:hAnsi="Arial"/>
                <w:sz w:val="17"/>
                <w:szCs w:val="17"/>
                <w:color w:val="auto"/>
              </w:rPr>
              <w:t>8-K</w:t>
            </w:r>
          </w:p>
        </w:tc>
        <w:tc>
          <w:tcPr>
            <w:tcW w:w="148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0"/>
              </w:rPr>
              <w:t>10.3</w:t>
            </w:r>
          </w:p>
        </w:tc>
        <w:tc>
          <w:tcPr>
            <w:tcW w:w="1640" w:type="dxa"/>
            <w:vAlign w:val="bottom"/>
          </w:tcPr>
          <w:p>
            <w:pPr>
              <w:jc w:val="center"/>
              <w:ind w:left="74"/>
              <w:spacing w:after="0" w:line="181" w:lineRule="exact"/>
              <w:rPr>
                <w:sz w:val="20"/>
                <w:szCs w:val="20"/>
                <w:color w:val="auto"/>
              </w:rPr>
            </w:pPr>
            <w:r>
              <w:rPr>
                <w:rFonts w:ascii="Arial" w:cs="Arial" w:eastAsia="Arial" w:hAnsi="Arial"/>
                <w:sz w:val="17"/>
                <w:szCs w:val="17"/>
                <w:color w:val="auto"/>
                <w:w w:val="96"/>
              </w:rPr>
              <w:t>April 6, 2016</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700" w:type="dxa"/>
            <w:vAlign w:val="bottom"/>
            <w:tcBorders>
              <w:top w:val="single" w:sz="8" w:color="0000FF"/>
            </w:tcBorders>
            <w:gridSpan w:val="16"/>
          </w:tcPr>
          <w:p>
            <w:pPr>
              <w:spacing w:after="0" w:line="149" w:lineRule="exact"/>
              <w:rPr>
                <w:rFonts w:ascii="Arial" w:cs="Arial" w:eastAsia="Arial" w:hAnsi="Arial"/>
                <w:sz w:val="17"/>
                <w:szCs w:val="17"/>
                <w:color w:val="0000FF"/>
              </w:rPr>
            </w:pPr>
            <w:hyperlink r:id="rId137">
              <w:r>
                <w:rPr>
                  <w:rFonts w:ascii="Arial" w:cs="Arial" w:eastAsia="Arial" w:hAnsi="Arial"/>
                  <w:sz w:val="17"/>
                  <w:szCs w:val="17"/>
                  <w:color w:val="0000FF"/>
                </w:rPr>
                <w:t>AngioDynamics, Inc. and James C. Clemmer.</w:t>
              </w:r>
            </w:hyperlink>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0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12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89"/>
              </w:rPr>
              <w:t>10.15</w:t>
            </w:r>
          </w:p>
        </w:tc>
        <w:tc>
          <w:tcPr>
            <w:tcW w:w="5960" w:type="dxa"/>
            <w:vAlign w:val="bottom"/>
            <w:gridSpan w:val="21"/>
            <w:shd w:val="clear" w:color="auto" w:fill="CCEEFF"/>
          </w:tcPr>
          <w:p>
            <w:pPr>
              <w:spacing w:after="0" w:line="191" w:lineRule="exact"/>
              <w:rPr>
                <w:rFonts w:ascii="Arial" w:cs="Arial" w:eastAsia="Arial" w:hAnsi="Arial"/>
                <w:sz w:val="17"/>
                <w:szCs w:val="17"/>
                <w:color w:val="0000FF"/>
                <w:w w:val="93"/>
              </w:rPr>
            </w:pPr>
            <w:hyperlink r:id="rId138">
              <w:r>
                <w:rPr>
                  <w:rFonts w:ascii="Arial" w:cs="Arial" w:eastAsia="Arial" w:hAnsi="Arial"/>
                  <w:sz w:val="17"/>
                  <w:szCs w:val="17"/>
                  <w:color w:val="0000FF"/>
                  <w:w w:val="93"/>
                </w:rPr>
                <w:t>AngioDynamics, Inc. Total Shareholder Return Performance Share Award Program -</w:t>
              </w:r>
            </w:hyperlink>
          </w:p>
        </w:tc>
        <w:tc>
          <w:tcPr>
            <w:tcW w:w="1020" w:type="dxa"/>
            <w:vAlign w:val="bottom"/>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rPr>
              <w:t>8-K</w:t>
            </w:r>
          </w:p>
        </w:tc>
        <w:tc>
          <w:tcPr>
            <w:tcW w:w="1480" w:type="dxa"/>
            <w:vAlign w:val="bottom"/>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0"/>
              </w:rPr>
              <w:t>10.4</w:t>
            </w:r>
          </w:p>
        </w:tc>
        <w:tc>
          <w:tcPr>
            <w:tcW w:w="1640" w:type="dxa"/>
            <w:vAlign w:val="bottom"/>
            <w:shd w:val="clear" w:color="auto" w:fill="CCEEFF"/>
          </w:tcPr>
          <w:p>
            <w:pPr>
              <w:jc w:val="center"/>
              <w:ind w:left="74"/>
              <w:spacing w:after="0" w:line="191" w:lineRule="exact"/>
              <w:rPr>
                <w:sz w:val="20"/>
                <w:szCs w:val="20"/>
                <w:color w:val="auto"/>
              </w:rPr>
            </w:pPr>
            <w:r>
              <w:rPr>
                <w:rFonts w:ascii="Arial" w:cs="Arial" w:eastAsia="Arial" w:hAnsi="Arial"/>
                <w:sz w:val="17"/>
                <w:szCs w:val="17"/>
                <w:color w:val="auto"/>
                <w:w w:val="96"/>
              </w:rPr>
              <w:t>April 6, 2016</w:t>
            </w:r>
          </w:p>
        </w:tc>
        <w:tc>
          <w:tcPr>
            <w:tcW w:w="0" w:type="dxa"/>
            <w:vAlign w:val="bottom"/>
          </w:tcPr>
          <w:p>
            <w:pPr>
              <w:spacing w:after="0"/>
              <w:rPr>
                <w:sz w:val="1"/>
                <w:szCs w:val="1"/>
                <w:color w:val="auto"/>
              </w:rPr>
            </w:pPr>
          </w:p>
        </w:tc>
      </w:tr>
      <w:tr>
        <w:trPr>
          <w:trHeight w:val="149"/>
        </w:trPr>
        <w:tc>
          <w:tcPr>
            <w:tcW w:w="1120" w:type="dxa"/>
            <w:vAlign w:val="bottom"/>
            <w:tcBorders>
              <w:top w:val="single" w:sz="8" w:color="CCEEFF"/>
            </w:tcBorders>
            <w:shd w:val="clear" w:color="auto" w:fill="CCEEFF"/>
          </w:tcPr>
          <w:p>
            <w:pPr>
              <w:spacing w:after="0"/>
              <w:rPr>
                <w:sz w:val="12"/>
                <w:szCs w:val="12"/>
                <w:color w:val="auto"/>
              </w:rPr>
            </w:pPr>
          </w:p>
        </w:tc>
        <w:tc>
          <w:tcPr>
            <w:tcW w:w="5880" w:type="dxa"/>
            <w:vAlign w:val="bottom"/>
            <w:tcBorders>
              <w:top w:val="single" w:sz="8" w:color="0000FF"/>
            </w:tcBorders>
            <w:gridSpan w:val="19"/>
            <w:shd w:val="clear" w:color="auto" w:fill="CCEEFF"/>
          </w:tcPr>
          <w:p>
            <w:pPr>
              <w:spacing w:after="0" w:line="149" w:lineRule="exact"/>
              <w:rPr>
                <w:rFonts w:ascii="Arial" w:cs="Arial" w:eastAsia="Arial" w:hAnsi="Arial"/>
                <w:sz w:val="17"/>
                <w:szCs w:val="17"/>
                <w:color w:val="0000FF"/>
              </w:rPr>
            </w:pPr>
            <w:hyperlink r:id="rId138">
              <w:r>
                <w:rPr>
                  <w:rFonts w:ascii="Arial" w:cs="Arial" w:eastAsia="Arial" w:hAnsi="Arial"/>
                  <w:sz w:val="17"/>
                  <w:szCs w:val="17"/>
                  <w:color w:val="0000FF"/>
                </w:rPr>
                <w:t>Performance Period Ending July 2019.</w:t>
              </w:r>
            </w:hyperlink>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100" w:type="dxa"/>
            <w:vAlign w:val="bottom"/>
            <w:tcBorders>
              <w:right w:val="single" w:sz="8" w:color="CCEE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89"/>
              </w:rPr>
              <w:t>10.16</w:t>
            </w:r>
          </w:p>
        </w:tc>
        <w:tc>
          <w:tcPr>
            <w:tcW w:w="5960" w:type="dxa"/>
            <w:vAlign w:val="bottom"/>
            <w:gridSpan w:val="21"/>
          </w:tcPr>
          <w:p>
            <w:pPr>
              <w:spacing w:after="0" w:line="181" w:lineRule="exact"/>
              <w:rPr>
                <w:rFonts w:ascii="Arial" w:cs="Arial" w:eastAsia="Arial" w:hAnsi="Arial"/>
                <w:sz w:val="17"/>
                <w:szCs w:val="17"/>
                <w:color w:val="0000FF"/>
              </w:rPr>
            </w:pPr>
            <w:hyperlink r:id="rId139">
              <w:r>
                <w:rPr>
                  <w:rFonts w:ascii="Arial" w:cs="Arial" w:eastAsia="Arial" w:hAnsi="Arial"/>
                  <w:sz w:val="17"/>
                  <w:szCs w:val="17"/>
                  <w:color w:val="0000FF"/>
                </w:rPr>
                <w:t>Stock Option Award Agreement, with a grant date of April 4, 2016, between</w:t>
              </w:r>
            </w:hyperlink>
          </w:p>
        </w:tc>
        <w:tc>
          <w:tcPr>
            <w:tcW w:w="1020" w:type="dxa"/>
            <w:vAlign w:val="bottom"/>
          </w:tcPr>
          <w:p>
            <w:pPr>
              <w:jc w:val="center"/>
              <w:ind w:left="134"/>
              <w:spacing w:after="0" w:line="181" w:lineRule="exact"/>
              <w:rPr>
                <w:sz w:val="20"/>
                <w:szCs w:val="20"/>
                <w:color w:val="auto"/>
              </w:rPr>
            </w:pPr>
            <w:r>
              <w:rPr>
                <w:rFonts w:ascii="Arial" w:cs="Arial" w:eastAsia="Arial" w:hAnsi="Arial"/>
                <w:sz w:val="17"/>
                <w:szCs w:val="17"/>
                <w:color w:val="auto"/>
              </w:rPr>
              <w:t>8-K</w:t>
            </w:r>
          </w:p>
        </w:tc>
        <w:tc>
          <w:tcPr>
            <w:tcW w:w="148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0"/>
              </w:rPr>
              <w:t>10.5</w:t>
            </w:r>
          </w:p>
        </w:tc>
        <w:tc>
          <w:tcPr>
            <w:tcW w:w="1640" w:type="dxa"/>
            <w:vAlign w:val="bottom"/>
          </w:tcPr>
          <w:p>
            <w:pPr>
              <w:jc w:val="center"/>
              <w:ind w:left="74"/>
              <w:spacing w:after="0" w:line="181" w:lineRule="exact"/>
              <w:rPr>
                <w:sz w:val="20"/>
                <w:szCs w:val="20"/>
                <w:color w:val="auto"/>
              </w:rPr>
            </w:pPr>
            <w:r>
              <w:rPr>
                <w:rFonts w:ascii="Arial" w:cs="Arial" w:eastAsia="Arial" w:hAnsi="Arial"/>
                <w:sz w:val="17"/>
                <w:szCs w:val="17"/>
                <w:color w:val="auto"/>
                <w:w w:val="96"/>
              </w:rPr>
              <w:t>April 6, 2016</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280" w:type="dxa"/>
            <w:vAlign w:val="bottom"/>
            <w:tcBorders>
              <w:top w:val="single" w:sz="8" w:color="0000FF"/>
            </w:tcBorders>
            <w:gridSpan w:val="14"/>
          </w:tcPr>
          <w:p>
            <w:pPr>
              <w:spacing w:after="0" w:line="149" w:lineRule="exact"/>
              <w:rPr>
                <w:rFonts w:ascii="Arial" w:cs="Arial" w:eastAsia="Arial" w:hAnsi="Arial"/>
                <w:sz w:val="17"/>
                <w:szCs w:val="17"/>
                <w:color w:val="0000FF"/>
              </w:rPr>
            </w:pPr>
            <w:hyperlink r:id="rId139">
              <w:r>
                <w:rPr>
                  <w:rFonts w:ascii="Arial" w:cs="Arial" w:eastAsia="Arial" w:hAnsi="Arial"/>
                  <w:sz w:val="17"/>
                  <w:szCs w:val="17"/>
                  <w:color w:val="0000FF"/>
                </w:rPr>
                <w:t>AngioDynamics, Inc. and James C. Clemmer.</w:t>
              </w:r>
            </w:hyperlink>
          </w:p>
        </w:tc>
        <w:tc>
          <w:tcPr>
            <w:tcW w:w="58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0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12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89"/>
              </w:rPr>
              <w:t>10.17</w:t>
            </w:r>
          </w:p>
        </w:tc>
        <w:tc>
          <w:tcPr>
            <w:tcW w:w="5960" w:type="dxa"/>
            <w:vAlign w:val="bottom"/>
            <w:gridSpan w:val="21"/>
            <w:shd w:val="clear" w:color="auto" w:fill="CCEEFF"/>
          </w:tcPr>
          <w:p>
            <w:pPr>
              <w:spacing w:after="0" w:line="191" w:lineRule="exact"/>
              <w:rPr>
                <w:rFonts w:ascii="Arial" w:cs="Arial" w:eastAsia="Arial" w:hAnsi="Arial"/>
                <w:sz w:val="17"/>
                <w:szCs w:val="17"/>
                <w:color w:val="0000FF"/>
                <w:w w:val="94"/>
              </w:rPr>
            </w:pPr>
            <w:hyperlink r:id="rId140">
              <w:r>
                <w:rPr>
                  <w:rFonts w:ascii="Arial" w:cs="Arial" w:eastAsia="Arial" w:hAnsi="Arial"/>
                  <w:sz w:val="17"/>
                  <w:szCs w:val="17"/>
                  <w:color w:val="0000FF"/>
                  <w:w w:val="94"/>
                </w:rPr>
                <w:t>Restricted Stock Unit Award Agreement, with a grant date of April 4, 2016, between</w:t>
              </w:r>
            </w:hyperlink>
          </w:p>
        </w:tc>
        <w:tc>
          <w:tcPr>
            <w:tcW w:w="1020" w:type="dxa"/>
            <w:vAlign w:val="bottom"/>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rPr>
              <w:t>8-K</w:t>
            </w:r>
          </w:p>
        </w:tc>
        <w:tc>
          <w:tcPr>
            <w:tcW w:w="1480" w:type="dxa"/>
            <w:vAlign w:val="bottom"/>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0"/>
              </w:rPr>
              <w:t>10.6</w:t>
            </w:r>
          </w:p>
        </w:tc>
        <w:tc>
          <w:tcPr>
            <w:tcW w:w="1640" w:type="dxa"/>
            <w:vAlign w:val="bottom"/>
            <w:shd w:val="clear" w:color="auto" w:fill="CCEEFF"/>
          </w:tcPr>
          <w:p>
            <w:pPr>
              <w:jc w:val="center"/>
              <w:ind w:left="74"/>
              <w:spacing w:after="0" w:line="191" w:lineRule="exact"/>
              <w:rPr>
                <w:sz w:val="20"/>
                <w:szCs w:val="20"/>
                <w:color w:val="auto"/>
              </w:rPr>
            </w:pPr>
            <w:r>
              <w:rPr>
                <w:rFonts w:ascii="Arial" w:cs="Arial" w:eastAsia="Arial" w:hAnsi="Arial"/>
                <w:sz w:val="17"/>
                <w:szCs w:val="17"/>
                <w:color w:val="auto"/>
                <w:w w:val="96"/>
              </w:rPr>
              <w:t>April 6, 2016</w:t>
            </w:r>
          </w:p>
        </w:tc>
        <w:tc>
          <w:tcPr>
            <w:tcW w:w="0" w:type="dxa"/>
            <w:vAlign w:val="bottom"/>
          </w:tcPr>
          <w:p>
            <w:pPr>
              <w:spacing w:after="0"/>
              <w:rPr>
                <w:sz w:val="1"/>
                <w:szCs w:val="1"/>
                <w:color w:val="auto"/>
              </w:rPr>
            </w:pPr>
          </w:p>
        </w:tc>
      </w:tr>
      <w:tr>
        <w:trPr>
          <w:trHeight w:val="149"/>
        </w:trPr>
        <w:tc>
          <w:tcPr>
            <w:tcW w:w="1120" w:type="dxa"/>
            <w:vAlign w:val="bottom"/>
            <w:tcBorders>
              <w:top w:val="single" w:sz="8" w:color="CCEEFF"/>
            </w:tcBorders>
            <w:shd w:val="clear" w:color="auto" w:fill="CCEEFF"/>
          </w:tcPr>
          <w:p>
            <w:pPr>
              <w:spacing w:after="0"/>
              <w:rPr>
                <w:sz w:val="12"/>
                <w:szCs w:val="12"/>
                <w:color w:val="auto"/>
              </w:rPr>
            </w:pPr>
          </w:p>
        </w:tc>
        <w:tc>
          <w:tcPr>
            <w:tcW w:w="5860" w:type="dxa"/>
            <w:vAlign w:val="bottom"/>
            <w:tcBorders>
              <w:top w:val="single" w:sz="8" w:color="0000FF"/>
            </w:tcBorders>
            <w:gridSpan w:val="18"/>
            <w:shd w:val="clear" w:color="auto" w:fill="CCEEFF"/>
          </w:tcPr>
          <w:p>
            <w:pPr>
              <w:spacing w:after="0" w:line="149" w:lineRule="exact"/>
              <w:rPr>
                <w:rFonts w:ascii="Arial" w:cs="Arial" w:eastAsia="Arial" w:hAnsi="Arial"/>
                <w:sz w:val="17"/>
                <w:szCs w:val="17"/>
                <w:color w:val="0000FF"/>
              </w:rPr>
            </w:pPr>
            <w:hyperlink r:id="rId140">
              <w:r>
                <w:rPr>
                  <w:rFonts w:ascii="Arial" w:cs="Arial" w:eastAsia="Arial" w:hAnsi="Arial"/>
                  <w:sz w:val="17"/>
                  <w:szCs w:val="17"/>
                  <w:color w:val="0000FF"/>
                </w:rPr>
                <w:t>AngioDynamics, Inc. and James C. Clemmer.</w:t>
              </w:r>
            </w:hyperlink>
          </w:p>
        </w:tc>
        <w:tc>
          <w:tcPr>
            <w:tcW w:w="6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100" w:type="dxa"/>
            <w:vAlign w:val="bottom"/>
            <w:tcBorders>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89"/>
              </w:rPr>
              <w:t>10.18</w:t>
            </w:r>
          </w:p>
        </w:tc>
        <w:tc>
          <w:tcPr>
            <w:tcW w:w="5960" w:type="dxa"/>
            <w:vAlign w:val="bottom"/>
            <w:gridSpan w:val="21"/>
          </w:tcPr>
          <w:p>
            <w:pPr>
              <w:spacing w:after="0" w:line="181" w:lineRule="exact"/>
              <w:rPr>
                <w:rFonts w:ascii="Arial" w:cs="Arial" w:eastAsia="Arial" w:hAnsi="Arial"/>
                <w:sz w:val="17"/>
                <w:szCs w:val="17"/>
                <w:color w:val="0000FF"/>
              </w:rPr>
            </w:pPr>
            <w:hyperlink r:id="rId141">
              <w:r>
                <w:rPr>
                  <w:rFonts w:ascii="Arial" w:cs="Arial" w:eastAsia="Arial" w:hAnsi="Arial"/>
                  <w:sz w:val="17"/>
                  <w:szCs w:val="17"/>
                  <w:color w:val="0000FF"/>
                </w:rPr>
                <w:t>Separation Agreement and General Release, dated April 22, 2016, between</w:t>
              </w:r>
            </w:hyperlink>
          </w:p>
        </w:tc>
        <w:tc>
          <w:tcPr>
            <w:tcW w:w="1020" w:type="dxa"/>
            <w:vAlign w:val="bottom"/>
          </w:tcPr>
          <w:p>
            <w:pPr>
              <w:jc w:val="center"/>
              <w:ind w:left="134"/>
              <w:spacing w:after="0" w:line="181" w:lineRule="exact"/>
              <w:rPr>
                <w:sz w:val="20"/>
                <w:szCs w:val="20"/>
                <w:color w:val="auto"/>
              </w:rPr>
            </w:pPr>
            <w:r>
              <w:rPr>
                <w:rFonts w:ascii="Arial" w:cs="Arial" w:eastAsia="Arial" w:hAnsi="Arial"/>
                <w:sz w:val="17"/>
                <w:szCs w:val="17"/>
                <w:color w:val="auto"/>
              </w:rPr>
              <w:t>8-K</w:t>
            </w:r>
          </w:p>
        </w:tc>
        <w:tc>
          <w:tcPr>
            <w:tcW w:w="148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0"/>
              </w:rPr>
              <w:t>10.1</w:t>
            </w:r>
          </w:p>
        </w:tc>
        <w:tc>
          <w:tcPr>
            <w:tcW w:w="1640" w:type="dxa"/>
            <w:vAlign w:val="bottom"/>
          </w:tcPr>
          <w:p>
            <w:pPr>
              <w:jc w:val="center"/>
              <w:ind w:left="94"/>
              <w:spacing w:after="0" w:line="181" w:lineRule="exact"/>
              <w:rPr>
                <w:sz w:val="20"/>
                <w:szCs w:val="20"/>
                <w:color w:val="auto"/>
              </w:rPr>
            </w:pPr>
            <w:r>
              <w:rPr>
                <w:rFonts w:ascii="Arial" w:cs="Arial" w:eastAsia="Arial" w:hAnsi="Arial"/>
                <w:sz w:val="17"/>
                <w:szCs w:val="17"/>
                <w:color w:val="auto"/>
                <w:w w:val="97"/>
              </w:rPr>
              <w:t>April 27, 2016</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7"/>
          </w:tcPr>
          <w:p>
            <w:pPr>
              <w:spacing w:after="0" w:line="149" w:lineRule="exact"/>
              <w:rPr>
                <w:rFonts w:ascii="Arial" w:cs="Arial" w:eastAsia="Arial" w:hAnsi="Arial"/>
                <w:sz w:val="17"/>
                <w:szCs w:val="17"/>
                <w:color w:val="0000FF"/>
                <w:w w:val="93"/>
              </w:rPr>
            </w:pPr>
            <w:hyperlink r:id="rId141">
              <w:r>
                <w:rPr>
                  <w:rFonts w:ascii="Arial" w:cs="Arial" w:eastAsia="Arial" w:hAnsi="Arial"/>
                  <w:sz w:val="17"/>
                  <w:szCs w:val="17"/>
                  <w:color w:val="0000FF"/>
                  <w:w w:val="93"/>
                </w:rPr>
                <w:t>AngioDynamics, Inc. and Joseph M. DeVivo.</w:t>
              </w:r>
            </w:hyperlink>
          </w:p>
        </w:tc>
        <w:tc>
          <w:tcPr>
            <w:tcW w:w="2040" w:type="dxa"/>
            <w:vAlign w:val="bottom"/>
            <w:tcBorders>
              <w:top w:val="single" w:sz="8" w:color="0000FF"/>
            </w:tcBorders>
            <w:gridSpan w:val="6"/>
          </w:tcPr>
          <w:p>
            <w:pPr>
              <w:spacing w:after="0"/>
              <w:rPr>
                <w:sz w:val="13"/>
                <w:szCs w:val="13"/>
                <w:color w:val="auto"/>
              </w:rPr>
            </w:pPr>
          </w:p>
        </w:tc>
        <w:tc>
          <w:tcPr>
            <w:tcW w:w="72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2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89"/>
              </w:rPr>
              <w:t>10.19</w:t>
            </w:r>
          </w:p>
        </w:tc>
        <w:tc>
          <w:tcPr>
            <w:tcW w:w="5960" w:type="dxa"/>
            <w:vAlign w:val="bottom"/>
            <w:gridSpan w:val="21"/>
            <w:shd w:val="clear" w:color="auto" w:fill="CCEEFF"/>
          </w:tcPr>
          <w:p>
            <w:pPr>
              <w:spacing w:after="0" w:line="191" w:lineRule="exact"/>
              <w:rPr>
                <w:rFonts w:ascii="Arial" w:cs="Arial" w:eastAsia="Arial" w:hAnsi="Arial"/>
                <w:sz w:val="17"/>
                <w:szCs w:val="17"/>
                <w:color w:val="0000FF"/>
              </w:rPr>
            </w:pPr>
            <w:hyperlink r:id="rId142">
              <w:r>
                <w:rPr>
                  <w:rFonts w:ascii="Arial" w:cs="Arial" w:eastAsia="Arial" w:hAnsi="Arial"/>
                  <w:sz w:val="17"/>
                  <w:szCs w:val="17"/>
                  <w:color w:val="0000FF"/>
                </w:rPr>
                <w:t>Amended and Restated Change in Control Agreement, by and between</w:t>
              </w:r>
            </w:hyperlink>
          </w:p>
        </w:tc>
        <w:tc>
          <w:tcPr>
            <w:tcW w:w="1020" w:type="dxa"/>
            <w:vAlign w:val="bottom"/>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rPr>
              <w:t>8-K</w:t>
            </w:r>
          </w:p>
        </w:tc>
        <w:tc>
          <w:tcPr>
            <w:tcW w:w="1480" w:type="dxa"/>
            <w:vAlign w:val="bottom"/>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0"/>
              </w:rPr>
              <w:t>10.1</w:t>
            </w:r>
          </w:p>
        </w:tc>
        <w:tc>
          <w:tcPr>
            <w:tcW w:w="1640" w:type="dxa"/>
            <w:vAlign w:val="bottom"/>
            <w:shd w:val="clear" w:color="auto" w:fill="CCEEFF"/>
          </w:tcPr>
          <w:p>
            <w:pPr>
              <w:jc w:val="center"/>
              <w:ind w:left="94"/>
              <w:spacing w:after="0" w:line="191" w:lineRule="exact"/>
              <w:rPr>
                <w:sz w:val="20"/>
                <w:szCs w:val="20"/>
                <w:color w:val="auto"/>
              </w:rPr>
            </w:pPr>
            <w:r>
              <w:rPr>
                <w:rFonts w:ascii="Arial" w:cs="Arial" w:eastAsia="Arial" w:hAnsi="Arial"/>
                <w:sz w:val="17"/>
                <w:szCs w:val="17"/>
                <w:color w:val="auto"/>
                <w:w w:val="91"/>
              </w:rPr>
              <w:t>February 3, 2021</w:t>
            </w:r>
          </w:p>
        </w:tc>
        <w:tc>
          <w:tcPr>
            <w:tcW w:w="0" w:type="dxa"/>
            <w:vAlign w:val="bottom"/>
          </w:tcPr>
          <w:p>
            <w:pPr>
              <w:spacing w:after="0"/>
              <w:rPr>
                <w:sz w:val="1"/>
                <w:szCs w:val="1"/>
                <w:color w:val="auto"/>
              </w:rPr>
            </w:pPr>
          </w:p>
        </w:tc>
      </w:tr>
      <w:tr>
        <w:trPr>
          <w:trHeight w:val="149"/>
        </w:trPr>
        <w:tc>
          <w:tcPr>
            <w:tcW w:w="1120" w:type="dxa"/>
            <w:vAlign w:val="bottom"/>
            <w:tcBorders>
              <w:top w:val="single" w:sz="8" w:color="CCEEFF"/>
            </w:tcBorders>
            <w:shd w:val="clear" w:color="auto" w:fill="CCEEFF"/>
          </w:tcPr>
          <w:p>
            <w:pPr>
              <w:spacing w:after="0"/>
              <w:rPr>
                <w:sz w:val="12"/>
                <w:szCs w:val="12"/>
                <w:color w:val="auto"/>
              </w:rPr>
            </w:pPr>
          </w:p>
        </w:tc>
        <w:tc>
          <w:tcPr>
            <w:tcW w:w="4900" w:type="dxa"/>
            <w:vAlign w:val="bottom"/>
            <w:tcBorders>
              <w:top w:val="single" w:sz="8" w:color="0000FF"/>
            </w:tcBorders>
            <w:gridSpan w:val="12"/>
            <w:shd w:val="clear" w:color="auto" w:fill="CCEEFF"/>
          </w:tcPr>
          <w:p>
            <w:pPr>
              <w:spacing w:after="0" w:line="149" w:lineRule="exact"/>
              <w:rPr>
                <w:rFonts w:ascii="Arial" w:cs="Arial" w:eastAsia="Arial" w:hAnsi="Arial"/>
                <w:sz w:val="17"/>
                <w:szCs w:val="17"/>
                <w:color w:val="0000FF"/>
              </w:rPr>
            </w:pPr>
            <w:hyperlink r:id="rId142">
              <w:r>
                <w:rPr>
                  <w:rFonts w:ascii="Arial" w:cs="Arial" w:eastAsia="Arial" w:hAnsi="Arial"/>
                  <w:sz w:val="17"/>
                  <w:szCs w:val="17"/>
                  <w:color w:val="0000FF"/>
                </w:rPr>
                <w:t>AngioDynamics, Inc. and James C. Clemmer.</w:t>
              </w:r>
            </w:hyperlink>
          </w:p>
        </w:tc>
        <w:tc>
          <w:tcPr>
            <w:tcW w:w="1020" w:type="dxa"/>
            <w:vAlign w:val="bottom"/>
            <w:tcBorders>
              <w:top w:val="single" w:sz="8" w:color="CCEEFF"/>
            </w:tcBorders>
            <w:gridSpan w:val="8"/>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100" w:type="dxa"/>
            <w:vAlign w:val="bottom"/>
            <w:tcBorders>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0"/>
              </w:rPr>
              <w:t>10.2</w:t>
            </w:r>
          </w:p>
        </w:tc>
        <w:tc>
          <w:tcPr>
            <w:tcW w:w="5960" w:type="dxa"/>
            <w:vAlign w:val="bottom"/>
            <w:gridSpan w:val="21"/>
          </w:tcPr>
          <w:p>
            <w:pPr>
              <w:spacing w:after="0" w:line="181" w:lineRule="exact"/>
              <w:rPr>
                <w:rFonts w:ascii="Arial" w:cs="Arial" w:eastAsia="Arial" w:hAnsi="Arial"/>
                <w:sz w:val="17"/>
                <w:szCs w:val="17"/>
                <w:color w:val="0000FF"/>
                <w:w w:val="93"/>
              </w:rPr>
            </w:pPr>
            <w:hyperlink r:id="rId142">
              <w:r>
                <w:rPr>
                  <w:rFonts w:ascii="Arial" w:cs="Arial" w:eastAsia="Arial" w:hAnsi="Arial"/>
                  <w:sz w:val="17"/>
                  <w:szCs w:val="17"/>
                  <w:color w:val="0000FF"/>
                  <w:w w:val="93"/>
                </w:rPr>
                <w:t>Form of Amended and Restated Change in Control Agreement with AngioDynamics,</w:t>
              </w:r>
            </w:hyperlink>
          </w:p>
        </w:tc>
        <w:tc>
          <w:tcPr>
            <w:tcW w:w="1020" w:type="dxa"/>
            <w:vAlign w:val="bottom"/>
          </w:tcPr>
          <w:p>
            <w:pPr>
              <w:jc w:val="center"/>
              <w:ind w:left="134"/>
              <w:spacing w:after="0" w:line="181" w:lineRule="exact"/>
              <w:rPr>
                <w:sz w:val="20"/>
                <w:szCs w:val="20"/>
                <w:color w:val="auto"/>
              </w:rPr>
            </w:pPr>
            <w:r>
              <w:rPr>
                <w:rFonts w:ascii="Arial" w:cs="Arial" w:eastAsia="Arial" w:hAnsi="Arial"/>
                <w:sz w:val="17"/>
                <w:szCs w:val="17"/>
                <w:color w:val="auto"/>
              </w:rPr>
              <w:t>8-K</w:t>
            </w:r>
          </w:p>
        </w:tc>
        <w:tc>
          <w:tcPr>
            <w:tcW w:w="1480" w:type="dxa"/>
            <w:vAlign w:val="bottom"/>
          </w:tcPr>
          <w:p>
            <w:pPr>
              <w:jc w:val="center"/>
              <w:ind w:left="294"/>
              <w:spacing w:after="0" w:line="181" w:lineRule="exact"/>
              <w:rPr>
                <w:sz w:val="20"/>
                <w:szCs w:val="20"/>
                <w:color w:val="auto"/>
              </w:rPr>
            </w:pPr>
            <w:r>
              <w:rPr>
                <w:rFonts w:ascii="Arial" w:cs="Arial" w:eastAsia="Arial" w:hAnsi="Arial"/>
                <w:sz w:val="17"/>
                <w:szCs w:val="17"/>
                <w:color w:val="auto"/>
                <w:w w:val="90"/>
              </w:rPr>
              <w:t>10.2</w:t>
            </w:r>
          </w:p>
        </w:tc>
        <w:tc>
          <w:tcPr>
            <w:tcW w:w="1640" w:type="dxa"/>
            <w:vAlign w:val="bottom"/>
          </w:tcPr>
          <w:p>
            <w:pPr>
              <w:jc w:val="center"/>
              <w:ind w:left="94"/>
              <w:spacing w:after="0" w:line="181" w:lineRule="exact"/>
              <w:rPr>
                <w:sz w:val="20"/>
                <w:szCs w:val="20"/>
                <w:color w:val="auto"/>
              </w:rPr>
            </w:pPr>
            <w:r>
              <w:rPr>
                <w:rFonts w:ascii="Arial" w:cs="Arial" w:eastAsia="Arial" w:hAnsi="Arial"/>
                <w:sz w:val="17"/>
                <w:szCs w:val="17"/>
                <w:color w:val="auto"/>
                <w:w w:val="91"/>
              </w:rPr>
              <w:t>February 3, 2021</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920" w:type="dxa"/>
            <w:vAlign w:val="bottom"/>
            <w:tcBorders>
              <w:top w:val="single" w:sz="8" w:color="0000FF"/>
            </w:tcBorders>
            <w:gridSpan w:val="20"/>
          </w:tcPr>
          <w:p>
            <w:pPr>
              <w:spacing w:after="0" w:line="149" w:lineRule="exact"/>
              <w:rPr>
                <w:rFonts w:ascii="Arial" w:cs="Arial" w:eastAsia="Arial" w:hAnsi="Arial"/>
                <w:sz w:val="17"/>
                <w:szCs w:val="17"/>
                <w:color w:val="0000FF"/>
              </w:rPr>
            </w:pPr>
            <w:hyperlink r:id="rId142">
              <w:r>
                <w:rPr>
                  <w:rFonts w:ascii="Arial" w:cs="Arial" w:eastAsia="Arial" w:hAnsi="Arial"/>
                  <w:sz w:val="17"/>
                  <w:szCs w:val="17"/>
                  <w:color w:val="0000FF"/>
                </w:rPr>
                <w:t>Inc.</w:t>
              </w:r>
            </w:hyperlink>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Borders>
              <w:bottom w:val="single" w:sz="8" w:color="CCEEFF"/>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94"/>
              </w:rPr>
              <w:t>14</w:t>
            </w:r>
          </w:p>
        </w:tc>
        <w:tc>
          <w:tcPr>
            <w:tcW w:w="1080" w:type="dxa"/>
            <w:vAlign w:val="bottom"/>
            <w:tcBorders>
              <w:bottom w:val="single" w:sz="8" w:color="0000FF"/>
            </w:tcBorders>
            <w:gridSpan w:val="2"/>
            <w:shd w:val="clear" w:color="auto" w:fill="CCEEFF"/>
          </w:tcPr>
          <w:p>
            <w:pPr>
              <w:spacing w:after="0" w:line="191" w:lineRule="exact"/>
              <w:rPr>
                <w:rFonts w:ascii="Arial" w:cs="Arial" w:eastAsia="Arial" w:hAnsi="Arial"/>
                <w:sz w:val="17"/>
                <w:szCs w:val="17"/>
                <w:color w:val="0000FF"/>
                <w:w w:val="91"/>
              </w:rPr>
            </w:pPr>
            <w:hyperlink r:id="rId143">
              <w:r>
                <w:rPr>
                  <w:rFonts w:ascii="Arial" w:cs="Arial" w:eastAsia="Arial" w:hAnsi="Arial"/>
                  <w:sz w:val="17"/>
                  <w:szCs w:val="17"/>
                  <w:color w:val="0000FF"/>
                  <w:w w:val="91"/>
                </w:rPr>
                <w:t>Code of Ethics.</w:t>
              </w:r>
            </w:hyperlink>
          </w:p>
        </w:tc>
        <w:tc>
          <w:tcPr>
            <w:tcW w:w="4880" w:type="dxa"/>
            <w:vAlign w:val="bottom"/>
            <w:tcBorders>
              <w:bottom w:val="single" w:sz="8" w:color="CCEEFF"/>
            </w:tcBorders>
            <w:gridSpan w:val="19"/>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center"/>
              <w:ind w:left="134"/>
              <w:spacing w:after="0" w:line="191" w:lineRule="exact"/>
              <w:rPr>
                <w:sz w:val="20"/>
                <w:szCs w:val="20"/>
                <w:color w:val="auto"/>
              </w:rPr>
            </w:pPr>
            <w:r>
              <w:rPr>
                <w:rFonts w:ascii="Arial" w:cs="Arial" w:eastAsia="Arial" w:hAnsi="Arial"/>
                <w:sz w:val="17"/>
                <w:szCs w:val="17"/>
                <w:color w:val="auto"/>
              </w:rPr>
              <w:t>8-K</w:t>
            </w:r>
          </w:p>
        </w:tc>
        <w:tc>
          <w:tcPr>
            <w:tcW w:w="1480" w:type="dxa"/>
            <w:vAlign w:val="bottom"/>
            <w:tcBorders>
              <w:bottom w:val="single" w:sz="8" w:color="CCEEFF"/>
            </w:tcBorders>
            <w:shd w:val="clear" w:color="auto" w:fill="CCEEFF"/>
          </w:tcPr>
          <w:p>
            <w:pPr>
              <w:jc w:val="center"/>
              <w:ind w:left="294"/>
              <w:spacing w:after="0" w:line="191" w:lineRule="exact"/>
              <w:rPr>
                <w:sz w:val="20"/>
                <w:szCs w:val="20"/>
                <w:color w:val="auto"/>
              </w:rPr>
            </w:pPr>
            <w:r>
              <w:rPr>
                <w:rFonts w:ascii="Arial" w:cs="Arial" w:eastAsia="Arial" w:hAnsi="Arial"/>
                <w:sz w:val="17"/>
                <w:szCs w:val="17"/>
                <w:color w:val="auto"/>
                <w:w w:val="94"/>
              </w:rPr>
              <w:t>14</w:t>
            </w:r>
          </w:p>
        </w:tc>
        <w:tc>
          <w:tcPr>
            <w:tcW w:w="1640" w:type="dxa"/>
            <w:vAlign w:val="bottom"/>
            <w:tcBorders>
              <w:bottom w:val="single" w:sz="8" w:color="CCEEFF"/>
            </w:tcBorders>
            <w:shd w:val="clear" w:color="auto" w:fill="CCEEFF"/>
          </w:tcPr>
          <w:p>
            <w:pPr>
              <w:jc w:val="center"/>
              <w:ind w:left="74"/>
              <w:spacing w:after="0" w:line="191" w:lineRule="exact"/>
              <w:rPr>
                <w:sz w:val="20"/>
                <w:szCs w:val="20"/>
                <w:color w:val="auto"/>
              </w:rPr>
            </w:pPr>
            <w:r>
              <w:rPr>
                <w:rFonts w:ascii="Arial" w:cs="Arial" w:eastAsia="Arial" w:hAnsi="Arial"/>
                <w:sz w:val="17"/>
                <w:szCs w:val="17"/>
                <w:color w:val="auto"/>
                <w:w w:val="93"/>
              </w:rPr>
              <w:t>May 21, 2006</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120" w:hanging="652"/>
        <w:spacing w:after="0"/>
        <w:tabs>
          <w:tab w:leader="none" w:pos="1120" w:val="left"/>
        </w:tabs>
        <w:numPr>
          <w:ilvl w:val="0"/>
          <w:numId w:val="48"/>
        </w:numPr>
        <w:rPr>
          <w:rFonts w:ascii="Arial" w:cs="Arial" w:eastAsia="Arial" w:hAnsi="Arial"/>
          <w:sz w:val="17"/>
          <w:szCs w:val="17"/>
          <w:u w:val="single" w:color="auto"/>
          <w:color w:val="0000FF"/>
        </w:rPr>
      </w:pPr>
      <w:hyperlink w:anchor="page90">
        <w:r>
          <w:rPr>
            <w:rFonts w:ascii="Arial" w:cs="Arial" w:eastAsia="Arial" w:hAnsi="Arial"/>
            <w:sz w:val="17"/>
            <w:szCs w:val="17"/>
            <w:u w:val="single" w:color="auto"/>
            <w:color w:val="0000FF"/>
          </w:rPr>
          <w:t>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21525" cy="139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5" w:lineRule="exact"/>
        <w:rPr>
          <w:sz w:val="20"/>
          <w:szCs w:val="20"/>
          <w:color w:val="auto"/>
        </w:rPr>
      </w:pPr>
    </w:p>
    <w:p>
      <w:pPr>
        <w:ind w:left="1120" w:hanging="652"/>
        <w:spacing w:after="0"/>
        <w:tabs>
          <w:tab w:leader="none" w:pos="1120" w:val="left"/>
        </w:tabs>
        <w:numPr>
          <w:ilvl w:val="0"/>
          <w:numId w:val="49"/>
        </w:numPr>
        <w:rPr>
          <w:rFonts w:ascii="Arial" w:cs="Arial" w:eastAsia="Arial" w:hAnsi="Arial"/>
          <w:sz w:val="17"/>
          <w:szCs w:val="17"/>
          <w:u w:val="single" w:color="auto"/>
          <w:color w:val="0000FF"/>
        </w:rPr>
      </w:pPr>
      <w:hyperlink w:anchor="page91">
        <w:r>
          <w:rPr>
            <w:rFonts w:ascii="Arial" w:cs="Arial" w:eastAsia="Arial" w:hAnsi="Arial"/>
            <w:sz w:val="17"/>
            <w:szCs w:val="17"/>
            <w:u w:val="single" w:color="auto"/>
            <w:color w:val="0000FF"/>
          </w:rPr>
          <w:t>Consent of Deloitte &amp; Touche LLP, an independent registered public accounting firm.</w:t>
        </w:r>
      </w:hyperlink>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Pr>
          <w:p>
            <w:pPr>
              <w:jc w:val="center"/>
              <w:spacing w:after="0"/>
              <w:rPr>
                <w:sz w:val="20"/>
                <w:szCs w:val="20"/>
                <w:color w:val="auto"/>
              </w:rPr>
            </w:pPr>
            <w:r>
              <w:rPr>
                <w:rFonts w:ascii="Arial" w:cs="Arial" w:eastAsia="Arial" w:hAnsi="Arial"/>
                <w:sz w:val="17"/>
                <w:szCs w:val="17"/>
                <w:color w:val="auto"/>
                <w:w w:val="90"/>
              </w:rPr>
              <w:t>31.1</w:t>
            </w:r>
          </w:p>
        </w:tc>
        <w:tc>
          <w:tcPr>
            <w:tcW w:w="7240" w:type="dxa"/>
            <w:vAlign w:val="bottom"/>
            <w:tcBorders>
              <w:bottom w:val="single" w:sz="8" w:color="0000FF"/>
            </w:tcBorders>
            <w:gridSpan w:val="2"/>
          </w:tcPr>
          <w:p>
            <w:pPr>
              <w:spacing w:after="0"/>
              <w:rPr>
                <w:rFonts w:ascii="Arial" w:cs="Arial" w:eastAsia="Arial" w:hAnsi="Arial"/>
                <w:sz w:val="17"/>
                <w:szCs w:val="17"/>
                <w:color w:val="0000FF"/>
                <w:w w:val="93"/>
              </w:rPr>
            </w:pPr>
            <w:hyperlink w:anchor="page92">
              <w:r>
                <w:rPr>
                  <w:rFonts w:ascii="Arial" w:cs="Arial" w:eastAsia="Arial" w:hAnsi="Arial"/>
                  <w:sz w:val="17"/>
                  <w:szCs w:val="17"/>
                  <w:color w:val="0000FF"/>
                  <w:w w:val="93"/>
                </w:rPr>
                <w:t>Certification by the Chief Executive Officer Pursuant to Section 302 of the Sarbanes-Oxley Act of 2002.</w:t>
              </w:r>
            </w:hyperlink>
          </w:p>
        </w:tc>
        <w:tc>
          <w:tcPr>
            <w:tcW w:w="2860" w:type="dxa"/>
            <w:vAlign w:val="bottom"/>
            <w:gridSpan w:val="3"/>
          </w:tcPr>
          <w:p>
            <w:pPr>
              <w:spacing w:after="0"/>
              <w:rPr>
                <w:sz w:val="17"/>
                <w:szCs w:val="17"/>
                <w:color w:val="auto"/>
              </w:rPr>
            </w:pPr>
          </w:p>
        </w:tc>
      </w:tr>
      <w:tr>
        <w:trPr>
          <w:trHeight w:val="191"/>
        </w:trPr>
        <w:tc>
          <w:tcPr>
            <w:tcW w:w="112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90"/>
              </w:rPr>
              <w:t>31.2</w:t>
            </w:r>
          </w:p>
        </w:tc>
        <w:tc>
          <w:tcPr>
            <w:tcW w:w="10100" w:type="dxa"/>
            <w:vAlign w:val="bottom"/>
            <w:gridSpan w:val="5"/>
            <w:shd w:val="clear" w:color="auto" w:fill="CCEEFF"/>
          </w:tcPr>
          <w:p>
            <w:pPr>
              <w:spacing w:after="0" w:line="191" w:lineRule="exact"/>
              <w:rPr>
                <w:rFonts w:ascii="Arial" w:cs="Arial" w:eastAsia="Arial" w:hAnsi="Arial"/>
                <w:sz w:val="17"/>
                <w:szCs w:val="17"/>
                <w:color w:val="0000FF"/>
              </w:rPr>
            </w:pPr>
            <w:hyperlink w:anchor="page93">
              <w:r>
                <w:rPr>
                  <w:rFonts w:ascii="Arial" w:cs="Arial" w:eastAsia="Arial" w:hAnsi="Arial"/>
                  <w:sz w:val="17"/>
                  <w:szCs w:val="17"/>
                  <w:color w:val="0000FF"/>
                </w:rPr>
                <w:t>Certification by the Chief Financial Officer Pursuant to Section 302 of the Sarbanes-Oxley Act of 2002.</w:t>
              </w:r>
            </w:hyperlink>
          </w:p>
        </w:tc>
      </w:tr>
      <w:tr>
        <w:trPr>
          <w:trHeight w:val="39"/>
        </w:trPr>
        <w:tc>
          <w:tcPr>
            <w:tcW w:w="11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6660" w:type="dxa"/>
            <w:vAlign w:val="bottom"/>
            <w:tcBorders>
              <w:right w:val="single" w:sz="8" w:color="CCEEFF"/>
            </w:tcBorders>
            <w:shd w:val="clear" w:color="auto" w:fill="0000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82"/>
        </w:trPr>
        <w:tc>
          <w:tcPr>
            <w:tcW w:w="1120" w:type="dxa"/>
            <w:vAlign w:val="bottom"/>
          </w:tcPr>
          <w:p>
            <w:pPr>
              <w:jc w:val="center"/>
              <w:spacing w:after="0" w:line="181" w:lineRule="exact"/>
              <w:rPr>
                <w:sz w:val="20"/>
                <w:szCs w:val="20"/>
                <w:color w:val="auto"/>
              </w:rPr>
            </w:pPr>
            <w:r>
              <w:rPr>
                <w:rFonts w:ascii="Arial" w:cs="Arial" w:eastAsia="Arial" w:hAnsi="Arial"/>
                <w:sz w:val="17"/>
                <w:szCs w:val="17"/>
                <w:color w:val="auto"/>
                <w:w w:val="90"/>
              </w:rPr>
              <w:t>32.1</w:t>
            </w:r>
          </w:p>
        </w:tc>
        <w:tc>
          <w:tcPr>
            <w:tcW w:w="10100" w:type="dxa"/>
            <w:vAlign w:val="bottom"/>
            <w:gridSpan w:val="5"/>
          </w:tcPr>
          <w:p>
            <w:pPr>
              <w:spacing w:after="0" w:line="181" w:lineRule="exact"/>
              <w:rPr>
                <w:rFonts w:ascii="Arial" w:cs="Arial" w:eastAsia="Arial" w:hAnsi="Arial"/>
                <w:sz w:val="17"/>
                <w:szCs w:val="17"/>
                <w:color w:val="0000FF"/>
                <w:w w:val="93"/>
              </w:rPr>
            </w:pPr>
            <w:hyperlink w:anchor="page94">
              <w:r>
                <w:rPr>
                  <w:rFonts w:ascii="Arial" w:cs="Arial" w:eastAsia="Arial" w:hAnsi="Arial"/>
                  <w:sz w:val="17"/>
                  <w:szCs w:val="17"/>
                  <w:color w:val="0000FF"/>
                  <w:w w:val="93"/>
                </w:rPr>
                <w:t>Certification by the Chief Executive Officer Pursuant to 18 U.S.C. Section 1350, as Adopted Pursuant to Section 906 of the Sarbanes-Oxley Act</w:t>
              </w:r>
            </w:hyperlink>
          </w:p>
        </w:tc>
      </w:tr>
      <w:tr>
        <w:trPr>
          <w:trHeight w:val="158"/>
        </w:trPr>
        <w:tc>
          <w:tcPr>
            <w:tcW w:w="112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49" w:lineRule="exact"/>
              <w:rPr>
                <w:rFonts w:ascii="Arial" w:cs="Arial" w:eastAsia="Arial" w:hAnsi="Arial"/>
                <w:sz w:val="17"/>
                <w:szCs w:val="17"/>
                <w:color w:val="0000FF"/>
                <w:w w:val="91"/>
              </w:rPr>
            </w:pPr>
            <w:hyperlink w:anchor="page94">
              <w:r>
                <w:rPr>
                  <w:rFonts w:ascii="Arial" w:cs="Arial" w:eastAsia="Arial" w:hAnsi="Arial"/>
                  <w:sz w:val="17"/>
                  <w:szCs w:val="17"/>
                  <w:color w:val="0000FF"/>
                  <w:w w:val="91"/>
                </w:rPr>
                <w:t>of 2002.</w:t>
              </w:r>
            </w:hyperlink>
          </w:p>
        </w:tc>
        <w:tc>
          <w:tcPr>
            <w:tcW w:w="9400" w:type="dxa"/>
            <w:vAlign w:val="bottom"/>
            <w:tcBorders>
              <w:top w:val="single" w:sz="8" w:color="0000FF"/>
            </w:tcBorders>
            <w:gridSpan w:val="3"/>
          </w:tcPr>
          <w:p>
            <w:pPr>
              <w:spacing w:after="0"/>
              <w:rPr>
                <w:sz w:val="13"/>
                <w:szCs w:val="13"/>
                <w:color w:val="auto"/>
              </w:rPr>
            </w:pPr>
          </w:p>
        </w:tc>
        <w:tc>
          <w:tcPr>
            <w:tcW w:w="120" w:type="dxa"/>
            <w:vAlign w:val="bottom"/>
          </w:tcPr>
          <w:p>
            <w:pPr>
              <w:spacing w:after="0"/>
              <w:rPr>
                <w:sz w:val="13"/>
                <w:szCs w:val="13"/>
                <w:color w:val="auto"/>
              </w:rPr>
            </w:pPr>
          </w:p>
        </w:tc>
      </w:tr>
      <w:tr>
        <w:trPr>
          <w:trHeight w:val="191"/>
        </w:trPr>
        <w:tc>
          <w:tcPr>
            <w:tcW w:w="1120" w:type="dxa"/>
            <w:vAlign w:val="bottom"/>
            <w:shd w:val="clear" w:color="auto" w:fill="CCEEFF"/>
          </w:tcPr>
          <w:p>
            <w:pPr>
              <w:jc w:val="center"/>
              <w:spacing w:after="0" w:line="191" w:lineRule="exact"/>
              <w:rPr>
                <w:sz w:val="20"/>
                <w:szCs w:val="20"/>
                <w:color w:val="auto"/>
              </w:rPr>
            </w:pPr>
            <w:r>
              <w:rPr>
                <w:rFonts w:ascii="Arial" w:cs="Arial" w:eastAsia="Arial" w:hAnsi="Arial"/>
                <w:sz w:val="17"/>
                <w:szCs w:val="17"/>
                <w:color w:val="auto"/>
                <w:w w:val="90"/>
              </w:rPr>
              <w:t>32.2</w:t>
            </w:r>
          </w:p>
        </w:tc>
        <w:tc>
          <w:tcPr>
            <w:tcW w:w="10100" w:type="dxa"/>
            <w:vAlign w:val="bottom"/>
            <w:gridSpan w:val="5"/>
            <w:shd w:val="clear" w:color="auto" w:fill="CCEEFF"/>
          </w:tcPr>
          <w:p>
            <w:pPr>
              <w:spacing w:after="0" w:line="191" w:lineRule="exact"/>
              <w:rPr>
                <w:rFonts w:ascii="Arial" w:cs="Arial" w:eastAsia="Arial" w:hAnsi="Arial"/>
                <w:sz w:val="17"/>
                <w:szCs w:val="17"/>
                <w:color w:val="0000FF"/>
                <w:w w:val="94"/>
              </w:rPr>
            </w:pPr>
            <w:hyperlink w:anchor="page95">
              <w:r>
                <w:rPr>
                  <w:rFonts w:ascii="Arial" w:cs="Arial" w:eastAsia="Arial" w:hAnsi="Arial"/>
                  <w:sz w:val="17"/>
                  <w:szCs w:val="17"/>
                  <w:color w:val="0000FF"/>
                  <w:w w:val="94"/>
                </w:rPr>
                <w:t>Certification by the Chief Financial Officer Pursuant to 18 U.S.C. Section 1350, as Adopted Pursuant to Section 906 of the Sarbanes-Oxley Act</w:t>
              </w:r>
            </w:hyperlink>
          </w:p>
        </w:tc>
      </w:tr>
      <w:tr>
        <w:trPr>
          <w:trHeight w:val="167"/>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0000FF"/>
            </w:tcBorders>
            <w:shd w:val="clear" w:color="auto" w:fill="CCEEFF"/>
          </w:tcPr>
          <w:p>
            <w:pPr>
              <w:spacing w:after="0" w:line="149" w:lineRule="exact"/>
              <w:rPr>
                <w:rFonts w:ascii="Arial" w:cs="Arial" w:eastAsia="Arial" w:hAnsi="Arial"/>
                <w:sz w:val="17"/>
                <w:szCs w:val="17"/>
                <w:color w:val="0000FF"/>
                <w:w w:val="91"/>
              </w:rPr>
            </w:pPr>
            <w:hyperlink w:anchor="page95">
              <w:r>
                <w:rPr>
                  <w:rFonts w:ascii="Arial" w:cs="Arial" w:eastAsia="Arial" w:hAnsi="Arial"/>
                  <w:sz w:val="17"/>
                  <w:szCs w:val="17"/>
                  <w:color w:val="0000FF"/>
                  <w:w w:val="91"/>
                </w:rPr>
                <w:t>of 2002.</w:t>
              </w:r>
            </w:hyperlink>
          </w:p>
        </w:tc>
        <w:tc>
          <w:tcPr>
            <w:tcW w:w="936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220"/>
        </w:trPr>
        <w:tc>
          <w:tcPr>
            <w:tcW w:w="1120" w:type="dxa"/>
            <w:vAlign w:val="bottom"/>
          </w:tcPr>
          <w:p>
            <w:pPr>
              <w:jc w:val="center"/>
              <w:spacing w:after="0"/>
              <w:rPr>
                <w:sz w:val="20"/>
                <w:szCs w:val="20"/>
                <w:color w:val="auto"/>
              </w:rPr>
            </w:pPr>
            <w:r>
              <w:rPr>
                <w:rFonts w:ascii="Arial" w:cs="Arial" w:eastAsia="Arial" w:hAnsi="Arial"/>
                <w:sz w:val="17"/>
                <w:szCs w:val="17"/>
                <w:color w:val="auto"/>
                <w:w w:val="94"/>
              </w:rPr>
              <w:t>101.INS</w:t>
            </w:r>
          </w:p>
        </w:tc>
        <w:tc>
          <w:tcPr>
            <w:tcW w:w="10100" w:type="dxa"/>
            <w:vAlign w:val="bottom"/>
            <w:gridSpan w:val="5"/>
          </w:tcPr>
          <w:p>
            <w:pPr>
              <w:spacing w:after="0"/>
              <w:rPr>
                <w:sz w:val="20"/>
                <w:szCs w:val="20"/>
                <w:color w:val="auto"/>
              </w:rPr>
            </w:pPr>
            <w:r>
              <w:rPr>
                <w:rFonts w:ascii="Arial" w:cs="Arial" w:eastAsia="Arial" w:hAnsi="Arial"/>
                <w:sz w:val="17"/>
                <w:szCs w:val="17"/>
                <w:color w:val="auto"/>
              </w:rPr>
              <w:t>XBRL Instance Document</w:t>
            </w:r>
          </w:p>
        </w:tc>
      </w:tr>
      <w:tr>
        <w:trPr>
          <w:trHeight w:val="220"/>
        </w:trPr>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101.SCH</w:t>
            </w:r>
          </w:p>
        </w:tc>
        <w:tc>
          <w:tcPr>
            <w:tcW w:w="101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XBRL Schema Document</w:t>
            </w:r>
          </w:p>
        </w:tc>
      </w:tr>
      <w:tr>
        <w:trPr>
          <w:trHeight w:val="220"/>
        </w:trPr>
        <w:tc>
          <w:tcPr>
            <w:tcW w:w="1120" w:type="dxa"/>
            <w:vAlign w:val="bottom"/>
          </w:tcPr>
          <w:p>
            <w:pPr>
              <w:jc w:val="center"/>
              <w:spacing w:after="0"/>
              <w:rPr>
                <w:sz w:val="20"/>
                <w:szCs w:val="20"/>
                <w:color w:val="auto"/>
              </w:rPr>
            </w:pPr>
            <w:r>
              <w:rPr>
                <w:rFonts w:ascii="Arial" w:cs="Arial" w:eastAsia="Arial" w:hAnsi="Arial"/>
                <w:sz w:val="17"/>
                <w:szCs w:val="17"/>
                <w:color w:val="auto"/>
                <w:w w:val="96"/>
              </w:rPr>
              <w:t>101.CAL</w:t>
            </w:r>
          </w:p>
        </w:tc>
        <w:tc>
          <w:tcPr>
            <w:tcW w:w="10100" w:type="dxa"/>
            <w:vAlign w:val="bottom"/>
            <w:gridSpan w:val="5"/>
          </w:tcPr>
          <w:p>
            <w:pPr>
              <w:spacing w:after="0"/>
              <w:rPr>
                <w:sz w:val="20"/>
                <w:szCs w:val="20"/>
                <w:color w:val="auto"/>
              </w:rPr>
            </w:pPr>
            <w:r>
              <w:rPr>
                <w:rFonts w:ascii="Arial" w:cs="Arial" w:eastAsia="Arial" w:hAnsi="Arial"/>
                <w:sz w:val="17"/>
                <w:szCs w:val="17"/>
                <w:color w:val="auto"/>
              </w:rPr>
              <w:t>XBRL Calculation Linkbase Documents</w:t>
            </w:r>
          </w:p>
        </w:tc>
      </w:tr>
      <w:tr>
        <w:trPr>
          <w:trHeight w:val="220"/>
        </w:trPr>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101.DEF</w:t>
            </w:r>
          </w:p>
        </w:tc>
        <w:tc>
          <w:tcPr>
            <w:tcW w:w="101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20"/>
        </w:trPr>
        <w:tc>
          <w:tcPr>
            <w:tcW w:w="1120" w:type="dxa"/>
            <w:vAlign w:val="bottom"/>
          </w:tcPr>
          <w:p>
            <w:pPr>
              <w:jc w:val="center"/>
              <w:spacing w:after="0"/>
              <w:rPr>
                <w:sz w:val="20"/>
                <w:szCs w:val="20"/>
                <w:color w:val="auto"/>
              </w:rPr>
            </w:pPr>
            <w:r>
              <w:rPr>
                <w:rFonts w:ascii="Arial" w:cs="Arial" w:eastAsia="Arial" w:hAnsi="Arial"/>
                <w:sz w:val="17"/>
                <w:szCs w:val="17"/>
                <w:color w:val="auto"/>
                <w:w w:val="98"/>
              </w:rPr>
              <w:t>101.LAB</w:t>
            </w:r>
          </w:p>
        </w:tc>
        <w:tc>
          <w:tcPr>
            <w:tcW w:w="10100" w:type="dxa"/>
            <w:vAlign w:val="bottom"/>
            <w:gridSpan w:val="5"/>
          </w:tcPr>
          <w:p>
            <w:pPr>
              <w:spacing w:after="0"/>
              <w:rPr>
                <w:sz w:val="20"/>
                <w:szCs w:val="20"/>
                <w:color w:val="auto"/>
              </w:rPr>
            </w:pPr>
            <w:r>
              <w:rPr>
                <w:rFonts w:ascii="Arial" w:cs="Arial" w:eastAsia="Arial" w:hAnsi="Arial"/>
                <w:sz w:val="17"/>
                <w:szCs w:val="17"/>
                <w:color w:val="auto"/>
              </w:rPr>
              <w:t>XBRL Labels Linkbase Documents</w:t>
            </w:r>
          </w:p>
        </w:tc>
      </w:tr>
      <w:tr>
        <w:trPr>
          <w:trHeight w:val="220"/>
        </w:trPr>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101.PRE</w:t>
            </w:r>
          </w:p>
        </w:tc>
        <w:tc>
          <w:tcPr>
            <w:tcW w:w="101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XBRL Presentation Linkbase Documents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05" w:right="35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161" w:lineRule="exact"/>
        <w:rPr>
          <w:sz w:val="20"/>
          <w:szCs w:val="20"/>
          <w:color w:val="auto"/>
        </w:rPr>
      </w:pPr>
    </w:p>
    <w:p>
      <w:pPr>
        <w:ind w:right="280" w:firstLine="428"/>
        <w:spacing w:after="0" w:line="28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ANGIODYNAMICS, INC.</w:t>
      </w:r>
    </w:p>
    <w:p>
      <w:pPr>
        <w:spacing w:after="0" w:line="31" w:lineRule="exact"/>
        <w:rPr>
          <w:sz w:val="20"/>
          <w:szCs w:val="20"/>
          <w:color w:val="auto"/>
        </w:rPr>
      </w:pPr>
    </w:p>
    <w:p>
      <w:pPr>
        <w:ind w:left="20"/>
        <w:spacing w:after="0"/>
        <w:tabs>
          <w:tab w:leader="none" w:pos="700" w:val="left"/>
          <w:tab w:leader="none" w:pos="5620" w:val="left"/>
          <w:tab w:leader="none" w:pos="7580" w:val="left"/>
          <w:tab w:leader="none" w:pos="79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July 27,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H</w:t>
      </w:r>
      <w:r>
        <w:rPr>
          <w:rFonts w:ascii="Arial" w:cs="Arial" w:eastAsia="Arial" w:hAnsi="Arial"/>
          <w:sz w:val="13"/>
          <w:szCs w:val="13"/>
          <w:color w:val="auto"/>
        </w:rPr>
        <w:t>OWARD</w:t>
      </w:r>
      <w:r>
        <w:rPr>
          <w:rFonts w:ascii="Arial" w:cs="Arial" w:eastAsia="Arial" w:hAnsi="Arial"/>
          <w:sz w:val="17"/>
          <w:szCs w:val="17"/>
          <w:color w:val="auto"/>
        </w:rPr>
        <w:t xml:space="preserve"> W. D</w:t>
      </w:r>
      <w:r>
        <w:rPr>
          <w:rFonts w:ascii="Arial" w:cs="Arial" w:eastAsia="Arial" w:hAnsi="Arial"/>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3978910</wp:posOffset>
            </wp:positionH>
            <wp:positionV relativeFrom="paragraph">
              <wp:posOffset>15240</wp:posOffset>
            </wp:positionV>
            <wp:extent cx="3128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jc w:val="center"/>
        <w:ind w:left="6200"/>
        <w:spacing w:after="0"/>
        <w:rPr>
          <w:sz w:val="20"/>
          <w:szCs w:val="20"/>
          <w:color w:val="auto"/>
        </w:rPr>
      </w:pPr>
      <w:r>
        <w:rPr>
          <w:rFonts w:ascii="Arial" w:cs="Arial" w:eastAsia="Arial" w:hAnsi="Arial"/>
          <w:sz w:val="14"/>
          <w:szCs w:val="14"/>
          <w:b w:val="1"/>
          <w:bCs w:val="1"/>
          <w:color w:val="auto"/>
        </w:rPr>
        <w:t>Howard W. Donnelly,</w:t>
      </w:r>
    </w:p>
    <w:p>
      <w:pPr>
        <w:jc w:val="center"/>
        <w:ind w:left="6200"/>
        <w:spacing w:after="0"/>
        <w:rPr>
          <w:sz w:val="20"/>
          <w:szCs w:val="20"/>
          <w:color w:val="auto"/>
        </w:rPr>
      </w:pPr>
      <w:r>
        <w:rPr>
          <w:rFonts w:ascii="Arial" w:cs="Arial" w:eastAsia="Arial" w:hAnsi="Arial"/>
          <w:sz w:val="14"/>
          <w:szCs w:val="14"/>
          <w:b w:val="1"/>
          <w:bCs w:val="1"/>
          <w:color w:val="auto"/>
        </w:rPr>
        <w:t>Chairman of the Board, Director</w:t>
      </w:r>
    </w:p>
    <w:p>
      <w:pPr>
        <w:spacing w:after="0" w:line="131" w:lineRule="exact"/>
        <w:rPr>
          <w:sz w:val="20"/>
          <w:szCs w:val="20"/>
          <w:color w:val="auto"/>
        </w:rPr>
      </w:pPr>
    </w:p>
    <w:p>
      <w:pPr>
        <w:ind w:right="40" w:firstLine="428"/>
        <w:spacing w:after="0" w:line="28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60" w:type="dxa"/>
            <w:vAlign w:val="bottom"/>
          </w:tcPr>
          <w:p>
            <w:pPr>
              <w:ind w:left="160"/>
              <w:spacing w:after="0"/>
              <w:rPr>
                <w:sz w:val="20"/>
                <w:szCs w:val="20"/>
                <w:color w:val="auto"/>
              </w:rPr>
            </w:pPr>
            <w:r>
              <w:rPr>
                <w:rFonts w:ascii="Arial" w:cs="Arial" w:eastAsia="Arial" w:hAnsi="Arial"/>
                <w:sz w:val="17"/>
                <w:szCs w:val="17"/>
                <w:color w:val="auto"/>
              </w:rPr>
              <w:t>July 27, 2021</w:t>
            </w:r>
          </w:p>
        </w:tc>
        <w:tc>
          <w:tcPr>
            <w:tcW w:w="1900" w:type="dxa"/>
            <w:vAlign w:val="bottom"/>
            <w:tcBorders>
              <w:bottom w:val="single" w:sz="8" w:color="auto"/>
            </w:tcBorders>
          </w:tcPr>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680" w:type="dxa"/>
            <w:vAlign w:val="bottom"/>
            <w:tcBorders>
              <w:bottom w:val="single" w:sz="8" w:color="auto"/>
            </w:tcBorders>
            <w:gridSpan w:val="3"/>
          </w:tcPr>
          <w:p>
            <w:pPr>
              <w:jc w:val="center"/>
              <w:ind w:right="1707"/>
              <w:spacing w:after="0"/>
              <w:rPr>
                <w:sz w:val="20"/>
                <w:szCs w:val="20"/>
                <w:color w:val="auto"/>
              </w:rPr>
            </w:pPr>
            <w:r>
              <w:rPr>
                <w:rFonts w:ascii="Arial" w:cs="Arial" w:eastAsia="Arial" w:hAnsi="Arial"/>
                <w:sz w:val="17"/>
                <w:szCs w:val="17"/>
                <w:color w:val="auto"/>
              </w:rPr>
              <w:t>H</w:t>
            </w:r>
            <w:r>
              <w:rPr>
                <w:rFonts w:ascii="Arial" w:cs="Arial" w:eastAsia="Arial" w:hAnsi="Arial"/>
                <w:sz w:val="13"/>
                <w:szCs w:val="13"/>
                <w:color w:val="auto"/>
              </w:rPr>
              <w:t>OWARD</w:t>
            </w:r>
            <w:r>
              <w:rPr>
                <w:rFonts w:ascii="Arial" w:cs="Arial" w:eastAsia="Arial" w:hAnsi="Arial"/>
                <w:sz w:val="17"/>
                <w:szCs w:val="17"/>
                <w:color w:val="auto"/>
              </w:rPr>
              <w:t xml:space="preserve"> W. D</w:t>
            </w:r>
            <w:r>
              <w:rPr>
                <w:rFonts w:ascii="Arial" w:cs="Arial" w:eastAsia="Arial" w:hAnsi="Arial"/>
                <w:sz w:val="13"/>
                <w:szCs w:val="13"/>
                <w:color w:val="auto"/>
              </w:rPr>
              <w:t>ONNELLY</w:t>
            </w:r>
          </w:p>
        </w:tc>
      </w:tr>
      <w:tr>
        <w:trPr>
          <w:trHeight w:val="165"/>
        </w:trPr>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gridSpan w:val="2"/>
          </w:tcPr>
          <w:p>
            <w:pPr>
              <w:jc w:val="center"/>
              <w:ind w:right="2007"/>
              <w:spacing w:after="0"/>
              <w:rPr>
                <w:sz w:val="20"/>
                <w:szCs w:val="20"/>
                <w:color w:val="auto"/>
              </w:rPr>
            </w:pPr>
            <w:r>
              <w:rPr>
                <w:rFonts w:ascii="Arial" w:cs="Arial" w:eastAsia="Arial" w:hAnsi="Arial"/>
                <w:sz w:val="14"/>
                <w:szCs w:val="14"/>
                <w:b w:val="1"/>
                <w:bCs w:val="1"/>
                <w:color w:val="auto"/>
                <w:w w:val="90"/>
              </w:rPr>
              <w:t>Howard W. Donnelly,</w:t>
            </w:r>
          </w:p>
        </w:tc>
      </w:tr>
      <w:tr>
        <w:trPr>
          <w:trHeight w:val="179"/>
        </w:trPr>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5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Chairman of the Board, Director</w:t>
            </w:r>
          </w:p>
        </w:tc>
      </w:tr>
      <w:tr>
        <w:trPr>
          <w:trHeight w:val="284"/>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60" w:type="dxa"/>
            <w:vAlign w:val="bottom"/>
          </w:tcPr>
          <w:p>
            <w:pPr>
              <w:ind w:left="160"/>
              <w:spacing w:after="0"/>
              <w:rPr>
                <w:sz w:val="20"/>
                <w:szCs w:val="20"/>
                <w:color w:val="auto"/>
              </w:rPr>
            </w:pPr>
            <w:r>
              <w:rPr>
                <w:rFonts w:ascii="Arial" w:cs="Arial" w:eastAsia="Arial" w:hAnsi="Arial"/>
                <w:sz w:val="17"/>
                <w:szCs w:val="17"/>
                <w:color w:val="auto"/>
              </w:rPr>
              <w:t>July 27, 2021</w:t>
            </w:r>
          </w:p>
        </w:tc>
        <w:tc>
          <w:tcPr>
            <w:tcW w:w="1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w:t>
            </w:r>
            <w:r>
              <w:rPr>
                <w:rFonts w:ascii="Arial" w:cs="Arial" w:eastAsia="Arial" w:hAnsi="Arial"/>
                <w:sz w:val="13"/>
                <w:szCs w:val="13"/>
                <w:color w:val="auto"/>
                <w:w w:val="88"/>
              </w:rPr>
              <w:t>S</w:t>
            </w:r>
            <w:r>
              <w:rPr>
                <w:rFonts w:ascii="Arial" w:cs="Arial" w:eastAsia="Arial" w:hAnsi="Arial"/>
                <w:sz w:val="17"/>
                <w:szCs w:val="17"/>
                <w:color w:val="auto"/>
                <w:w w:val="88"/>
              </w:rPr>
              <w:t>/</w:t>
            </w: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1847"/>
              <w:spacing w:after="0"/>
              <w:rPr>
                <w:sz w:val="20"/>
                <w:szCs w:val="20"/>
                <w:color w:val="auto"/>
              </w:rPr>
            </w:pP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C. C</w:t>
            </w:r>
            <w:r>
              <w:rPr>
                <w:rFonts w:ascii="Arial" w:cs="Arial" w:eastAsia="Arial" w:hAnsi="Arial"/>
                <w:sz w:val="13"/>
                <w:szCs w:val="13"/>
                <w:color w:val="auto"/>
              </w:rPr>
              <w:t>LEMMER</w:t>
            </w:r>
          </w:p>
        </w:tc>
      </w:tr>
      <w:tr>
        <w:trPr>
          <w:trHeight w:val="165"/>
        </w:trPr>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88"/>
              </w:rPr>
              <w:t>James C. Clemmer,</w:t>
            </w:r>
          </w:p>
        </w:tc>
      </w:tr>
      <w:tr>
        <w:trPr>
          <w:trHeight w:val="139"/>
        </w:trPr>
        <w:tc>
          <w:tcPr>
            <w:tcW w:w="5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558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auto"/>
                <w:w w:val="89"/>
              </w:rPr>
              <w:t>President, Chief Executive Officer</w:t>
            </w:r>
          </w:p>
        </w:tc>
      </w:tr>
      <w:tr>
        <w:trPr>
          <w:trHeight w:val="179"/>
        </w:trPr>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680" w:type="dxa"/>
            <w:vAlign w:val="bottom"/>
            <w:gridSpan w:val="3"/>
          </w:tcPr>
          <w:p>
            <w:pPr>
              <w:jc w:val="center"/>
              <w:ind w:right="1827"/>
              <w:spacing w:after="0"/>
              <w:rPr>
                <w:sz w:val="20"/>
                <w:szCs w:val="20"/>
                <w:color w:val="auto"/>
              </w:rPr>
            </w:pPr>
            <w:r>
              <w:rPr>
                <w:rFonts w:ascii="Arial" w:cs="Arial" w:eastAsia="Arial" w:hAnsi="Arial"/>
                <w:sz w:val="14"/>
                <w:szCs w:val="14"/>
                <w:b w:val="1"/>
                <w:bCs w:val="1"/>
                <w:color w:val="auto"/>
                <w:w w:val="91"/>
              </w:rPr>
              <w:t>(Principal Executive Officer)</w:t>
            </w:r>
          </w:p>
        </w:tc>
      </w:tr>
      <w:tr>
        <w:trPr>
          <w:trHeight w:val="275"/>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60" w:type="dxa"/>
            <w:vAlign w:val="bottom"/>
          </w:tcPr>
          <w:p>
            <w:pPr>
              <w:ind w:left="160"/>
              <w:spacing w:after="0"/>
              <w:rPr>
                <w:sz w:val="20"/>
                <w:szCs w:val="20"/>
                <w:color w:val="auto"/>
              </w:rPr>
            </w:pPr>
            <w:r>
              <w:rPr>
                <w:rFonts w:ascii="Arial" w:cs="Arial" w:eastAsia="Arial" w:hAnsi="Arial"/>
                <w:sz w:val="17"/>
                <w:szCs w:val="17"/>
                <w:color w:val="auto"/>
              </w:rPr>
              <w:t>July 27, 2021</w:t>
            </w:r>
          </w:p>
        </w:tc>
        <w:tc>
          <w:tcPr>
            <w:tcW w:w="1900" w:type="dxa"/>
            <w:vAlign w:val="bottom"/>
            <w:tcBorders>
              <w:bottom w:val="single" w:sz="8" w:color="auto"/>
            </w:tcBorders>
          </w:tcPr>
          <w:p>
            <w:pPr>
              <w:ind w:left="1700"/>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w:t>
            </w:r>
          </w:p>
        </w:tc>
        <w:tc>
          <w:tcPr>
            <w:tcW w:w="3680" w:type="dxa"/>
            <w:vAlign w:val="bottom"/>
            <w:tcBorders>
              <w:bottom w:val="single" w:sz="8" w:color="auto"/>
            </w:tcBorders>
            <w:gridSpan w:val="3"/>
          </w:tcPr>
          <w:p>
            <w:pPr>
              <w:jc w:val="center"/>
              <w:ind w:right="1467"/>
              <w:spacing w:after="0"/>
              <w:rPr>
                <w:sz w:val="20"/>
                <w:szCs w:val="20"/>
                <w:color w:val="auto"/>
              </w:rPr>
            </w:pPr>
            <w:r>
              <w:rPr>
                <w:rFonts w:ascii="Arial" w:cs="Arial" w:eastAsia="Arial" w:hAnsi="Arial"/>
                <w:sz w:val="17"/>
                <w:szCs w:val="17"/>
                <w:color w:val="auto"/>
              </w:rPr>
              <w:t>S</w:t>
            </w:r>
            <w:r>
              <w:rPr>
                <w:rFonts w:ascii="Arial" w:cs="Arial" w:eastAsia="Arial" w:hAnsi="Arial"/>
                <w:sz w:val="13"/>
                <w:szCs w:val="13"/>
                <w:color w:val="auto"/>
              </w:rPr>
              <w:t>TEPHEN</w:t>
            </w:r>
            <w:r>
              <w:rPr>
                <w:rFonts w:ascii="Arial" w:cs="Arial" w:eastAsia="Arial" w:hAnsi="Arial"/>
                <w:sz w:val="17"/>
                <w:szCs w:val="17"/>
                <w:color w:val="auto"/>
              </w:rPr>
              <w:t xml:space="preserve"> A. T</w:t>
            </w:r>
            <w:r>
              <w:rPr>
                <w:rFonts w:ascii="Arial" w:cs="Arial" w:eastAsia="Arial" w:hAnsi="Arial"/>
                <w:sz w:val="13"/>
                <w:szCs w:val="13"/>
                <w:color w:val="auto"/>
              </w:rPr>
              <w:t>ROWBRIDGE</w:t>
            </w:r>
          </w:p>
        </w:tc>
      </w:tr>
      <w:tr>
        <w:trPr>
          <w:trHeight w:val="165"/>
        </w:trPr>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gridSpan w:val="2"/>
          </w:tcPr>
          <w:p>
            <w:pPr>
              <w:jc w:val="center"/>
              <w:ind w:right="2007"/>
              <w:spacing w:after="0"/>
              <w:rPr>
                <w:sz w:val="20"/>
                <w:szCs w:val="20"/>
                <w:color w:val="auto"/>
              </w:rPr>
            </w:pPr>
            <w:r>
              <w:rPr>
                <w:rFonts w:ascii="Arial" w:cs="Arial" w:eastAsia="Arial" w:hAnsi="Arial"/>
                <w:sz w:val="14"/>
                <w:szCs w:val="14"/>
                <w:b w:val="1"/>
                <w:bCs w:val="1"/>
                <w:color w:val="auto"/>
                <w:w w:val="90"/>
              </w:rPr>
              <w:t>Stephen A. Trowbridge,</w:t>
            </w:r>
          </w:p>
        </w:tc>
      </w:tr>
      <w:tr>
        <w:trPr>
          <w:trHeight w:val="139"/>
        </w:trPr>
        <w:tc>
          <w:tcPr>
            <w:tcW w:w="5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558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auto"/>
                <w:w w:val="88"/>
              </w:rPr>
              <w:t>Executive Vice President, Chief Financial Officer,</w:t>
            </w:r>
          </w:p>
        </w:tc>
      </w:tr>
      <w:tr>
        <w:trPr>
          <w:trHeight w:val="179"/>
        </w:trPr>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5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(Principal Financial and Accounting Officer)</w:t>
            </w:r>
          </w:p>
        </w:tc>
      </w:tr>
      <w:tr>
        <w:trPr>
          <w:trHeight w:val="275"/>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60" w:type="dxa"/>
            <w:vAlign w:val="bottom"/>
          </w:tcPr>
          <w:p>
            <w:pPr>
              <w:ind w:left="160"/>
              <w:spacing w:after="0"/>
              <w:rPr>
                <w:sz w:val="20"/>
                <w:szCs w:val="20"/>
                <w:color w:val="auto"/>
              </w:rPr>
            </w:pPr>
            <w:r>
              <w:rPr>
                <w:rFonts w:ascii="Arial" w:cs="Arial" w:eastAsia="Arial" w:hAnsi="Arial"/>
                <w:sz w:val="17"/>
                <w:szCs w:val="17"/>
                <w:color w:val="auto"/>
              </w:rPr>
              <w:t>July 27, 2021</w:t>
            </w:r>
          </w:p>
        </w:tc>
        <w:tc>
          <w:tcPr>
            <w:tcW w:w="1900" w:type="dxa"/>
            <w:vAlign w:val="bottom"/>
            <w:tcBorders>
              <w:bottom w:val="single" w:sz="8" w:color="auto"/>
            </w:tcBorders>
          </w:tcPr>
          <w:p>
            <w:pPr>
              <w:ind w:left="156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680" w:type="dxa"/>
            <w:vAlign w:val="bottom"/>
            <w:tcBorders>
              <w:bottom w:val="single" w:sz="8" w:color="auto"/>
            </w:tcBorders>
            <w:gridSpan w:val="3"/>
          </w:tcPr>
          <w:p>
            <w:pPr>
              <w:jc w:val="center"/>
              <w:ind w:right="1827"/>
              <w:spacing w:after="0"/>
              <w:rPr>
                <w:sz w:val="20"/>
                <w:szCs w:val="20"/>
                <w:color w:val="auto"/>
              </w:rPr>
            </w:pPr>
            <w:r>
              <w:rPr>
                <w:rFonts w:ascii="Arial" w:cs="Arial" w:eastAsia="Arial" w:hAnsi="Arial"/>
                <w:sz w:val="17"/>
                <w:szCs w:val="17"/>
                <w:color w:val="auto"/>
                <w:w w:val="96"/>
              </w:rPr>
              <w:t>W</w:t>
            </w:r>
            <w:r>
              <w:rPr>
                <w:rFonts w:ascii="Arial" w:cs="Arial" w:eastAsia="Arial" w:hAnsi="Arial"/>
                <w:sz w:val="13"/>
                <w:szCs w:val="13"/>
                <w:color w:val="auto"/>
                <w:w w:val="96"/>
              </w:rPr>
              <w:t>ESLEY</w:t>
            </w:r>
            <w:r>
              <w:rPr>
                <w:rFonts w:ascii="Arial" w:cs="Arial" w:eastAsia="Arial" w:hAnsi="Arial"/>
                <w:sz w:val="17"/>
                <w:szCs w:val="17"/>
                <w:color w:val="auto"/>
                <w:w w:val="96"/>
              </w:rPr>
              <w:t xml:space="preserve"> E. J</w:t>
            </w:r>
            <w:r>
              <w:rPr>
                <w:rFonts w:ascii="Arial" w:cs="Arial" w:eastAsia="Arial" w:hAnsi="Arial"/>
                <w:sz w:val="13"/>
                <w:szCs w:val="13"/>
                <w:color w:val="auto"/>
                <w:w w:val="96"/>
              </w:rPr>
              <w:t>OHNSON</w:t>
            </w:r>
            <w:r>
              <w:rPr>
                <w:rFonts w:ascii="Arial" w:cs="Arial" w:eastAsia="Arial" w:hAnsi="Arial"/>
                <w:sz w:val="17"/>
                <w:szCs w:val="17"/>
                <w:color w:val="auto"/>
                <w:w w:val="96"/>
              </w:rPr>
              <w:t>, J</w:t>
            </w:r>
            <w:r>
              <w:rPr>
                <w:rFonts w:ascii="Arial" w:cs="Arial" w:eastAsia="Arial" w:hAnsi="Arial"/>
                <w:sz w:val="13"/>
                <w:szCs w:val="13"/>
                <w:color w:val="auto"/>
                <w:w w:val="96"/>
              </w:rPr>
              <w:t>R</w:t>
            </w:r>
            <w:r>
              <w:rPr>
                <w:rFonts w:ascii="Arial" w:cs="Arial" w:eastAsia="Arial" w:hAnsi="Arial"/>
                <w:sz w:val="17"/>
                <w:szCs w:val="17"/>
                <w:color w:val="auto"/>
                <w:w w:val="96"/>
              </w:rPr>
              <w:t>.</w:t>
            </w:r>
          </w:p>
        </w:tc>
      </w:tr>
      <w:tr>
        <w:trPr>
          <w:trHeight w:val="165"/>
        </w:trPr>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gridSpan w:val="2"/>
          </w:tcPr>
          <w:p>
            <w:pPr>
              <w:jc w:val="center"/>
              <w:ind w:right="1987"/>
              <w:spacing w:after="0"/>
              <w:rPr>
                <w:sz w:val="20"/>
                <w:szCs w:val="20"/>
                <w:color w:val="auto"/>
              </w:rPr>
            </w:pPr>
            <w:r>
              <w:rPr>
                <w:rFonts w:ascii="Arial" w:cs="Arial" w:eastAsia="Arial" w:hAnsi="Arial"/>
                <w:sz w:val="14"/>
                <w:szCs w:val="14"/>
                <w:b w:val="1"/>
                <w:bCs w:val="1"/>
                <w:color w:val="auto"/>
                <w:w w:val="86"/>
              </w:rPr>
              <w:t>Wesley E. Johnson, Jr.,</w:t>
            </w:r>
          </w:p>
        </w:tc>
      </w:tr>
      <w:tr>
        <w:trPr>
          <w:trHeight w:val="179"/>
        </w:trPr>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93"/>
              </w:rPr>
              <w:t>Director</w:t>
            </w:r>
          </w:p>
        </w:tc>
      </w:tr>
      <w:tr>
        <w:trPr>
          <w:trHeight w:val="284"/>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60" w:type="dxa"/>
            <w:vAlign w:val="bottom"/>
          </w:tcPr>
          <w:p>
            <w:pPr>
              <w:ind w:left="160"/>
              <w:spacing w:after="0"/>
              <w:rPr>
                <w:sz w:val="20"/>
                <w:szCs w:val="20"/>
                <w:color w:val="auto"/>
              </w:rPr>
            </w:pPr>
            <w:r>
              <w:rPr>
                <w:rFonts w:ascii="Arial" w:cs="Arial" w:eastAsia="Arial" w:hAnsi="Arial"/>
                <w:sz w:val="17"/>
                <w:szCs w:val="17"/>
                <w:color w:val="auto"/>
              </w:rPr>
              <w:t>July 27, 2021</w:t>
            </w:r>
          </w:p>
        </w:tc>
        <w:tc>
          <w:tcPr>
            <w:tcW w:w="2080" w:type="dxa"/>
            <w:vAlign w:val="bottom"/>
            <w:tcBorders>
              <w:bottom w:val="single" w:sz="8" w:color="auto"/>
            </w:tcBorders>
            <w:gridSpan w:val="2"/>
          </w:tcPr>
          <w:p>
            <w:pPr>
              <w:ind w:left="180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500" w:type="dxa"/>
            <w:vAlign w:val="bottom"/>
            <w:tcBorders>
              <w:bottom w:val="single" w:sz="8" w:color="auto"/>
            </w:tcBorders>
            <w:gridSpan w:val="2"/>
          </w:tcPr>
          <w:p>
            <w:pPr>
              <w:jc w:val="center"/>
              <w:ind w:right="1927"/>
              <w:spacing w:after="0"/>
              <w:rPr>
                <w:sz w:val="20"/>
                <w:szCs w:val="20"/>
                <w:color w:val="auto"/>
              </w:rPr>
            </w:pPr>
            <w:r>
              <w:rPr>
                <w:rFonts w:ascii="Arial" w:cs="Arial" w:eastAsia="Arial" w:hAnsi="Arial"/>
                <w:sz w:val="17"/>
                <w:szCs w:val="17"/>
                <w:color w:val="auto"/>
              </w:rPr>
              <w:t>D</w:t>
            </w:r>
            <w:r>
              <w:rPr>
                <w:rFonts w:ascii="Arial" w:cs="Arial" w:eastAsia="Arial" w:hAnsi="Arial"/>
                <w:sz w:val="13"/>
                <w:szCs w:val="13"/>
                <w:color w:val="auto"/>
              </w:rPr>
              <w:t>ENNIS</w:t>
            </w:r>
            <w:r>
              <w:rPr>
                <w:rFonts w:ascii="Arial" w:cs="Arial" w:eastAsia="Arial" w:hAnsi="Arial"/>
                <w:sz w:val="17"/>
                <w:szCs w:val="17"/>
                <w:color w:val="auto"/>
              </w:rPr>
              <w:t xml:space="preserve"> S. M</w:t>
            </w:r>
            <w:r>
              <w:rPr>
                <w:rFonts w:ascii="Arial" w:cs="Arial" w:eastAsia="Arial" w:hAnsi="Arial"/>
                <w:sz w:val="13"/>
                <w:szCs w:val="13"/>
                <w:color w:val="auto"/>
              </w:rPr>
              <w:t>ETENY</w:t>
            </w:r>
          </w:p>
        </w:tc>
      </w:tr>
      <w:tr>
        <w:trPr>
          <w:trHeight w:val="165"/>
        </w:trPr>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88"/>
              </w:rPr>
              <w:t>Dennis S. Meteny,</w:t>
            </w:r>
          </w:p>
        </w:tc>
      </w:tr>
      <w:tr>
        <w:trPr>
          <w:trHeight w:val="179"/>
        </w:trPr>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93"/>
              </w:rPr>
              <w:t>Director</w:t>
            </w:r>
          </w:p>
        </w:tc>
      </w:tr>
      <w:tr>
        <w:trPr>
          <w:trHeight w:val="284"/>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60" w:type="dxa"/>
            <w:vAlign w:val="bottom"/>
          </w:tcPr>
          <w:p>
            <w:pPr>
              <w:ind w:left="160"/>
              <w:spacing w:after="0"/>
              <w:rPr>
                <w:sz w:val="20"/>
                <w:szCs w:val="20"/>
                <w:color w:val="auto"/>
              </w:rPr>
            </w:pPr>
            <w:r>
              <w:rPr>
                <w:rFonts w:ascii="Arial" w:cs="Arial" w:eastAsia="Arial" w:hAnsi="Arial"/>
                <w:sz w:val="17"/>
                <w:szCs w:val="17"/>
                <w:color w:val="auto"/>
              </w:rPr>
              <w:t>July 27, 2021</w:t>
            </w:r>
          </w:p>
        </w:tc>
        <w:tc>
          <w:tcPr>
            <w:tcW w:w="1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center"/>
              <w:ind w:right="2007"/>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J</w:t>
            </w:r>
            <w:r>
              <w:rPr>
                <w:rFonts w:ascii="Arial" w:cs="Arial" w:eastAsia="Arial" w:hAnsi="Arial"/>
                <w:sz w:val="13"/>
                <w:szCs w:val="13"/>
                <w:color w:val="auto"/>
              </w:rPr>
              <w:t>AN</w:t>
            </w:r>
            <w:r>
              <w:rPr>
                <w:rFonts w:ascii="Arial" w:cs="Arial" w:eastAsia="Arial" w:hAnsi="Arial"/>
                <w:sz w:val="17"/>
                <w:szCs w:val="17"/>
                <w:color w:val="auto"/>
              </w:rPr>
              <w:t xml:space="preserve"> S. R</w:t>
            </w:r>
            <w:r>
              <w:rPr>
                <w:rFonts w:ascii="Arial" w:cs="Arial" w:eastAsia="Arial" w:hAnsi="Arial"/>
                <w:sz w:val="13"/>
                <w:szCs w:val="13"/>
                <w:color w:val="auto"/>
              </w:rPr>
              <w:t>EED</w:t>
            </w:r>
          </w:p>
        </w:tc>
      </w:tr>
      <w:tr>
        <w:trPr>
          <w:trHeight w:val="165"/>
        </w:trPr>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88"/>
              </w:rPr>
              <w:t>Jan S. Reed,</w:t>
            </w:r>
          </w:p>
        </w:tc>
      </w:tr>
      <w:tr>
        <w:trPr>
          <w:trHeight w:val="179"/>
        </w:trPr>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93"/>
              </w:rPr>
              <w:t>Director</w:t>
            </w:r>
          </w:p>
        </w:tc>
      </w:tr>
      <w:tr>
        <w:trPr>
          <w:trHeight w:val="284"/>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60" w:type="dxa"/>
            <w:vAlign w:val="bottom"/>
          </w:tcPr>
          <w:p>
            <w:pPr>
              <w:ind w:left="160"/>
              <w:spacing w:after="0"/>
              <w:rPr>
                <w:sz w:val="20"/>
                <w:szCs w:val="20"/>
                <w:color w:val="auto"/>
              </w:rPr>
            </w:pPr>
            <w:r>
              <w:rPr>
                <w:rFonts w:ascii="Arial" w:cs="Arial" w:eastAsia="Arial" w:hAnsi="Arial"/>
                <w:sz w:val="17"/>
                <w:szCs w:val="17"/>
                <w:color w:val="auto"/>
              </w:rPr>
              <w:t>July 27, 2021</w:t>
            </w:r>
          </w:p>
        </w:tc>
        <w:tc>
          <w:tcPr>
            <w:tcW w:w="1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w w:val="88"/>
              </w:rPr>
              <w:t>/</w:t>
            </w:r>
            <w:r>
              <w:rPr>
                <w:rFonts w:ascii="Arial" w:cs="Arial" w:eastAsia="Arial" w:hAnsi="Arial"/>
                <w:sz w:val="13"/>
                <w:szCs w:val="13"/>
                <w:color w:val="auto"/>
                <w:w w:val="88"/>
              </w:rPr>
              <w:t>S</w:t>
            </w:r>
            <w:r>
              <w:rPr>
                <w:rFonts w:ascii="Arial" w:cs="Arial" w:eastAsia="Arial" w:hAnsi="Arial"/>
                <w:sz w:val="17"/>
                <w:szCs w:val="17"/>
                <w:color w:val="auto"/>
                <w:w w:val="88"/>
              </w:rPr>
              <w:t>/</w:t>
            </w:r>
          </w:p>
        </w:tc>
        <w:tc>
          <w:tcPr>
            <w:tcW w:w="3360" w:type="dxa"/>
            <w:vAlign w:val="bottom"/>
            <w:tcBorders>
              <w:bottom w:val="single" w:sz="8" w:color="auto"/>
            </w:tcBorders>
          </w:tcPr>
          <w:p>
            <w:pPr>
              <w:jc w:val="center"/>
              <w:ind w:right="1807"/>
              <w:spacing w:after="0"/>
              <w:rPr>
                <w:sz w:val="20"/>
                <w:szCs w:val="20"/>
                <w:color w:val="auto"/>
              </w:rPr>
            </w:pPr>
            <w:r>
              <w:rPr>
                <w:rFonts w:ascii="Arial" w:cs="Arial" w:eastAsia="Arial" w:hAnsi="Arial"/>
                <w:sz w:val="17"/>
                <w:szCs w:val="17"/>
                <w:color w:val="auto"/>
              </w:rPr>
              <w:t>E</w:t>
            </w:r>
            <w:r>
              <w:rPr>
                <w:rFonts w:ascii="Arial" w:cs="Arial" w:eastAsia="Arial" w:hAnsi="Arial"/>
                <w:sz w:val="13"/>
                <w:szCs w:val="13"/>
                <w:color w:val="auto"/>
              </w:rPr>
              <w:t>ILEEN</w:t>
            </w:r>
            <w:r>
              <w:rPr>
                <w:rFonts w:ascii="Arial" w:cs="Arial" w:eastAsia="Arial" w:hAnsi="Arial"/>
                <w:sz w:val="17"/>
                <w:szCs w:val="17"/>
                <w:color w:val="auto"/>
              </w:rPr>
              <w:t xml:space="preserve"> O. A</w:t>
            </w:r>
            <w:r>
              <w:rPr>
                <w:rFonts w:ascii="Arial" w:cs="Arial" w:eastAsia="Arial" w:hAnsi="Arial"/>
                <w:sz w:val="13"/>
                <w:szCs w:val="13"/>
                <w:color w:val="auto"/>
              </w:rPr>
              <w:t>UEN</w:t>
            </w:r>
          </w:p>
        </w:tc>
      </w:tr>
      <w:tr>
        <w:trPr>
          <w:trHeight w:val="165"/>
        </w:trPr>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91"/>
              </w:rPr>
              <w:t>Eileen O. Auen,</w:t>
            </w:r>
          </w:p>
        </w:tc>
      </w:tr>
      <w:tr>
        <w:trPr>
          <w:trHeight w:val="179"/>
        </w:trPr>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93"/>
              </w:rPr>
              <w:t>Director</w:t>
            </w:r>
          </w:p>
        </w:tc>
      </w:tr>
      <w:tr>
        <w:trPr>
          <w:trHeight w:val="284"/>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60" w:type="dxa"/>
            <w:vAlign w:val="bottom"/>
          </w:tcPr>
          <w:p>
            <w:pPr>
              <w:ind w:left="160"/>
              <w:spacing w:after="0"/>
              <w:rPr>
                <w:sz w:val="20"/>
                <w:szCs w:val="20"/>
                <w:color w:val="auto"/>
              </w:rPr>
            </w:pPr>
            <w:r>
              <w:rPr>
                <w:rFonts w:ascii="Arial" w:cs="Arial" w:eastAsia="Arial" w:hAnsi="Arial"/>
                <w:sz w:val="17"/>
                <w:szCs w:val="17"/>
                <w:color w:val="auto"/>
              </w:rPr>
              <w:t>July 27, 2021</w:t>
            </w:r>
          </w:p>
        </w:tc>
        <w:tc>
          <w:tcPr>
            <w:tcW w:w="1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360" w:type="dxa"/>
            <w:vAlign w:val="bottom"/>
            <w:tcBorders>
              <w:bottom w:val="single" w:sz="8" w:color="auto"/>
            </w:tcBorders>
          </w:tcPr>
          <w:p>
            <w:pPr>
              <w:jc w:val="center"/>
              <w:ind w:right="1847"/>
              <w:spacing w:after="0"/>
              <w:rPr>
                <w:sz w:val="20"/>
                <w:szCs w:val="20"/>
                <w:color w:val="auto"/>
              </w:rPr>
            </w:pPr>
            <w:r>
              <w:rPr>
                <w:rFonts w:ascii="Arial" w:cs="Arial" w:eastAsia="Arial" w:hAnsi="Arial"/>
                <w:sz w:val="17"/>
                <w:szCs w:val="17"/>
                <w:color w:val="auto"/>
              </w:rPr>
              <w:t>K</w:t>
            </w:r>
            <w:r>
              <w:rPr>
                <w:rFonts w:ascii="Arial" w:cs="Arial" w:eastAsia="Arial" w:hAnsi="Arial"/>
                <w:sz w:val="13"/>
                <w:szCs w:val="13"/>
                <w:color w:val="auto"/>
              </w:rPr>
              <w:t>AREN</w:t>
            </w:r>
            <w:r>
              <w:rPr>
                <w:rFonts w:ascii="Arial" w:cs="Arial" w:eastAsia="Arial" w:hAnsi="Arial"/>
                <w:sz w:val="17"/>
                <w:szCs w:val="17"/>
                <w:color w:val="auto"/>
              </w:rPr>
              <w:t xml:space="preserve"> A. L</w:t>
            </w:r>
            <w:r>
              <w:rPr>
                <w:rFonts w:ascii="Arial" w:cs="Arial" w:eastAsia="Arial" w:hAnsi="Arial"/>
                <w:sz w:val="13"/>
                <w:szCs w:val="13"/>
                <w:color w:val="auto"/>
              </w:rPr>
              <w:t>ICITRA</w:t>
            </w:r>
          </w:p>
        </w:tc>
      </w:tr>
      <w:tr>
        <w:trPr>
          <w:trHeight w:val="165"/>
        </w:trPr>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94"/>
              </w:rPr>
              <w:t>Karen A. Licitra,</w:t>
            </w:r>
          </w:p>
        </w:tc>
      </w:tr>
      <w:tr>
        <w:trPr>
          <w:trHeight w:val="179"/>
        </w:trPr>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93"/>
              </w:rPr>
              <w:t>Director</w:t>
            </w:r>
          </w:p>
        </w:tc>
      </w:tr>
      <w:tr>
        <w:trPr>
          <w:trHeight w:val="284"/>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060" w:type="dxa"/>
            <w:vAlign w:val="bottom"/>
          </w:tcPr>
          <w:p>
            <w:pPr>
              <w:ind w:left="160"/>
              <w:spacing w:after="0"/>
              <w:rPr>
                <w:sz w:val="20"/>
                <w:szCs w:val="20"/>
                <w:color w:val="auto"/>
              </w:rPr>
            </w:pPr>
            <w:r>
              <w:rPr>
                <w:rFonts w:ascii="Arial" w:cs="Arial" w:eastAsia="Arial" w:hAnsi="Arial"/>
                <w:sz w:val="17"/>
                <w:szCs w:val="17"/>
                <w:color w:val="auto"/>
              </w:rPr>
              <w:t>July 27, 2021</w:t>
            </w:r>
          </w:p>
        </w:tc>
        <w:tc>
          <w:tcPr>
            <w:tcW w:w="2080" w:type="dxa"/>
            <w:vAlign w:val="bottom"/>
            <w:tcBorders>
              <w:bottom w:val="single" w:sz="8" w:color="auto"/>
            </w:tcBorders>
            <w:gridSpan w:val="2"/>
          </w:tcPr>
          <w:p>
            <w:pPr>
              <w:ind w:left="186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500" w:type="dxa"/>
            <w:vAlign w:val="bottom"/>
            <w:tcBorders>
              <w:bottom w:val="single" w:sz="8" w:color="auto"/>
            </w:tcBorders>
            <w:gridSpan w:val="2"/>
          </w:tcPr>
          <w:p>
            <w:pPr>
              <w:jc w:val="center"/>
              <w:ind w:right="1707"/>
              <w:spacing w:after="0"/>
              <w:rPr>
                <w:sz w:val="20"/>
                <w:szCs w:val="20"/>
                <w:color w:val="auto"/>
              </w:rPr>
            </w:pP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E. T</w:t>
            </w:r>
            <w:r>
              <w:rPr>
                <w:rFonts w:ascii="Arial" w:cs="Arial" w:eastAsia="Arial" w:hAnsi="Arial"/>
                <w:sz w:val="13"/>
                <w:szCs w:val="13"/>
                <w:color w:val="auto"/>
              </w:rPr>
              <w:t>ARNOFF</w:t>
            </w:r>
          </w:p>
        </w:tc>
      </w:tr>
      <w:tr>
        <w:trPr>
          <w:trHeight w:val="165"/>
        </w:trPr>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91"/>
              </w:rPr>
              <w:t>Michael E. Tarnoff,</w:t>
            </w:r>
          </w:p>
        </w:tc>
      </w:tr>
      <w:tr>
        <w:trPr>
          <w:trHeight w:val="179"/>
        </w:trPr>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jc w:val="center"/>
              <w:ind w:right="2147"/>
              <w:spacing w:after="0"/>
              <w:rPr>
                <w:sz w:val="20"/>
                <w:szCs w:val="20"/>
                <w:color w:val="auto"/>
              </w:rPr>
            </w:pPr>
            <w:r>
              <w:rPr>
                <w:rFonts w:ascii="Arial" w:cs="Arial" w:eastAsia="Arial" w:hAnsi="Arial"/>
                <w:sz w:val="14"/>
                <w:szCs w:val="14"/>
                <w:b w:val="1"/>
                <w:bCs w:val="1"/>
                <w:color w:val="auto"/>
                <w:w w:val="93"/>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200"/>
          </w:cols>
          <w:pgMar w:left="320" w:top="860" w:right="379" w:bottom="1440" w:gutter="0" w:footer="0" w:header="0"/>
        </w:sectPr>
      </w:pPr>
    </w:p>
    <w:bookmarkStart w:id="89" w:name="page90"/>
    <w:bookmarkEnd w:id="89"/>
    <w:p>
      <w:pPr>
        <w:spacing w:after="0" w:line="8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Subsidiaries of AngioDynamics,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60" w:type="dxa"/>
            <w:vAlign w:val="bottom"/>
            <w:gridSpan w:val="2"/>
          </w:tcPr>
          <w:p>
            <w:pPr>
              <w:ind w:left="20"/>
              <w:spacing w:after="0"/>
              <w:rPr>
                <w:sz w:val="20"/>
                <w:szCs w:val="20"/>
                <w:color w:val="auto"/>
              </w:rPr>
            </w:pPr>
            <w:r>
              <w:rPr>
                <w:rFonts w:ascii="Arial" w:cs="Arial" w:eastAsia="Arial" w:hAnsi="Arial"/>
                <w:sz w:val="13"/>
                <w:szCs w:val="13"/>
                <w:b w:val="1"/>
                <w:bCs w:val="1"/>
                <w:color w:val="auto"/>
              </w:rPr>
              <w:t>Subsidiary</w:t>
            </w:r>
          </w:p>
        </w:tc>
        <w:tc>
          <w:tcPr>
            <w:tcW w:w="5280" w:type="dxa"/>
            <w:vAlign w:val="bottom"/>
          </w:tcPr>
          <w:p>
            <w:pPr>
              <w:ind w:left="20"/>
              <w:spacing w:after="0"/>
              <w:rPr>
                <w:sz w:val="20"/>
                <w:szCs w:val="20"/>
                <w:color w:val="auto"/>
              </w:rPr>
            </w:pPr>
            <w:r>
              <w:rPr>
                <w:rFonts w:ascii="Arial" w:cs="Arial" w:eastAsia="Arial" w:hAnsi="Arial"/>
                <w:sz w:val="13"/>
                <w:szCs w:val="13"/>
                <w:b w:val="1"/>
                <w:bCs w:val="1"/>
                <w:color w:val="auto"/>
              </w:rPr>
              <w:t>State of Incorporation or Organization</w:t>
            </w:r>
          </w:p>
        </w:tc>
      </w:tr>
      <w:tr>
        <w:trPr>
          <w:trHeight w:val="105"/>
        </w:trPr>
        <w:tc>
          <w:tcPr>
            <w:tcW w:w="5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r>
      <w:tr>
        <w:trPr>
          <w:trHeight w:val="214"/>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Vortex Medical</w:t>
            </w:r>
          </w:p>
        </w:tc>
        <w:tc>
          <w:tcPr>
            <w:tcW w:w="528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NM Holding Company, Inc.</w:t>
            </w:r>
          </w:p>
        </w:tc>
        <w:tc>
          <w:tcPr>
            <w:tcW w:w="528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Navilyst Medical Holdings, Inc.</w:t>
            </w:r>
          </w:p>
        </w:tc>
        <w:tc>
          <w:tcPr>
            <w:tcW w:w="528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Navilyst Medical, Inc.</w:t>
            </w:r>
          </w:p>
        </w:tc>
        <w:tc>
          <w:tcPr>
            <w:tcW w:w="528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AngioDynamics UK Limited</w:t>
            </w:r>
          </w:p>
        </w:tc>
        <w:tc>
          <w:tcPr>
            <w:tcW w:w="5280" w:type="dxa"/>
            <w:vAlign w:val="bottom"/>
          </w:tcPr>
          <w:p>
            <w:pPr>
              <w:ind w:left="20"/>
              <w:spacing w:after="0"/>
              <w:rPr>
                <w:sz w:val="20"/>
                <w:szCs w:val="20"/>
                <w:color w:val="auto"/>
              </w:rPr>
            </w:pPr>
            <w:r>
              <w:rPr>
                <w:rFonts w:ascii="Arial" w:cs="Arial" w:eastAsia="Arial" w:hAnsi="Arial"/>
                <w:sz w:val="17"/>
                <w:szCs w:val="17"/>
                <w:color w:val="auto"/>
              </w:rPr>
              <w:t>United Kingdom</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AngioDynamics Netherlands B. V.</w:t>
            </w:r>
          </w:p>
        </w:tc>
        <w:tc>
          <w:tcPr>
            <w:tcW w:w="5280" w:type="dxa"/>
            <w:vAlign w:val="bottom"/>
          </w:tcPr>
          <w:p>
            <w:pPr>
              <w:ind w:left="20"/>
              <w:spacing w:after="0"/>
              <w:rPr>
                <w:sz w:val="20"/>
                <w:szCs w:val="20"/>
                <w:color w:val="auto"/>
              </w:rPr>
            </w:pPr>
            <w:r>
              <w:rPr>
                <w:rFonts w:ascii="Arial" w:cs="Arial" w:eastAsia="Arial" w:hAnsi="Arial"/>
                <w:sz w:val="17"/>
                <w:szCs w:val="17"/>
                <w:color w:val="auto"/>
              </w:rPr>
              <w:t>Netherlands</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RITA Medical Systems, LLC</w:t>
            </w:r>
          </w:p>
        </w:tc>
        <w:tc>
          <w:tcPr>
            <w:tcW w:w="528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AngioDynamics France, SARL</w:t>
            </w:r>
          </w:p>
        </w:tc>
        <w:tc>
          <w:tcPr>
            <w:tcW w:w="5280" w:type="dxa"/>
            <w:vAlign w:val="bottom"/>
          </w:tcPr>
          <w:p>
            <w:pPr>
              <w:ind w:left="20"/>
              <w:spacing w:after="0"/>
              <w:rPr>
                <w:sz w:val="20"/>
                <w:szCs w:val="20"/>
                <w:color w:val="auto"/>
              </w:rPr>
            </w:pPr>
            <w:r>
              <w:rPr>
                <w:rFonts w:ascii="Arial" w:cs="Arial" w:eastAsia="Arial" w:hAnsi="Arial"/>
                <w:sz w:val="17"/>
                <w:szCs w:val="17"/>
                <w:color w:val="auto"/>
              </w:rPr>
              <w:t>France</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AngioDynamics Canada Inc.</w:t>
            </w:r>
          </w:p>
        </w:tc>
        <w:tc>
          <w:tcPr>
            <w:tcW w:w="5280" w:type="dxa"/>
            <w:vAlign w:val="bottom"/>
          </w:tcPr>
          <w:p>
            <w:pPr>
              <w:ind w:left="20"/>
              <w:spacing w:after="0"/>
              <w:rPr>
                <w:sz w:val="20"/>
                <w:szCs w:val="20"/>
                <w:color w:val="auto"/>
              </w:rPr>
            </w:pPr>
            <w:r>
              <w:rPr>
                <w:rFonts w:ascii="Arial" w:cs="Arial" w:eastAsia="Arial" w:hAnsi="Arial"/>
                <w:sz w:val="17"/>
                <w:szCs w:val="17"/>
                <w:color w:val="auto"/>
              </w:rPr>
              <w:t>British Columbia</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AngioDynamics Medical Brasil Participacoes Ltda.</w:t>
            </w:r>
          </w:p>
        </w:tc>
        <w:tc>
          <w:tcPr>
            <w:tcW w:w="5280" w:type="dxa"/>
            <w:vAlign w:val="bottom"/>
          </w:tcPr>
          <w:p>
            <w:pPr>
              <w:ind w:left="20"/>
              <w:spacing w:after="0"/>
              <w:rPr>
                <w:sz w:val="20"/>
                <w:szCs w:val="20"/>
                <w:color w:val="auto"/>
              </w:rPr>
            </w:pPr>
            <w:r>
              <w:rPr>
                <w:rFonts w:ascii="Arial" w:cs="Arial" w:eastAsia="Arial" w:hAnsi="Arial"/>
                <w:sz w:val="17"/>
                <w:szCs w:val="17"/>
                <w:color w:val="auto"/>
              </w:rPr>
              <w:t>Sao Paulo</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RadiaDyne LLC</w:t>
            </w:r>
          </w:p>
        </w:tc>
        <w:tc>
          <w:tcPr>
            <w:tcW w:w="5280" w:type="dxa"/>
            <w:vAlign w:val="bottom"/>
          </w:tcPr>
          <w:p>
            <w:pPr>
              <w:ind w:left="20"/>
              <w:spacing w:after="0"/>
              <w:rPr>
                <w:sz w:val="20"/>
                <w:szCs w:val="20"/>
                <w:color w:val="auto"/>
              </w:rPr>
            </w:pPr>
            <w:r>
              <w:rPr>
                <w:rFonts w:ascii="Arial" w:cs="Arial" w:eastAsia="Arial" w:hAnsi="Arial"/>
                <w:sz w:val="17"/>
                <w:szCs w:val="17"/>
                <w:color w:val="auto"/>
              </w:rPr>
              <w:t>Texas</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Eximo Medical, Ltd.</w:t>
            </w:r>
          </w:p>
        </w:tc>
        <w:tc>
          <w:tcPr>
            <w:tcW w:w="5280" w:type="dxa"/>
            <w:vAlign w:val="bottom"/>
          </w:tcPr>
          <w:p>
            <w:pPr>
              <w:ind w:left="20"/>
              <w:spacing w:after="0"/>
              <w:rPr>
                <w:sz w:val="20"/>
                <w:szCs w:val="20"/>
                <w:color w:val="auto"/>
              </w:rPr>
            </w:pPr>
            <w:r>
              <w:rPr>
                <w:rFonts w:ascii="Arial" w:cs="Arial" w:eastAsia="Arial" w:hAnsi="Arial"/>
                <w:sz w:val="17"/>
                <w:szCs w:val="17"/>
                <w:color w:val="auto"/>
              </w:rPr>
              <w:t>Israel</w:t>
            </w:r>
          </w:p>
        </w:tc>
      </w:tr>
      <w:tr>
        <w:trPr>
          <w:trHeight w:val="220"/>
        </w:trPr>
        <w:tc>
          <w:tcPr>
            <w:tcW w:w="5960" w:type="dxa"/>
            <w:vAlign w:val="bottom"/>
            <w:gridSpan w:val="2"/>
          </w:tcPr>
          <w:p>
            <w:pPr>
              <w:ind w:left="20"/>
              <w:spacing w:after="0"/>
              <w:rPr>
                <w:sz w:val="20"/>
                <w:szCs w:val="20"/>
                <w:color w:val="auto"/>
              </w:rPr>
            </w:pPr>
            <w:r>
              <w:rPr>
                <w:rFonts w:ascii="Arial" w:cs="Arial" w:eastAsia="Arial" w:hAnsi="Arial"/>
                <w:sz w:val="17"/>
                <w:szCs w:val="17"/>
                <w:color w:val="auto"/>
              </w:rPr>
              <w:t>AngioDynamics VA LLC</w:t>
            </w:r>
          </w:p>
        </w:tc>
        <w:tc>
          <w:tcPr>
            <w:tcW w:w="5280" w:type="dxa"/>
            <w:vAlign w:val="bottom"/>
          </w:tcPr>
          <w:p>
            <w:pPr>
              <w:ind w:left="20"/>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240"/>
          </w:cols>
          <w:pgMar w:left="320" w:top="1440" w:right="339" w:bottom="1440" w:gutter="0" w:footer="0" w:header="0"/>
        </w:sectPr>
      </w:pPr>
    </w:p>
    <w:bookmarkStart w:id="90" w:name="page91"/>
    <w:bookmarkEnd w:id="90"/>
    <w:p>
      <w:pPr>
        <w:spacing w:after="0" w:line="8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3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We consent to the incorporation by reference in Registration Statement Nos. 333-120057, 333-138456, 333-140627, 333-161355, 333-162844, 333-170619, 333-190640, 333-203441, 333-229814 and 333-252209 on Form S-8 of our reports dated July 27, 2021, relating to the financial statements of AngioDynamics Inc. and the effectiveness of AngioDynamics Inc.'s internal control over financial reporting appearing in this Annual Report on Form 10-K for the year ended May 31, 2021.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July 27, 2021</w:t>
      </w:r>
    </w:p>
    <w:p>
      <w:pPr>
        <w:sectPr>
          <w:pgSz w:w="11900" w:h="16838" w:orient="portrait"/>
          <w:cols w:equalWidth="0" w:num="1">
            <w:col w:w="11240"/>
          </w:cols>
          <w:pgMar w:left="320" w:top="1440"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James C. Clemmer, certify that:</w:t>
      </w:r>
    </w:p>
    <w:p>
      <w:pPr>
        <w:spacing w:after="0" w:line="64" w:lineRule="exact"/>
        <w:rPr>
          <w:sz w:val="20"/>
          <w:szCs w:val="20"/>
          <w:color w:val="auto"/>
        </w:rPr>
      </w:pPr>
    </w:p>
    <w:p>
      <w:pPr>
        <w:ind w:left="640" w:hanging="580"/>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AngioDynamics, Inc.;</w:t>
      </w:r>
    </w:p>
    <w:p>
      <w:pPr>
        <w:spacing w:after="0" w:line="374" w:lineRule="exact"/>
        <w:rPr>
          <w:rFonts w:ascii="Arial" w:cs="Arial" w:eastAsia="Arial" w:hAnsi="Arial"/>
          <w:sz w:val="17"/>
          <w:szCs w:val="17"/>
          <w:color w:val="auto"/>
        </w:rPr>
      </w:pPr>
    </w:p>
    <w:p>
      <w:pPr>
        <w:jc w:val="both"/>
        <w:ind w:left="640" w:right="560" w:hanging="580"/>
        <w:spacing w:after="0" w:line="227"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7"/>
          <w:szCs w:val="17"/>
          <w:color w:val="auto"/>
        </w:rPr>
      </w:pPr>
    </w:p>
    <w:p>
      <w:pPr>
        <w:ind w:left="640" w:right="520" w:hanging="580"/>
        <w:spacing w:after="0" w:line="266"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1" w:lineRule="exact"/>
        <w:rPr>
          <w:rFonts w:ascii="Arial" w:cs="Arial" w:eastAsia="Arial" w:hAnsi="Arial"/>
          <w:sz w:val="16"/>
          <w:szCs w:val="16"/>
          <w:color w:val="auto"/>
        </w:rPr>
      </w:pPr>
    </w:p>
    <w:p>
      <w:pPr>
        <w:ind w:left="640" w:right="140" w:hanging="580"/>
        <w:spacing w:after="0" w:line="227"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sz w:val="20"/>
          <w:szCs w:val="20"/>
          <w:color w:val="auto"/>
        </w:rPr>
      </w:pPr>
    </w:p>
    <w:p>
      <w:pPr>
        <w:ind w:left="780" w:right="160" w:hanging="776"/>
        <w:spacing w:after="0" w:line="302" w:lineRule="auto"/>
        <w:tabs>
          <w:tab w:leader="none" w:pos="777"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7"/>
          <w:szCs w:val="17"/>
          <w:color w:val="auto"/>
        </w:rPr>
      </w:pPr>
    </w:p>
    <w:p>
      <w:pPr>
        <w:ind w:left="780" w:right="160" w:hanging="776"/>
        <w:spacing w:after="0" w:line="302" w:lineRule="auto"/>
        <w:tabs>
          <w:tab w:leader="none" w:pos="774"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7"/>
          <w:szCs w:val="17"/>
          <w:color w:val="auto"/>
        </w:rPr>
      </w:pPr>
    </w:p>
    <w:p>
      <w:pPr>
        <w:ind w:left="780" w:right="20" w:hanging="776"/>
        <w:spacing w:after="0" w:line="302" w:lineRule="auto"/>
        <w:tabs>
          <w:tab w:leader="none" w:pos="777" w:val="left"/>
        </w:tabs>
        <w:numPr>
          <w:ilvl w:val="0"/>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80" w:right="60" w:hanging="776"/>
        <w:spacing w:after="0" w:line="317" w:lineRule="auto"/>
        <w:tabs>
          <w:tab w:leader="none" w:pos="774"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640" w:right="460" w:hanging="580"/>
        <w:spacing w:after="0" w:line="266" w:lineRule="auto"/>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sz w:val="20"/>
          <w:szCs w:val="20"/>
          <w:color w:val="auto"/>
        </w:rPr>
      </w:pPr>
    </w:p>
    <w:p>
      <w:pPr>
        <w:ind w:left="780" w:right="120" w:hanging="776"/>
        <w:spacing w:after="0" w:line="302" w:lineRule="auto"/>
        <w:tabs>
          <w:tab w:leader="none" w:pos="777"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80" w:right="180" w:hanging="776"/>
        <w:spacing w:after="0" w:line="332" w:lineRule="auto"/>
        <w:tabs>
          <w:tab w:leader="none" w:pos="774"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Date: July 27, 2021</w:t>
      </w:r>
    </w:p>
    <w:p>
      <w:pPr>
        <w:spacing w:after="0" w:line="200" w:lineRule="exact"/>
        <w:rPr>
          <w:sz w:val="20"/>
          <w:szCs w:val="20"/>
          <w:color w:val="auto"/>
        </w:rPr>
      </w:pPr>
    </w:p>
    <w:p>
      <w:pPr>
        <w:spacing w:after="0" w:line="253" w:lineRule="exact"/>
        <w:rPr>
          <w:sz w:val="20"/>
          <w:szCs w:val="20"/>
          <w:color w:val="auto"/>
        </w:rPr>
      </w:pPr>
    </w:p>
    <w:p>
      <w:pPr>
        <w:ind w:left="160" w:hanging="100"/>
        <w:spacing w:after="0"/>
        <w:tabs>
          <w:tab w:leader="none" w:pos="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 / JAMES C. CLEMMER</w:t>
      </w:r>
    </w:p>
    <w:p>
      <w:pPr>
        <w:spacing w:after="0" w:line="50" w:lineRule="exact"/>
        <w:rPr>
          <w:rFonts w:ascii="Arial" w:cs="Arial" w:eastAsia="Arial" w:hAnsi="Arial"/>
          <w:sz w:val="17"/>
          <w:szCs w:val="17"/>
          <w:color w:val="auto"/>
        </w:rPr>
      </w:pPr>
    </w:p>
    <w:p>
      <w:pPr>
        <w:ind w:left="60" w:right="9100"/>
        <w:spacing w:after="0" w:line="372" w:lineRule="auto"/>
        <w:rPr>
          <w:rFonts w:ascii="Arial" w:cs="Arial" w:eastAsia="Arial" w:hAnsi="Arial"/>
          <w:sz w:val="17"/>
          <w:szCs w:val="17"/>
          <w:color w:val="auto"/>
        </w:rPr>
      </w:pPr>
      <w:r>
        <w:rPr>
          <w:rFonts w:ascii="Arial" w:cs="Arial" w:eastAsia="Arial" w:hAnsi="Arial"/>
          <w:sz w:val="15"/>
          <w:szCs w:val="15"/>
          <w:color w:val="auto"/>
        </w:rPr>
        <w:t>James C. Clemmer, 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-347345</wp:posOffset>
            </wp:positionV>
            <wp:extent cx="712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Stephen A. Trowbridge, certify that:</w:t>
      </w:r>
    </w:p>
    <w:p>
      <w:pPr>
        <w:spacing w:after="0" w:line="64" w:lineRule="exact"/>
        <w:rPr>
          <w:sz w:val="20"/>
          <w:szCs w:val="20"/>
          <w:color w:val="auto"/>
        </w:rPr>
      </w:pPr>
    </w:p>
    <w:p>
      <w:pPr>
        <w:ind w:left="640" w:hanging="580"/>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AngioDynamics, Inc.;</w:t>
      </w:r>
    </w:p>
    <w:p>
      <w:pPr>
        <w:spacing w:after="0" w:line="374" w:lineRule="exact"/>
        <w:rPr>
          <w:rFonts w:ascii="Arial" w:cs="Arial" w:eastAsia="Arial" w:hAnsi="Arial"/>
          <w:sz w:val="17"/>
          <w:szCs w:val="17"/>
          <w:color w:val="auto"/>
        </w:rPr>
      </w:pPr>
    </w:p>
    <w:p>
      <w:pPr>
        <w:jc w:val="both"/>
        <w:ind w:left="640" w:right="560" w:hanging="580"/>
        <w:spacing w:after="0" w:line="227"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7"/>
          <w:szCs w:val="17"/>
          <w:color w:val="auto"/>
        </w:rPr>
      </w:pPr>
    </w:p>
    <w:p>
      <w:pPr>
        <w:ind w:left="640" w:right="520" w:hanging="580"/>
        <w:spacing w:after="0" w:line="266" w:lineRule="auto"/>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1" w:lineRule="exact"/>
        <w:rPr>
          <w:rFonts w:ascii="Arial" w:cs="Arial" w:eastAsia="Arial" w:hAnsi="Arial"/>
          <w:sz w:val="16"/>
          <w:szCs w:val="16"/>
          <w:color w:val="auto"/>
        </w:rPr>
      </w:pPr>
    </w:p>
    <w:p>
      <w:pPr>
        <w:ind w:left="640" w:right="140" w:hanging="580"/>
        <w:spacing w:after="0" w:line="227"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sz w:val="20"/>
          <w:szCs w:val="20"/>
          <w:color w:val="auto"/>
        </w:rPr>
      </w:pPr>
    </w:p>
    <w:p>
      <w:pPr>
        <w:ind w:left="780" w:right="160" w:hanging="776"/>
        <w:spacing w:after="0" w:line="302" w:lineRule="auto"/>
        <w:tabs>
          <w:tab w:leader="none" w:pos="777"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7"/>
          <w:szCs w:val="17"/>
          <w:color w:val="auto"/>
        </w:rPr>
      </w:pPr>
    </w:p>
    <w:p>
      <w:pPr>
        <w:ind w:left="780" w:right="160" w:hanging="776"/>
        <w:spacing w:after="0" w:line="302" w:lineRule="auto"/>
        <w:tabs>
          <w:tab w:leader="none" w:pos="774"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7"/>
          <w:szCs w:val="17"/>
          <w:color w:val="auto"/>
        </w:rPr>
      </w:pPr>
    </w:p>
    <w:p>
      <w:pPr>
        <w:ind w:left="780" w:right="20" w:hanging="776"/>
        <w:spacing w:after="0" w:line="302" w:lineRule="auto"/>
        <w:tabs>
          <w:tab w:leader="none" w:pos="777" w:val="left"/>
        </w:tabs>
        <w:numPr>
          <w:ilvl w:val="0"/>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80" w:right="60" w:hanging="776"/>
        <w:spacing w:after="0" w:line="317" w:lineRule="auto"/>
        <w:tabs>
          <w:tab w:leader="none" w:pos="774"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640" w:right="460" w:hanging="580"/>
        <w:spacing w:after="0" w:line="266" w:lineRule="auto"/>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sz w:val="20"/>
          <w:szCs w:val="20"/>
          <w:color w:val="auto"/>
        </w:rPr>
      </w:pPr>
    </w:p>
    <w:p>
      <w:pPr>
        <w:ind w:left="780" w:right="120" w:hanging="776"/>
        <w:spacing w:after="0" w:line="302" w:lineRule="auto"/>
        <w:tabs>
          <w:tab w:leader="none" w:pos="777"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80" w:right="180" w:hanging="776"/>
        <w:spacing w:after="0" w:line="332" w:lineRule="auto"/>
        <w:tabs>
          <w:tab w:leader="none" w:pos="774"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Date: July 27, 2021</w:t>
      </w: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0802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080250" cy="825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color w:val="auto"/>
        </w:rPr>
        <w:t>Stephen A. Trowbridge, Executive Vice President,</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886"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color w:val="auto"/>
        </w:rPr>
        <w:t>Exhibit 32.1</w:t>
      </w:r>
    </w:p>
    <w:p>
      <w:pPr>
        <w:spacing w:after="0" w:line="212" w:lineRule="exact"/>
        <w:rPr>
          <w:sz w:val="20"/>
          <w:szCs w:val="20"/>
          <w:color w:val="auto"/>
        </w:rPr>
      </w:pPr>
    </w:p>
    <w:p>
      <w:pPr>
        <w:jc w:val="center"/>
        <w:ind w:left="340" w:right="2680"/>
        <w:spacing w:after="0" w:line="317" w:lineRule="auto"/>
        <w:rPr>
          <w:sz w:val="20"/>
          <w:szCs w:val="20"/>
          <w:color w:val="auto"/>
        </w:rPr>
      </w:pPr>
      <w:r>
        <w:rPr>
          <w:rFonts w:ascii="Arial" w:cs="Arial" w:eastAsia="Arial" w:hAnsi="Arial"/>
          <w:sz w:val="17"/>
          <w:szCs w:val="17"/>
          <w:color w:val="auto"/>
        </w:rPr>
        <w:t>CERTIFICATION OF CHIEF EXECUTIVE OFFICER PURSUANT TO TITLE 18, UNITED STATES CODE, SECTION 1350, AS ADOPTED PURSUANT TO SECTION 906 OF THE SARBANES-OXLEY ACT OF 2002</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Sarbanes-Oxley Act of 2002, 18 U.S.C. Section 1350, that, to the best of my knowledge:</w:t>
      </w:r>
    </w:p>
    <w:p>
      <w:pPr>
        <w:spacing w:after="0" w:line="219" w:lineRule="exact"/>
        <w:rPr>
          <w:sz w:val="20"/>
          <w:szCs w:val="20"/>
          <w:color w:val="auto"/>
        </w:rPr>
      </w:pPr>
    </w:p>
    <w:p>
      <w:pPr>
        <w:ind w:left="400" w:right="960" w:hanging="340"/>
        <w:spacing w:after="0" w:line="238" w:lineRule="auto"/>
        <w:tabs>
          <w:tab w:leader="none" w:pos="4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May 31, 2021 (the “Report”) fully complies with the requirements of Section 13(a) or 15(d) of the Securities Exchange Act of 1934 (15 U.S.C. 78m or 78o(d)); and</w:t>
      </w:r>
    </w:p>
    <w:p>
      <w:pPr>
        <w:spacing w:after="0" w:line="117" w:lineRule="exact"/>
        <w:rPr>
          <w:rFonts w:ascii="Arial" w:cs="Arial" w:eastAsia="Arial" w:hAnsi="Arial"/>
          <w:sz w:val="17"/>
          <w:szCs w:val="17"/>
          <w:color w:val="auto"/>
        </w:rPr>
      </w:pPr>
    </w:p>
    <w:p>
      <w:pPr>
        <w:ind w:left="400" w:hanging="340"/>
        <w:spacing w:after="0"/>
        <w:tabs>
          <w:tab w:leader="none" w:pos="4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 July 27, 2021</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2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color w:val="auto"/>
        </w:rPr>
        <w:t>James C. Clemmer, President,</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886"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Exhibit 32.2</w:t>
      </w:r>
    </w:p>
    <w:p>
      <w:pPr>
        <w:spacing w:after="0" w:line="212" w:lineRule="exact"/>
        <w:rPr>
          <w:sz w:val="20"/>
          <w:szCs w:val="20"/>
          <w:color w:val="auto"/>
        </w:rPr>
      </w:pPr>
    </w:p>
    <w:p>
      <w:pPr>
        <w:jc w:val="center"/>
        <w:ind w:left="340" w:right="2700"/>
        <w:spacing w:after="0" w:line="317" w:lineRule="auto"/>
        <w:rPr>
          <w:sz w:val="20"/>
          <w:szCs w:val="20"/>
          <w:color w:val="auto"/>
        </w:rPr>
      </w:pPr>
      <w:r>
        <w:rPr>
          <w:rFonts w:ascii="Arial" w:cs="Arial" w:eastAsia="Arial" w:hAnsi="Arial"/>
          <w:sz w:val="17"/>
          <w:szCs w:val="17"/>
          <w:color w:val="auto"/>
        </w:rPr>
        <w:t>CERTIFICATION OF CHIEF FINANCIAL OFFICER PURSUANT TO TITLE 18, UNITED STATES CODE, SECTION 1350, AS ADOPTED PURSUANT TO SECTION 906 OF THE SARBANES-OXLEY ACT OF 2002</w:t>
      </w:r>
    </w:p>
    <w:p>
      <w:pPr>
        <w:spacing w:after="0" w:line="120" w:lineRule="exact"/>
        <w:rPr>
          <w:sz w:val="20"/>
          <w:szCs w:val="20"/>
          <w:color w:val="auto"/>
        </w:rPr>
      </w:pPr>
    </w:p>
    <w:p>
      <w:pPr>
        <w:ind w:right="160"/>
        <w:spacing w:after="0" w:line="310" w:lineRule="auto"/>
        <w:rPr>
          <w:sz w:val="20"/>
          <w:szCs w:val="20"/>
          <w:color w:val="auto"/>
        </w:rPr>
      </w:pPr>
      <w:r>
        <w:rPr>
          <w:rFonts w:ascii="Arial" w:cs="Arial" w:eastAsia="Arial" w:hAnsi="Arial"/>
          <w:sz w:val="17"/>
          <w:szCs w:val="17"/>
          <w:color w:val="auto"/>
        </w:rPr>
        <w:t>I, Stephen A. Trowbridge, Chief Financial Officer of ANGIODYNAMICS, Inc. (the “Company”), certify, pursuant to Section 906 of the Sarbanes-Oxley Act of 2002, 18 U.S.C. Section 1350, that, to the best of my knowledge:</w:t>
      </w:r>
    </w:p>
    <w:p>
      <w:pPr>
        <w:spacing w:after="0" w:line="1" w:lineRule="exact"/>
        <w:rPr>
          <w:sz w:val="20"/>
          <w:szCs w:val="20"/>
          <w:color w:val="auto"/>
        </w:rPr>
      </w:pPr>
    </w:p>
    <w:p>
      <w:pPr>
        <w:ind w:left="400" w:right="960" w:hanging="340"/>
        <w:spacing w:after="0" w:line="238" w:lineRule="auto"/>
        <w:tabs>
          <w:tab w:leader="none" w:pos="4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May 31, 2021 (the “Report”) fully complies with the requirements of Section 13(a) or 15(d) of the Securities Exchange Act of 1934 (15 U.S.C. 78m or 78o(d)); and</w:t>
      </w:r>
    </w:p>
    <w:p>
      <w:pPr>
        <w:spacing w:after="0" w:line="351" w:lineRule="exact"/>
        <w:rPr>
          <w:rFonts w:ascii="Arial" w:cs="Arial" w:eastAsia="Arial" w:hAnsi="Arial"/>
          <w:sz w:val="17"/>
          <w:szCs w:val="17"/>
          <w:color w:val="auto"/>
        </w:rPr>
      </w:pPr>
    </w:p>
    <w:p>
      <w:pPr>
        <w:ind w:right="880" w:firstLine="60"/>
        <w:spacing w:after="0" w:line="740" w:lineRule="auto"/>
        <w:tabs>
          <w:tab w:leader="none" w:pos="39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July 27, 2021</w:t>
      </w:r>
    </w:p>
    <w:p>
      <w:pPr>
        <w:ind w:left="60"/>
        <w:spacing w:after="0"/>
        <w:rPr>
          <w:sz w:val="20"/>
          <w:szCs w:val="20"/>
          <w:color w:val="auto"/>
        </w:rPr>
      </w:pPr>
      <w:r>
        <w:rPr>
          <w:rFonts w:ascii="Arial" w:cs="Arial" w:eastAsia="Arial" w:hAnsi="Arial"/>
          <w:sz w:val="17"/>
          <w:szCs w:val="17"/>
          <w:color w:val="auto"/>
        </w:rPr>
        <w:t>/S/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2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color w:val="auto"/>
        </w:rPr>
        <w:t>Stephen A. Trowbridge, Executive Vice President,</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¹"/>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¹"/>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start w:val="2"/>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8"/>
    </w:lvl>
  </w:abstractNum>
  <w:abstractNum w:abstractNumId="43">
    <w:nsid w:val="75C6C33A"/>
    <w:multiLevelType w:val="hybridMultilevel"/>
    <w:lvl w:ilvl="0">
      <w:lvlJc w:val="left"/>
      <w:lvlText w:val="*"/>
      <w:numFmt w:val="bullet"/>
      <w:start w:val="1"/>
    </w:lvl>
    <w:lvl w:ilvl="1">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19"/>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21"/>
    </w:lvl>
  </w:abstractNum>
  <w:abstractNum w:abstractNumId="48">
    <w:nsid w:val="4F4EF005"/>
    <w:multiLevelType w:val="hybridMultilevel"/>
    <w:lvl w:ilvl="0">
      <w:lvlJc w:val="left"/>
      <w:lvlText w:val="%1"/>
      <w:numFmt w:val="decimal"/>
      <w:start w:val="23"/>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decimal"/>
      <w:start w:val="5"/>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07" Type="http://schemas.openxmlformats.org/officeDocument/2006/relationships/hyperlink" Target="http://www.sec.gov/Archives/edgar/data/1275187/000091412112000534/an26859490-ex2_1.htm" TargetMode="External"/><Relationship Id="rId108" Type="http://schemas.openxmlformats.org/officeDocument/2006/relationships/hyperlink" Target="http://www.sec.gov/Archives/edgar/data/1275187/000091412119000934/an53548547-2_1.htm" TargetMode="External"/><Relationship Id="rId109" Type="http://schemas.openxmlformats.org/officeDocument/2006/relationships/hyperlink" Target="http://www.sec.gov/Archives/edgar/data/1275187/000119312505198180/dex31.htm" TargetMode="External"/><Relationship Id="rId110" Type="http://schemas.openxmlformats.org/officeDocument/2006/relationships/hyperlink" Target="http://www.sec.gov/Archives/edgar/data/1275187/000127518715000018/ex31253115.htm" TargetMode="External"/><Relationship Id="rId111" Type="http://schemas.openxmlformats.org/officeDocument/2006/relationships/hyperlink" Target="http://www.sec.gov/Archives/edgar/data/1275187/000091412115000548/an33460072-ex3_1.htm" TargetMode="External"/><Relationship Id="rId112" Type="http://schemas.openxmlformats.org/officeDocument/2006/relationships/hyperlink" Target="http://www.sec.gov/Archives/edgar/data/1275187/000091412119001482/an53830394-10_1.htm" TargetMode="External"/><Relationship Id="rId113" Type="http://schemas.openxmlformats.org/officeDocument/2006/relationships/hyperlink" Target="http://www.sec.gov/Archives/edgar/data/1275187/000127518718000016/angoproxy-53118.htm" TargetMode="External"/><Relationship Id="rId114" Type="http://schemas.openxmlformats.org/officeDocument/2006/relationships/hyperlink" Target="http://www.sec.gov/Archives/edgar/data/1275187/000127518717000034/a83117-exx101.htm" TargetMode="External"/><Relationship Id="rId115" Type="http://schemas.openxmlformats.org/officeDocument/2006/relationships/hyperlink" Target="http://www.sec.gov/Archives/edgar/data/1275187/000127518718000011/ex1017totalshareholderretu.htm" TargetMode="External"/><Relationship Id="rId116" Type="http://schemas.openxmlformats.org/officeDocument/2006/relationships/hyperlink" Target="https://www.sec.gov/Archives/edgar/data/1275187/000127518720000005/psuawardagreement.htm" TargetMode="External"/><Relationship Id="rId117" Type="http://schemas.openxmlformats.org/officeDocument/2006/relationships/hyperlink" Target="https://www.sec.gov/Archives/edgar/data/1275187/000127518720000028/angoproxy-53120.htm" TargetMode="External"/><Relationship Id="rId118" Type="http://schemas.openxmlformats.org/officeDocument/2006/relationships/hyperlink" Target="http://www.sec.gov/Archives/edgar/data/1275187/000119312504169832/dex101.htm" TargetMode="External"/><Relationship Id="rId119" Type="http://schemas.openxmlformats.org/officeDocument/2006/relationships/hyperlink" Target="http://www.sec.gov/Archives/edgar/data/1275187/000127518718000011/ex1031stockoptionagreement.htm" TargetMode="External"/><Relationship Id="rId120" Type="http://schemas.openxmlformats.org/officeDocument/2006/relationships/hyperlink" Target="http://www.sec.gov/Archives/edgar/data/1275187/000127518716000037/ex102-2016psuagreement.htm" TargetMode="External"/><Relationship Id="rId121" Type="http://schemas.openxmlformats.org/officeDocument/2006/relationships/hyperlink" Target="http://www.sec.gov/Archives/edgar/data/1275187/000127518717000034/a83117-exx102.htm" TargetMode="External"/><Relationship Id="rId122" Type="http://schemas.openxmlformats.org/officeDocument/2006/relationships/hyperlink" Target="http://www.sec.gov/Archives/edgar/data/1275187/000127518718000011/ex1045performanceunitaward.htm" TargetMode="External"/><Relationship Id="rId123" Type="http://schemas.openxmlformats.org/officeDocument/2006/relationships/hyperlink" Target="https://www.sec.gov/ix?doc=/Archives/edgar/data/1275187/000127518721000005/ango-20201130.htm" TargetMode="External"/><Relationship Id="rId124" Type="http://schemas.openxmlformats.org/officeDocument/2006/relationships/hyperlink" Target="http://www.sec.gov/Archives/edgar/data/1275187/000116923205002637/d63831_ex10-3.htm" TargetMode="External"/><Relationship Id="rId125" Type="http://schemas.openxmlformats.org/officeDocument/2006/relationships/hyperlink" Target="http://www.sec.gov/Archives/edgar/data/1056421/0001012870-00-002503-index.html" TargetMode="External"/><Relationship Id="rId128" Type="http://schemas.openxmlformats.org/officeDocument/2006/relationships/hyperlink" Target="http://www.sec.gov/Archives/edgar/data/1052958/0000950144-98-001576-index.html" TargetMode="External"/><Relationship Id="rId129" Type="http://schemas.openxmlformats.org/officeDocument/2006/relationships/hyperlink" Target="http://www.sec.gov/Archives/edgar/data/1056421/000101287000003359/0001012870-00-003359-index.htm" TargetMode="External"/><Relationship Id="rId130" Type="http://schemas.openxmlformats.org/officeDocument/2006/relationships/hyperlink" Target="http://www.sec.gov/Archives/edgar/data/1056421/000114420405021015/v021182_ex99-2.htm" TargetMode="External"/><Relationship Id="rId131" Type="http://schemas.openxmlformats.org/officeDocument/2006/relationships/hyperlink" Target="http://www.sec.gov/Archives/edgar/data/1056421/000114420405021015/v021182_ex99-1.htm" TargetMode="External"/><Relationship Id="rId132" Type="http://schemas.openxmlformats.org/officeDocument/2006/relationships/hyperlink" Target="http://www.sec.gov/Archives/edgar/data/1275187/000116923206002370/d68040_ex10-1.htm" TargetMode="External"/><Relationship Id="rId133" Type="http://schemas.openxmlformats.org/officeDocument/2006/relationships/hyperlink" Target="http://www.sec.gov/Archives/edgar/data/1275187/000091412116001069/an35192888-ex10_1.htm" TargetMode="External"/><Relationship Id="rId134" Type="http://schemas.openxmlformats.org/officeDocument/2006/relationships/hyperlink" Target="http://www.sec.gov/Archives/edgar/data/1275187/000091412116001069/an35192888-ex10_2.htm" TargetMode="External"/><Relationship Id="rId135" Type="http://schemas.openxmlformats.org/officeDocument/2006/relationships/hyperlink" Target="https://www.sec.gov/Archives/edgar/data/1275187/000127518720000024/formofseveranceagreeme.htm" TargetMode="External"/><Relationship Id="rId136" Type="http://schemas.openxmlformats.org/officeDocument/2006/relationships/hyperlink" Target="http://www.sec.gov/Archives/edgar/data/1275187/000127518715000011/ex101353114a.htm" TargetMode="External"/><Relationship Id="rId137" Type="http://schemas.openxmlformats.org/officeDocument/2006/relationships/hyperlink" Target="http://www.sec.gov/Archives/edgar/data/1275187/000091412116001069/an35192888-ex10_3.htm" TargetMode="External"/><Relationship Id="rId138" Type="http://schemas.openxmlformats.org/officeDocument/2006/relationships/hyperlink" Target="http://www.sec.gov/Archives/edgar/data/1275187/000091412116001069/an35192888-ex10_4.htm" TargetMode="External"/><Relationship Id="rId139" Type="http://schemas.openxmlformats.org/officeDocument/2006/relationships/hyperlink" Target="http://www.sec.gov/Archives/edgar/data/1275187/000091412116001069/an35192888-ex10_5.htm" TargetMode="External"/><Relationship Id="rId140" Type="http://schemas.openxmlformats.org/officeDocument/2006/relationships/hyperlink" Target="http://www.sec.gov/Archives/edgar/data/1275187/000091412116001069/an35192888-ex10_6.htm" TargetMode="External"/><Relationship Id="rId141" Type="http://schemas.openxmlformats.org/officeDocument/2006/relationships/hyperlink" Target="http://www.sec.gov/Archives/edgar/data/1275187/000091412116001150/an35296029-ex10_1.htm" TargetMode="External"/><Relationship Id="rId142" Type="http://schemas.openxmlformats.org/officeDocument/2006/relationships/hyperlink" Target="https://www.sec.gov/ix?doc=/Archives/edgar/data/1275187/000091412121000581/an55676910-8ki.htm" TargetMode="External"/><Relationship Id="rId143" Type="http://schemas.openxmlformats.org/officeDocument/2006/relationships/hyperlink" Target="http://www.sec.gov/Archives/edgar/data/1275187/000116923206002370/d68040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2021-07-27T12:57:53Z</dcterms:created>
  <dcterms:modified xsi:type="dcterms:W3CDTF">2021-07-27T12:57:53Z</dcterms:modified>
</cp:coreProperties>
</file>