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884_10ka.htm"/>
      <w:bookmarkStart w:id="1" w:name="ksef20082884_10ka"/>
      <w:bookmarkStart w:id="2" w:name="ef20082884_10ka.htm"/>
      <w:bookmarkStart w:id="3" w:name="ksef20082884_10ka"/>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HorizontalLine"/>
        <w:bidi w:val="0"/>
        <w:jc w:val="center"/>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(Amendment No. 1)</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ANNUAL REPORT PURSUANT TO SECTION 13 OR 15(d) OF THE SECURITIES EXCHANGE ACT OF 1934</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May 31,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5a5d636e2bf1473981de1c614b0b8f51"/>
      <w:bookmarkStart w:id="5" w:name="z5a5d636e2bf1473981de1c614b0b8f51"/>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For the transition period from </w:t>
      </w:r>
      <w:r>
        <w:rPr>
          <w:rFonts w:ascii="Times New Roman" w:hAnsi="Times New Roman"/>
          <w:b/>
          <w:color w:val="000000"/>
          <w:sz w:val="20"/>
          <w:u w:val="single"/>
          <w:shd w:fill="FFFFFF" w:val="clear"/>
        </w:rPr>
        <w:t> </w:t>
      </w:r>
      <w:r>
        <w:rPr>
          <w:rFonts w:ascii="Times New Roman" w:hAnsi="Times New Roman"/>
          <w:b/>
          <w:color w:val="000000"/>
          <w:sz w:val="20"/>
          <w:shd w:fill="FFFFFF" w:val="clear"/>
        </w:rPr>
        <w:t xml:space="preserve"> to </w:t>
      </w:r>
      <w:r>
        <w:rPr>
          <w:rFonts w:ascii="Times New Roman" w:hAnsi="Times New Roman"/>
          <w:b/>
          <w:color w:val="000000"/>
          <w:sz w:val="20"/>
          <w:u w:val="single"/>
          <w:shd w:fill="FFFFFF" w:val="clear"/>
        </w:rPr>
        <w:t>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0-50761</w:t>
      </w:r>
    </w:p>
    <w:p>
      <w:pPr>
        <w:pStyle w:val="HorizontalLine"/>
        <w:bidi w:val="0"/>
        <w:jc w:val="center"/>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AngioDynamics,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40386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38600" cy="62865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00a3633dd9174b79b5616d3b581d065a"/>
      <w:bookmarkStart w:id="7" w:name="z00a3633dd9174b79b5616d3b581d065a"/>
      <w:bookmarkEnd w:id="7"/>
    </w:p>
    <w:tbl>
      <w:tblPr>
        <w:tblW w:w="9903" w:type="dxa"/>
        <w:jc w:val="left"/>
        <w:tblInd w:w="0" w:type="dxa"/>
        <w:tblLayout w:type="fixed"/>
        <w:tblCellMar>
          <w:top w:w="0" w:type="dxa"/>
          <w:left w:w="0" w:type="dxa"/>
          <w:bottom w:w="0" w:type="dxa"/>
          <w:right w:w="0" w:type="dxa"/>
        </w:tblCellMar>
      </w:tblPr>
      <w:tblGrid>
        <w:gridCol w:w="6140"/>
        <w:gridCol w:w="53"/>
        <w:gridCol w:w="3710"/>
      </w:tblGrid>
      <w:tr>
        <w:trPr/>
        <w:tc>
          <w:tcPr>
            <w:tcW w:w="6140" w:type="dxa"/>
            <w:tcBorders/>
            <w:vAlign w:val="center"/>
          </w:tcPr>
          <w:p>
            <w:pPr>
              <w:pStyle w:val="TableContents"/>
              <w:bidi w:val="0"/>
              <w:spacing w:before="0" w:after="0"/>
              <w:jc w:val="center"/>
              <w:rPr>
                <w:b/>
                <w:color w:val="000000"/>
              </w:rPr>
            </w:pPr>
            <w:r>
              <w:rPr>
                <w:b/>
                <w:color w:val="000000"/>
              </w:rPr>
              <w:t>Delaware</w:t>
            </w:r>
          </w:p>
        </w:tc>
        <w:tc>
          <w:tcPr>
            <w:tcW w:w="53" w:type="dxa"/>
            <w:tcBorders/>
            <w:vAlign w:val="center"/>
          </w:tcPr>
          <w:p>
            <w:pPr>
              <w:pStyle w:val="TableContents"/>
              <w:bidi w:val="0"/>
              <w:spacing w:before="0" w:after="283"/>
              <w:jc w:val="left"/>
              <w:rPr/>
            </w:pPr>
            <w:r>
              <w:rPr/>
            </w:r>
          </w:p>
        </w:tc>
        <w:tc>
          <w:tcPr>
            <w:tcW w:w="3710" w:type="dxa"/>
            <w:tcBorders/>
            <w:vAlign w:val="center"/>
          </w:tcPr>
          <w:p>
            <w:pPr>
              <w:pStyle w:val="TableContents"/>
              <w:bidi w:val="0"/>
              <w:spacing w:before="0" w:after="0"/>
              <w:jc w:val="center"/>
              <w:rPr>
                <w:b/>
                <w:color w:val="000000"/>
              </w:rPr>
            </w:pPr>
            <w:r>
              <w:rPr>
                <w:b/>
                <w:color w:val="000000"/>
              </w:rPr>
              <w:t>11-3146460</w:t>
            </w:r>
          </w:p>
        </w:tc>
      </w:tr>
      <w:tr>
        <w:trPr/>
        <w:tc>
          <w:tcPr>
            <w:tcW w:w="6140" w:type="dxa"/>
            <w:tcBorders/>
            <w:vAlign w:val="center"/>
          </w:tcPr>
          <w:p>
            <w:pPr>
              <w:pStyle w:val="TableContents"/>
              <w:bidi w:val="0"/>
              <w:spacing w:before="0" w:after="0"/>
              <w:jc w:val="center"/>
              <w:rPr>
                <w:b/>
                <w:color w:val="000000"/>
              </w:rPr>
            </w:pPr>
            <w:r>
              <w:rPr>
                <w:b/>
                <w:color w:val="000000"/>
              </w:rPr>
              <w:t>(State or other jurisdiction of incorporation or organization)</w:t>
            </w:r>
          </w:p>
        </w:tc>
        <w:tc>
          <w:tcPr>
            <w:tcW w:w="53" w:type="dxa"/>
            <w:tcBorders/>
            <w:vAlign w:val="center"/>
          </w:tcPr>
          <w:p>
            <w:pPr>
              <w:pStyle w:val="TableContents"/>
              <w:bidi w:val="0"/>
              <w:spacing w:before="0" w:after="283"/>
              <w:jc w:val="left"/>
              <w:rPr/>
            </w:pPr>
            <w:r>
              <w:rPr/>
            </w:r>
          </w:p>
        </w:tc>
        <w:tc>
          <w:tcPr>
            <w:tcW w:w="3710" w:type="dxa"/>
            <w:tcBorders/>
            <w:vAlign w:val="center"/>
          </w:tcPr>
          <w:p>
            <w:pPr>
              <w:pStyle w:val="TableContents"/>
              <w:bidi w:val="0"/>
              <w:spacing w:before="0" w:after="0"/>
              <w:jc w:val="center"/>
              <w:rPr>
                <w:b/>
                <w:color w:val="000000"/>
              </w:rPr>
            </w:pPr>
            <w:r>
              <w:rPr>
                <w:b/>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14 Plaza Drive, Latham, New York 12110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and zip code)</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(518) 795-1400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center"/>
        <w:rPr>
          <w:b/>
          <w:color w:val="000000"/>
        </w:rPr>
      </w:pPr>
      <w:r>
        <w:rPr>
          <w:b/>
          <w:color w:val="000000"/>
        </w:rPr>
      </w:r>
    </w:p>
    <w:p>
      <w:pPr>
        <w:pStyle w:val="HorizontalLine"/>
        <w:bidi w:val="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Normal"/>
        <w:bidi w:val="0"/>
        <w:spacing w:before="0" w:after="0"/>
        <w:jc w:val="left"/>
        <w:rPr>
          <w:sz w:val="4"/>
          <w:szCs w:val="4"/>
        </w:rPr>
      </w:pPr>
      <w:r>
        <w:rPr>
          <w:sz w:val="4"/>
          <w:szCs w:val="4"/>
        </w:rPr>
      </w:r>
      <w:bookmarkStart w:id="8" w:name="z623461d9adb94f6fa5a078e507d647b9"/>
      <w:bookmarkStart w:id="9" w:name="z623461d9adb94f6fa5a078e507d647b9"/>
      <w:bookmarkEnd w:id="9"/>
    </w:p>
    <w:tbl>
      <w:tblPr>
        <w:tblW w:w="10205" w:type="dxa"/>
        <w:jc w:val="left"/>
        <w:tblInd w:w="0" w:type="dxa"/>
        <w:tblLayout w:type="fixed"/>
        <w:tblCellMar>
          <w:top w:w="0" w:type="dxa"/>
          <w:left w:w="0" w:type="dxa"/>
          <w:bottom w:w="0" w:type="dxa"/>
          <w:right w:w="0" w:type="dxa"/>
        </w:tblCellMar>
      </w:tblPr>
      <w:tblGrid>
        <w:gridCol w:w="4103"/>
        <w:gridCol w:w="1688"/>
        <w:gridCol w:w="4414"/>
      </w:tblGrid>
      <w:tr>
        <w:trPr/>
        <w:tc>
          <w:tcPr>
            <w:tcW w:w="4103" w:type="dxa"/>
            <w:tcBorders/>
            <w:vAlign w:val="center"/>
          </w:tcPr>
          <w:p>
            <w:pPr>
              <w:pStyle w:val="TableContents"/>
              <w:bidi w:val="0"/>
              <w:spacing w:before="0" w:after="0"/>
              <w:jc w:val="center"/>
              <w:rPr>
                <w:b/>
                <w:color w:val="000000"/>
                <w:u w:val="single"/>
              </w:rPr>
            </w:pPr>
            <w:r>
              <w:rPr>
                <w:b/>
                <w:color w:val="000000"/>
                <w:u w:val="single"/>
              </w:rPr>
              <w:t>Title of each class</w:t>
            </w:r>
          </w:p>
        </w:tc>
        <w:tc>
          <w:tcPr>
            <w:tcW w:w="1688" w:type="dxa"/>
            <w:tcBorders/>
            <w:vAlign w:val="center"/>
          </w:tcPr>
          <w:p>
            <w:pPr>
              <w:pStyle w:val="TableContents"/>
              <w:bidi w:val="0"/>
              <w:spacing w:before="0" w:after="0"/>
              <w:jc w:val="center"/>
              <w:rPr>
                <w:b/>
                <w:color w:val="000000"/>
                <w:u w:val="single"/>
              </w:rPr>
            </w:pPr>
            <w:r>
              <w:rPr>
                <w:b/>
                <w:color w:val="000000"/>
                <w:u w:val="single"/>
              </w:rPr>
              <w:t>Trading Symbol</w:t>
            </w:r>
          </w:p>
        </w:tc>
        <w:tc>
          <w:tcPr>
            <w:tcW w:w="4414" w:type="dxa"/>
            <w:tcBorders/>
            <w:vAlign w:val="center"/>
          </w:tcPr>
          <w:p>
            <w:pPr>
              <w:pStyle w:val="TableContents"/>
              <w:bidi w:val="0"/>
              <w:spacing w:before="0" w:after="0"/>
              <w:jc w:val="center"/>
              <w:rPr>
                <w:b/>
                <w:color w:val="000000"/>
                <w:u w:val="single"/>
              </w:rPr>
            </w:pPr>
            <w:r>
              <w:rPr>
                <w:b/>
                <w:color w:val="000000"/>
                <w:u w:val="single"/>
              </w:rPr>
              <w:t>Name of each exchange on which registered</w:t>
            </w:r>
          </w:p>
        </w:tc>
      </w:tr>
      <w:tr>
        <w:trPr/>
        <w:tc>
          <w:tcPr>
            <w:tcW w:w="4103" w:type="dxa"/>
            <w:tcBorders/>
            <w:vAlign w:val="center"/>
          </w:tcPr>
          <w:p>
            <w:pPr>
              <w:pStyle w:val="TableContents"/>
              <w:bidi w:val="0"/>
              <w:spacing w:before="0" w:after="0"/>
              <w:jc w:val="center"/>
              <w:rPr>
                <w:b/>
                <w:color w:val="000000"/>
              </w:rPr>
            </w:pPr>
            <w:r>
              <w:rPr>
                <w:b/>
                <w:color w:val="000000"/>
              </w:rPr>
              <w:t>Common Stock, par value $.01 per share</w:t>
            </w:r>
          </w:p>
        </w:tc>
        <w:tc>
          <w:tcPr>
            <w:tcW w:w="1688" w:type="dxa"/>
            <w:tcBorders/>
            <w:vAlign w:val="center"/>
          </w:tcPr>
          <w:p>
            <w:pPr>
              <w:pStyle w:val="TableContents"/>
              <w:bidi w:val="0"/>
              <w:spacing w:before="0" w:after="0"/>
              <w:jc w:val="center"/>
              <w:rPr>
                <w:b/>
                <w:color w:val="000000"/>
              </w:rPr>
            </w:pPr>
            <w:r>
              <w:rPr>
                <w:b/>
                <w:color w:val="000000"/>
              </w:rPr>
              <w:t>ANGO</w:t>
            </w:r>
          </w:p>
        </w:tc>
        <w:tc>
          <w:tcPr>
            <w:tcW w:w="4414" w:type="dxa"/>
            <w:tcBorders/>
            <w:vAlign w:val="center"/>
          </w:tcPr>
          <w:p>
            <w:pPr>
              <w:pStyle w:val="TableContents"/>
              <w:bidi w:val="0"/>
              <w:spacing w:before="0" w:after="0"/>
              <w:jc w:val="center"/>
              <w:rPr>
                <w:b/>
                <w:color w:val="000000"/>
              </w:rPr>
            </w:pPr>
            <w:r>
              <w:rPr>
                <w:b/>
                <w:color w:val="000000"/>
              </w:rPr>
              <w:t>NASDAQ Global Select Market</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12(g) of the Act: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None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(Title of Class)</w:t>
      </w:r>
    </w:p>
    <w:p>
      <w:pPr>
        <w:pStyle w:val="TextBody"/>
        <w:bidi w:val="0"/>
        <w:spacing w:before="0" w:after="0"/>
        <w:jc w:val="center"/>
        <w:rPr>
          <w:b/>
          <w:color w:val="000000"/>
        </w:rPr>
      </w:pPr>
      <w:r>
        <w:rPr>
          <w:b/>
          <w:color w:val="000000"/>
        </w:rPr>
      </w:r>
    </w:p>
    <w:p>
      <w:pPr>
        <w:pStyle w:val="HorizontalLine"/>
        <w:bidi w:val="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not required to file reports pursuant to Section 13 or 15(d) of the Act.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0" w:name="zdc55b2415b714ca792764792c6823646"/>
      <w:bookmarkStart w:id="11" w:name="zdc55b2415b714ca792764792c6823646"/>
      <w:bookmarkEnd w:id="11"/>
    </w:p>
    <w:tbl>
      <w:tblPr>
        <w:tblW w:w="5916" w:type="dxa"/>
        <w:jc w:val="left"/>
        <w:tblInd w:w="0" w:type="dxa"/>
        <w:tblLayout w:type="fixed"/>
        <w:tblCellMar>
          <w:top w:w="0" w:type="dxa"/>
          <w:left w:w="0" w:type="dxa"/>
          <w:bottom w:w="0" w:type="dxa"/>
          <w:right w:w="0" w:type="dxa"/>
        </w:tblCellMar>
      </w:tblPr>
      <w:tblGrid>
        <w:gridCol w:w="53"/>
        <w:gridCol w:w="2645"/>
        <w:gridCol w:w="260"/>
        <w:gridCol w:w="53"/>
        <w:gridCol w:w="2615"/>
        <w:gridCol w:w="290"/>
      </w:tblGrid>
      <w:tr>
        <w:trPr/>
        <w:tc>
          <w:tcPr>
            <w:tcW w:w="53" w:type="dxa"/>
            <w:tcBorders/>
            <w:vAlign w:val="center"/>
          </w:tcPr>
          <w:p>
            <w:pPr>
              <w:pStyle w:val="TableContents"/>
              <w:bidi w:val="0"/>
              <w:spacing w:before="0" w:after="283"/>
              <w:jc w:val="left"/>
              <w:rPr/>
            </w:pPr>
            <w:r>
              <w:rPr/>
            </w:r>
          </w:p>
        </w:tc>
        <w:tc>
          <w:tcPr>
            <w:tcW w:w="2645" w:type="dxa"/>
            <w:tcBorders/>
            <w:vAlign w:val="center"/>
          </w:tcPr>
          <w:p>
            <w:pPr>
              <w:pStyle w:val="TableContents"/>
              <w:bidi w:val="0"/>
              <w:spacing w:before="0" w:after="0"/>
              <w:jc w:val="left"/>
              <w:rPr>
                <w:color w:val="000000"/>
              </w:rPr>
            </w:pPr>
            <w:r>
              <w:rPr>
                <w:color w:val="000000"/>
              </w:rPr>
              <w:t>Large accelerated filer</w:t>
            </w:r>
          </w:p>
        </w:tc>
        <w:tc>
          <w:tcPr>
            <w:tcW w:w="260"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c>
          <w:tcPr>
            <w:tcW w:w="2615" w:type="dxa"/>
            <w:tcBorders/>
            <w:vAlign w:val="center"/>
          </w:tcPr>
          <w:p>
            <w:pPr>
              <w:pStyle w:val="TableContents"/>
              <w:bidi w:val="0"/>
              <w:spacing w:before="0" w:after="0"/>
              <w:jc w:val="left"/>
              <w:rPr>
                <w:color w:val="000000"/>
              </w:rPr>
            </w:pPr>
            <w:r>
              <w:rPr>
                <w:color w:val="000000"/>
              </w:rPr>
              <w:t>Accelerated filer</w:t>
            </w:r>
          </w:p>
        </w:tc>
        <w:tc>
          <w:tcPr>
            <w:tcW w:w="290" w:type="dxa"/>
            <w:tcBorders/>
            <w:vAlign w:val="center"/>
          </w:tcPr>
          <w:p>
            <w:pPr>
              <w:pStyle w:val="TableContents"/>
              <w:bidi w:val="0"/>
              <w:spacing w:before="0" w:after="0"/>
              <w:jc w:val="left"/>
              <w:rPr>
                <w:color w:val="000000"/>
              </w:rPr>
            </w:pPr>
            <w:r>
              <w:rPr>
                <w:color w:val="000000"/>
              </w:rPr>
              <w:t>☒</w:t>
            </w:r>
          </w:p>
        </w:tc>
      </w:tr>
      <w:tr>
        <w:trPr/>
        <w:tc>
          <w:tcPr>
            <w:tcW w:w="53" w:type="dxa"/>
            <w:tcBorders/>
            <w:vAlign w:val="center"/>
          </w:tcPr>
          <w:p>
            <w:pPr>
              <w:pStyle w:val="TableContents"/>
              <w:bidi w:val="0"/>
              <w:spacing w:before="0" w:after="283"/>
              <w:jc w:val="left"/>
              <w:rPr/>
            </w:pPr>
            <w:r>
              <w:rPr/>
            </w:r>
          </w:p>
        </w:tc>
        <w:tc>
          <w:tcPr>
            <w:tcW w:w="2645" w:type="dxa"/>
            <w:tcBorders/>
            <w:vAlign w:val="center"/>
          </w:tcPr>
          <w:p>
            <w:pPr>
              <w:pStyle w:val="TableContents"/>
              <w:bidi w:val="0"/>
              <w:spacing w:before="0" w:after="0"/>
              <w:jc w:val="left"/>
              <w:rPr>
                <w:color w:val="000000"/>
              </w:rPr>
            </w:pPr>
            <w:r>
              <w:rPr>
                <w:color w:val="000000"/>
              </w:rPr>
              <w:t>Non-accelerated filer</w:t>
            </w:r>
          </w:p>
        </w:tc>
        <w:tc>
          <w:tcPr>
            <w:tcW w:w="260"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c>
          <w:tcPr>
            <w:tcW w:w="2615" w:type="dxa"/>
            <w:tcBorders/>
            <w:vAlign w:val="center"/>
          </w:tcPr>
          <w:p>
            <w:pPr>
              <w:pStyle w:val="TableContents"/>
              <w:bidi w:val="0"/>
              <w:spacing w:before="0" w:after="0"/>
              <w:jc w:val="left"/>
              <w:rPr>
                <w:color w:val="000000"/>
              </w:rPr>
            </w:pPr>
            <w:r>
              <w:rPr>
                <w:color w:val="000000"/>
              </w:rPr>
              <w:t>Smaller reporting company</w:t>
            </w:r>
          </w:p>
        </w:tc>
        <w:tc>
          <w:tcPr>
            <w:tcW w:w="290" w:type="dxa"/>
            <w:tcBorders/>
            <w:vAlign w:val="center"/>
          </w:tcPr>
          <w:p>
            <w:pPr>
              <w:pStyle w:val="TableContents"/>
              <w:bidi w:val="0"/>
              <w:spacing w:before="0" w:after="0"/>
              <w:jc w:val="left"/>
              <w:rPr>
                <w:color w:val="000000"/>
              </w:rPr>
            </w:pPr>
            <w:r>
              <w:rPr>
                <w:color w:val="000000"/>
              </w:rPr>
              <w:t>☐</w:t>
            </w:r>
          </w:p>
        </w:tc>
      </w:tr>
      <w:tr>
        <w:trPr/>
        <w:tc>
          <w:tcPr>
            <w:tcW w:w="53" w:type="dxa"/>
            <w:tcBorders/>
            <w:vAlign w:val="center"/>
          </w:tcPr>
          <w:p>
            <w:pPr>
              <w:pStyle w:val="TableContents"/>
              <w:bidi w:val="0"/>
              <w:spacing w:before="0" w:after="283"/>
              <w:jc w:val="left"/>
              <w:rPr/>
            </w:pPr>
            <w:r>
              <w:rPr/>
            </w:r>
          </w:p>
        </w:tc>
        <w:tc>
          <w:tcPr>
            <w:tcW w:w="2645" w:type="dxa"/>
            <w:tcBorders/>
            <w:vAlign w:val="center"/>
          </w:tcPr>
          <w:p>
            <w:pPr>
              <w:pStyle w:val="TableContents"/>
              <w:bidi w:val="0"/>
              <w:spacing w:before="0" w:after="0"/>
              <w:jc w:val="left"/>
              <w:rPr>
                <w:color w:val="000000"/>
              </w:rPr>
            </w:pPr>
            <w:r>
              <w:rPr>
                <w:color w:val="000000"/>
              </w:rPr>
              <w:t>Emerging growth company</w:t>
            </w:r>
          </w:p>
        </w:tc>
        <w:tc>
          <w:tcPr>
            <w:tcW w:w="260"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color w:val="000000"/>
          <w:sz w:val="20"/>
        </w:rPr>
      </w:pPr>
      <w:r>
        <w:rPr>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November 30, 2025, the last business day of the registrant’s most recently completed second fiscal quarter, the aggregate market value of the registrant’s common stock held by non-affiliates was approximately $436,293,219 computed by reference to the last sale price of the common stock on that date as reported by The NASDAQ Global Select Market.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September 18, 2026 there were 42,054,450 shares of the registrant’s common stock outstanding.</w:t>
      </w:r>
    </w:p>
    <w:p>
      <w:pPr>
        <w:pStyle w:val="TextBody"/>
        <w:bidi w:val="0"/>
        <w:spacing w:before="0" w:after="0"/>
        <w:jc w:val="left"/>
        <w:rPr>
          <w:color w:val="000000"/>
          <w:shd w:fill="FFFFFF" w:val="clear"/>
        </w:rPr>
      </w:pPr>
      <w:r>
        <w:rPr>
          <w:color w:val="000000"/>
          <w:shd w:fill="FFFFFF" w:val="clear"/>
        </w:rPr>
        <w:t> </w:t>
      </w:r>
    </w:p>
    <w:tbl>
      <w:tblPr>
        <w:tblW w:w="9840" w:type="dxa"/>
        <w:jc w:val="left"/>
        <w:tblInd w:w="0" w:type="dxa"/>
        <w:tblLayout w:type="fixed"/>
        <w:tblCellMar>
          <w:top w:w="0" w:type="dxa"/>
          <w:left w:w="0" w:type="dxa"/>
          <w:bottom w:w="0" w:type="dxa"/>
          <w:right w:w="0" w:type="dxa"/>
        </w:tblCellMar>
      </w:tblPr>
      <w:tblGrid>
        <w:gridCol w:w="3815"/>
        <w:gridCol w:w="3950"/>
        <w:gridCol w:w="2075"/>
      </w:tblGrid>
      <w:tr>
        <w:trPr/>
        <w:tc>
          <w:tcPr>
            <w:tcW w:w="3815"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0"/>
              <w:jc w:val="left"/>
              <w:rPr/>
            </w:pPr>
            <w:r>
              <w:rPr/>
              <w:t>Auditor Name: Deloitte &amp; Touche LLP</w:t>
            </w:r>
          </w:p>
        </w:tc>
        <w:tc>
          <w:tcPr>
            <w:tcW w:w="3950" w:type="dxa"/>
            <w:tcBorders/>
            <w:vAlign w:val="center"/>
          </w:tcPr>
          <w:p>
            <w:pPr>
              <w:pStyle w:val="TableContents"/>
              <w:bidi w:val="0"/>
              <w:spacing w:before="0" w:after="0"/>
              <w:jc w:val="center"/>
              <w:rPr/>
            </w:pPr>
            <w:r>
              <w:rPr/>
              <w:t>Auditor Location: Boston, Massachusetts</w:t>
            </w:r>
          </w:p>
        </w:tc>
        <w:tc>
          <w:tcPr>
            <w:tcW w:w="2075" w:type="dxa"/>
            <w:tcBorders/>
            <w:vAlign w:val="center"/>
          </w:tcPr>
          <w:p>
            <w:pPr>
              <w:pStyle w:val="TableContents"/>
              <w:bidi w:val="0"/>
              <w:spacing w:before="0" w:after="0"/>
              <w:jc w:val="right"/>
              <w:rPr/>
            </w:pPr>
            <w:r>
              <w:rPr/>
              <w:t>Auditor Firm ID: 34 </w:t>
            </w:r>
          </w:p>
        </w:tc>
      </w:tr>
    </w:tbl>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DOCUMENTS INCORPORATED BY REFERENCE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AngioDynamics, Inc. and Subsidiaries</w:t>
      </w:r>
    </w:p>
    <w:p>
      <w:pPr>
        <w:pStyle w:val="TextBody"/>
        <w:bidi w:val="0"/>
        <w:spacing w:before="0" w:after="0"/>
        <w:jc w:val="center"/>
        <w:rPr>
          <w:rFonts w:ascii="Times New Roman" w:hAnsi="Times New Roman"/>
          <w:b/>
          <w:color w:val="000000"/>
          <w:sz w:val="20"/>
          <w:shd w:fill="FFFFFF" w:val="clear"/>
        </w:rPr>
      </w:pPr>
      <w:bookmarkStart w:id="12" w:name="INDEX"/>
      <w:bookmarkEnd w:id="12"/>
      <w:r>
        <w:rPr>
          <w:rFonts w:ascii="Times New Roman" w:hAnsi="Times New Roman"/>
          <w:b/>
          <w:color w:val="000000"/>
          <w:sz w:val="20"/>
          <w:shd w:fill="FFFFFF" w:val="clear"/>
        </w:rPr>
        <w:t>INDEX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zfbc67dded36943548a067bcc3251355a"/>
      <w:bookmarkStart w:id="14" w:name="zfbc67dded36943548a067bcc3251355a"/>
      <w:bookmarkEnd w:id="14"/>
    </w:p>
    <w:tbl>
      <w:tblPr>
        <w:tblW w:w="10205" w:type="dxa"/>
        <w:jc w:val="left"/>
        <w:tblInd w:w="0" w:type="dxa"/>
        <w:tblLayout w:type="fixed"/>
        <w:tblCellMar>
          <w:top w:w="0" w:type="dxa"/>
          <w:left w:w="0" w:type="dxa"/>
          <w:bottom w:w="0" w:type="dxa"/>
          <w:right w:w="0" w:type="dxa"/>
        </w:tblCellMar>
      </w:tblPr>
      <w:tblGrid>
        <w:gridCol w:w="53"/>
        <w:gridCol w:w="793"/>
        <w:gridCol w:w="8783"/>
        <w:gridCol w:w="576"/>
      </w:tblGrid>
      <w:tr>
        <w:trPr/>
        <w:tc>
          <w:tcPr>
            <w:tcW w:w="53" w:type="dxa"/>
            <w:tcBorders/>
            <w:vAlign w:val="center"/>
          </w:tcPr>
          <w:p>
            <w:pPr>
              <w:pStyle w:val="TableContents"/>
              <w:bidi w:val="0"/>
              <w:spacing w:before="0" w:after="283"/>
              <w:jc w:val="left"/>
              <w:rPr/>
            </w:pPr>
            <w:r>
              <w:rPr/>
            </w:r>
          </w:p>
        </w:tc>
        <w:tc>
          <w:tcPr>
            <w:tcW w:w="793" w:type="dxa"/>
            <w:tcBorders/>
            <w:vAlign w:val="center"/>
          </w:tcPr>
          <w:p>
            <w:pPr>
              <w:pStyle w:val="TableContents"/>
              <w:bidi w:val="0"/>
              <w:spacing w:before="0" w:after="283"/>
              <w:jc w:val="left"/>
              <w:rPr/>
            </w:pPr>
            <w:r>
              <w:rPr/>
            </w:r>
          </w:p>
        </w:tc>
        <w:tc>
          <w:tcPr>
            <w:tcW w:w="8783" w:type="dxa"/>
            <w:tcBorders/>
            <w:vAlign w:val="center"/>
          </w:tcPr>
          <w:p>
            <w:pPr>
              <w:pStyle w:val="TableContents"/>
              <w:bidi w:val="0"/>
              <w:spacing w:before="0" w:after="283"/>
              <w:jc w:val="left"/>
              <w:rPr/>
            </w:pPr>
            <w:r>
              <w:rPr/>
            </w:r>
          </w:p>
        </w:tc>
        <w:tc>
          <w:tcPr>
            <w:tcW w:w="576" w:type="dxa"/>
            <w:tcBorders/>
            <w:vAlign w:val="center"/>
          </w:tcPr>
          <w:p>
            <w:pPr>
              <w:pStyle w:val="TableContents"/>
              <w:bidi w:val="0"/>
              <w:spacing w:before="0" w:after="0"/>
              <w:jc w:val="center"/>
              <w:rPr>
                <w:b/>
                <w:color w:val="000000"/>
              </w:rPr>
            </w:pPr>
            <w:r>
              <w:rPr>
                <w:b/>
                <w:color w:val="000000"/>
              </w:rPr>
              <w:t>Page</w:t>
            </w:r>
          </w:p>
        </w:tc>
      </w:tr>
      <w:tr>
        <w:trPr/>
        <w:tc>
          <w:tcPr>
            <w:tcW w:w="846" w:type="dxa"/>
            <w:gridSpan w:val="2"/>
            <w:tcBorders/>
            <w:vAlign w:val="center"/>
          </w:tcPr>
          <w:p>
            <w:pPr>
              <w:pStyle w:val="TableContents"/>
              <w:bidi w:val="0"/>
              <w:spacing w:before="0" w:after="0"/>
              <w:jc w:val="left"/>
              <w:rPr>
                <w:color w:val="000000"/>
              </w:rPr>
            </w:pPr>
            <w:r>
              <w:rPr>
                <w:color w:val="000000"/>
              </w:rPr>
              <w:t>Part III:</w:t>
            </w:r>
          </w:p>
        </w:tc>
        <w:tc>
          <w:tcPr>
            <w:tcW w:w="8783"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r>
      <w:tr>
        <w:trPr/>
        <w:tc>
          <w:tcPr>
            <w:tcW w:w="53" w:type="dxa"/>
            <w:tcBorders/>
            <w:shd w:fill="CCEEFF" w:val="clear"/>
            <w:vAlign w:val="center"/>
          </w:tcPr>
          <w:p>
            <w:pPr>
              <w:pStyle w:val="TableContents"/>
              <w:bidi w:val="0"/>
              <w:spacing w:before="0" w:after="283"/>
              <w:jc w:val="left"/>
              <w:rPr/>
            </w:pPr>
            <w:r>
              <w:rPr/>
            </w:r>
          </w:p>
        </w:tc>
        <w:tc>
          <w:tcPr>
            <w:tcW w:w="793" w:type="dxa"/>
            <w:tcBorders/>
            <w:shd w:fill="CCEEFF" w:val="clear"/>
            <w:vAlign w:val="center"/>
          </w:tcPr>
          <w:p>
            <w:pPr>
              <w:pStyle w:val="TableContents"/>
              <w:bidi w:val="0"/>
              <w:spacing w:before="0" w:after="0"/>
              <w:jc w:val="left"/>
              <w:rPr>
                <w:color w:val="000000"/>
              </w:rPr>
            </w:pPr>
            <w:r>
              <w:rPr>
                <w:color w:val="000000"/>
              </w:rPr>
              <w:t>Item 10.</w:t>
            </w:r>
          </w:p>
        </w:tc>
        <w:tc>
          <w:tcPr>
            <w:tcW w:w="8783" w:type="dxa"/>
            <w:tcBorders/>
            <w:shd w:fill="CCEEFF" w:val="clear"/>
            <w:vAlign w:val="center"/>
          </w:tcPr>
          <w:p>
            <w:pPr>
              <w:pStyle w:val="TableContents"/>
              <w:bidi w:val="0"/>
              <w:spacing w:before="0" w:after="0"/>
              <w:jc w:val="left"/>
              <w:rPr/>
            </w:pPr>
            <w:hyperlink w:anchor="Item10.">
              <w:r>
                <w:rPr>
                  <w:rStyle w:val="InternetLink"/>
                  <w:color w:val="000000"/>
                </w:rPr>
                <w:t>Directors, Executive Officers and Corporate Governance</w:t>
              </w:r>
            </w:hyperlink>
          </w:p>
        </w:tc>
        <w:tc>
          <w:tcPr>
            <w:tcW w:w="576" w:type="dxa"/>
            <w:tcBorders/>
            <w:shd w:fill="CCEEFF" w:val="clear"/>
            <w:vAlign w:val="center"/>
          </w:tcPr>
          <w:p>
            <w:pPr>
              <w:pStyle w:val="TableContents"/>
              <w:bidi w:val="0"/>
              <w:spacing w:before="0" w:after="0"/>
              <w:jc w:val="right"/>
              <w:rPr/>
            </w:pPr>
            <w:r>
              <w:rPr/>
              <w:t>3</w:t>
            </w:r>
          </w:p>
        </w:tc>
      </w:tr>
      <w:tr>
        <w:trPr/>
        <w:tc>
          <w:tcPr>
            <w:tcW w:w="53" w:type="dxa"/>
            <w:tcBorders/>
            <w:vAlign w:val="center"/>
          </w:tcPr>
          <w:p>
            <w:pPr>
              <w:pStyle w:val="TableContents"/>
              <w:bidi w:val="0"/>
              <w:spacing w:before="0" w:after="283"/>
              <w:jc w:val="left"/>
              <w:rPr/>
            </w:pPr>
            <w:r>
              <w:rPr/>
            </w:r>
          </w:p>
        </w:tc>
        <w:tc>
          <w:tcPr>
            <w:tcW w:w="793" w:type="dxa"/>
            <w:tcBorders/>
            <w:vAlign w:val="center"/>
          </w:tcPr>
          <w:p>
            <w:pPr>
              <w:pStyle w:val="TableContents"/>
              <w:bidi w:val="0"/>
              <w:spacing w:before="0" w:after="0"/>
              <w:jc w:val="left"/>
              <w:rPr>
                <w:color w:val="000000"/>
              </w:rPr>
            </w:pPr>
            <w:r>
              <w:rPr>
                <w:color w:val="000000"/>
              </w:rPr>
              <w:t>Item 11.</w:t>
            </w:r>
          </w:p>
        </w:tc>
        <w:tc>
          <w:tcPr>
            <w:tcW w:w="8783" w:type="dxa"/>
            <w:tcBorders/>
            <w:vAlign w:val="center"/>
          </w:tcPr>
          <w:p>
            <w:pPr>
              <w:pStyle w:val="TableContents"/>
              <w:bidi w:val="0"/>
              <w:spacing w:before="0" w:after="0"/>
              <w:jc w:val="left"/>
              <w:rPr/>
            </w:pPr>
            <w:hyperlink w:anchor="Item11.">
              <w:r>
                <w:rPr>
                  <w:rStyle w:val="InternetLink"/>
                  <w:color w:val="000000"/>
                </w:rPr>
                <w:t>Executive Compensation</w:t>
              </w:r>
            </w:hyperlink>
          </w:p>
        </w:tc>
        <w:tc>
          <w:tcPr>
            <w:tcW w:w="576" w:type="dxa"/>
            <w:tcBorders/>
            <w:vAlign w:val="center"/>
          </w:tcPr>
          <w:p>
            <w:pPr>
              <w:pStyle w:val="TableContents"/>
              <w:bidi w:val="0"/>
              <w:spacing w:before="0" w:after="0"/>
              <w:jc w:val="right"/>
              <w:rPr>
                <w:color w:val="000000"/>
              </w:rPr>
            </w:pPr>
            <w:r>
              <w:rPr>
                <w:color w:val="000000"/>
              </w:rPr>
              <w:t>10</w:t>
            </w:r>
          </w:p>
        </w:tc>
      </w:tr>
      <w:tr>
        <w:trPr/>
        <w:tc>
          <w:tcPr>
            <w:tcW w:w="53" w:type="dxa"/>
            <w:tcBorders/>
            <w:shd w:fill="CCEEFF" w:val="clear"/>
            <w:vAlign w:val="center"/>
          </w:tcPr>
          <w:p>
            <w:pPr>
              <w:pStyle w:val="TableContents"/>
              <w:bidi w:val="0"/>
              <w:spacing w:before="0" w:after="283"/>
              <w:jc w:val="left"/>
              <w:rPr/>
            </w:pPr>
            <w:r>
              <w:rPr/>
            </w:r>
          </w:p>
        </w:tc>
        <w:tc>
          <w:tcPr>
            <w:tcW w:w="793" w:type="dxa"/>
            <w:tcBorders/>
            <w:shd w:fill="CCEEFF" w:val="clear"/>
            <w:vAlign w:val="center"/>
          </w:tcPr>
          <w:p>
            <w:pPr>
              <w:pStyle w:val="TableContents"/>
              <w:bidi w:val="0"/>
              <w:spacing w:before="0" w:after="0"/>
              <w:jc w:val="left"/>
              <w:rPr>
                <w:color w:val="000000"/>
              </w:rPr>
            </w:pPr>
            <w:r>
              <w:rPr>
                <w:color w:val="000000"/>
              </w:rPr>
              <w:t>Item 12.</w:t>
            </w:r>
          </w:p>
        </w:tc>
        <w:tc>
          <w:tcPr>
            <w:tcW w:w="8783" w:type="dxa"/>
            <w:tcBorders/>
            <w:shd w:fill="CCEEFF" w:val="clear"/>
            <w:vAlign w:val="center"/>
          </w:tcPr>
          <w:p>
            <w:pPr>
              <w:pStyle w:val="TableContents"/>
              <w:bidi w:val="0"/>
              <w:spacing w:before="0" w:after="0"/>
              <w:jc w:val="left"/>
              <w:rPr/>
            </w:pPr>
            <w:hyperlink w:anchor="Item12.">
              <w:r>
                <w:rPr>
                  <w:rStyle w:val="InternetLink"/>
                  <w:color w:val="000000"/>
                </w:rPr>
                <w:t>Security Ownership of Certain Beneficial Owners and Management and Related Stockholder Matters</w:t>
              </w:r>
            </w:hyperlink>
          </w:p>
        </w:tc>
        <w:tc>
          <w:tcPr>
            <w:tcW w:w="576" w:type="dxa"/>
            <w:tcBorders/>
            <w:shd w:fill="CCEEFF" w:val="clear"/>
            <w:vAlign w:val="center"/>
          </w:tcPr>
          <w:p>
            <w:pPr>
              <w:pStyle w:val="TableContents"/>
              <w:bidi w:val="0"/>
              <w:spacing w:before="0" w:after="283"/>
              <w:jc w:val="right"/>
              <w:rPr/>
            </w:pPr>
            <w:r>
              <w:rPr/>
              <w:t>41</w:t>
            </w:r>
          </w:p>
        </w:tc>
      </w:tr>
      <w:tr>
        <w:trPr/>
        <w:tc>
          <w:tcPr>
            <w:tcW w:w="53" w:type="dxa"/>
            <w:tcBorders/>
            <w:vAlign w:val="center"/>
          </w:tcPr>
          <w:p>
            <w:pPr>
              <w:pStyle w:val="TableContents"/>
              <w:bidi w:val="0"/>
              <w:spacing w:before="0" w:after="283"/>
              <w:jc w:val="left"/>
              <w:rPr/>
            </w:pPr>
            <w:r>
              <w:rPr/>
            </w:r>
          </w:p>
        </w:tc>
        <w:tc>
          <w:tcPr>
            <w:tcW w:w="793" w:type="dxa"/>
            <w:tcBorders/>
            <w:vAlign w:val="center"/>
          </w:tcPr>
          <w:p>
            <w:pPr>
              <w:pStyle w:val="TableContents"/>
              <w:bidi w:val="0"/>
              <w:spacing w:before="0" w:after="0"/>
              <w:jc w:val="left"/>
              <w:rPr>
                <w:color w:val="000000"/>
              </w:rPr>
            </w:pPr>
            <w:r>
              <w:rPr>
                <w:color w:val="000000"/>
              </w:rPr>
              <w:t>Item 13.</w:t>
            </w:r>
          </w:p>
        </w:tc>
        <w:tc>
          <w:tcPr>
            <w:tcW w:w="8783" w:type="dxa"/>
            <w:tcBorders/>
            <w:vAlign w:val="center"/>
          </w:tcPr>
          <w:p>
            <w:pPr>
              <w:pStyle w:val="TableContents"/>
              <w:bidi w:val="0"/>
              <w:spacing w:before="0" w:after="0"/>
              <w:jc w:val="left"/>
              <w:rPr/>
            </w:pPr>
            <w:hyperlink w:anchor="Item13.">
              <w:r>
                <w:rPr>
                  <w:rStyle w:val="InternetLink"/>
                  <w:color w:val="000000"/>
                </w:rPr>
                <w:t>Certain Relationships and Related Transactions, and Director Independence</w:t>
              </w:r>
            </w:hyperlink>
          </w:p>
        </w:tc>
        <w:tc>
          <w:tcPr>
            <w:tcW w:w="576" w:type="dxa"/>
            <w:tcBorders/>
            <w:vAlign w:val="center"/>
          </w:tcPr>
          <w:p>
            <w:pPr>
              <w:pStyle w:val="TableContents"/>
              <w:bidi w:val="0"/>
              <w:spacing w:before="0" w:after="283"/>
              <w:jc w:val="right"/>
              <w:rPr/>
            </w:pPr>
            <w:r>
              <w:rPr/>
              <w:t>45</w:t>
            </w:r>
          </w:p>
        </w:tc>
      </w:tr>
      <w:tr>
        <w:trPr/>
        <w:tc>
          <w:tcPr>
            <w:tcW w:w="53" w:type="dxa"/>
            <w:tcBorders/>
            <w:shd w:fill="CCEEFF" w:val="clear"/>
            <w:vAlign w:val="center"/>
          </w:tcPr>
          <w:p>
            <w:pPr>
              <w:pStyle w:val="TableContents"/>
              <w:bidi w:val="0"/>
              <w:spacing w:before="0" w:after="283"/>
              <w:jc w:val="left"/>
              <w:rPr/>
            </w:pPr>
            <w:r>
              <w:rPr/>
            </w:r>
          </w:p>
        </w:tc>
        <w:tc>
          <w:tcPr>
            <w:tcW w:w="793" w:type="dxa"/>
            <w:tcBorders/>
            <w:shd w:fill="CCEEFF" w:val="clear"/>
            <w:vAlign w:val="center"/>
          </w:tcPr>
          <w:p>
            <w:pPr>
              <w:pStyle w:val="TableContents"/>
              <w:bidi w:val="0"/>
              <w:spacing w:before="0" w:after="0"/>
              <w:jc w:val="left"/>
              <w:rPr>
                <w:color w:val="000000"/>
              </w:rPr>
            </w:pPr>
            <w:r>
              <w:rPr>
                <w:color w:val="000000"/>
              </w:rPr>
              <w:t>Item 14.</w:t>
            </w:r>
          </w:p>
        </w:tc>
        <w:tc>
          <w:tcPr>
            <w:tcW w:w="8783" w:type="dxa"/>
            <w:tcBorders/>
            <w:shd w:fill="CCEEFF" w:val="clear"/>
            <w:vAlign w:val="center"/>
          </w:tcPr>
          <w:p>
            <w:pPr>
              <w:pStyle w:val="TableContents"/>
              <w:bidi w:val="0"/>
              <w:spacing w:before="0" w:after="0"/>
              <w:jc w:val="left"/>
              <w:rPr/>
            </w:pPr>
            <w:hyperlink w:anchor="Item14.">
              <w:r>
                <w:rPr>
                  <w:rStyle w:val="InternetLink"/>
                  <w:color w:val="000000"/>
                </w:rPr>
                <w:t>Principal Accounting Fees and Services</w:t>
              </w:r>
            </w:hyperlink>
          </w:p>
        </w:tc>
        <w:tc>
          <w:tcPr>
            <w:tcW w:w="576" w:type="dxa"/>
            <w:tcBorders/>
            <w:shd w:fill="CCEEFF" w:val="clear"/>
            <w:vAlign w:val="center"/>
          </w:tcPr>
          <w:p>
            <w:pPr>
              <w:pStyle w:val="TableContents"/>
              <w:bidi w:val="0"/>
              <w:spacing w:before="0" w:after="283"/>
              <w:jc w:val="right"/>
              <w:rPr/>
            </w:pPr>
            <w:r>
              <w:rPr/>
              <w:t>46</w:t>
            </w:r>
          </w:p>
        </w:tc>
      </w:tr>
      <w:tr>
        <w:trPr/>
        <w:tc>
          <w:tcPr>
            <w:tcW w:w="846" w:type="dxa"/>
            <w:gridSpan w:val="2"/>
            <w:tcBorders/>
            <w:vAlign w:val="center"/>
          </w:tcPr>
          <w:p>
            <w:pPr>
              <w:pStyle w:val="TableContents"/>
              <w:bidi w:val="0"/>
              <w:spacing w:before="0" w:after="0"/>
              <w:jc w:val="left"/>
              <w:rPr>
                <w:color w:val="000000"/>
              </w:rPr>
            </w:pPr>
            <w:r>
              <w:rPr>
                <w:color w:val="000000"/>
              </w:rPr>
              <w:t>Part IV:</w:t>
            </w:r>
          </w:p>
        </w:tc>
        <w:tc>
          <w:tcPr>
            <w:tcW w:w="8783" w:type="dxa"/>
            <w:tcBorders/>
            <w:vAlign w:val="center"/>
          </w:tcPr>
          <w:p>
            <w:pPr>
              <w:pStyle w:val="TableContents"/>
              <w:bidi w:val="0"/>
              <w:spacing w:before="0" w:after="283"/>
              <w:jc w:val="left"/>
              <w:rPr>
                <w:color w:val="000000"/>
              </w:rPr>
            </w:pPr>
            <w:r>
              <w:rPr>
                <w:color w:val="000000"/>
              </w:rPr>
              <w:t> </w:t>
            </w:r>
          </w:p>
        </w:tc>
        <w:tc>
          <w:tcPr>
            <w:tcW w:w="576" w:type="dxa"/>
            <w:tcBorders/>
            <w:vAlign w:val="center"/>
          </w:tcPr>
          <w:p>
            <w:pPr>
              <w:pStyle w:val="TableContents"/>
              <w:bidi w:val="0"/>
              <w:spacing w:before="0" w:after="283"/>
              <w:jc w:val="right"/>
              <w:rPr/>
            </w:pPr>
            <w:r>
              <w:rPr/>
              <w:t> </w:t>
            </w:r>
          </w:p>
        </w:tc>
      </w:tr>
      <w:tr>
        <w:trPr/>
        <w:tc>
          <w:tcPr>
            <w:tcW w:w="53" w:type="dxa"/>
            <w:tcBorders/>
            <w:shd w:fill="CCEEFF" w:val="clear"/>
            <w:vAlign w:val="center"/>
          </w:tcPr>
          <w:p>
            <w:pPr>
              <w:pStyle w:val="TableContents"/>
              <w:bidi w:val="0"/>
              <w:spacing w:before="0" w:after="283"/>
              <w:jc w:val="left"/>
              <w:rPr/>
            </w:pPr>
            <w:r>
              <w:rPr/>
            </w:r>
          </w:p>
        </w:tc>
        <w:tc>
          <w:tcPr>
            <w:tcW w:w="793" w:type="dxa"/>
            <w:tcBorders/>
            <w:shd w:fill="CCEEFF" w:val="clear"/>
            <w:vAlign w:val="center"/>
          </w:tcPr>
          <w:p>
            <w:pPr>
              <w:pStyle w:val="TableContents"/>
              <w:bidi w:val="0"/>
              <w:spacing w:before="0" w:after="0"/>
              <w:jc w:val="left"/>
              <w:rPr>
                <w:color w:val="000000"/>
              </w:rPr>
            </w:pPr>
            <w:r>
              <w:rPr>
                <w:color w:val="000000"/>
              </w:rPr>
              <w:t>Item 15.</w:t>
            </w:r>
          </w:p>
        </w:tc>
        <w:tc>
          <w:tcPr>
            <w:tcW w:w="8783" w:type="dxa"/>
            <w:tcBorders/>
            <w:shd w:fill="CCEEFF" w:val="clear"/>
            <w:vAlign w:val="center"/>
          </w:tcPr>
          <w:p>
            <w:pPr>
              <w:pStyle w:val="TableContents"/>
              <w:bidi w:val="0"/>
              <w:spacing w:before="0" w:after="0"/>
              <w:jc w:val="left"/>
              <w:rPr/>
            </w:pPr>
            <w:hyperlink w:anchor="Item15.">
              <w:r>
                <w:rPr>
                  <w:rStyle w:val="InternetLink"/>
                  <w:color w:val="000000"/>
                </w:rPr>
                <w:t>Exhibits, Financial Statement Schedules</w:t>
              </w:r>
            </w:hyperlink>
          </w:p>
        </w:tc>
        <w:tc>
          <w:tcPr>
            <w:tcW w:w="576" w:type="dxa"/>
            <w:tcBorders/>
            <w:shd w:fill="CCEEFF" w:val="clear"/>
            <w:vAlign w:val="center"/>
          </w:tcPr>
          <w:p>
            <w:pPr>
              <w:pStyle w:val="TableContents"/>
              <w:bidi w:val="0"/>
              <w:spacing w:before="0" w:after="283"/>
              <w:jc w:val="right"/>
              <w:rPr/>
            </w:pPr>
            <w:r>
              <w:rPr/>
              <w:t>48</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32"/>
        <w:jc w:val="center"/>
        <w:rPr>
          <w:rFonts w:ascii="Times New Roman" w:hAnsi="Times New Roman"/>
          <w:b/>
          <w:color w:val="000000"/>
          <w:sz w:val="20"/>
          <w:shd w:fill="FFFFFF" w:val="clear"/>
        </w:rPr>
      </w:pPr>
      <w:r>
        <w:rPr>
          <w:rFonts w:ascii="Times New Roman" w:hAnsi="Times New Roman"/>
          <w:b/>
          <w:color w:val="000000"/>
          <w:sz w:val="20"/>
          <w:shd w:fill="FFFFFF" w:val="clear"/>
        </w:rPr>
        <w:t>EXPLANATORY NOTE</w:t>
      </w:r>
    </w:p>
    <w:p>
      <w:pPr>
        <w:pStyle w:val="TextBody"/>
        <w:bidi w:val="0"/>
        <w:spacing w:before="0" w:after="0"/>
        <w:jc w:val="left"/>
        <w:rPr/>
      </w:pPr>
      <w:r>
        <w:rPr/>
      </w:r>
    </w:p>
    <w:p>
      <w:pPr>
        <w:pStyle w:val="TextBody"/>
        <w:bidi w:val="0"/>
        <w:spacing w:before="0" w:after="0"/>
        <w:ind w:left="0" w:right="0" w:firstLine="432"/>
        <w:jc w:val="left"/>
        <w:rPr>
          <w:rFonts w:ascii="Times New Roman" w:hAnsi="Times New Roman"/>
          <w:color w:val="000000"/>
          <w:sz w:val="20"/>
          <w:shd w:fill="FFFFFF" w:val="clear"/>
        </w:rPr>
      </w:pPr>
      <w:r>
        <w:rPr>
          <w:rFonts w:ascii="Times New Roman" w:hAnsi="Times New Roman"/>
          <w:color w:val="000000"/>
          <w:sz w:val="20"/>
          <w:shd w:fill="FFFFFF" w:val="clear"/>
        </w:rPr>
        <w:t xml:space="preserve">AngioDynamics, Inc. (collectively, “AngioDynamics,” the “Company” “we,” “us,” or “our”) is filing this Amendment No. 1 (this “Amendment”) to its Annual Report on Form 10-K for the fiscal year ended May 31, 2026 </w:t>
      </w:r>
      <w:r>
        <w:rPr>
          <w:rFonts w:ascii="Times New Roman" w:hAnsi="Times New Roman"/>
          <w:color w:val="181818"/>
          <w:sz w:val="20"/>
          <w:shd w:fill="FFFFFF" w:val="clear"/>
        </w:rPr>
        <w:t>as originally filed (the “Original Form 10-K”) with the Securities and Exchange Commission (the “SEC”) on July 14, 2026, solely to include the information required by Part III of Form 10-K and the general rules and regulations under Securities Exchange Act of 1934, as amended (“Exchange Act”).  The Part III information was previously omitted from the Original Form 10-K in reliance on General Instruction G(3) to Form 10-K, which permits the omitted information to be incorporated in the Original Form 10-K by reference from our definitive proxy statement, if such statement is filed no later than 120 days after our fiscal year-end. We are filing this Amendment to provide the information required in Part III of Form 10-K because we may not file a definitive proxy statement containing that information within 120 days after the end of the fiscal year covered by the Original Form 10-K.</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Accordingly, this Amendment hereby amends and restates Items 10 through 14 of Part III of the Original Form 10-K in their entirety. This Amendment also deletes the reference on the cover of the Original Form 10-K to the incorporation by reference of portions of our proxy statement into Part III of the Original Form 10-K. In addition, as required by Rule 13a-14(a) and Rule 12b-15 under the Exchange Act, certifications by the Company’s principal executive officer and principal financial officer are filed as Exhibits 31.3 and 31.4 to this Amendment under Item 15 of Part IV thereof.  Because this Amendment does not include any financial statements and does not contain or amend any disclosure with respect to Items 307 and 308 of Regulation S-K, paragraphs 3, 4, and 5 of such certifications have been omitted. No other Items of the Original Form 10-K have been amended or revised herein, and all such other Items shall be as set forth in the Original Form 10-K.</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Except as expressly set forth herein, this Amendment does not amend, modify, or update any other information contained in the Original Form 10-K.  The Original Form 10-K continues to speak as of the date of its original filing, and this Amendment does not reflect events occurring after that date or modify or update any disclosures therein.</w:t>
      </w:r>
    </w:p>
    <w:p>
      <w:pPr>
        <w:pStyle w:val="TextBody"/>
        <w:bidi w:val="0"/>
        <w:spacing w:before="0" w:after="0"/>
        <w:jc w:val="left"/>
        <w:rPr>
          <w:color w:val="181818"/>
        </w:rPr>
      </w:pPr>
      <w:r>
        <w:rPr>
          <w:color w:val="181818"/>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z29be46b1925e4ad193ac3f55b8e96718"/>
      <w:bookmarkStart w:id="16" w:name="Item10."/>
      <w:bookmarkStart w:id="17" w:name="z29be46b1925e4ad193ac3f55b8e96718"/>
      <w:bookmarkStart w:id="18" w:name="Item10."/>
      <w:bookmarkEnd w:id="17"/>
      <w:bookmarkEnd w:id="18"/>
    </w:p>
    <w:tbl>
      <w:tblPr>
        <w:tblW w:w="6610" w:type="dxa"/>
        <w:jc w:val="left"/>
        <w:tblInd w:w="0" w:type="dxa"/>
        <w:tblLayout w:type="fixed"/>
        <w:tblCellMar>
          <w:top w:w="0" w:type="dxa"/>
          <w:left w:w="0" w:type="dxa"/>
          <w:bottom w:w="0" w:type="dxa"/>
          <w:right w:w="0" w:type="dxa"/>
        </w:tblCellMar>
      </w:tblPr>
      <w:tblGrid>
        <w:gridCol w:w="890"/>
        <w:gridCol w:w="5720"/>
      </w:tblGrid>
      <w:tr>
        <w:trPr/>
        <w:tc>
          <w:tcPr>
            <w:tcW w:w="890" w:type="dxa"/>
            <w:tcBorders/>
            <w:vAlign w:val="center"/>
          </w:tcPr>
          <w:p>
            <w:pPr>
              <w:pStyle w:val="TableContents"/>
              <w:bidi w:val="0"/>
              <w:spacing w:before="0" w:after="283"/>
              <w:jc w:val="left"/>
              <w:rPr>
                <w:b/>
                <w:color w:val="000000"/>
              </w:rPr>
            </w:pPr>
            <w:r>
              <w:rPr>
                <w:b/>
                <w:color w:val="000000"/>
              </w:rPr>
              <w:t>Item 10.</w:t>
            </w:r>
          </w:p>
        </w:tc>
        <w:tc>
          <w:tcPr>
            <w:tcW w:w="5720" w:type="dxa"/>
            <w:tcBorders/>
            <w:vAlign w:val="center"/>
          </w:tcPr>
          <w:p>
            <w:pPr>
              <w:pStyle w:val="TableContents"/>
              <w:bidi w:val="0"/>
              <w:spacing w:before="0" w:after="0"/>
              <w:jc w:val="left"/>
              <w:rPr>
                <w:b/>
                <w:i/>
                <w:color w:val="000000"/>
              </w:rPr>
            </w:pPr>
            <w:r>
              <w:rPr>
                <w:b/>
                <w:i/>
                <w:color w:val="000000"/>
              </w:rPr>
              <w:t>Directors, Executive Officers and Corporate Governance.</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required in the Annual Report on Form 10-K with respect to Executive Officers is contained in the discussion titled “Executive Officers of the Company” in Part I of the Original Form 10-K.  The balance of the information required by Item 10 appears below.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Our Board of Directors currently consists of eight directors.  The Board is classified into three classes, each of which has a staggered three-year term.</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As of </w:t>
      </w:r>
      <w:r>
        <w:rPr>
          <w:rFonts w:ascii="Times New Roman" w:hAnsi="Times New Roman"/>
          <w:color w:val="000000"/>
          <w:sz w:val="20"/>
          <w:shd w:fill="FFFFFF" w:val="clear"/>
        </w:rPr>
        <w:t>September 18, 2026</w:t>
      </w:r>
      <w:r>
        <w:rPr>
          <w:rFonts w:ascii="Times New Roman" w:hAnsi="Times New Roman"/>
          <w:color w:val="181818"/>
          <w:sz w:val="20"/>
          <w:shd w:fill="FFFFFF" w:val="clear"/>
        </w:rPr>
        <w:t>, the following Directors served on the following committees: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86b1dd5152064b54b3eb05f1cbd5f9d6"/>
      <w:bookmarkStart w:id="20" w:name="z86b1dd5152064b54b3eb05f1cbd5f9d6"/>
      <w:bookmarkEnd w:id="20"/>
    </w:p>
    <w:tbl>
      <w:tblPr>
        <w:tblW w:w="8138" w:type="dxa"/>
        <w:jc w:val="left"/>
        <w:tblInd w:w="0" w:type="dxa"/>
        <w:tblLayout w:type="fixed"/>
        <w:tblCellMar>
          <w:top w:w="0" w:type="dxa"/>
          <w:left w:w="0" w:type="dxa"/>
          <w:bottom w:w="28" w:type="dxa"/>
          <w:right w:w="0" w:type="dxa"/>
        </w:tblCellMar>
      </w:tblPr>
      <w:tblGrid>
        <w:gridCol w:w="2210"/>
        <w:gridCol w:w="455"/>
        <w:gridCol w:w="1505"/>
        <w:gridCol w:w="1340"/>
        <w:gridCol w:w="331"/>
        <w:gridCol w:w="523"/>
        <w:gridCol w:w="523"/>
        <w:gridCol w:w="1251"/>
      </w:tblGrid>
      <w:tr>
        <w:trPr/>
        <w:tc>
          <w:tcPr>
            <w:tcW w:w="2210" w:type="dxa"/>
            <w:tcBorders>
              <w:bottom w:val="single" w:sz="12" w:space="0" w:color="000000"/>
            </w:tcBorders>
            <w:vAlign w:val="center"/>
          </w:tcPr>
          <w:p>
            <w:pPr>
              <w:pStyle w:val="TableContents"/>
              <w:bidi w:val="0"/>
              <w:spacing w:before="0" w:after="283"/>
              <w:jc w:val="left"/>
              <w:rPr/>
            </w:pPr>
            <w:r>
              <w:rPr/>
            </w:r>
          </w:p>
        </w:tc>
        <w:tc>
          <w:tcPr>
            <w:tcW w:w="455" w:type="dxa"/>
            <w:tcBorders>
              <w:bottom w:val="single" w:sz="12" w:space="0" w:color="000000"/>
            </w:tcBorders>
            <w:vAlign w:val="center"/>
          </w:tcPr>
          <w:p>
            <w:pPr>
              <w:pStyle w:val="TableContents"/>
              <w:bidi w:val="0"/>
              <w:spacing w:before="0" w:after="283"/>
              <w:jc w:val="left"/>
              <w:rPr/>
            </w:pPr>
            <w:r>
              <w:rPr/>
            </w:r>
          </w:p>
        </w:tc>
        <w:tc>
          <w:tcPr>
            <w:tcW w:w="1505" w:type="dxa"/>
            <w:tcBorders>
              <w:bottom w:val="single" w:sz="12" w:space="0" w:color="000000"/>
            </w:tcBorders>
            <w:vAlign w:val="center"/>
          </w:tcPr>
          <w:p>
            <w:pPr>
              <w:pStyle w:val="TableContents"/>
              <w:bidi w:val="0"/>
              <w:spacing w:before="0" w:after="283"/>
              <w:jc w:val="left"/>
              <w:rPr/>
            </w:pPr>
            <w:r>
              <w:rPr/>
            </w:r>
          </w:p>
        </w:tc>
        <w:tc>
          <w:tcPr>
            <w:tcW w:w="1340" w:type="dxa"/>
            <w:tcBorders>
              <w:bottom w:val="single" w:sz="12" w:space="0" w:color="000000"/>
            </w:tcBorders>
            <w:vAlign w:val="center"/>
          </w:tcPr>
          <w:p>
            <w:pPr>
              <w:pStyle w:val="TableContents"/>
              <w:bidi w:val="0"/>
              <w:spacing w:before="0" w:after="283"/>
              <w:jc w:val="left"/>
              <w:rPr/>
            </w:pPr>
            <w:r>
              <w:rPr/>
            </w:r>
          </w:p>
        </w:tc>
        <w:tc>
          <w:tcPr>
            <w:tcW w:w="2628" w:type="dxa"/>
            <w:gridSpan w:val="4"/>
            <w:tcBorders>
              <w:bottom w:val="single" w:sz="12" w:space="0" w:color="000000"/>
            </w:tcBorders>
            <w:vAlign w:val="center"/>
          </w:tcPr>
          <w:p>
            <w:pPr>
              <w:pStyle w:val="TableContents"/>
              <w:bidi w:val="0"/>
              <w:spacing w:before="0" w:after="0"/>
              <w:jc w:val="center"/>
              <w:rPr>
                <w:b/>
                <w:color w:val="000000"/>
              </w:rPr>
            </w:pPr>
            <w:r>
              <w:rPr>
                <w:b/>
                <w:color w:val="000000"/>
              </w:rPr>
              <w:t>Committee Memberships</w:t>
            </w:r>
          </w:p>
        </w:tc>
      </w:tr>
      <w:tr>
        <w:trPr/>
        <w:tc>
          <w:tcPr>
            <w:tcW w:w="2210" w:type="dxa"/>
            <w:tcBorders>
              <w:bottom w:val="single" w:sz="12" w:space="0" w:color="000000"/>
            </w:tcBorders>
            <w:vAlign w:val="center"/>
          </w:tcPr>
          <w:p>
            <w:pPr>
              <w:pStyle w:val="TableContents"/>
              <w:bidi w:val="0"/>
              <w:spacing w:before="0" w:after="0"/>
              <w:jc w:val="left"/>
              <w:rPr>
                <w:b/>
                <w:color w:val="000000"/>
              </w:rPr>
            </w:pPr>
            <w:r>
              <w:rPr>
                <w:b/>
                <w:color w:val="000000"/>
              </w:rPr>
              <w:t>Name</w:t>
            </w:r>
          </w:p>
        </w:tc>
        <w:tc>
          <w:tcPr>
            <w:tcW w:w="455" w:type="dxa"/>
            <w:tcBorders>
              <w:bottom w:val="single" w:sz="12" w:space="0" w:color="000000"/>
            </w:tcBorders>
            <w:vAlign w:val="center"/>
          </w:tcPr>
          <w:p>
            <w:pPr>
              <w:pStyle w:val="TableContents"/>
              <w:bidi w:val="0"/>
              <w:spacing w:before="0" w:after="0"/>
              <w:jc w:val="center"/>
              <w:rPr>
                <w:b/>
                <w:color w:val="000000"/>
              </w:rPr>
            </w:pPr>
            <w:r>
              <w:rPr>
                <w:b/>
                <w:color w:val="000000"/>
              </w:rPr>
              <w:t>Age</w:t>
            </w:r>
          </w:p>
        </w:tc>
        <w:tc>
          <w:tcPr>
            <w:tcW w:w="1505" w:type="dxa"/>
            <w:tcBorders>
              <w:bottom w:val="single" w:sz="12" w:space="0" w:color="000000"/>
            </w:tcBorders>
            <w:vAlign w:val="center"/>
          </w:tcPr>
          <w:p>
            <w:pPr>
              <w:pStyle w:val="TableContents"/>
              <w:bidi w:val="0"/>
              <w:spacing w:before="0" w:after="0"/>
              <w:jc w:val="center"/>
              <w:rPr>
                <w:b/>
                <w:color w:val="000000"/>
              </w:rPr>
            </w:pPr>
            <w:r>
              <w:rPr>
                <w:b/>
                <w:color w:val="000000"/>
              </w:rPr>
              <w:t>Director Since</w:t>
            </w:r>
          </w:p>
        </w:tc>
        <w:tc>
          <w:tcPr>
            <w:tcW w:w="1340" w:type="dxa"/>
            <w:tcBorders>
              <w:bottom w:val="single" w:sz="12" w:space="0" w:color="000000"/>
            </w:tcBorders>
            <w:vAlign w:val="center"/>
          </w:tcPr>
          <w:p>
            <w:pPr>
              <w:pStyle w:val="TableContents"/>
              <w:bidi w:val="0"/>
              <w:spacing w:before="0" w:after="0"/>
              <w:jc w:val="center"/>
              <w:rPr>
                <w:b/>
                <w:color w:val="000000"/>
              </w:rPr>
            </w:pPr>
            <w:r>
              <w:rPr>
                <w:b/>
                <w:color w:val="000000"/>
              </w:rPr>
              <w:t>Independent</w:t>
            </w:r>
          </w:p>
        </w:tc>
        <w:tc>
          <w:tcPr>
            <w:tcW w:w="331" w:type="dxa"/>
            <w:tcBorders>
              <w:bottom w:val="single" w:sz="12" w:space="0" w:color="000000"/>
            </w:tcBorders>
            <w:vAlign w:val="center"/>
          </w:tcPr>
          <w:p>
            <w:pPr>
              <w:pStyle w:val="TableContents"/>
              <w:bidi w:val="0"/>
              <w:spacing w:before="0" w:after="0"/>
              <w:jc w:val="center"/>
              <w:rPr>
                <w:b/>
                <w:color w:val="000000"/>
              </w:rPr>
            </w:pPr>
            <w:r>
              <w:rPr>
                <w:b/>
                <w:color w:val="000000"/>
              </w:rPr>
              <w:t>B</w:t>
            </w:r>
          </w:p>
        </w:tc>
        <w:tc>
          <w:tcPr>
            <w:tcW w:w="523" w:type="dxa"/>
            <w:tcBorders>
              <w:bottom w:val="single" w:sz="12" w:space="0" w:color="000000"/>
            </w:tcBorders>
            <w:vAlign w:val="center"/>
          </w:tcPr>
          <w:p>
            <w:pPr>
              <w:pStyle w:val="TableContents"/>
              <w:bidi w:val="0"/>
              <w:spacing w:before="0" w:after="0"/>
              <w:jc w:val="center"/>
              <w:rPr>
                <w:b/>
                <w:color w:val="000000"/>
              </w:rPr>
            </w:pPr>
            <w:r>
              <w:rPr>
                <w:b/>
                <w:color w:val="000000"/>
              </w:rPr>
              <w:t>AC</w:t>
            </w:r>
          </w:p>
        </w:tc>
        <w:tc>
          <w:tcPr>
            <w:tcW w:w="523" w:type="dxa"/>
            <w:tcBorders>
              <w:bottom w:val="single" w:sz="12" w:space="0" w:color="000000"/>
            </w:tcBorders>
            <w:vAlign w:val="center"/>
          </w:tcPr>
          <w:p>
            <w:pPr>
              <w:pStyle w:val="TableContents"/>
              <w:bidi w:val="0"/>
              <w:spacing w:before="0" w:after="0"/>
              <w:jc w:val="center"/>
              <w:rPr>
                <w:b/>
                <w:color w:val="000000"/>
              </w:rPr>
            </w:pPr>
            <w:r>
              <w:rPr>
                <w:b/>
                <w:color w:val="000000"/>
              </w:rPr>
              <w:t>CC</w:t>
            </w:r>
          </w:p>
        </w:tc>
        <w:tc>
          <w:tcPr>
            <w:tcW w:w="1251" w:type="dxa"/>
            <w:tcBorders>
              <w:bottom w:val="single" w:sz="12" w:space="0" w:color="000000"/>
            </w:tcBorders>
            <w:vAlign w:val="center"/>
          </w:tcPr>
          <w:p>
            <w:pPr>
              <w:pStyle w:val="TableContents"/>
              <w:bidi w:val="0"/>
              <w:spacing w:before="0" w:after="0"/>
              <w:jc w:val="center"/>
              <w:rPr>
                <w:b/>
                <w:color w:val="000000"/>
              </w:rPr>
            </w:pPr>
            <w:r>
              <w:rPr>
                <w:b/>
                <w:color w:val="000000"/>
              </w:rPr>
              <w:t>NCCGC</w:t>
            </w:r>
          </w:p>
        </w:tc>
      </w:tr>
      <w:tr>
        <w:trPr/>
        <w:tc>
          <w:tcPr>
            <w:tcW w:w="2210" w:type="dxa"/>
            <w:tcBorders/>
            <w:shd w:fill="CCEEFF" w:val="clear"/>
            <w:tcMar>
              <w:bottom w:w="0" w:type="dxa"/>
            </w:tcMar>
            <w:vAlign w:val="center"/>
          </w:tcPr>
          <w:p>
            <w:pPr>
              <w:pStyle w:val="TableContents"/>
              <w:bidi w:val="0"/>
              <w:spacing w:before="0" w:after="0"/>
              <w:jc w:val="left"/>
              <w:rPr>
                <w:color w:val="000000"/>
              </w:rPr>
            </w:pPr>
            <w:r>
              <w:rPr>
                <w:color w:val="000000"/>
              </w:rPr>
              <w:t>Eileen O. Auen</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63</w:t>
            </w:r>
          </w:p>
        </w:tc>
        <w:tc>
          <w:tcPr>
            <w:tcW w:w="1505" w:type="dxa"/>
            <w:tcBorders/>
            <w:shd w:fill="CCEEFF" w:val="clear"/>
            <w:tcMar>
              <w:bottom w:w="0" w:type="dxa"/>
            </w:tcMar>
            <w:vAlign w:val="center"/>
          </w:tcPr>
          <w:p>
            <w:pPr>
              <w:pStyle w:val="TableContents"/>
              <w:bidi w:val="0"/>
              <w:spacing w:before="0" w:after="0"/>
              <w:jc w:val="center"/>
              <w:rPr>
                <w:color w:val="000000"/>
              </w:rPr>
            </w:pPr>
            <w:r>
              <w:rPr>
                <w:color w:val="000000"/>
              </w:rPr>
              <w:t>2016</w:t>
            </w:r>
          </w:p>
        </w:tc>
        <w:tc>
          <w:tcPr>
            <w:tcW w:w="1340" w:type="dxa"/>
            <w:tcBorders/>
            <w:shd w:fill="CCEEFF" w:val="clear"/>
            <w:tcMar>
              <w:bottom w:w="0" w:type="dxa"/>
            </w:tcMar>
            <w:vAlign w:val="center"/>
          </w:tcPr>
          <w:p>
            <w:pPr>
              <w:pStyle w:val="TableContents"/>
              <w:bidi w:val="0"/>
              <w:spacing w:before="0" w:after="0"/>
              <w:jc w:val="center"/>
              <w:rPr>
                <w:color w:val="000000"/>
              </w:rPr>
            </w:pPr>
            <w:r>
              <w:rPr>
                <w:color w:val="000000"/>
              </w:rPr>
              <w:t>Y</w:t>
            </w:r>
          </w:p>
        </w:tc>
        <w:tc>
          <w:tcPr>
            <w:tcW w:w="331"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523" w:type="dxa"/>
            <w:tcBorders/>
            <w:shd w:fill="CCEEFF" w:val="clear"/>
            <w:tcMar>
              <w:bottom w:w="0" w:type="dxa"/>
            </w:tcMar>
            <w:vAlign w:val="center"/>
          </w:tcPr>
          <w:p>
            <w:pPr>
              <w:pStyle w:val="TableContents"/>
              <w:bidi w:val="0"/>
              <w:spacing w:before="0" w:after="283"/>
              <w:jc w:val="left"/>
              <w:rPr/>
            </w:pPr>
            <w:r>
              <w:rPr/>
              <w:t> </w:t>
            </w:r>
          </w:p>
        </w:tc>
        <w:tc>
          <w:tcPr>
            <w:tcW w:w="523" w:type="dxa"/>
            <w:tcBorders/>
            <w:shd w:fill="CCEEFF" w:val="clear"/>
            <w:tcMar>
              <w:bottom w:w="0" w:type="dxa"/>
            </w:tcMar>
            <w:vAlign w:val="center"/>
          </w:tcPr>
          <w:p>
            <w:pPr>
              <w:pStyle w:val="TableContents"/>
              <w:bidi w:val="0"/>
              <w:spacing w:before="0" w:after="0"/>
              <w:jc w:val="center"/>
              <w:rPr>
                <w:color w:val="000000"/>
              </w:rPr>
            </w:pPr>
            <w:r>
              <w:rPr>
                <w:color w:val="000000"/>
              </w:rPr>
              <w:t>C</w:t>
            </w:r>
          </w:p>
        </w:tc>
        <w:tc>
          <w:tcPr>
            <w:tcW w:w="1251" w:type="dxa"/>
            <w:tcBorders/>
            <w:shd w:fill="CCEEFF" w:val="clear"/>
            <w:tcMar>
              <w:bottom w:w="0" w:type="dxa"/>
            </w:tcMar>
            <w:vAlign w:val="center"/>
          </w:tcPr>
          <w:p>
            <w:pPr>
              <w:pStyle w:val="TableContents"/>
              <w:bidi w:val="0"/>
              <w:spacing w:before="0" w:after="0"/>
              <w:jc w:val="center"/>
              <w:rPr>
                <w:color w:val="000000"/>
              </w:rPr>
            </w:pPr>
            <w:r>
              <w:rPr>
                <w:color w:val="000000"/>
              </w:rPr>
              <w:t>M</w:t>
            </w:r>
          </w:p>
        </w:tc>
      </w:tr>
      <w:tr>
        <w:trPr/>
        <w:tc>
          <w:tcPr>
            <w:tcW w:w="2210" w:type="dxa"/>
            <w:tcBorders/>
            <w:tcMar>
              <w:bottom w:w="0" w:type="dxa"/>
            </w:tcMar>
            <w:vAlign w:val="center"/>
          </w:tcPr>
          <w:p>
            <w:pPr>
              <w:pStyle w:val="TableContents"/>
              <w:bidi w:val="0"/>
              <w:spacing w:before="0" w:after="0"/>
              <w:jc w:val="left"/>
              <w:rPr>
                <w:color w:val="000000"/>
              </w:rPr>
            </w:pPr>
            <w:r>
              <w:rPr>
                <w:color w:val="000000"/>
              </w:rPr>
              <w:t>Lorinda A. Burgess</w:t>
            </w:r>
          </w:p>
        </w:tc>
        <w:tc>
          <w:tcPr>
            <w:tcW w:w="455" w:type="dxa"/>
            <w:tcBorders/>
            <w:tcMar>
              <w:bottom w:w="0" w:type="dxa"/>
            </w:tcMar>
            <w:vAlign w:val="center"/>
          </w:tcPr>
          <w:p>
            <w:pPr>
              <w:pStyle w:val="TableContents"/>
              <w:bidi w:val="0"/>
              <w:spacing w:before="0" w:after="0"/>
              <w:jc w:val="left"/>
              <w:rPr>
                <w:color w:val="000000"/>
              </w:rPr>
            </w:pPr>
            <w:r>
              <w:rPr>
                <w:color w:val="000000"/>
              </w:rPr>
              <w:t>64</w:t>
            </w:r>
          </w:p>
        </w:tc>
        <w:tc>
          <w:tcPr>
            <w:tcW w:w="1505" w:type="dxa"/>
            <w:tcBorders/>
            <w:tcMar>
              <w:bottom w:w="0" w:type="dxa"/>
            </w:tcMar>
            <w:vAlign w:val="center"/>
          </w:tcPr>
          <w:p>
            <w:pPr>
              <w:pStyle w:val="TableContents"/>
              <w:bidi w:val="0"/>
              <w:spacing w:before="0" w:after="0"/>
              <w:jc w:val="center"/>
              <w:rPr>
                <w:color w:val="000000"/>
              </w:rPr>
            </w:pPr>
            <w:r>
              <w:rPr>
                <w:color w:val="000000"/>
              </w:rPr>
              <w:t>2023</w:t>
            </w:r>
          </w:p>
        </w:tc>
        <w:tc>
          <w:tcPr>
            <w:tcW w:w="1340" w:type="dxa"/>
            <w:tcBorders/>
            <w:tcMar>
              <w:bottom w:w="0" w:type="dxa"/>
            </w:tcMar>
            <w:vAlign w:val="center"/>
          </w:tcPr>
          <w:p>
            <w:pPr>
              <w:pStyle w:val="TableContents"/>
              <w:bidi w:val="0"/>
              <w:spacing w:before="0" w:after="0"/>
              <w:jc w:val="center"/>
              <w:rPr>
                <w:color w:val="000000"/>
              </w:rPr>
            </w:pPr>
            <w:r>
              <w:rPr>
                <w:color w:val="000000"/>
              </w:rPr>
              <w:t>Y</w:t>
            </w:r>
          </w:p>
        </w:tc>
        <w:tc>
          <w:tcPr>
            <w:tcW w:w="331"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0"/>
              <w:jc w:val="center"/>
              <w:rPr>
                <w:color w:val="000000"/>
              </w:rPr>
            </w:pPr>
            <w:r>
              <w:rPr>
                <w:color w:val="000000"/>
              </w:rPr>
              <w:t>M</w:t>
            </w:r>
          </w:p>
        </w:tc>
        <w:tc>
          <w:tcPr>
            <w:tcW w:w="1251" w:type="dxa"/>
            <w:tcBorders/>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0"/>
              <w:jc w:val="left"/>
              <w:rPr>
                <w:color w:val="000000"/>
              </w:rPr>
            </w:pPr>
            <w:r>
              <w:rPr>
                <w:color w:val="000000"/>
              </w:rPr>
              <w:t>Howard W. Donnelly</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65</w:t>
            </w:r>
          </w:p>
        </w:tc>
        <w:tc>
          <w:tcPr>
            <w:tcW w:w="1505" w:type="dxa"/>
            <w:tcBorders/>
            <w:shd w:fill="CCEEFF" w:val="clear"/>
            <w:tcMar>
              <w:bottom w:w="0" w:type="dxa"/>
            </w:tcMar>
            <w:vAlign w:val="center"/>
          </w:tcPr>
          <w:p>
            <w:pPr>
              <w:pStyle w:val="TableContents"/>
              <w:bidi w:val="0"/>
              <w:spacing w:before="0" w:after="0"/>
              <w:jc w:val="center"/>
              <w:rPr>
                <w:color w:val="000000"/>
              </w:rPr>
            </w:pPr>
            <w:r>
              <w:rPr>
                <w:color w:val="000000"/>
              </w:rPr>
              <w:t>2004</w:t>
            </w:r>
          </w:p>
        </w:tc>
        <w:tc>
          <w:tcPr>
            <w:tcW w:w="1340" w:type="dxa"/>
            <w:tcBorders/>
            <w:shd w:fill="CCEEFF" w:val="clear"/>
            <w:tcMar>
              <w:bottom w:w="0" w:type="dxa"/>
            </w:tcMar>
            <w:vAlign w:val="center"/>
          </w:tcPr>
          <w:p>
            <w:pPr>
              <w:pStyle w:val="TableContents"/>
              <w:bidi w:val="0"/>
              <w:spacing w:before="0" w:after="0"/>
              <w:jc w:val="center"/>
              <w:rPr>
                <w:color w:val="000000"/>
              </w:rPr>
            </w:pPr>
            <w:r>
              <w:rPr>
                <w:color w:val="000000"/>
              </w:rPr>
              <w:t>Y</w:t>
            </w:r>
          </w:p>
        </w:tc>
        <w:tc>
          <w:tcPr>
            <w:tcW w:w="331" w:type="dxa"/>
            <w:tcBorders/>
            <w:shd w:fill="CCEEFF" w:val="clear"/>
            <w:tcMar>
              <w:bottom w:w="0" w:type="dxa"/>
            </w:tcMar>
            <w:vAlign w:val="center"/>
          </w:tcPr>
          <w:p>
            <w:pPr>
              <w:pStyle w:val="TableContents"/>
              <w:bidi w:val="0"/>
              <w:spacing w:before="0" w:after="0"/>
              <w:jc w:val="center"/>
              <w:rPr>
                <w:color w:val="000000"/>
              </w:rPr>
            </w:pPr>
            <w:r>
              <w:rPr>
                <w:color w:val="000000"/>
              </w:rPr>
              <w:t>C</w:t>
            </w:r>
          </w:p>
        </w:tc>
        <w:tc>
          <w:tcPr>
            <w:tcW w:w="523" w:type="dxa"/>
            <w:tcBorders/>
            <w:shd w:fill="CCEEFF" w:val="clear"/>
            <w:tcMar>
              <w:bottom w:w="0" w:type="dxa"/>
            </w:tcMar>
            <w:vAlign w:val="center"/>
          </w:tcPr>
          <w:p>
            <w:pPr>
              <w:pStyle w:val="TableContents"/>
              <w:bidi w:val="0"/>
              <w:spacing w:before="0" w:after="283"/>
              <w:jc w:val="left"/>
              <w:rPr/>
            </w:pPr>
            <w:r>
              <w:rPr/>
              <w:t> </w:t>
            </w:r>
          </w:p>
        </w:tc>
        <w:tc>
          <w:tcPr>
            <w:tcW w:w="523" w:type="dxa"/>
            <w:tcBorders/>
            <w:shd w:fill="CCEEFF" w:val="clear"/>
            <w:tcMar>
              <w:bottom w:w="0" w:type="dxa"/>
            </w:tcMar>
            <w:vAlign w:val="center"/>
          </w:tcPr>
          <w:p>
            <w:pPr>
              <w:pStyle w:val="TableContents"/>
              <w:bidi w:val="0"/>
              <w:spacing w:before="0" w:after="283"/>
              <w:jc w:val="left"/>
              <w:rPr/>
            </w:pPr>
            <w:r>
              <w:rPr/>
              <w:t> </w:t>
            </w:r>
          </w:p>
        </w:tc>
        <w:tc>
          <w:tcPr>
            <w:tcW w:w="1251"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color w:val="000000"/>
              </w:rPr>
            </w:pPr>
            <w:r>
              <w:rPr>
                <w:color w:val="000000"/>
              </w:rPr>
              <w:t>Wesley E. Johnson, Jr.</w:t>
            </w:r>
          </w:p>
        </w:tc>
        <w:tc>
          <w:tcPr>
            <w:tcW w:w="455" w:type="dxa"/>
            <w:tcBorders/>
            <w:tcMar>
              <w:bottom w:w="0" w:type="dxa"/>
            </w:tcMar>
            <w:vAlign w:val="center"/>
          </w:tcPr>
          <w:p>
            <w:pPr>
              <w:pStyle w:val="TableContents"/>
              <w:bidi w:val="0"/>
              <w:spacing w:before="0" w:after="0"/>
              <w:jc w:val="left"/>
              <w:rPr>
                <w:color w:val="000000"/>
              </w:rPr>
            </w:pPr>
            <w:r>
              <w:rPr>
                <w:color w:val="000000"/>
              </w:rPr>
              <w:t>68</w:t>
            </w:r>
          </w:p>
        </w:tc>
        <w:tc>
          <w:tcPr>
            <w:tcW w:w="1505" w:type="dxa"/>
            <w:tcBorders/>
            <w:tcMar>
              <w:bottom w:w="0" w:type="dxa"/>
            </w:tcMar>
            <w:vAlign w:val="center"/>
          </w:tcPr>
          <w:p>
            <w:pPr>
              <w:pStyle w:val="TableContents"/>
              <w:bidi w:val="0"/>
              <w:spacing w:before="0" w:after="0"/>
              <w:jc w:val="center"/>
              <w:rPr>
                <w:color w:val="000000"/>
              </w:rPr>
            </w:pPr>
            <w:r>
              <w:rPr>
                <w:color w:val="000000"/>
              </w:rPr>
              <w:t>2007</w:t>
            </w:r>
          </w:p>
        </w:tc>
        <w:tc>
          <w:tcPr>
            <w:tcW w:w="1340" w:type="dxa"/>
            <w:tcBorders/>
            <w:tcMar>
              <w:bottom w:w="0" w:type="dxa"/>
            </w:tcMar>
            <w:vAlign w:val="center"/>
          </w:tcPr>
          <w:p>
            <w:pPr>
              <w:pStyle w:val="TableContents"/>
              <w:bidi w:val="0"/>
              <w:spacing w:before="0" w:after="0"/>
              <w:jc w:val="center"/>
              <w:rPr>
                <w:color w:val="000000"/>
              </w:rPr>
            </w:pPr>
            <w:r>
              <w:rPr>
                <w:color w:val="000000"/>
              </w:rPr>
              <w:t>Y</w:t>
            </w:r>
          </w:p>
        </w:tc>
        <w:tc>
          <w:tcPr>
            <w:tcW w:w="331"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0"/>
              <w:jc w:val="center"/>
              <w:rPr>
                <w:color w:val="000000"/>
              </w:rPr>
            </w:pPr>
            <w:r>
              <w:rPr>
                <w:color w:val="000000"/>
              </w:rPr>
              <w:t>C</w:t>
            </w:r>
          </w:p>
        </w:tc>
        <w:tc>
          <w:tcPr>
            <w:tcW w:w="523" w:type="dxa"/>
            <w:tcBorders/>
            <w:tcMar>
              <w:bottom w:w="0" w:type="dxa"/>
            </w:tcMar>
            <w:vAlign w:val="center"/>
          </w:tcPr>
          <w:p>
            <w:pPr>
              <w:pStyle w:val="TableContents"/>
              <w:bidi w:val="0"/>
              <w:spacing w:before="0" w:after="283"/>
              <w:jc w:val="left"/>
              <w:rPr/>
            </w:pPr>
            <w:r>
              <w:rPr/>
              <w:t> </w:t>
            </w:r>
          </w:p>
        </w:tc>
        <w:tc>
          <w:tcPr>
            <w:tcW w:w="1251" w:type="dxa"/>
            <w:tcBorders/>
            <w:tcMar>
              <w:bottom w:w="0" w:type="dxa"/>
            </w:tcMar>
            <w:vAlign w:val="center"/>
          </w:tcPr>
          <w:p>
            <w:pPr>
              <w:pStyle w:val="TableContents"/>
              <w:bidi w:val="0"/>
              <w:spacing w:before="0" w:after="0"/>
              <w:jc w:val="center"/>
              <w:rPr>
                <w:color w:val="000000"/>
              </w:rPr>
            </w:pPr>
            <w:r>
              <w:rPr>
                <w:color w:val="000000"/>
              </w:rPr>
              <w:t>M</w:t>
            </w:r>
          </w:p>
        </w:tc>
      </w:tr>
      <w:tr>
        <w:trPr/>
        <w:tc>
          <w:tcPr>
            <w:tcW w:w="2210" w:type="dxa"/>
            <w:tcBorders/>
            <w:shd w:fill="CCEEFF" w:val="clear"/>
            <w:tcMar>
              <w:bottom w:w="0" w:type="dxa"/>
            </w:tcMar>
            <w:vAlign w:val="center"/>
          </w:tcPr>
          <w:p>
            <w:pPr>
              <w:pStyle w:val="TableContents"/>
              <w:bidi w:val="0"/>
              <w:spacing w:before="0" w:after="0"/>
              <w:jc w:val="left"/>
              <w:rPr>
                <w:color w:val="000000"/>
              </w:rPr>
            </w:pPr>
            <w:r>
              <w:rPr>
                <w:color w:val="000000"/>
              </w:rPr>
              <w:t>Karen A. Licitra</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67</w:t>
            </w:r>
          </w:p>
        </w:tc>
        <w:tc>
          <w:tcPr>
            <w:tcW w:w="1505" w:type="dxa"/>
            <w:tcBorders/>
            <w:shd w:fill="CCEEFF" w:val="clear"/>
            <w:tcMar>
              <w:bottom w:w="0" w:type="dxa"/>
            </w:tcMar>
            <w:vAlign w:val="center"/>
          </w:tcPr>
          <w:p>
            <w:pPr>
              <w:pStyle w:val="TableContents"/>
              <w:bidi w:val="0"/>
              <w:spacing w:before="0" w:after="0"/>
              <w:jc w:val="center"/>
              <w:rPr>
                <w:color w:val="000000"/>
              </w:rPr>
            </w:pPr>
            <w:r>
              <w:rPr>
                <w:color w:val="000000"/>
              </w:rPr>
              <w:t>2019</w:t>
            </w:r>
          </w:p>
        </w:tc>
        <w:tc>
          <w:tcPr>
            <w:tcW w:w="1340" w:type="dxa"/>
            <w:tcBorders/>
            <w:shd w:fill="CCEEFF" w:val="clear"/>
            <w:tcMar>
              <w:bottom w:w="0" w:type="dxa"/>
            </w:tcMar>
            <w:vAlign w:val="center"/>
          </w:tcPr>
          <w:p>
            <w:pPr>
              <w:pStyle w:val="TableContents"/>
              <w:bidi w:val="0"/>
              <w:spacing w:before="0" w:after="0"/>
              <w:jc w:val="center"/>
              <w:rPr>
                <w:color w:val="000000"/>
              </w:rPr>
            </w:pPr>
            <w:r>
              <w:rPr>
                <w:color w:val="000000"/>
              </w:rPr>
              <w:t>Y</w:t>
            </w:r>
          </w:p>
        </w:tc>
        <w:tc>
          <w:tcPr>
            <w:tcW w:w="331"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523"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523"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1251"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color w:val="000000"/>
              </w:rPr>
            </w:pPr>
            <w:r>
              <w:rPr>
                <w:color w:val="000000"/>
              </w:rPr>
              <w:t>Jan Stern Reed</w:t>
            </w:r>
          </w:p>
        </w:tc>
        <w:tc>
          <w:tcPr>
            <w:tcW w:w="455" w:type="dxa"/>
            <w:tcBorders/>
            <w:tcMar>
              <w:bottom w:w="0" w:type="dxa"/>
            </w:tcMar>
            <w:vAlign w:val="center"/>
          </w:tcPr>
          <w:p>
            <w:pPr>
              <w:pStyle w:val="TableContents"/>
              <w:bidi w:val="0"/>
              <w:spacing w:before="0" w:after="0"/>
              <w:jc w:val="left"/>
              <w:rPr>
                <w:color w:val="000000"/>
              </w:rPr>
            </w:pPr>
            <w:r>
              <w:rPr>
                <w:color w:val="000000"/>
              </w:rPr>
              <w:t>66</w:t>
            </w:r>
          </w:p>
        </w:tc>
        <w:tc>
          <w:tcPr>
            <w:tcW w:w="1505" w:type="dxa"/>
            <w:tcBorders/>
            <w:tcMar>
              <w:bottom w:w="0" w:type="dxa"/>
            </w:tcMar>
            <w:vAlign w:val="center"/>
          </w:tcPr>
          <w:p>
            <w:pPr>
              <w:pStyle w:val="TableContents"/>
              <w:bidi w:val="0"/>
              <w:spacing w:before="0" w:after="0"/>
              <w:jc w:val="center"/>
              <w:rPr>
                <w:color w:val="000000"/>
              </w:rPr>
            </w:pPr>
            <w:r>
              <w:rPr>
                <w:color w:val="000000"/>
              </w:rPr>
              <w:t>2016</w:t>
            </w:r>
          </w:p>
        </w:tc>
        <w:tc>
          <w:tcPr>
            <w:tcW w:w="1340" w:type="dxa"/>
            <w:tcBorders/>
            <w:tcMar>
              <w:bottom w:w="0" w:type="dxa"/>
            </w:tcMar>
            <w:vAlign w:val="center"/>
          </w:tcPr>
          <w:p>
            <w:pPr>
              <w:pStyle w:val="TableContents"/>
              <w:bidi w:val="0"/>
              <w:spacing w:before="0" w:after="0"/>
              <w:jc w:val="center"/>
              <w:rPr>
                <w:color w:val="000000"/>
              </w:rPr>
            </w:pPr>
            <w:r>
              <w:rPr>
                <w:color w:val="000000"/>
              </w:rPr>
              <w:t>Y</w:t>
            </w:r>
          </w:p>
        </w:tc>
        <w:tc>
          <w:tcPr>
            <w:tcW w:w="331"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283"/>
              <w:jc w:val="left"/>
              <w:rPr/>
            </w:pPr>
            <w:r>
              <w:rPr/>
              <w:t> </w:t>
            </w:r>
          </w:p>
        </w:tc>
        <w:tc>
          <w:tcPr>
            <w:tcW w:w="1251" w:type="dxa"/>
            <w:tcBorders/>
            <w:tcMar>
              <w:bottom w:w="0" w:type="dxa"/>
            </w:tcMar>
            <w:vAlign w:val="center"/>
          </w:tcPr>
          <w:p>
            <w:pPr>
              <w:pStyle w:val="TableContents"/>
              <w:bidi w:val="0"/>
              <w:spacing w:before="0" w:after="0"/>
              <w:jc w:val="center"/>
              <w:rPr>
                <w:color w:val="000000"/>
              </w:rPr>
            </w:pPr>
            <w:r>
              <w:rPr>
                <w:color w:val="000000"/>
              </w:rPr>
              <w:t>C</w:t>
            </w:r>
          </w:p>
        </w:tc>
      </w:tr>
      <w:tr>
        <w:trPr/>
        <w:tc>
          <w:tcPr>
            <w:tcW w:w="2210" w:type="dxa"/>
            <w:tcBorders/>
            <w:shd w:fill="CCEEFF" w:val="clear"/>
            <w:tcMar>
              <w:bottom w:w="0" w:type="dxa"/>
            </w:tcMar>
            <w:vAlign w:val="center"/>
          </w:tcPr>
          <w:p>
            <w:pPr>
              <w:pStyle w:val="TableContents"/>
              <w:bidi w:val="0"/>
              <w:spacing w:before="0" w:after="0"/>
              <w:jc w:val="left"/>
              <w:rPr>
                <w:color w:val="000000"/>
              </w:rPr>
            </w:pPr>
            <w:r>
              <w:rPr>
                <w:color w:val="000000"/>
              </w:rPr>
              <w:t>Michael E. Tarnoff</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58</w:t>
            </w:r>
          </w:p>
        </w:tc>
        <w:tc>
          <w:tcPr>
            <w:tcW w:w="1505" w:type="dxa"/>
            <w:tcBorders/>
            <w:shd w:fill="CCEEFF" w:val="clear"/>
            <w:tcMar>
              <w:bottom w:w="0" w:type="dxa"/>
            </w:tcMar>
            <w:vAlign w:val="center"/>
          </w:tcPr>
          <w:p>
            <w:pPr>
              <w:pStyle w:val="TableContents"/>
              <w:bidi w:val="0"/>
              <w:spacing w:before="0" w:after="0"/>
              <w:jc w:val="center"/>
              <w:rPr>
                <w:color w:val="000000"/>
              </w:rPr>
            </w:pPr>
            <w:r>
              <w:rPr>
                <w:color w:val="000000"/>
              </w:rPr>
              <w:t>2019</w:t>
            </w:r>
          </w:p>
        </w:tc>
        <w:tc>
          <w:tcPr>
            <w:tcW w:w="1340" w:type="dxa"/>
            <w:tcBorders/>
            <w:shd w:fill="CCEEFF" w:val="clear"/>
            <w:tcMar>
              <w:bottom w:w="0" w:type="dxa"/>
            </w:tcMar>
            <w:vAlign w:val="center"/>
          </w:tcPr>
          <w:p>
            <w:pPr>
              <w:pStyle w:val="TableContents"/>
              <w:bidi w:val="0"/>
              <w:spacing w:before="0" w:after="0"/>
              <w:jc w:val="center"/>
              <w:rPr>
                <w:color w:val="000000"/>
              </w:rPr>
            </w:pPr>
            <w:r>
              <w:rPr>
                <w:color w:val="000000"/>
              </w:rPr>
              <w:t>Y</w:t>
            </w:r>
          </w:p>
        </w:tc>
        <w:tc>
          <w:tcPr>
            <w:tcW w:w="331"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523" w:type="dxa"/>
            <w:tcBorders/>
            <w:shd w:fill="CCEEFF" w:val="clear"/>
            <w:tcMar>
              <w:bottom w:w="0" w:type="dxa"/>
            </w:tcMar>
            <w:vAlign w:val="center"/>
          </w:tcPr>
          <w:p>
            <w:pPr>
              <w:pStyle w:val="TableContents"/>
              <w:bidi w:val="0"/>
              <w:spacing w:before="0" w:after="283"/>
              <w:jc w:val="left"/>
              <w:rPr/>
            </w:pPr>
            <w:r>
              <w:rPr/>
              <w:t> </w:t>
            </w:r>
          </w:p>
        </w:tc>
        <w:tc>
          <w:tcPr>
            <w:tcW w:w="523"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1251" w:type="dxa"/>
            <w:tcBorders/>
            <w:shd w:fill="CCEEFF" w:val="clear"/>
            <w:tcMar>
              <w:bottom w:w="0" w:type="dxa"/>
            </w:tcMar>
            <w:vAlign w:val="center"/>
          </w:tcPr>
          <w:p>
            <w:pPr>
              <w:pStyle w:val="TableContents"/>
              <w:bidi w:val="0"/>
              <w:spacing w:before="0" w:after="0"/>
              <w:jc w:val="center"/>
              <w:rPr>
                <w:color w:val="000000"/>
              </w:rPr>
            </w:pPr>
            <w:r>
              <w:rPr>
                <w:color w:val="000000"/>
              </w:rPr>
              <w:t>M</w:t>
            </w:r>
          </w:p>
        </w:tc>
      </w:tr>
      <w:tr>
        <w:trPr/>
        <w:tc>
          <w:tcPr>
            <w:tcW w:w="2210" w:type="dxa"/>
            <w:tcBorders/>
            <w:tcMar>
              <w:bottom w:w="0" w:type="dxa"/>
            </w:tcMar>
            <w:vAlign w:val="center"/>
          </w:tcPr>
          <w:p>
            <w:pPr>
              <w:pStyle w:val="TableContents"/>
              <w:bidi w:val="0"/>
              <w:spacing w:before="0" w:after="0"/>
              <w:jc w:val="left"/>
              <w:rPr>
                <w:color w:val="000000"/>
              </w:rPr>
            </w:pPr>
            <w:r>
              <w:rPr>
                <w:color w:val="000000"/>
              </w:rPr>
              <w:t>James C. Clemmer</w:t>
            </w:r>
          </w:p>
        </w:tc>
        <w:tc>
          <w:tcPr>
            <w:tcW w:w="455" w:type="dxa"/>
            <w:tcBorders/>
            <w:tcMar>
              <w:bottom w:w="0" w:type="dxa"/>
            </w:tcMar>
            <w:vAlign w:val="center"/>
          </w:tcPr>
          <w:p>
            <w:pPr>
              <w:pStyle w:val="TableContents"/>
              <w:bidi w:val="0"/>
              <w:spacing w:before="0" w:after="0"/>
              <w:jc w:val="left"/>
              <w:rPr>
                <w:color w:val="000000"/>
              </w:rPr>
            </w:pPr>
            <w:r>
              <w:rPr>
                <w:color w:val="000000"/>
              </w:rPr>
              <w:t>62</w:t>
            </w:r>
          </w:p>
        </w:tc>
        <w:tc>
          <w:tcPr>
            <w:tcW w:w="1505" w:type="dxa"/>
            <w:tcBorders/>
            <w:tcMar>
              <w:bottom w:w="0" w:type="dxa"/>
            </w:tcMar>
            <w:vAlign w:val="center"/>
          </w:tcPr>
          <w:p>
            <w:pPr>
              <w:pStyle w:val="TableContents"/>
              <w:bidi w:val="0"/>
              <w:spacing w:before="0" w:after="0"/>
              <w:jc w:val="center"/>
              <w:rPr>
                <w:color w:val="000000"/>
              </w:rPr>
            </w:pPr>
            <w:r>
              <w:rPr>
                <w:color w:val="000000"/>
              </w:rPr>
              <w:t>2016</w:t>
            </w:r>
          </w:p>
        </w:tc>
        <w:tc>
          <w:tcPr>
            <w:tcW w:w="1340" w:type="dxa"/>
            <w:tcBorders/>
            <w:tcMar>
              <w:bottom w:w="0" w:type="dxa"/>
            </w:tcMar>
            <w:vAlign w:val="center"/>
          </w:tcPr>
          <w:p>
            <w:pPr>
              <w:pStyle w:val="TableContents"/>
              <w:bidi w:val="0"/>
              <w:spacing w:before="0" w:after="0"/>
              <w:jc w:val="center"/>
              <w:rPr>
                <w:color w:val="000000"/>
              </w:rPr>
            </w:pPr>
            <w:r>
              <w:rPr>
                <w:color w:val="000000"/>
              </w:rPr>
              <w:t>N</w:t>
            </w:r>
          </w:p>
        </w:tc>
        <w:tc>
          <w:tcPr>
            <w:tcW w:w="331"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283"/>
              <w:jc w:val="left"/>
              <w:rPr/>
            </w:pPr>
            <w:r>
              <w:rPr/>
              <w:t> </w:t>
            </w:r>
          </w:p>
        </w:tc>
        <w:tc>
          <w:tcPr>
            <w:tcW w:w="523" w:type="dxa"/>
            <w:tcBorders/>
            <w:tcMar>
              <w:bottom w:w="0" w:type="dxa"/>
            </w:tcMar>
            <w:vAlign w:val="center"/>
          </w:tcPr>
          <w:p>
            <w:pPr>
              <w:pStyle w:val="TableContents"/>
              <w:bidi w:val="0"/>
              <w:spacing w:before="0" w:after="283"/>
              <w:jc w:val="left"/>
              <w:rPr/>
            </w:pPr>
            <w:r>
              <w:rPr/>
              <w:t> </w:t>
            </w:r>
          </w:p>
        </w:tc>
        <w:tc>
          <w:tcPr>
            <w:tcW w:w="1251"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1" w:name="z2ba9ddc0872149e3a322be286ef3235c"/>
      <w:bookmarkStart w:id="22" w:name="z2ba9ddc0872149e3a322be286ef3235c"/>
      <w:bookmarkEnd w:id="22"/>
    </w:p>
    <w:tbl>
      <w:tblPr>
        <w:tblW w:w="9170" w:type="dxa"/>
        <w:jc w:val="left"/>
        <w:tblInd w:w="0" w:type="dxa"/>
        <w:tblLayout w:type="fixed"/>
        <w:tblCellMar>
          <w:top w:w="0" w:type="dxa"/>
          <w:left w:w="0" w:type="dxa"/>
          <w:bottom w:w="0" w:type="dxa"/>
          <w:right w:w="0" w:type="dxa"/>
        </w:tblCellMar>
      </w:tblPr>
      <w:tblGrid>
        <w:gridCol w:w="905"/>
        <w:gridCol w:w="6155"/>
        <w:gridCol w:w="260"/>
        <w:gridCol w:w="1850"/>
      </w:tblGrid>
      <w:tr>
        <w:trPr/>
        <w:tc>
          <w:tcPr>
            <w:tcW w:w="905" w:type="dxa"/>
            <w:tcBorders/>
            <w:vAlign w:val="center"/>
          </w:tcPr>
          <w:p>
            <w:pPr>
              <w:pStyle w:val="TableContents"/>
              <w:bidi w:val="0"/>
              <w:spacing w:before="0" w:after="0"/>
              <w:jc w:val="left"/>
              <w:rPr>
                <w:color w:val="000000"/>
              </w:rPr>
            </w:pPr>
            <w:r>
              <w:rPr>
                <w:color w:val="000000"/>
              </w:rPr>
              <w:t>AC</w:t>
            </w:r>
          </w:p>
        </w:tc>
        <w:tc>
          <w:tcPr>
            <w:tcW w:w="6155" w:type="dxa"/>
            <w:tcBorders/>
            <w:vAlign w:val="center"/>
          </w:tcPr>
          <w:p>
            <w:pPr>
              <w:pStyle w:val="TableContents"/>
              <w:bidi w:val="0"/>
              <w:spacing w:before="0" w:after="0"/>
              <w:jc w:val="left"/>
              <w:rPr>
                <w:color w:val="000000"/>
              </w:rPr>
            </w:pPr>
            <w:r>
              <w:rPr>
                <w:color w:val="000000"/>
              </w:rPr>
              <w:t>Audit Committee</w:t>
            </w:r>
          </w:p>
        </w:tc>
        <w:tc>
          <w:tcPr>
            <w:tcW w:w="260" w:type="dxa"/>
            <w:tcBorders/>
            <w:vAlign w:val="center"/>
          </w:tcPr>
          <w:p>
            <w:pPr>
              <w:pStyle w:val="TableContents"/>
              <w:bidi w:val="0"/>
              <w:spacing w:before="0" w:after="0"/>
              <w:jc w:val="left"/>
              <w:rPr>
                <w:color w:val="000000"/>
              </w:rPr>
            </w:pPr>
            <w:r>
              <w:rPr>
                <w:color w:val="000000"/>
              </w:rPr>
              <w:t>B</w:t>
            </w:r>
          </w:p>
        </w:tc>
        <w:tc>
          <w:tcPr>
            <w:tcW w:w="1850" w:type="dxa"/>
            <w:tcBorders/>
            <w:vAlign w:val="center"/>
          </w:tcPr>
          <w:p>
            <w:pPr>
              <w:pStyle w:val="TableContents"/>
              <w:bidi w:val="0"/>
              <w:spacing w:before="0" w:after="0"/>
              <w:jc w:val="left"/>
              <w:rPr>
                <w:color w:val="000000"/>
              </w:rPr>
            </w:pPr>
            <w:r>
              <w:rPr>
                <w:color w:val="000000"/>
              </w:rPr>
              <w:t>Board of Directors</w:t>
            </w:r>
          </w:p>
        </w:tc>
      </w:tr>
      <w:tr>
        <w:trPr/>
        <w:tc>
          <w:tcPr>
            <w:tcW w:w="905" w:type="dxa"/>
            <w:tcBorders/>
            <w:vAlign w:val="center"/>
          </w:tcPr>
          <w:p>
            <w:pPr>
              <w:pStyle w:val="TableContents"/>
              <w:bidi w:val="0"/>
              <w:spacing w:before="0" w:after="0"/>
              <w:jc w:val="left"/>
              <w:rPr>
                <w:color w:val="000000"/>
              </w:rPr>
            </w:pPr>
            <w:r>
              <w:rPr>
                <w:color w:val="000000"/>
              </w:rPr>
              <w:t>CC</w:t>
            </w:r>
          </w:p>
        </w:tc>
        <w:tc>
          <w:tcPr>
            <w:tcW w:w="6155" w:type="dxa"/>
            <w:tcBorders/>
            <w:vAlign w:val="center"/>
          </w:tcPr>
          <w:p>
            <w:pPr>
              <w:pStyle w:val="TableContents"/>
              <w:bidi w:val="0"/>
              <w:spacing w:before="0" w:after="0"/>
              <w:jc w:val="left"/>
              <w:rPr>
                <w:color w:val="000000"/>
              </w:rPr>
            </w:pPr>
            <w:r>
              <w:rPr>
                <w:color w:val="000000"/>
              </w:rPr>
              <w:t>Compensation and Human Capital Committee</w:t>
            </w:r>
          </w:p>
        </w:tc>
        <w:tc>
          <w:tcPr>
            <w:tcW w:w="260" w:type="dxa"/>
            <w:tcBorders/>
            <w:vAlign w:val="center"/>
          </w:tcPr>
          <w:p>
            <w:pPr>
              <w:pStyle w:val="TableContents"/>
              <w:bidi w:val="0"/>
              <w:spacing w:before="0" w:after="0"/>
              <w:jc w:val="left"/>
              <w:rPr>
                <w:color w:val="000000"/>
              </w:rPr>
            </w:pPr>
            <w:r>
              <w:rPr>
                <w:color w:val="000000"/>
              </w:rPr>
              <w:t>C</w:t>
            </w:r>
          </w:p>
        </w:tc>
        <w:tc>
          <w:tcPr>
            <w:tcW w:w="1850" w:type="dxa"/>
            <w:tcBorders/>
            <w:vAlign w:val="center"/>
          </w:tcPr>
          <w:p>
            <w:pPr>
              <w:pStyle w:val="TableContents"/>
              <w:bidi w:val="0"/>
              <w:spacing w:before="0" w:after="0"/>
              <w:jc w:val="left"/>
              <w:rPr>
                <w:color w:val="000000"/>
              </w:rPr>
            </w:pPr>
            <w:r>
              <w:rPr>
                <w:color w:val="000000"/>
              </w:rPr>
              <w:t>Chair</w:t>
            </w:r>
          </w:p>
        </w:tc>
      </w:tr>
      <w:tr>
        <w:trPr/>
        <w:tc>
          <w:tcPr>
            <w:tcW w:w="905" w:type="dxa"/>
            <w:tcBorders/>
            <w:vAlign w:val="center"/>
          </w:tcPr>
          <w:p>
            <w:pPr>
              <w:pStyle w:val="TableContents"/>
              <w:bidi w:val="0"/>
              <w:spacing w:before="0" w:after="0"/>
              <w:jc w:val="left"/>
              <w:rPr>
                <w:color w:val="000000"/>
              </w:rPr>
            </w:pPr>
            <w:r>
              <w:rPr>
                <w:color w:val="000000"/>
              </w:rPr>
              <w:t>NCCGC</w:t>
            </w:r>
          </w:p>
        </w:tc>
        <w:tc>
          <w:tcPr>
            <w:tcW w:w="6155" w:type="dxa"/>
            <w:tcBorders/>
            <w:vAlign w:val="center"/>
          </w:tcPr>
          <w:p>
            <w:pPr>
              <w:pStyle w:val="TableContents"/>
              <w:bidi w:val="0"/>
              <w:spacing w:before="0" w:after="0"/>
              <w:jc w:val="left"/>
              <w:rPr>
                <w:color w:val="000000"/>
              </w:rPr>
            </w:pPr>
            <w:r>
              <w:rPr>
                <w:color w:val="000000"/>
              </w:rPr>
              <w:t>Nominating, Compliance and Corporate Governance Committee</w:t>
            </w:r>
          </w:p>
        </w:tc>
        <w:tc>
          <w:tcPr>
            <w:tcW w:w="260" w:type="dxa"/>
            <w:tcBorders/>
            <w:vAlign w:val="center"/>
          </w:tcPr>
          <w:p>
            <w:pPr>
              <w:pStyle w:val="TableContents"/>
              <w:bidi w:val="0"/>
              <w:spacing w:before="0" w:after="0"/>
              <w:jc w:val="left"/>
              <w:rPr>
                <w:color w:val="000000"/>
              </w:rPr>
            </w:pPr>
            <w:r>
              <w:rPr>
                <w:color w:val="000000"/>
              </w:rPr>
              <w:t>M</w:t>
            </w:r>
          </w:p>
        </w:tc>
        <w:tc>
          <w:tcPr>
            <w:tcW w:w="1850" w:type="dxa"/>
            <w:tcBorders/>
            <w:vAlign w:val="center"/>
          </w:tcPr>
          <w:p>
            <w:pPr>
              <w:pStyle w:val="TableContents"/>
              <w:bidi w:val="0"/>
              <w:spacing w:before="0" w:after="0"/>
              <w:jc w:val="left"/>
              <w:rPr>
                <w:color w:val="000000"/>
              </w:rPr>
            </w:pPr>
            <w:r>
              <w:rPr>
                <w:color w:val="000000"/>
              </w:rPr>
              <w:t>Member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Set forth below are the names, ages and principal occupations and director positions on public companies, in each case, for the past five years, of the directors and nominees, and information relating to other positions held by them with us and other companies.  Additionally, there is a brief discussion of each director’s and nominee’s experience, qualifications, attributes or skills that led to the conclusion that such person should serve as a director.  There are no family relationships between or among any of the Company’s directors or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Class II Directors (Term expiring at the 2026 Annual Meeting):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 w:name="z0abc32eb5e284d178974dffdb5940881"/>
      <w:bookmarkStart w:id="24" w:name="z0abc32eb5e284d178974dffdb5940881"/>
      <w:bookmarkEnd w:id="24"/>
    </w:p>
    <w:tbl>
      <w:tblPr>
        <w:tblW w:w="4075" w:type="dxa"/>
        <w:jc w:val="left"/>
        <w:tblInd w:w="0" w:type="dxa"/>
        <w:tblLayout w:type="fixed"/>
        <w:tblCellMar>
          <w:top w:w="28" w:type="dxa"/>
          <w:left w:w="0" w:type="dxa"/>
          <w:bottom w:w="0" w:type="dxa"/>
          <w:right w:w="0" w:type="dxa"/>
        </w:tblCellMar>
      </w:tblPr>
      <w:tblGrid>
        <w:gridCol w:w="2045"/>
        <w:gridCol w:w="2030"/>
      </w:tblGrid>
      <w:tr>
        <w:trPr/>
        <w:tc>
          <w:tcPr>
            <w:tcW w:w="2045" w:type="dxa"/>
            <w:tcBorders>
              <w:top w:val="single" w:sz="12" w:space="0" w:color="000000"/>
            </w:tcBorders>
            <w:vAlign w:val="center"/>
          </w:tcPr>
          <w:p>
            <w:pPr>
              <w:pStyle w:val="TableContents"/>
              <w:bidi w:val="0"/>
              <w:spacing w:before="0" w:after="0"/>
              <w:jc w:val="left"/>
              <w:rPr>
                <w:b/>
                <w:color w:val="000000"/>
              </w:rPr>
            </w:pPr>
            <w:r>
              <w:rPr>
                <w:b/>
                <w:color w:val="000000"/>
              </w:rPr>
              <w:t>EILEEN O. AUEN</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2016</w:t>
            </w:r>
          </w:p>
        </w:tc>
      </w:tr>
      <w:tr>
        <w:trPr/>
        <w:tc>
          <w:tcPr>
            <w:tcW w:w="2045" w:type="dxa"/>
            <w:tcBorders/>
            <w:tcMar>
              <w:top w:w="0" w:type="dxa"/>
            </w:tcMar>
            <w:vAlign w:val="center"/>
          </w:tcPr>
          <w:p>
            <w:pPr>
              <w:pStyle w:val="TableContents"/>
              <w:bidi w:val="0"/>
              <w:spacing w:before="0" w:after="0"/>
              <w:jc w:val="left"/>
              <w:rPr>
                <w:b/>
                <w:color w:val="000000"/>
              </w:rPr>
            </w:pPr>
            <w:r>
              <w:rPr>
                <w:b/>
                <w:color w:val="000000"/>
              </w:rPr>
              <w:t>Executive Chair</w:t>
            </w:r>
          </w:p>
        </w:tc>
        <w:tc>
          <w:tcPr>
            <w:tcW w:w="2030" w:type="dxa"/>
            <w:tcBorders/>
            <w:tcMar>
              <w:top w:w="0" w:type="dxa"/>
            </w:tcMar>
            <w:vAlign w:val="center"/>
          </w:tcPr>
          <w:p>
            <w:pPr>
              <w:pStyle w:val="TableContents"/>
              <w:bidi w:val="0"/>
              <w:spacing w:before="0" w:after="0"/>
              <w:jc w:val="right"/>
              <w:rPr>
                <w:b/>
                <w:color w:val="000000"/>
              </w:rPr>
            </w:pPr>
            <w:r>
              <w:rPr>
                <w:b/>
                <w:color w:val="000000"/>
              </w:rPr>
              <w:t>age 63</w:t>
            </w:r>
          </w:p>
        </w:tc>
      </w:tr>
      <w:tr>
        <w:trPr/>
        <w:tc>
          <w:tcPr>
            <w:tcW w:w="2045" w:type="dxa"/>
            <w:tcBorders/>
            <w:tcMar>
              <w:top w:w="0" w:type="dxa"/>
            </w:tcMar>
            <w:vAlign w:val="center"/>
          </w:tcPr>
          <w:p>
            <w:pPr>
              <w:pStyle w:val="TableContents"/>
              <w:bidi w:val="0"/>
              <w:spacing w:before="0" w:after="0"/>
              <w:jc w:val="left"/>
              <w:rPr>
                <w:b/>
                <w:color w:val="000000"/>
              </w:rPr>
            </w:pPr>
            <w:r>
              <w:rPr>
                <w:b/>
                <w:color w:val="000000"/>
              </w:rPr>
              <w:t>Point32Health</w:t>
            </w:r>
          </w:p>
        </w:tc>
        <w:tc>
          <w:tcPr>
            <w:tcW w:w="2030" w:type="dxa"/>
            <w:tcBorders/>
            <w:tcMar>
              <w:top w:w="0" w:type="dxa"/>
            </w:tcMar>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Ms. Auen serves as Executive Chair of Point32Health, a $9 billion healthcare organization that was formed by the merger of Tufts Health and Harvard Pilgrim health care companies.  From September 2024 until June 2025 Ms. Auen also served as Interim Chief Executive Officer of Point32Health.  Prior to this, she served as Executive Chair of Helios, a $1 billion healthcare services firm formed by the merger of PMSI, Inc. and Progressive Medical in 2013. Prior roles include Chairman and Chief Executive Officer of PMSI, Head of Healthcare Management at Aetna, and Chief Executive Officer of APS Healthcare.  Ms. Auen earned a bachelor’s degree in Economics and Finance from Towson University, and an M.B.A. from the University of Virginia's Darden School of Business.  Ms. Auen also serves as the Lead Operating Director for Axia Women's Health.  She is also a member of the Board of Directors for MedRisk, a $1 billion Physical Medicine Company.   Ms. Auen served on the Board of ICF (Nasdaq:ICFI) from 2008 until 2021 and was the Lead Director from 2016 to 2021.  She also served on the Board of Medstar Union Memorial Hospital from 2014 until 2021 and on the Towson University Foundation Board.  Ms. Auen chairs our Compensation and Human Capital Committee and is a member of our Nominating, Compliance and Corporate Governance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 w:name="z4e35122dff0749a8a50c075d2583cd88"/>
      <w:bookmarkStart w:id="26" w:name="z4e35122dff0749a8a50c075d2583cd88"/>
      <w:bookmarkEnd w:id="26"/>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Ms. Auen’s extensive experience in the health care industry, including at PMSI, Aetna, APS Healthcare, Tufts Health Plan and Point32Health, provides the Company with significant management experience in the areas of finance, accounting, business operations, management, risk oversight, executive decision making and corporate governance.  In addition, Ms. Auen’s experience in the healthcare payment environment provides reliable perspectives to our Board.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zdb0c3f217891439683c5a97849db0b5e"/>
      <w:bookmarkStart w:id="28" w:name="zdb0c3f217891439683c5a97849db0b5e"/>
      <w:bookmarkEnd w:id="28"/>
    </w:p>
    <w:tbl>
      <w:tblPr>
        <w:tblW w:w="5035" w:type="dxa"/>
        <w:jc w:val="left"/>
        <w:tblInd w:w="0" w:type="dxa"/>
        <w:tblLayout w:type="fixed"/>
        <w:tblCellMar>
          <w:top w:w="28" w:type="dxa"/>
          <w:left w:w="0" w:type="dxa"/>
          <w:bottom w:w="0" w:type="dxa"/>
          <w:right w:w="0" w:type="dxa"/>
        </w:tblCellMar>
      </w:tblPr>
      <w:tblGrid>
        <w:gridCol w:w="3005"/>
        <w:gridCol w:w="2030"/>
      </w:tblGrid>
      <w:tr>
        <w:trPr/>
        <w:tc>
          <w:tcPr>
            <w:tcW w:w="3005" w:type="dxa"/>
            <w:tcBorders>
              <w:top w:val="single" w:sz="12" w:space="0" w:color="000000"/>
            </w:tcBorders>
            <w:vAlign w:val="center"/>
          </w:tcPr>
          <w:p>
            <w:pPr>
              <w:pStyle w:val="TableContents"/>
              <w:bidi w:val="0"/>
              <w:spacing w:before="0" w:after="0"/>
              <w:jc w:val="left"/>
              <w:rPr>
                <w:b/>
                <w:color w:val="000000"/>
              </w:rPr>
            </w:pPr>
            <w:r>
              <w:rPr>
                <w:b/>
                <w:color w:val="000000"/>
              </w:rPr>
              <w:t>HOWARD W. DONNELLY</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2004</w:t>
            </w:r>
          </w:p>
        </w:tc>
      </w:tr>
      <w:tr>
        <w:trPr/>
        <w:tc>
          <w:tcPr>
            <w:tcW w:w="3005" w:type="dxa"/>
            <w:tcBorders/>
            <w:tcMar>
              <w:top w:w="0" w:type="dxa"/>
            </w:tcMar>
            <w:vAlign w:val="center"/>
          </w:tcPr>
          <w:p>
            <w:pPr>
              <w:pStyle w:val="TableContents"/>
              <w:bidi w:val="0"/>
              <w:spacing w:before="0" w:after="0"/>
              <w:jc w:val="left"/>
              <w:rPr>
                <w:b/>
                <w:color w:val="000000"/>
              </w:rPr>
            </w:pPr>
            <w:r>
              <w:rPr>
                <w:b/>
                <w:color w:val="000000"/>
              </w:rPr>
              <w:t>Former President and CEO</w:t>
            </w:r>
          </w:p>
        </w:tc>
        <w:tc>
          <w:tcPr>
            <w:tcW w:w="2030" w:type="dxa"/>
            <w:tcBorders/>
            <w:tcMar>
              <w:top w:w="0" w:type="dxa"/>
            </w:tcMar>
            <w:vAlign w:val="center"/>
          </w:tcPr>
          <w:p>
            <w:pPr>
              <w:pStyle w:val="TableContents"/>
              <w:bidi w:val="0"/>
              <w:spacing w:before="0" w:after="0"/>
              <w:jc w:val="right"/>
              <w:rPr>
                <w:b/>
                <w:color w:val="000000"/>
              </w:rPr>
            </w:pPr>
            <w:r>
              <w:rPr>
                <w:b/>
                <w:color w:val="000000"/>
              </w:rPr>
              <w:t>age 65</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From 2017-2019, Mr. Donnelly was President and CEO of Bluefin Medical, a firm focused on the regional anesthesia market.  In 2019 Bluefin Medical’s technology was acquired by a private European medical technology company.  From 2005 to March 2018, Mr. Donnelly was President of Concert Medical LLC, a manufacturer of interventional medical devices.  Concert Medical was acquired by Theragenics in March 2018.  From 2010 to 2016, Mr. Donnelly was President and CEO of HydroCision Inc., a company focused on spine surgery and the pain management market.  Mr. Donnelly currently serves on the Board of Directors of HydroCision, Inc.  From 2002 to 2008, Mr. Donnelly was a director and member of the audit, compensation and nominating and governance committees of Vital Signs, Inc. From 1999 to 2002, he was President of Level 1, Inc., a medical device manufacturer and subsidiary of Smiths Group. From 1990 to 1999, Mr. Donnelly was employed at Pfizer, Inc., with his last position as Vice President, Business Planning and Development for Pfizer’s Medical Technology Group from 1997 to 1999. Mr. Donnelly holds a B.S. and an M.B.A. from Bryant College.  Mr. Donnelly is the Chairman of the Board.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9" w:name="zc05d0f1afd8947fba208ef476f5199d8"/>
      <w:bookmarkStart w:id="30" w:name="zc05d0f1afd8947fba208ef476f5199d8"/>
      <w:bookmarkEnd w:id="30"/>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Mr. Donnelly brings extensive industry experience as a result of his tenures as a senior executive at Pfizer, Level 1, Concert Medical and HydroCision. Mr. Donnelly provides the Board with valuable business, leadership and management insight, particularly in the areas of manufacturing and business combinations, and his prior experience as a member of the Board of Directors of several companies.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1" w:name="zd1a8224065174fe8bc146bb31d55c59e"/>
      <w:bookmarkStart w:id="32" w:name="zd1a8224065174fe8bc146bb31d55c59e"/>
      <w:bookmarkEnd w:id="32"/>
    </w:p>
    <w:tbl>
      <w:tblPr>
        <w:tblW w:w="9535" w:type="dxa"/>
        <w:jc w:val="left"/>
        <w:tblInd w:w="0" w:type="dxa"/>
        <w:tblLayout w:type="fixed"/>
        <w:tblCellMar>
          <w:top w:w="28" w:type="dxa"/>
          <w:left w:w="0" w:type="dxa"/>
          <w:bottom w:w="0" w:type="dxa"/>
          <w:right w:w="0" w:type="dxa"/>
        </w:tblCellMar>
      </w:tblPr>
      <w:tblGrid>
        <w:gridCol w:w="7505"/>
        <w:gridCol w:w="2030"/>
      </w:tblGrid>
      <w:tr>
        <w:trPr/>
        <w:tc>
          <w:tcPr>
            <w:tcW w:w="7505" w:type="dxa"/>
            <w:tcBorders>
              <w:top w:val="single" w:sz="12" w:space="0" w:color="000000"/>
            </w:tcBorders>
            <w:vAlign w:val="center"/>
          </w:tcPr>
          <w:p>
            <w:pPr>
              <w:pStyle w:val="TableContents"/>
              <w:bidi w:val="0"/>
              <w:spacing w:before="0" w:after="0"/>
              <w:jc w:val="left"/>
              <w:rPr>
                <w:b/>
                <w:color w:val="000000"/>
              </w:rPr>
            </w:pPr>
            <w:r>
              <w:rPr>
                <w:b/>
                <w:color w:val="000000"/>
              </w:rPr>
              <w:t>JAN STERN REED</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2016</w:t>
            </w:r>
          </w:p>
        </w:tc>
      </w:tr>
      <w:tr>
        <w:trPr/>
        <w:tc>
          <w:tcPr>
            <w:tcW w:w="7505" w:type="dxa"/>
            <w:tcBorders/>
            <w:tcMar>
              <w:top w:w="0" w:type="dxa"/>
            </w:tcMar>
            <w:vAlign w:val="center"/>
          </w:tcPr>
          <w:p>
            <w:pPr>
              <w:pStyle w:val="TableContents"/>
              <w:bidi w:val="0"/>
              <w:spacing w:before="0" w:after="0"/>
              <w:jc w:val="left"/>
              <w:rPr>
                <w:b/>
                <w:color w:val="000000"/>
              </w:rPr>
            </w:pPr>
            <w:r>
              <w:rPr>
                <w:b/>
                <w:color w:val="000000"/>
              </w:rPr>
              <w:t>Former Senior Vice President, General Counsel and Corporate Secretary</w:t>
            </w:r>
          </w:p>
        </w:tc>
        <w:tc>
          <w:tcPr>
            <w:tcW w:w="2030" w:type="dxa"/>
            <w:tcBorders/>
            <w:tcMar>
              <w:top w:w="0" w:type="dxa"/>
            </w:tcMar>
            <w:vAlign w:val="center"/>
          </w:tcPr>
          <w:p>
            <w:pPr>
              <w:pStyle w:val="TableContents"/>
              <w:bidi w:val="0"/>
              <w:spacing w:before="0" w:after="0"/>
              <w:jc w:val="right"/>
              <w:rPr>
                <w:b/>
                <w:color w:val="000000"/>
              </w:rPr>
            </w:pPr>
            <w:r>
              <w:rPr>
                <w:b/>
                <w:color w:val="000000"/>
              </w:rPr>
              <w:t>age 66</w:t>
            </w:r>
          </w:p>
        </w:tc>
      </w:tr>
      <w:tr>
        <w:trPr/>
        <w:tc>
          <w:tcPr>
            <w:tcW w:w="7505" w:type="dxa"/>
            <w:tcBorders/>
            <w:tcMar>
              <w:top w:w="0" w:type="dxa"/>
            </w:tcMar>
            <w:vAlign w:val="center"/>
          </w:tcPr>
          <w:p>
            <w:pPr>
              <w:pStyle w:val="TableContents"/>
              <w:bidi w:val="0"/>
              <w:spacing w:before="0" w:after="0"/>
              <w:jc w:val="left"/>
              <w:rPr>
                <w:b/>
                <w:color w:val="000000"/>
              </w:rPr>
            </w:pPr>
            <w:r>
              <w:rPr>
                <w:b/>
                <w:color w:val="000000"/>
              </w:rPr>
              <w:t>Walgreens Boots Alliance, Inc.</w:t>
            </w:r>
          </w:p>
        </w:tc>
        <w:tc>
          <w:tcPr>
            <w:tcW w:w="2030"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From 2013 to 2016, Ms. Reed served as Senior Vice President, General Counsel and Corporate Secretary (since 2015) at Walgreens Boots Alliance, Inc., a global pharmacy-led, health and wellbeing enterprise with annual revenues during her tenure in excess of $115 billion. Prior to this role, Ms. Reed served for seven years as Executive Vice President of Human Resources, General Counsel and Corporate Secretary at Solo Cup Company, and, prior thereto, as Associate General Counsel, Corporate Secretary and Chief Governance Officer at Baxter International Inc. Ms. Reed earned a Bachelor of Arts degree, with honors, in Psychology from the University of Michigan, and a Juris Doctor from Northwestern University School of Law. Ms. Reed also currently serves as Chair of the Board of Directors for AVITA Medical, Inc. (Nasdaq:RCEL; ASX; AVH) and Lead Independent Director of the Board of Directors of GMR Solutions, Inc. (NYSE:GMRS).  Previously Ms. Reed served as a member of the Board of Directors for Stepan Company (NYSE:SCL) between 2015 and 2026.  Ms. Reed is a member of our Audit Committee and is the Chair of the Nominating, Compliance and Corporate Governance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 w:name="zd6116134719f4903ab7936f399994645"/>
      <w:bookmarkStart w:id="34" w:name="zd6116134719f4903ab7936f399994645"/>
      <w:bookmarkEnd w:id="34"/>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Ms. Reed provides the Board of Directors with global executive leadership in legal, corporate governance, risk management, health care regulatory, compliance, manufacturing and strategic business matters as well as extensive experience with acquisitions and employee development.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Class I Directors (Term expiring at the 2028 Annual Meeting):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5" w:name="z07be4a7cf4bf421db37273eb3cae391b"/>
      <w:bookmarkStart w:id="36" w:name="z07be4a7cf4bf421db37273eb3cae391b"/>
      <w:bookmarkEnd w:id="36"/>
    </w:p>
    <w:tbl>
      <w:tblPr>
        <w:tblW w:w="5920" w:type="dxa"/>
        <w:jc w:val="left"/>
        <w:tblInd w:w="0" w:type="dxa"/>
        <w:tblLayout w:type="fixed"/>
        <w:tblCellMar>
          <w:top w:w="28" w:type="dxa"/>
          <w:left w:w="0" w:type="dxa"/>
          <w:bottom w:w="0" w:type="dxa"/>
          <w:right w:w="0" w:type="dxa"/>
        </w:tblCellMar>
      </w:tblPr>
      <w:tblGrid>
        <w:gridCol w:w="3890"/>
        <w:gridCol w:w="2030"/>
      </w:tblGrid>
      <w:tr>
        <w:trPr/>
        <w:tc>
          <w:tcPr>
            <w:tcW w:w="3890" w:type="dxa"/>
            <w:tcBorders>
              <w:top w:val="single" w:sz="12" w:space="0" w:color="000000"/>
            </w:tcBorders>
            <w:vAlign w:val="center"/>
          </w:tcPr>
          <w:p>
            <w:pPr>
              <w:pStyle w:val="TableContents"/>
              <w:bidi w:val="0"/>
              <w:spacing w:before="0" w:after="0"/>
              <w:jc w:val="left"/>
              <w:rPr>
                <w:b/>
                <w:color w:val="000000"/>
              </w:rPr>
            </w:pPr>
            <w:r>
              <w:rPr>
                <w:b/>
                <w:color w:val="000000"/>
              </w:rPr>
              <w:t>JAMES C. CLEMMER</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2016</w:t>
            </w:r>
          </w:p>
        </w:tc>
      </w:tr>
      <w:tr>
        <w:trPr/>
        <w:tc>
          <w:tcPr>
            <w:tcW w:w="3890" w:type="dxa"/>
            <w:tcBorders/>
            <w:tcMar>
              <w:top w:w="0" w:type="dxa"/>
            </w:tcMar>
            <w:vAlign w:val="center"/>
          </w:tcPr>
          <w:p>
            <w:pPr>
              <w:pStyle w:val="TableContents"/>
              <w:bidi w:val="0"/>
              <w:spacing w:before="0" w:after="0"/>
              <w:jc w:val="left"/>
              <w:rPr>
                <w:b/>
                <w:color w:val="000000"/>
              </w:rPr>
            </w:pPr>
            <w:r>
              <w:rPr>
                <w:b/>
                <w:color w:val="000000"/>
              </w:rPr>
              <w:t>President and Chief Executive Officer</w:t>
            </w:r>
          </w:p>
        </w:tc>
        <w:tc>
          <w:tcPr>
            <w:tcW w:w="2030" w:type="dxa"/>
            <w:tcBorders/>
            <w:tcMar>
              <w:top w:w="0" w:type="dxa"/>
            </w:tcMar>
            <w:vAlign w:val="center"/>
          </w:tcPr>
          <w:p>
            <w:pPr>
              <w:pStyle w:val="TableContents"/>
              <w:bidi w:val="0"/>
              <w:spacing w:before="0" w:after="0"/>
              <w:jc w:val="right"/>
              <w:rPr>
                <w:b/>
                <w:color w:val="000000"/>
              </w:rPr>
            </w:pPr>
            <w:r>
              <w:rPr>
                <w:b/>
                <w:color w:val="000000"/>
              </w:rPr>
              <w:t>age 62</w:t>
            </w:r>
          </w:p>
        </w:tc>
      </w:tr>
      <w:tr>
        <w:trPr/>
        <w:tc>
          <w:tcPr>
            <w:tcW w:w="3890" w:type="dxa"/>
            <w:tcBorders/>
            <w:tcMar>
              <w:top w:w="0" w:type="dxa"/>
            </w:tcMar>
            <w:vAlign w:val="center"/>
          </w:tcPr>
          <w:p>
            <w:pPr>
              <w:pStyle w:val="TableContents"/>
              <w:bidi w:val="0"/>
              <w:spacing w:before="0" w:after="0"/>
              <w:jc w:val="left"/>
              <w:rPr>
                <w:b/>
                <w:color w:val="000000"/>
              </w:rPr>
            </w:pPr>
            <w:r>
              <w:rPr>
                <w:b/>
                <w:color w:val="000000"/>
              </w:rPr>
              <w:t>AngioDynamics, Inc.</w:t>
            </w:r>
          </w:p>
        </w:tc>
        <w:tc>
          <w:tcPr>
            <w:tcW w:w="2030"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Mr. Clemmer joined AngioDynamics in April 2016 as our President and CEO.  Prior to joining AngioDynamics, Mr. Clemmer served as President of the Medical Supplies segment at Covidien plc from September 2006 to January 2015. In this role, Mr. Clemmer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from July 2004 to September 2006, where he managed the US business across five divisions and built the strategic plan for the Medical Supplies segment before it was spun off from Tyco. Mr. Clemmer served as interim president at the Massachusetts College of Liberal Arts from August 2015 until March 1, 2016. Mr. Clemmer is a graduate of the Massachusetts College of Liberal Arts.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7" w:name="zea00f8a3714b42d3b6eb6e0a8925b325"/>
      <w:bookmarkStart w:id="38" w:name="zea00f8a3714b42d3b6eb6e0a8925b325"/>
      <w:bookmarkEnd w:id="38"/>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12" w:space="0" w:color="000000"/>
            </w:tcBorders>
            <w:vAlign w:val="center"/>
          </w:tcPr>
          <w:p>
            <w:pPr>
              <w:pStyle w:val="TableContents"/>
              <w:bidi w:val="0"/>
              <w:spacing w:before="0" w:after="0"/>
              <w:jc w:val="left"/>
              <w:rPr/>
            </w:pPr>
            <w:r>
              <w:rPr>
                <w:b/>
              </w:rPr>
              <w:t xml:space="preserve">Director Qualifications:  </w:t>
            </w:r>
            <w:r>
              <w:rPr/>
              <w:t>Through his position as our CEO and his tenure at Covidien, Mr. Clemmer brings leadership, extensive executive and operational experience, strategic expertise and a deep knowledge of the medical device industry to the Board. Mr. Clemmer’s service as a Director and CEO of AngioDynamics creates a critical link between management and the Board, enabling the Board to perform its oversight function with the benefits of management’s perspectives on the business.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9" w:name="zf607bd86443d4845abf45895bc53066c"/>
      <w:bookmarkStart w:id="40" w:name="zf607bd86443d4845abf45895bc53066c"/>
      <w:bookmarkEnd w:id="40"/>
    </w:p>
    <w:tbl>
      <w:tblPr>
        <w:tblW w:w="7330" w:type="dxa"/>
        <w:jc w:val="left"/>
        <w:tblInd w:w="0" w:type="dxa"/>
        <w:tblLayout w:type="fixed"/>
        <w:tblCellMar>
          <w:top w:w="28" w:type="dxa"/>
          <w:left w:w="0" w:type="dxa"/>
          <w:bottom w:w="0" w:type="dxa"/>
          <w:right w:w="0" w:type="dxa"/>
        </w:tblCellMar>
      </w:tblPr>
      <w:tblGrid>
        <w:gridCol w:w="5300"/>
        <w:gridCol w:w="2030"/>
      </w:tblGrid>
      <w:tr>
        <w:trPr/>
        <w:tc>
          <w:tcPr>
            <w:tcW w:w="5300" w:type="dxa"/>
            <w:tcBorders>
              <w:top w:val="single" w:sz="12" w:space="0" w:color="000000"/>
            </w:tcBorders>
            <w:vAlign w:val="center"/>
          </w:tcPr>
          <w:p>
            <w:pPr>
              <w:pStyle w:val="TableContents"/>
              <w:bidi w:val="0"/>
              <w:spacing w:before="0" w:after="0"/>
              <w:jc w:val="left"/>
              <w:rPr>
                <w:b/>
                <w:color w:val="000000"/>
              </w:rPr>
            </w:pPr>
            <w:r>
              <w:rPr>
                <w:b/>
                <w:color w:val="000000"/>
              </w:rPr>
              <w:t>MICHAEL E. TARNOFF, MD</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2019</w:t>
            </w:r>
          </w:p>
        </w:tc>
      </w:tr>
      <w:tr>
        <w:trPr/>
        <w:tc>
          <w:tcPr>
            <w:tcW w:w="5300" w:type="dxa"/>
            <w:tcBorders/>
            <w:tcMar>
              <w:top w:w="0" w:type="dxa"/>
            </w:tcMar>
            <w:vAlign w:val="center"/>
          </w:tcPr>
          <w:p>
            <w:pPr>
              <w:pStyle w:val="TableContents"/>
              <w:bidi w:val="0"/>
              <w:spacing w:before="0" w:after="0"/>
              <w:jc w:val="left"/>
              <w:rPr>
                <w:b/>
                <w:color w:val="000000"/>
              </w:rPr>
            </w:pPr>
            <w:r>
              <w:rPr>
                <w:b/>
                <w:color w:val="000000"/>
              </w:rPr>
              <w:t>Former President and CEO</w:t>
            </w:r>
          </w:p>
        </w:tc>
        <w:tc>
          <w:tcPr>
            <w:tcW w:w="2030" w:type="dxa"/>
            <w:tcBorders/>
            <w:tcMar>
              <w:top w:w="0" w:type="dxa"/>
            </w:tcMar>
            <w:vAlign w:val="center"/>
          </w:tcPr>
          <w:p>
            <w:pPr>
              <w:pStyle w:val="TableContents"/>
              <w:bidi w:val="0"/>
              <w:spacing w:before="0" w:after="0"/>
              <w:jc w:val="right"/>
              <w:rPr>
                <w:b/>
                <w:color w:val="000000"/>
              </w:rPr>
            </w:pPr>
            <w:r>
              <w:rPr>
                <w:b/>
                <w:color w:val="000000"/>
              </w:rPr>
              <w:t>age 58</w:t>
            </w:r>
          </w:p>
        </w:tc>
      </w:tr>
      <w:tr>
        <w:trPr/>
        <w:tc>
          <w:tcPr>
            <w:tcW w:w="5300" w:type="dxa"/>
            <w:tcBorders/>
            <w:tcMar>
              <w:top w:w="0" w:type="dxa"/>
            </w:tcMar>
            <w:vAlign w:val="center"/>
          </w:tcPr>
          <w:p>
            <w:pPr>
              <w:pStyle w:val="TableContents"/>
              <w:bidi w:val="0"/>
              <w:spacing w:before="0" w:after="0"/>
              <w:jc w:val="left"/>
              <w:rPr>
                <w:b/>
                <w:color w:val="000000"/>
              </w:rPr>
            </w:pPr>
            <w:r>
              <w:rPr>
                <w:b/>
                <w:color w:val="000000"/>
              </w:rPr>
              <w:t>Tufts Medical Center and Tufts Children's Hospital</w:t>
            </w:r>
          </w:p>
        </w:tc>
        <w:tc>
          <w:tcPr>
            <w:tcW w:w="2030"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From June of 2021 to March of 2024, Dr. Tarnoff has served as President and Chief Executive Officer of Tufts Medical Center and Tufts Children’s Hospital and served in this role on an interim basis for the nine months preceding his appointment. From June 2019 until June 2021, Dr. Tarnoff was Chair of the Department of Surgery and Surgeon-in-Chief at Tufts Medical Center and Tufts University School of Medicine in Boston, Massachusetts.  Dr. Tarnoff has been a surgeon at Tufts since 2001.  Dr. Tarnoff was Chief Medical Officer at Medtronic from January 2015 through August 2019.  From 2008 until its acquisition by Medtronic in 2015, Dr. Tarnoff served as the Chief Medical Officer and Senior Vice President for Medical Affairs at Covidien plc.  Dr. Tarnoff received a BA in psychology from Washington University in St Louis, and received an MD from and completed his residency in General Surgery at the University of Medicine and Dentistry of New Jersey.  Dr. Tarnoff also completed a fellowship in Advanced Minimally Invasive Surgery at the Cleveland Clinic in Cleveland, Ohio.  Dr. Tarnoff also serves on the Board of Directors of AVITA Medical, Inc. (NASDAQ: RCEL) and Aspen Surgical.  Dr. Tarnoff is a member of our Nominating, Compliance and Corporate Governance Committee and is a member of our Compensation and Human Capital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 w:name="zde67ff4469324a2eb666a9687f7d4610"/>
      <w:bookmarkStart w:id="42" w:name="zde67ff4469324a2eb666a9687f7d4610"/>
      <w:bookmarkEnd w:id="42"/>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Director Qualifications:</w:t>
            </w:r>
            <w:r>
              <w:rPr/>
              <w:t xml:space="preserve"> Through his extensive experience as a surgeon and his roles in hospital administration, including his tenure as President and CEO of Tufts Medical Center, Dr. Tarnoff provides the Board of Directors with deep, expert knowledge in patient care and the United States health care system.</w:t>
            </w:r>
          </w:p>
        </w:tc>
      </w:tr>
    </w:tbl>
    <w:p>
      <w:pPr>
        <w:pStyle w:val="TextBody"/>
        <w:bidi w:val="0"/>
        <w:spacing w:before="0" w:after="0"/>
        <w:ind w:left="53" w:right="0" w:hanging="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Class III Directors (Term expiring at the 2027 Annual Meeting):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 w:name="zc33cb41d535c45e98f87d4485ac2f366"/>
      <w:bookmarkStart w:id="44" w:name="zc33cb41d535c45e98f87d4485ac2f366"/>
      <w:bookmarkEnd w:id="44"/>
    </w:p>
    <w:tbl>
      <w:tblPr>
        <w:tblW w:w="8350" w:type="dxa"/>
        <w:jc w:val="left"/>
        <w:tblInd w:w="0" w:type="dxa"/>
        <w:tblLayout w:type="fixed"/>
        <w:tblCellMar>
          <w:top w:w="28" w:type="dxa"/>
          <w:left w:w="0" w:type="dxa"/>
          <w:bottom w:w="0" w:type="dxa"/>
          <w:right w:w="0" w:type="dxa"/>
        </w:tblCellMar>
      </w:tblPr>
      <w:tblGrid>
        <w:gridCol w:w="6320"/>
        <w:gridCol w:w="2030"/>
      </w:tblGrid>
      <w:tr>
        <w:trPr/>
        <w:tc>
          <w:tcPr>
            <w:tcW w:w="6320" w:type="dxa"/>
            <w:tcBorders>
              <w:top w:val="single" w:sz="12" w:space="0" w:color="000000"/>
            </w:tcBorders>
            <w:vAlign w:val="center"/>
          </w:tcPr>
          <w:p>
            <w:pPr>
              <w:pStyle w:val="TableContents"/>
              <w:bidi w:val="0"/>
              <w:spacing w:before="0" w:after="0"/>
              <w:jc w:val="left"/>
              <w:rPr>
                <w:b/>
                <w:color w:val="000000"/>
              </w:rPr>
            </w:pPr>
            <w:r>
              <w:rPr>
                <w:b/>
                <w:color w:val="000000"/>
              </w:rPr>
              <w:t>LORINDA A. BURGESS</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2023</w:t>
            </w:r>
          </w:p>
        </w:tc>
      </w:tr>
      <w:tr>
        <w:trPr/>
        <w:tc>
          <w:tcPr>
            <w:tcW w:w="6320" w:type="dxa"/>
            <w:tcBorders/>
            <w:tcMar>
              <w:top w:w="0" w:type="dxa"/>
            </w:tcMar>
            <w:vAlign w:val="center"/>
          </w:tcPr>
          <w:p>
            <w:pPr>
              <w:pStyle w:val="TableContents"/>
              <w:bidi w:val="0"/>
              <w:spacing w:before="0" w:after="0"/>
              <w:jc w:val="left"/>
              <w:rPr>
                <w:b/>
                <w:color w:val="000000"/>
              </w:rPr>
            </w:pPr>
            <w:r>
              <w:rPr>
                <w:b/>
                <w:color w:val="000000"/>
              </w:rPr>
              <w:t>Former Chief Financial Officer and Vice President of Finance</w:t>
            </w:r>
          </w:p>
        </w:tc>
        <w:tc>
          <w:tcPr>
            <w:tcW w:w="2030" w:type="dxa"/>
            <w:tcBorders/>
            <w:tcMar>
              <w:top w:w="0" w:type="dxa"/>
            </w:tcMar>
            <w:vAlign w:val="center"/>
          </w:tcPr>
          <w:p>
            <w:pPr>
              <w:pStyle w:val="TableContents"/>
              <w:bidi w:val="0"/>
              <w:spacing w:before="0" w:after="283"/>
              <w:jc w:val="left"/>
              <w:rPr/>
            </w:pPr>
            <w:r>
              <w:rPr/>
              <w:t> </w:t>
            </w:r>
          </w:p>
        </w:tc>
      </w:tr>
      <w:tr>
        <w:trPr/>
        <w:tc>
          <w:tcPr>
            <w:tcW w:w="6320" w:type="dxa"/>
            <w:tcBorders/>
            <w:tcMar>
              <w:top w:w="0" w:type="dxa"/>
            </w:tcMar>
            <w:vAlign w:val="center"/>
          </w:tcPr>
          <w:p>
            <w:pPr>
              <w:pStyle w:val="TableContents"/>
              <w:bidi w:val="0"/>
              <w:spacing w:before="0" w:after="0"/>
              <w:jc w:val="left"/>
              <w:rPr>
                <w:b/>
                <w:color w:val="000000"/>
              </w:rPr>
            </w:pPr>
            <w:r>
              <w:rPr>
                <w:b/>
                <w:color w:val="000000"/>
              </w:rPr>
              <w:t>Director</w:t>
            </w:r>
          </w:p>
        </w:tc>
        <w:tc>
          <w:tcPr>
            <w:tcW w:w="2030" w:type="dxa"/>
            <w:tcBorders/>
            <w:tcMar>
              <w:top w:w="0" w:type="dxa"/>
            </w:tcMar>
            <w:vAlign w:val="center"/>
          </w:tcPr>
          <w:p>
            <w:pPr>
              <w:pStyle w:val="TableContents"/>
              <w:bidi w:val="0"/>
              <w:spacing w:before="0" w:after="0"/>
              <w:jc w:val="right"/>
              <w:rPr>
                <w:b/>
                <w:color w:val="000000"/>
              </w:rPr>
            </w:pPr>
            <w:r>
              <w:rPr>
                <w:b/>
                <w:color w:val="000000"/>
              </w:rPr>
              <w:t>age 64</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Ms. Burgess joined our Board of Directors in July of 2023.  From 2015 to 2023, Ms. Burgess served as Chief Financial Officer and Vice President of Finance for the Americas Region at Medtronic, Inc. a Fortune 200 global medical device company with more than $30 billion in annual revenues.  Prior to this role, Ms. Burgess also served as Vice President of Customer Care for the America and Western Europe at Medtronic, Inc. and Vice President of Finance for the Cardiovascular Group's Sales and Marketing function.  Ms. Burgess earned a Bachelor of Arts in Communication and Political Science from the University of Michigan and a Master's in Business Administration from Ohio State University.  Ms. Burgess is a member of the Board of Directors for Stepan Company.  Ms. Burgess is a member of our Audit Committee and a member of our Compensation and Human Capital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 w:name="zc1f8eccadf324d0ebe9cd7cea39c8ba8"/>
      <w:bookmarkStart w:id="46" w:name="zc1f8eccadf324d0ebe9cd7cea39c8ba8"/>
      <w:bookmarkEnd w:id="46"/>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Ms. Burgess' service as CFO and VP of Finance for the Americas Region at Medtronic, Inc. provides valuable business, leadership and management experience, particularly with respect to the numerous financial, business and strategic issues faced by a diversified medical device company.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47" w:name="z93a7d2b02079494088db1f252c8fa99c"/>
      <w:bookmarkStart w:id="48" w:name="z93a7d2b02079494088db1f252c8fa99c"/>
      <w:bookmarkEnd w:id="48"/>
    </w:p>
    <w:tbl>
      <w:tblPr>
        <w:tblW w:w="10205" w:type="dxa"/>
        <w:jc w:val="left"/>
        <w:tblInd w:w="0" w:type="dxa"/>
        <w:tblLayout w:type="fixed"/>
        <w:tblCellMar>
          <w:top w:w="28" w:type="dxa"/>
          <w:left w:w="0" w:type="dxa"/>
          <w:bottom w:w="0" w:type="dxa"/>
          <w:right w:w="0" w:type="dxa"/>
        </w:tblCellMar>
      </w:tblPr>
      <w:tblGrid>
        <w:gridCol w:w="8397"/>
        <w:gridCol w:w="1808"/>
      </w:tblGrid>
      <w:tr>
        <w:trPr/>
        <w:tc>
          <w:tcPr>
            <w:tcW w:w="8397" w:type="dxa"/>
            <w:tcBorders>
              <w:top w:val="single" w:sz="12" w:space="0" w:color="000000"/>
            </w:tcBorders>
            <w:vAlign w:val="center"/>
          </w:tcPr>
          <w:p>
            <w:pPr>
              <w:pStyle w:val="TableContents"/>
              <w:bidi w:val="0"/>
              <w:spacing w:before="0" w:after="0"/>
              <w:jc w:val="left"/>
              <w:rPr>
                <w:b/>
                <w:color w:val="000000"/>
              </w:rPr>
            </w:pPr>
            <w:r>
              <w:rPr>
                <w:b/>
                <w:color w:val="000000"/>
              </w:rPr>
              <w:t>WESLEY E. JOHNSON, JR.</w:t>
            </w:r>
          </w:p>
        </w:tc>
        <w:tc>
          <w:tcPr>
            <w:tcW w:w="1808" w:type="dxa"/>
            <w:tcBorders>
              <w:top w:val="single" w:sz="12" w:space="0" w:color="000000"/>
            </w:tcBorders>
            <w:vAlign w:val="center"/>
          </w:tcPr>
          <w:p>
            <w:pPr>
              <w:pStyle w:val="TableContents"/>
              <w:bidi w:val="0"/>
              <w:spacing w:before="0" w:after="0"/>
              <w:jc w:val="right"/>
              <w:rPr>
                <w:b/>
                <w:color w:val="000000"/>
              </w:rPr>
            </w:pPr>
            <w:r>
              <w:rPr>
                <w:b/>
                <w:color w:val="000000"/>
              </w:rPr>
              <w:t>Director since 2007</w:t>
            </w:r>
          </w:p>
        </w:tc>
      </w:tr>
      <w:tr>
        <w:trPr/>
        <w:tc>
          <w:tcPr>
            <w:tcW w:w="8397" w:type="dxa"/>
            <w:tcBorders/>
            <w:tcMar>
              <w:top w:w="0" w:type="dxa"/>
            </w:tcMar>
            <w:vAlign w:val="center"/>
          </w:tcPr>
          <w:p>
            <w:pPr>
              <w:pStyle w:val="TableContents"/>
              <w:bidi w:val="0"/>
              <w:spacing w:before="0" w:after="0"/>
              <w:jc w:val="left"/>
              <w:rPr>
                <w:b/>
                <w:color w:val="000000"/>
              </w:rPr>
            </w:pPr>
            <w:r>
              <w:rPr>
                <w:b/>
                <w:color w:val="000000"/>
              </w:rPr>
              <w:t>Former CEO of medical device companies, Former Divisional Vice-President and General Manager</w:t>
            </w:r>
          </w:p>
        </w:tc>
        <w:tc>
          <w:tcPr>
            <w:tcW w:w="1808" w:type="dxa"/>
            <w:tcBorders/>
            <w:tcMar>
              <w:top w:w="0" w:type="dxa"/>
            </w:tcMar>
            <w:vAlign w:val="center"/>
          </w:tcPr>
          <w:p>
            <w:pPr>
              <w:pStyle w:val="TableContents"/>
              <w:bidi w:val="0"/>
              <w:spacing w:before="0" w:after="0"/>
              <w:jc w:val="right"/>
              <w:rPr>
                <w:b/>
                <w:color w:val="000000"/>
              </w:rPr>
            </w:pPr>
            <w:r>
              <w:rPr>
                <w:b/>
                <w:color w:val="000000"/>
              </w:rPr>
              <w:t>age 68</w:t>
            </w:r>
          </w:p>
        </w:tc>
      </w:tr>
      <w:tr>
        <w:trPr/>
        <w:tc>
          <w:tcPr>
            <w:tcW w:w="8397" w:type="dxa"/>
            <w:tcBorders/>
            <w:tcMar>
              <w:top w:w="0" w:type="dxa"/>
            </w:tcMar>
            <w:vAlign w:val="center"/>
          </w:tcPr>
          <w:p>
            <w:pPr>
              <w:pStyle w:val="TableContents"/>
              <w:bidi w:val="0"/>
              <w:spacing w:before="0" w:after="0"/>
              <w:jc w:val="left"/>
              <w:rPr>
                <w:b/>
                <w:color w:val="000000"/>
              </w:rPr>
            </w:pPr>
            <w:r>
              <w:rPr>
                <w:b/>
                <w:color w:val="000000"/>
              </w:rPr>
              <w:t>Abbott Laboratories</w:t>
            </w:r>
          </w:p>
        </w:tc>
        <w:tc>
          <w:tcPr>
            <w:tcW w:w="1808"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From February 2013 through November 2019, Mr. Johnson served as Chief Executive Officer and Director of Admittance Technologies, Inc., a medical device company. From February 2008 to May 2012, Mr. Johnson served as President, CEO and Director of Cardiokinetix, Inc., a developer of medical devices for the treatment of congestive heart failure. From October 2005 to February 2008, Mr. Johnson served as General Manager of Abbott Spine, S.A., a division of Abbott Laboratories. From June 2003 to October 2005, Mr. Johnson served as Division Vice President, Finance for Abbott Spine, a division of Abbott Laboratories. From May 1999 to June 2003, he served as Vice President of Operations and Chief Financial Officer for Spinal Concepts. From 2003 to 2007, Mr. Johnson served as a member of the Board of RITA Medical Systems, Inc. and Chairman of its Audit Committee. Mr. Johnson holds a B.B.A. in Accounting from Texas A&amp;M University and became a certified public accountant in 1981. Mr. Johnson is chair of our Audit Committee and a member of our Nominating, Compliance and Corporate Governance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 w:name="zfffcc1dac4da471ca577f59d7bcda323"/>
      <w:bookmarkStart w:id="50" w:name="zfffcc1dac4da471ca577f59d7bcda323"/>
      <w:bookmarkEnd w:id="50"/>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Mr. Johnson’s service as CFO for Spinal Concepts, General Manager and Division Vice President for Abbott Laboratories and CEO of two separate medical device companies, provides valuable business, leadership and management experience, particularly with respect to the numerous financial, business and strategic issues faced by a diversified medical device company.  In addition, Mr. Johnson's experience with PricewaterhouseCoopers and his positions as a public company CFO of Urologix, Inc. and Orthofix, Inc. (formerly American Medical Electronics, Inc.) provides valuable financial and accounting experience for his position on the Audit Committee.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 w:name="ze95085d75ee140c1b3e0892f0b4a8c39"/>
      <w:bookmarkStart w:id="52" w:name="ze95085d75ee140c1b3e0892f0b4a8c39"/>
      <w:bookmarkEnd w:id="52"/>
    </w:p>
    <w:tbl>
      <w:tblPr>
        <w:tblW w:w="10205" w:type="dxa"/>
        <w:jc w:val="left"/>
        <w:tblInd w:w="0" w:type="dxa"/>
        <w:tblLayout w:type="fixed"/>
        <w:tblCellMar>
          <w:top w:w="28" w:type="dxa"/>
          <w:left w:w="0" w:type="dxa"/>
          <w:bottom w:w="0" w:type="dxa"/>
          <w:right w:w="0" w:type="dxa"/>
        </w:tblCellMar>
      </w:tblPr>
      <w:tblGrid>
        <w:gridCol w:w="8187"/>
        <w:gridCol w:w="2018"/>
      </w:tblGrid>
      <w:tr>
        <w:trPr/>
        <w:tc>
          <w:tcPr>
            <w:tcW w:w="8187" w:type="dxa"/>
            <w:tcBorders>
              <w:top w:val="single" w:sz="12" w:space="0" w:color="000000"/>
            </w:tcBorders>
            <w:vAlign w:val="center"/>
          </w:tcPr>
          <w:p>
            <w:pPr>
              <w:pStyle w:val="TableContents"/>
              <w:bidi w:val="0"/>
              <w:spacing w:before="0" w:after="0"/>
              <w:jc w:val="left"/>
              <w:rPr>
                <w:b/>
                <w:color w:val="000000"/>
              </w:rPr>
            </w:pPr>
            <w:r>
              <w:rPr>
                <w:b/>
                <w:color w:val="000000"/>
              </w:rPr>
              <w:t>KAREN A. LICITRA</w:t>
            </w:r>
          </w:p>
        </w:tc>
        <w:tc>
          <w:tcPr>
            <w:tcW w:w="2018" w:type="dxa"/>
            <w:tcBorders>
              <w:top w:val="single" w:sz="12" w:space="0" w:color="000000"/>
            </w:tcBorders>
            <w:vAlign w:val="center"/>
          </w:tcPr>
          <w:p>
            <w:pPr>
              <w:pStyle w:val="TableContents"/>
              <w:bidi w:val="0"/>
              <w:spacing w:before="0" w:after="0"/>
              <w:jc w:val="right"/>
              <w:rPr>
                <w:b/>
                <w:color w:val="000000"/>
              </w:rPr>
            </w:pPr>
            <w:r>
              <w:rPr>
                <w:b/>
                <w:color w:val="000000"/>
              </w:rPr>
              <w:t>Director since 2019</w:t>
            </w:r>
          </w:p>
        </w:tc>
      </w:tr>
      <w:tr>
        <w:trPr/>
        <w:tc>
          <w:tcPr>
            <w:tcW w:w="8187" w:type="dxa"/>
            <w:tcBorders/>
            <w:tcMar>
              <w:top w:w="0" w:type="dxa"/>
            </w:tcMar>
            <w:vAlign w:val="center"/>
          </w:tcPr>
          <w:p>
            <w:pPr>
              <w:pStyle w:val="TableContents"/>
              <w:bidi w:val="0"/>
              <w:spacing w:before="0" w:after="0"/>
              <w:jc w:val="left"/>
              <w:rPr>
                <w:b/>
                <w:color w:val="000000"/>
              </w:rPr>
            </w:pPr>
            <w:r>
              <w:rPr>
                <w:b/>
                <w:color w:val="000000"/>
              </w:rPr>
              <w:t>Former Corporate Vice President for Worldwide Government Affairs and Policy</w:t>
            </w:r>
          </w:p>
        </w:tc>
        <w:tc>
          <w:tcPr>
            <w:tcW w:w="2018" w:type="dxa"/>
            <w:tcBorders/>
            <w:tcMar>
              <w:top w:w="0" w:type="dxa"/>
            </w:tcMar>
            <w:vAlign w:val="center"/>
          </w:tcPr>
          <w:p>
            <w:pPr>
              <w:pStyle w:val="TableContents"/>
              <w:bidi w:val="0"/>
              <w:spacing w:before="0" w:after="0"/>
              <w:jc w:val="right"/>
              <w:rPr>
                <w:b/>
                <w:color w:val="000000"/>
              </w:rPr>
            </w:pPr>
            <w:r>
              <w:rPr>
                <w:b/>
                <w:color w:val="000000"/>
              </w:rPr>
              <w:t>age 67</w:t>
            </w:r>
          </w:p>
        </w:tc>
      </w:tr>
      <w:tr>
        <w:trPr/>
        <w:tc>
          <w:tcPr>
            <w:tcW w:w="8187" w:type="dxa"/>
            <w:tcBorders/>
            <w:tcMar>
              <w:top w:w="0" w:type="dxa"/>
            </w:tcMar>
            <w:vAlign w:val="center"/>
          </w:tcPr>
          <w:p>
            <w:pPr>
              <w:pStyle w:val="TableContents"/>
              <w:bidi w:val="0"/>
              <w:spacing w:before="0" w:after="0"/>
              <w:jc w:val="left"/>
              <w:rPr>
                <w:b/>
                <w:color w:val="000000"/>
              </w:rPr>
            </w:pPr>
            <w:r>
              <w:rPr>
                <w:b/>
                <w:color w:val="000000"/>
              </w:rPr>
              <w:t>Johnson and Johnson</w:t>
            </w:r>
          </w:p>
        </w:tc>
        <w:tc>
          <w:tcPr>
            <w:tcW w:w="2018"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Ms. Licitra joined our Board of Directors in July of 2019.  From January 2014 through August 2015, Ms. Licitra served as Corporate Vice President, Worldwide Government Affairs &amp; Policy at Johnson &amp; Johnson, a medical devices, pharmaceutical, and consumer packaged goods manufacturer.  From 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From June 2015 to June 2021, she served on the Compensation and Human Capital Committee of the Board of Directors of Si-Bone, Inc., a medical device company focusing on a minimally invasive surgical implant system to treat sacroiliac joint dysfunction, and previously served on the Board of Directors of Novadaq Technologies Inc., a provider of proven comprehensive fluorescence imaging solutions, until the company was acquired by Stryker Corporation in 2017. Ms. Licitra received a B.S. in Commerce from Rider College.  Ms. Licitra is a member of our Audit Committee and our Compensation and Human Capital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 w:name="z3ddb59ee20584ecdb31a6487d0348ff2"/>
      <w:bookmarkStart w:id="54" w:name="z3ddb59ee20584ecdb31a6487d0348ff2"/>
      <w:bookmarkEnd w:id="54"/>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ind w:left="53" w:right="0" w:hanging="0"/>
              <w:jc w:val="left"/>
              <w:rPr/>
            </w:pPr>
            <w:r>
              <w:rPr>
                <w:b/>
              </w:rPr>
              <w:t xml:space="preserve">Director Qualifications: </w:t>
            </w:r>
            <w:r>
              <w:rPr/>
              <w:t>Ms. Licitra’s service as an executive in various roles at Johnson and Johnson provides valuable business and industry experience, leadership and insight, particularly with respect to the global, industry and strategic issues faced by a diversified medical device manufacturer.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Executive Officers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required in the Annual Report on Form 10-K with respect to Executive Officers is contained in the discussion titled “Executive Officers of the Company” in Part I of the Original Form 10-K.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Delinquent Section 16(a) Reports</w:t>
      </w:r>
    </w:p>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Section 16(a) of the Exchange Act of 1934, as amended, requires our executive officers and directors, and persons who own more than 10% of a registered class of our equity securities, to file reports of initial ownership and changes in ownership with the SEC. Based solely on our review of copies of such forms received by us, or on written representations from certain reporting persons that no reports were required for such persons, we believe that, during the fiscal year ended May 31, 2026, all of our executive officers, directors and 10% shareholders complied with all Section 16 filing requirements.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Compliance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Our Board of Directors has adopted a written Code of Conduct for our Company.  Our Code of Conduct is available at our website located at www.angiodynamics.com under the “Investors-Corporate Governance-Highlights-Governance Documents-Code of Conduct” caption.  All Company officers, employees, and directors are required to comply with our Code of Conduct.  Our Code of Conduct covers a number of topics, including conflicts of interest, insider trading, fair dealing, equal employment opportunity and harassment, anti-bribery, and confidential information, as well as requiring adherence to all laws, rules, and regulations applicable to our business.  Employees are required to bring any violations and suspected violations of the Code of  Conduct to the attention of the Company through management or our legal counsel or by using the Company’s confidential Compliance Hotline.  The Company also maintains a Board-approved comprehensive compliance program to ensure our employees comply with applicable laws, rules, regulations, and industry codes when interacting with healthcare professionals.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Company maintains the Compliance Hotline for the Company employees and third parties to use as a means of raising concerns or seeking advice.  The Compliance Hotline is provided by an independent third-party and is available worldwide.  Individuals using the Compliance Hotline may choose to remain anonymous and all inquiries are kept confidential to the extent practicable in connection with the investigation.  All Compliance Hotline inquiries are forwarded to the Company’s Corporate Compliance Group for investigation.  The Audit Committee is informed of any matters reported to the Company’s Corporate Compliance Group, whether through the Compliance Hotline, management, or otherwise, involving accounting, internal control, or auditing matters. Matters reported to the Company’s Corporate Compliance Group, whether through the Compliance Hotline, management, or otherwise, involving, among other things, compliance with laws, employee health and safety, employment, and interactions with health care professionals, are generally reported to the Nominating, Compliance, and Corporate Governance Committee.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Audit Committee and Audit Committee Financial Expert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Audit Committee assists our Board of Directors in its oversight of:</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 w:name="z3bedbfe509a447f78e457274a44d3b27"/>
      <w:bookmarkStart w:id="56" w:name="z3bedbfe509a447f78e457274a44d3b27"/>
      <w:bookmarkEnd w:id="5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integrity of our financial statements, financial reporting process, system of internal controls over financial reporting, and audit process;</w:t>
            </w:r>
          </w:p>
        </w:tc>
      </w:tr>
    </w:tbl>
    <w:p>
      <w:pPr>
        <w:pStyle w:val="Normal"/>
        <w:bidi w:val="0"/>
        <w:spacing w:before="0" w:after="0"/>
        <w:jc w:val="left"/>
        <w:rPr>
          <w:sz w:val="4"/>
          <w:szCs w:val="4"/>
        </w:rPr>
      </w:pPr>
      <w:r>
        <w:rPr>
          <w:sz w:val="4"/>
          <w:szCs w:val="4"/>
        </w:rPr>
      </w:r>
      <w:bookmarkStart w:id="57" w:name="zbd5107b328784d6292770ae9ff18b212"/>
      <w:bookmarkStart w:id="58" w:name="zbd5107b328784d6292770ae9ff18b212"/>
      <w:bookmarkEnd w:id="5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compliance with, and process for monitoring compliance with, legal and regulatory requirements, in coordination with the Nominating, Compliance, and Corporate Governance Committee;</w:t>
            </w:r>
          </w:p>
        </w:tc>
      </w:tr>
    </w:tbl>
    <w:p>
      <w:pPr>
        <w:pStyle w:val="Normal"/>
        <w:bidi w:val="0"/>
        <w:spacing w:before="0" w:after="0"/>
        <w:jc w:val="left"/>
        <w:rPr>
          <w:sz w:val="4"/>
          <w:szCs w:val="4"/>
        </w:rPr>
      </w:pPr>
      <w:r>
        <w:rPr>
          <w:sz w:val="4"/>
          <w:szCs w:val="4"/>
        </w:rPr>
      </w:r>
      <w:bookmarkStart w:id="59" w:name="z5ea3494ef12d40ef8e67a03df8f4bead"/>
      <w:bookmarkStart w:id="60" w:name="z5ea3494ef12d40ef8e67a03df8f4bead"/>
      <w:bookmarkEnd w:id="60"/>
    </w:p>
    <w:tbl>
      <w:tblPr>
        <w:tblW w:w="8718" w:type="dxa"/>
        <w:jc w:val="left"/>
        <w:tblInd w:w="0" w:type="dxa"/>
        <w:tblLayout w:type="fixed"/>
        <w:tblCellMar>
          <w:top w:w="0" w:type="dxa"/>
          <w:left w:w="0" w:type="dxa"/>
          <w:bottom w:w="0" w:type="dxa"/>
          <w:right w:w="0" w:type="dxa"/>
        </w:tblCellMar>
      </w:tblPr>
      <w:tblGrid>
        <w:gridCol w:w="68"/>
        <w:gridCol w:w="140"/>
        <w:gridCol w:w="85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0"/>
              <w:jc w:val="left"/>
              <w:rPr/>
            </w:pPr>
            <w:r>
              <w:rPr/>
              <w:t>our independent registered public accounting firm’s qualifications and independence; and</w:t>
            </w:r>
          </w:p>
        </w:tc>
      </w:tr>
    </w:tbl>
    <w:p>
      <w:pPr>
        <w:pStyle w:val="Normal"/>
        <w:bidi w:val="0"/>
        <w:spacing w:before="0" w:after="0"/>
        <w:jc w:val="left"/>
        <w:rPr>
          <w:sz w:val="4"/>
          <w:szCs w:val="4"/>
        </w:rPr>
      </w:pPr>
      <w:r>
        <w:rPr>
          <w:sz w:val="4"/>
          <w:szCs w:val="4"/>
        </w:rPr>
      </w:r>
      <w:bookmarkStart w:id="61" w:name="z06d7386a0b0641efaed945febdede5aa"/>
      <w:bookmarkStart w:id="62" w:name="z06d7386a0b0641efaed945febdede5aa"/>
      <w:bookmarkEnd w:id="62"/>
    </w:p>
    <w:tbl>
      <w:tblPr>
        <w:tblW w:w="6903" w:type="dxa"/>
        <w:jc w:val="left"/>
        <w:tblInd w:w="0" w:type="dxa"/>
        <w:tblLayout w:type="fixed"/>
        <w:tblCellMar>
          <w:top w:w="0" w:type="dxa"/>
          <w:left w:w="0" w:type="dxa"/>
          <w:bottom w:w="0" w:type="dxa"/>
          <w:right w:w="0" w:type="dxa"/>
        </w:tblCellMar>
      </w:tblPr>
      <w:tblGrid>
        <w:gridCol w:w="68"/>
        <w:gridCol w:w="140"/>
        <w:gridCol w:w="66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0"/>
              <w:jc w:val="left"/>
              <w:rPr/>
            </w:pPr>
            <w:r>
              <w:rPr/>
              <w:t>the performance of our independent registered public accounting firm.</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In addition, our Audit Committee provides an open avenue of communication between the independent registered public accounting firm and the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authority and responsibilities of the Audit Committee are set forth in detail in its charter, which is available on our website located at www.angiodynamics.com under the “Investors-Corporate Governance-Highlights-Committee Charters-Audit Committee” caption.  The information on our website is not a part of this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During our fiscal year ended May 31, 2026, the members of the Audit Committee were Wesley E. Johnson, Jr., Lorinda Burgess, Karen Licitra and Jan Stern Reed.  Our Board has determined that each member of the Audit Committee is independent under the Nasdaq listing standards.  The Board has also determined that each member of the Audit Committee is financially literate in accordance with the Nasdaq listing standards and that Mr. Johnson, who serves as the chair of the Audit Committee, is an “audit committee financial expert,” as defined under SEC rules.  The Audit Committee met nine times during our fiscal year ended May 31, 2026.  All of such meetings were attended, either in person or telephonically, by all of the members of the Audit Committee.  The Audit Committee did not take action by unanimous written consent during the fiscal year ended May 31,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Hedging and Pledging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Our </w:t>
      </w:r>
      <w:r>
        <w:rPr>
          <w:rFonts w:ascii="Times New Roman" w:hAnsi="Times New Roman"/>
          <w:color w:val="000000"/>
          <w:sz w:val="20"/>
          <w:shd w:fill="FFFFFF" w:val="clear"/>
        </w:rPr>
        <w:t>Insider Trading Policy</w:t>
      </w:r>
      <w:r>
        <w:rPr>
          <w:rFonts w:ascii="Times New Roman" w:hAnsi="Times New Roman"/>
          <w:color w:val="181818"/>
          <w:sz w:val="20"/>
          <w:shd w:fill="FFFFFF" w:val="clear"/>
        </w:rPr>
        <w:t xml:space="preserve"> prohibits directors and employees, including named executive officers, from engaging in hedging or monetization transactions, such as zero-cost collars and forward sale contracts, and from engaging in borrowing against AngioDynamics’ securities held in a margin account, or pledging AngioDynamics’ securities as collateral for a loan (unless the individual can clearly demonstrate the financial capacity to repay the loan without resorting to the pledged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63" w:name="zcfc16558e9364e7fb94266c883cbdd69"/>
      <w:bookmarkStart w:id="64" w:name="Item11."/>
      <w:bookmarkStart w:id="65" w:name="zcfc16558e9364e7fb94266c883cbdd69"/>
      <w:bookmarkStart w:id="66" w:name="Item11."/>
      <w:bookmarkEnd w:id="65"/>
      <w:bookmarkEnd w:id="66"/>
    </w:p>
    <w:tbl>
      <w:tblPr>
        <w:tblW w:w="3475" w:type="dxa"/>
        <w:jc w:val="left"/>
        <w:tblInd w:w="0" w:type="dxa"/>
        <w:tblLayout w:type="fixed"/>
        <w:tblCellMar>
          <w:top w:w="0" w:type="dxa"/>
          <w:left w:w="0" w:type="dxa"/>
          <w:bottom w:w="0" w:type="dxa"/>
          <w:right w:w="0" w:type="dxa"/>
        </w:tblCellMar>
      </w:tblPr>
      <w:tblGrid>
        <w:gridCol w:w="890"/>
        <w:gridCol w:w="2585"/>
      </w:tblGrid>
      <w:tr>
        <w:trPr/>
        <w:tc>
          <w:tcPr>
            <w:tcW w:w="890" w:type="dxa"/>
            <w:tcBorders/>
            <w:vAlign w:val="center"/>
          </w:tcPr>
          <w:p>
            <w:pPr>
              <w:pStyle w:val="TableContents"/>
              <w:bidi w:val="0"/>
              <w:spacing w:before="0" w:after="283"/>
              <w:jc w:val="left"/>
              <w:rPr>
                <w:b/>
                <w:color w:val="000000"/>
              </w:rPr>
            </w:pPr>
            <w:r>
              <w:rPr>
                <w:b/>
                <w:color w:val="000000"/>
              </w:rPr>
              <w:t>Item 11.</w:t>
            </w:r>
          </w:p>
        </w:tc>
        <w:tc>
          <w:tcPr>
            <w:tcW w:w="2585" w:type="dxa"/>
            <w:tcBorders/>
            <w:vAlign w:val="center"/>
          </w:tcPr>
          <w:p>
            <w:pPr>
              <w:pStyle w:val="TableContents"/>
              <w:bidi w:val="0"/>
              <w:spacing w:before="0" w:after="0"/>
              <w:jc w:val="left"/>
              <w:rPr>
                <w:b/>
                <w:i/>
                <w:color w:val="000000"/>
              </w:rPr>
            </w:pPr>
            <w:r>
              <w:rPr>
                <w:b/>
                <w:i/>
                <w:color w:val="000000"/>
              </w:rPr>
              <w:t>Executive Compensation.</w:t>
            </w:r>
          </w:p>
        </w:tc>
      </w:tr>
    </w:tbl>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Compensation Discussion and Analysis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Business and Performance 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During fiscal year 2026, we continued to execute on our strategic transformation, including: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7" w:name="zadf03a4c3f7a4957a99bf002e3d62228"/>
      <w:bookmarkStart w:id="68" w:name="zadf03a4c3f7a4957a99bf002e3d62228"/>
      <w:bookmarkEnd w:id="6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Focusing on technologies and innovations that compete in large, fast growing, high-margin markets to produce measurable patient outcomes;</w:t>
            </w:r>
          </w:p>
        </w:tc>
      </w:tr>
    </w:tbl>
    <w:p>
      <w:pPr>
        <w:pStyle w:val="Normal"/>
        <w:bidi w:val="0"/>
        <w:spacing w:before="0" w:after="0"/>
        <w:jc w:val="left"/>
        <w:rPr>
          <w:sz w:val="4"/>
          <w:szCs w:val="4"/>
        </w:rPr>
      </w:pPr>
      <w:r>
        <w:rPr>
          <w:sz w:val="4"/>
          <w:szCs w:val="4"/>
        </w:rPr>
      </w:r>
      <w:bookmarkStart w:id="69" w:name="z19af8a4724194877a7fda06370ffc424"/>
      <w:bookmarkStart w:id="70" w:name="z19af8a4724194877a7fda06370ffc424"/>
      <w:bookmarkEnd w:id="70"/>
    </w:p>
    <w:tbl>
      <w:tblPr>
        <w:tblW w:w="8823" w:type="dxa"/>
        <w:jc w:val="left"/>
        <w:tblInd w:w="0" w:type="dxa"/>
        <w:tblLayout w:type="fixed"/>
        <w:tblCellMar>
          <w:top w:w="0" w:type="dxa"/>
          <w:left w:w="0" w:type="dxa"/>
          <w:bottom w:w="0" w:type="dxa"/>
          <w:right w:w="0" w:type="dxa"/>
        </w:tblCellMar>
      </w:tblPr>
      <w:tblGrid>
        <w:gridCol w:w="68"/>
        <w:gridCol w:w="140"/>
        <w:gridCol w:w="86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0"/>
              <w:jc w:val="left"/>
              <w:rPr/>
            </w:pPr>
            <w:r>
              <w:rPr/>
              <w:t>Leveraging research and development and clinical and regulatory pathway expansion; and</w:t>
            </w:r>
          </w:p>
        </w:tc>
      </w:tr>
    </w:tbl>
    <w:p>
      <w:pPr>
        <w:pStyle w:val="Normal"/>
        <w:bidi w:val="0"/>
        <w:spacing w:before="0" w:after="0"/>
        <w:jc w:val="left"/>
        <w:rPr>
          <w:sz w:val="4"/>
          <w:szCs w:val="4"/>
        </w:rPr>
      </w:pPr>
      <w:r>
        <w:rPr>
          <w:sz w:val="4"/>
          <w:szCs w:val="4"/>
        </w:rPr>
      </w:r>
      <w:bookmarkStart w:id="71" w:name="z0aaaabfd3bcc421eba20565b5e2dc73b"/>
      <w:bookmarkStart w:id="72" w:name="z0aaaabfd3bcc421eba20565b5e2dc73b"/>
      <w:bookmarkEnd w:id="72"/>
    </w:p>
    <w:tbl>
      <w:tblPr>
        <w:tblW w:w="3528" w:type="dxa"/>
        <w:jc w:val="left"/>
        <w:tblInd w:w="0" w:type="dxa"/>
        <w:tblLayout w:type="fixed"/>
        <w:tblCellMar>
          <w:top w:w="0" w:type="dxa"/>
          <w:left w:w="0" w:type="dxa"/>
          <w:bottom w:w="0" w:type="dxa"/>
          <w:right w:w="0" w:type="dxa"/>
        </w:tblCellMar>
      </w:tblPr>
      <w:tblGrid>
        <w:gridCol w:w="68"/>
        <w:gridCol w:w="140"/>
        <w:gridCol w:w="33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0"/>
              <w:jc w:val="left"/>
              <w:rPr/>
            </w:pPr>
            <w:r>
              <w:rPr/>
              <w:t>Attracting and retaining top talent.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our strategic transformation, we have organized our portfolio into two key platforms: Med Tech and Med Device.  Med Tech comprises our high growth technology platforms including: our peripheral arterial disease Auryon Atherectomy laser, our Mechanical Thrombectomy products, including our AngioVac and AlphaVac products and our solid tumor ablation NanoKnife irreversible electroporation products.  Med Device comprises our angiographic catheters, our EVLT products, our port products and our other Oncology products.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Global macroeconomic conditions continued to impact our business in fiscal year 2026.  The market continues to experience disruptions with respect to inflationary pressures, consumer demand, hospital operating procedures and workflow.  Despite these persistent challenges, we made significant progress in our transformation into a customer-focused, technology-driven, growth-oriented company.  We maintained our focus on disciplined investments in talent and technologies to drive revenue growth for our company in large, fast growing, highly profitable markets.  In fiscal year 2026, we initiated and executed on strategic research &amp; development and sales &amp; marketing investments in our growth platforms, which drove growth in fiscal year 2026 and we believe positions us well for fiscal year 2027.</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Highlights include: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Financial Highlights</w:t>
      </w:r>
    </w:p>
    <w:p>
      <w:pPr>
        <w:pStyle w:val="Normal"/>
        <w:bidi w:val="0"/>
        <w:spacing w:before="0" w:after="0"/>
        <w:jc w:val="left"/>
        <w:rPr>
          <w:sz w:val="4"/>
          <w:szCs w:val="4"/>
        </w:rPr>
      </w:pPr>
      <w:r>
        <w:rPr>
          <w:sz w:val="4"/>
          <w:szCs w:val="4"/>
        </w:rPr>
      </w:r>
      <w:bookmarkStart w:id="73" w:name="z0259b87ff8e0445ca044043c522f8dab"/>
      <w:bookmarkStart w:id="74" w:name="z0259b87ff8e0445ca044043c522f8dab"/>
      <w:bookmarkEnd w:id="74"/>
    </w:p>
    <w:tbl>
      <w:tblPr>
        <w:tblW w:w="6108" w:type="dxa"/>
        <w:jc w:val="left"/>
        <w:tblInd w:w="0" w:type="dxa"/>
        <w:tblLayout w:type="fixed"/>
        <w:tblCellMar>
          <w:top w:w="0" w:type="dxa"/>
          <w:left w:w="0" w:type="dxa"/>
          <w:bottom w:w="0" w:type="dxa"/>
          <w:right w:w="0" w:type="dxa"/>
        </w:tblCellMar>
      </w:tblPr>
      <w:tblGrid>
        <w:gridCol w:w="68"/>
        <w:gridCol w:w="140"/>
        <w:gridCol w:w="59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0"/>
              <w:jc w:val="left"/>
              <w:rPr/>
            </w:pPr>
            <w:r>
              <w:rPr/>
              <w:t xml:space="preserve">GAAP reported revenue </w:t>
            </w:r>
            <w:r>
              <w:rPr>
                <w:color w:val="000000"/>
              </w:rPr>
              <w:t>increased</w:t>
            </w:r>
            <w:r>
              <w:rPr/>
              <w:t xml:space="preserve"> by </w:t>
            </w:r>
            <w:r>
              <w:rPr>
                <w:color w:val="000000"/>
              </w:rPr>
              <w:t>9.5%</w:t>
            </w:r>
            <w:r>
              <w:rPr/>
              <w:t xml:space="preserve"> to </w:t>
            </w:r>
            <w:r>
              <w:rPr>
                <w:color w:val="000000"/>
              </w:rPr>
              <w:t>$320.2 million</w:t>
            </w:r>
          </w:p>
        </w:tc>
      </w:tr>
    </w:tbl>
    <w:p>
      <w:pPr>
        <w:pStyle w:val="Normal"/>
        <w:bidi w:val="0"/>
        <w:spacing w:before="0" w:after="0"/>
        <w:jc w:val="left"/>
        <w:rPr>
          <w:sz w:val="4"/>
          <w:szCs w:val="4"/>
        </w:rPr>
      </w:pPr>
      <w:r>
        <w:rPr>
          <w:sz w:val="4"/>
          <w:szCs w:val="4"/>
        </w:rPr>
      </w:r>
      <w:bookmarkStart w:id="75" w:name="zcf1f2aaed53a428bae45cef8e9fadc76"/>
      <w:bookmarkStart w:id="76" w:name="zcf1f2aaed53a428bae45cef8e9fadc76"/>
      <w:bookmarkEnd w:id="76"/>
    </w:p>
    <w:tbl>
      <w:tblPr>
        <w:tblW w:w="6783" w:type="dxa"/>
        <w:jc w:val="left"/>
        <w:tblInd w:w="0" w:type="dxa"/>
        <w:tblLayout w:type="fixed"/>
        <w:tblCellMar>
          <w:top w:w="0" w:type="dxa"/>
          <w:left w:w="0" w:type="dxa"/>
          <w:bottom w:w="0" w:type="dxa"/>
          <w:right w:w="0" w:type="dxa"/>
        </w:tblCellMar>
      </w:tblPr>
      <w:tblGrid>
        <w:gridCol w:w="68"/>
        <w:gridCol w:w="140"/>
        <w:gridCol w:w="65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0"/>
              <w:jc w:val="left"/>
              <w:rPr/>
            </w:pPr>
            <w:r>
              <w:rPr/>
              <w:t xml:space="preserve">Med Tech and Med Device growth of </w:t>
            </w:r>
            <w:r>
              <w:rPr>
                <w:color w:val="000000"/>
              </w:rPr>
              <w:t>18.4%</w:t>
            </w:r>
            <w:r>
              <w:rPr/>
              <w:t xml:space="preserve"> and </w:t>
            </w:r>
            <w:r>
              <w:rPr>
                <w:color w:val="000000"/>
              </w:rPr>
              <w:t>2.6%</w:t>
            </w:r>
            <w:r>
              <w:rPr/>
              <w:t>, respectively</w:t>
            </w:r>
          </w:p>
        </w:tc>
      </w:tr>
    </w:tbl>
    <w:p>
      <w:pPr>
        <w:pStyle w:val="Normal"/>
        <w:bidi w:val="0"/>
        <w:spacing w:before="0" w:after="0"/>
        <w:jc w:val="left"/>
        <w:rPr>
          <w:sz w:val="4"/>
          <w:szCs w:val="4"/>
        </w:rPr>
      </w:pPr>
      <w:r>
        <w:rPr>
          <w:sz w:val="4"/>
          <w:szCs w:val="4"/>
        </w:rPr>
      </w:r>
      <w:bookmarkStart w:id="77" w:name="z807c954f8a864b618ade49329a163851"/>
      <w:bookmarkStart w:id="78" w:name="z807c954f8a864b618ade49329a163851"/>
      <w:bookmarkEnd w:id="78"/>
    </w:p>
    <w:tbl>
      <w:tblPr>
        <w:tblW w:w="4488" w:type="dxa"/>
        <w:jc w:val="left"/>
        <w:tblInd w:w="0" w:type="dxa"/>
        <w:tblLayout w:type="fixed"/>
        <w:tblCellMar>
          <w:top w:w="0" w:type="dxa"/>
          <w:left w:w="0" w:type="dxa"/>
          <w:bottom w:w="0" w:type="dxa"/>
          <w:right w:w="0" w:type="dxa"/>
        </w:tblCellMar>
      </w:tblPr>
      <w:tblGrid>
        <w:gridCol w:w="68"/>
        <w:gridCol w:w="140"/>
        <w:gridCol w:w="42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0"/>
              <w:jc w:val="left"/>
              <w:rPr/>
            </w:pPr>
            <w:r>
              <w:rPr/>
              <w:t xml:space="preserve">Gross margin increased by </w:t>
            </w:r>
            <w:r>
              <w:rPr>
                <w:color w:val="000000"/>
              </w:rPr>
              <w:t>70</w:t>
            </w:r>
            <w:r>
              <w:rPr/>
              <w:t xml:space="preserve"> bps to </w:t>
            </w:r>
            <w:r>
              <w:rPr>
                <w:color w:val="000000"/>
              </w:rPr>
              <w:t>54.6%</w:t>
            </w:r>
            <w:r>
              <w:rPr/>
              <w:t>;</w:t>
            </w:r>
          </w:p>
        </w:tc>
      </w:tr>
    </w:tbl>
    <w:p>
      <w:pPr>
        <w:pStyle w:val="Normal"/>
        <w:bidi w:val="0"/>
        <w:spacing w:before="0" w:after="0"/>
        <w:jc w:val="left"/>
        <w:rPr>
          <w:sz w:val="4"/>
          <w:szCs w:val="4"/>
        </w:rPr>
      </w:pPr>
      <w:r>
        <w:rPr>
          <w:sz w:val="4"/>
          <w:szCs w:val="4"/>
        </w:rPr>
      </w:r>
      <w:bookmarkStart w:id="79" w:name="z31cdeeb74baf4a11a781d9bba9b5d72f"/>
      <w:bookmarkStart w:id="80" w:name="z31cdeeb74baf4a11a781d9bba9b5d72f"/>
      <w:bookmarkEnd w:id="80"/>
    </w:p>
    <w:tbl>
      <w:tblPr>
        <w:tblW w:w="5538" w:type="dxa"/>
        <w:jc w:val="left"/>
        <w:tblInd w:w="0" w:type="dxa"/>
        <w:tblLayout w:type="fixed"/>
        <w:tblCellMar>
          <w:top w:w="0" w:type="dxa"/>
          <w:left w:w="0" w:type="dxa"/>
          <w:bottom w:w="0" w:type="dxa"/>
          <w:right w:w="0" w:type="dxa"/>
        </w:tblCellMar>
      </w:tblPr>
      <w:tblGrid>
        <w:gridCol w:w="68"/>
        <w:gridCol w:w="140"/>
        <w:gridCol w:w="533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0"/>
              <w:jc w:val="left"/>
              <w:rPr/>
            </w:pPr>
            <w:r>
              <w:rPr/>
              <w:t xml:space="preserve">Net loss increased by </w:t>
            </w:r>
            <w:r>
              <w:rPr>
                <w:color w:val="000000"/>
              </w:rPr>
              <w:t>$2.7 million</w:t>
            </w:r>
            <w:r>
              <w:rPr/>
              <w:t xml:space="preserve"> to </w:t>
            </w:r>
            <w:r>
              <w:rPr>
                <w:color w:val="000000"/>
              </w:rPr>
              <w:t>$36.7 million</w:t>
            </w:r>
            <w:r>
              <w:rPr/>
              <w:t>; and</w:t>
            </w:r>
          </w:p>
        </w:tc>
      </w:tr>
    </w:tbl>
    <w:p>
      <w:pPr>
        <w:pStyle w:val="Normal"/>
        <w:bidi w:val="0"/>
        <w:spacing w:before="0" w:after="0"/>
        <w:jc w:val="left"/>
        <w:rPr>
          <w:sz w:val="4"/>
          <w:szCs w:val="4"/>
        </w:rPr>
      </w:pPr>
      <w:r>
        <w:rPr>
          <w:sz w:val="4"/>
          <w:szCs w:val="4"/>
        </w:rPr>
      </w:r>
      <w:bookmarkStart w:id="81" w:name="ze710c7cd063144069f45566fda8df06d"/>
      <w:bookmarkStart w:id="82" w:name="ze710c7cd063144069f45566fda8df06d"/>
      <w:bookmarkEnd w:id="82"/>
    </w:p>
    <w:tbl>
      <w:tblPr>
        <w:tblW w:w="5253" w:type="dxa"/>
        <w:jc w:val="left"/>
        <w:tblInd w:w="0" w:type="dxa"/>
        <w:tblLayout w:type="fixed"/>
        <w:tblCellMar>
          <w:top w:w="0" w:type="dxa"/>
          <w:left w:w="0" w:type="dxa"/>
          <w:bottom w:w="0" w:type="dxa"/>
          <w:right w:w="0" w:type="dxa"/>
        </w:tblCellMar>
      </w:tblPr>
      <w:tblGrid>
        <w:gridCol w:w="68"/>
        <w:gridCol w:w="140"/>
        <w:gridCol w:w="50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0"/>
              <w:jc w:val="left"/>
              <w:rPr/>
            </w:pPr>
            <w:r>
              <w:rPr/>
              <w:t xml:space="preserve">Loss per share increased by </w:t>
            </w:r>
            <w:r>
              <w:rPr>
                <w:color w:val="000000"/>
              </w:rPr>
              <w:t>$0.05</w:t>
            </w:r>
            <w:r>
              <w:rPr/>
              <w:t xml:space="preserve"> to a loss of </w:t>
            </w:r>
            <w:r>
              <w:rPr>
                <w:color w:val="000000"/>
              </w:rPr>
              <w:t>$0.88</w:t>
            </w:r>
            <w:r>
              <w:rPr/>
              <w:t>.</w:t>
            </w:r>
          </w:p>
        </w:tc>
      </w:tr>
    </w:tbl>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Other Highlights</w:t>
      </w:r>
    </w:p>
    <w:p>
      <w:pPr>
        <w:pStyle w:val="Normal"/>
        <w:bidi w:val="0"/>
        <w:spacing w:before="0" w:after="0"/>
        <w:jc w:val="left"/>
        <w:rPr>
          <w:sz w:val="4"/>
          <w:szCs w:val="4"/>
        </w:rPr>
      </w:pPr>
      <w:r>
        <w:rPr>
          <w:sz w:val="4"/>
          <w:szCs w:val="4"/>
        </w:rPr>
      </w:r>
      <w:bookmarkStart w:id="83" w:name="zad32006911b145ffa4eed2eb7522172c"/>
      <w:bookmarkStart w:id="84" w:name="zad32006911b145ffa4eed2eb7522172c"/>
      <w:bookmarkEnd w:id="84"/>
    </w:p>
    <w:tbl>
      <w:tblPr>
        <w:tblW w:w="8178" w:type="dxa"/>
        <w:jc w:val="left"/>
        <w:tblInd w:w="0" w:type="dxa"/>
        <w:tblLayout w:type="fixed"/>
        <w:tblCellMar>
          <w:top w:w="0" w:type="dxa"/>
          <w:left w:w="0" w:type="dxa"/>
          <w:bottom w:w="0" w:type="dxa"/>
          <w:right w:w="0" w:type="dxa"/>
        </w:tblCellMar>
      </w:tblPr>
      <w:tblGrid>
        <w:gridCol w:w="68"/>
        <w:gridCol w:w="140"/>
        <w:gridCol w:w="79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0"/>
              <w:jc w:val="left"/>
              <w:rPr/>
            </w:pPr>
            <w:r>
              <w:rPr/>
              <w:t>Enrolled the first patients in both the AMBITION BTK and RECOVER-AV trials;</w:t>
            </w:r>
          </w:p>
        </w:tc>
      </w:tr>
    </w:tbl>
    <w:p>
      <w:pPr>
        <w:pStyle w:val="Normal"/>
        <w:bidi w:val="0"/>
        <w:spacing w:before="0" w:after="0"/>
        <w:jc w:val="left"/>
        <w:rPr>
          <w:sz w:val="4"/>
          <w:szCs w:val="4"/>
        </w:rPr>
      </w:pPr>
      <w:r>
        <w:rPr>
          <w:sz w:val="4"/>
          <w:szCs w:val="4"/>
        </w:rPr>
      </w:r>
      <w:bookmarkStart w:id="85" w:name="zba224b3ea21e4bd6bd83f7590bfbf0ef"/>
      <w:bookmarkStart w:id="86" w:name="zba224b3ea21e4bd6bd83f7590bfbf0ef"/>
      <w:bookmarkEnd w:id="86"/>
    </w:p>
    <w:tbl>
      <w:tblPr>
        <w:tblW w:w="8013" w:type="dxa"/>
        <w:jc w:val="left"/>
        <w:tblInd w:w="0" w:type="dxa"/>
        <w:tblLayout w:type="fixed"/>
        <w:tblCellMar>
          <w:top w:w="0" w:type="dxa"/>
          <w:left w:w="0" w:type="dxa"/>
          <w:bottom w:w="0" w:type="dxa"/>
          <w:right w:w="0" w:type="dxa"/>
        </w:tblCellMar>
      </w:tblPr>
      <w:tblGrid>
        <w:gridCol w:w="68"/>
        <w:gridCol w:w="140"/>
        <w:gridCol w:w="78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0"/>
              <w:jc w:val="left"/>
              <w:rPr/>
            </w:pPr>
            <w:r>
              <w:rPr/>
              <w:t>Published the NanoKnife PRESERVE study in the journal of European Urology;</w:t>
            </w:r>
          </w:p>
        </w:tc>
      </w:tr>
    </w:tbl>
    <w:p>
      <w:pPr>
        <w:pStyle w:val="Normal"/>
        <w:bidi w:val="0"/>
        <w:spacing w:before="0" w:after="0"/>
        <w:jc w:val="left"/>
        <w:rPr>
          <w:sz w:val="4"/>
          <w:szCs w:val="4"/>
        </w:rPr>
      </w:pPr>
      <w:r>
        <w:rPr>
          <w:sz w:val="4"/>
          <w:szCs w:val="4"/>
        </w:rPr>
      </w:r>
      <w:bookmarkStart w:id="87" w:name="z6e2e660e9b3d42f2a82efd47687a050d"/>
      <w:bookmarkStart w:id="88" w:name="z6e2e660e9b3d42f2a82efd47687a050d"/>
      <w:bookmarkEnd w:id="8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Received FDA IDE approval for APEX-Return study evaluating AlphaReturn Blood Management System when used with AlphaVac F1885 System;</w:t>
            </w:r>
          </w:p>
        </w:tc>
      </w:tr>
    </w:tbl>
    <w:p>
      <w:pPr>
        <w:pStyle w:val="Normal"/>
        <w:bidi w:val="0"/>
        <w:spacing w:before="0" w:after="0"/>
        <w:jc w:val="left"/>
        <w:rPr>
          <w:sz w:val="4"/>
          <w:szCs w:val="4"/>
        </w:rPr>
      </w:pPr>
      <w:r>
        <w:rPr>
          <w:sz w:val="4"/>
          <w:szCs w:val="4"/>
        </w:rPr>
      </w:r>
      <w:bookmarkStart w:id="89" w:name="z9b2b3c7979cc4ff680f15d8c6e83917a"/>
      <w:bookmarkStart w:id="90" w:name="z9b2b3c7979cc4ff680f15d8c6e83917a"/>
      <w:bookmarkEnd w:id="9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Received FDA IDE approval for PAVE clinical study evaluating AngioVac System for treatment of right-sided infective endocarditis;</w:t>
            </w:r>
          </w:p>
        </w:tc>
      </w:tr>
    </w:tbl>
    <w:p>
      <w:pPr>
        <w:pStyle w:val="Normal"/>
        <w:bidi w:val="0"/>
        <w:spacing w:before="0" w:after="0"/>
        <w:jc w:val="left"/>
        <w:rPr>
          <w:sz w:val="4"/>
          <w:szCs w:val="4"/>
        </w:rPr>
      </w:pPr>
      <w:r>
        <w:rPr>
          <w:sz w:val="4"/>
          <w:szCs w:val="4"/>
        </w:rPr>
      </w:r>
      <w:bookmarkStart w:id="91" w:name="zefc22c353bd940f3b0522575a826bb64"/>
      <w:bookmarkStart w:id="92" w:name="zefc22c353bd940f3b0522575a826bb64"/>
      <w:bookmarkEnd w:id="9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Received FDA 510(k) clearance for modified AlphaVac F1885 System with expanded indication for use;</w:t>
            </w:r>
          </w:p>
        </w:tc>
      </w:tr>
    </w:tbl>
    <w:p>
      <w:pPr>
        <w:pStyle w:val="Normal"/>
        <w:bidi w:val="0"/>
        <w:spacing w:before="0" w:after="0"/>
        <w:jc w:val="left"/>
        <w:rPr>
          <w:sz w:val="4"/>
          <w:szCs w:val="4"/>
        </w:rPr>
      </w:pPr>
      <w:r>
        <w:rPr>
          <w:sz w:val="4"/>
          <w:szCs w:val="4"/>
        </w:rPr>
      </w:r>
      <w:bookmarkStart w:id="93" w:name="z323b441e1db9428f833091e5b2e37cc2"/>
      <w:bookmarkStart w:id="94" w:name="z323b441e1db9428f833091e5b2e37cc2"/>
      <w:bookmarkEnd w:id="9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Presented the two-year follow up data from its PRESERVE pivotal trial at AUA 2026 demonstrating NanoKnife’s durable prostate cancer outcomes;</w:t>
            </w:r>
          </w:p>
        </w:tc>
      </w:tr>
    </w:tbl>
    <w:p>
      <w:pPr>
        <w:pStyle w:val="Normal"/>
        <w:bidi w:val="0"/>
        <w:spacing w:before="0" w:after="0"/>
        <w:jc w:val="left"/>
        <w:rPr>
          <w:sz w:val="4"/>
          <w:szCs w:val="4"/>
        </w:rPr>
      </w:pPr>
      <w:r>
        <w:rPr>
          <w:sz w:val="4"/>
          <w:szCs w:val="4"/>
        </w:rPr>
      </w:r>
      <w:bookmarkStart w:id="95" w:name="z5abe91e1bf0d475ba0f1a39da998b817"/>
      <w:bookmarkStart w:id="96" w:name="z5abe91e1bf0d475ba0f1a39da998b817"/>
      <w:bookmarkEnd w:id="9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Finalized a local coverage determination with Palmetto covering NanoKnife IRE for qualifying Medicare patients in prostate and liver cancer, effective July 5, 2026;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97" w:name="za41f1cb0799a4d929dcbf4c2daec0fdd"/>
      <w:bookmarkStart w:id="98" w:name="za41f1cb0799a4d929dcbf4c2daec0fdd"/>
      <w:bookmarkEnd w:id="9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Received FDA IDE approval for the RELIEF BPH study evaluating NanoKnife IRE for the treatment of benign prostatic hyperplasia;</w:t>
            </w:r>
          </w:p>
        </w:tc>
      </w:tr>
    </w:tbl>
    <w:p>
      <w:pPr>
        <w:pStyle w:val="Normal"/>
        <w:bidi w:val="0"/>
        <w:spacing w:before="0" w:after="0"/>
        <w:jc w:val="left"/>
        <w:rPr>
          <w:sz w:val="4"/>
          <w:szCs w:val="4"/>
        </w:rPr>
      </w:pPr>
      <w:r>
        <w:rPr>
          <w:sz w:val="4"/>
          <w:szCs w:val="4"/>
        </w:rPr>
      </w:r>
      <w:bookmarkStart w:id="99" w:name="zc5f6370c848d46fda018e8fc8c1e4e2d"/>
      <w:bookmarkStart w:id="100" w:name="zc5f6370c848d46fda018e8fc8c1e4e2d"/>
      <w:bookmarkEnd w:id="100"/>
    </w:p>
    <w:tbl>
      <w:tblPr>
        <w:tblW w:w="5118" w:type="dxa"/>
        <w:jc w:val="left"/>
        <w:tblInd w:w="0" w:type="dxa"/>
        <w:tblLayout w:type="fixed"/>
        <w:tblCellMar>
          <w:top w:w="0" w:type="dxa"/>
          <w:left w:w="0" w:type="dxa"/>
          <w:bottom w:w="0" w:type="dxa"/>
          <w:right w:w="0" w:type="dxa"/>
        </w:tblCellMar>
      </w:tblPr>
      <w:tblGrid>
        <w:gridCol w:w="68"/>
        <w:gridCol w:w="140"/>
        <w:gridCol w:w="49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jc w:val="left"/>
              <w:rPr/>
            </w:pPr>
            <w:r>
              <w:rPr/>
              <w:t>Continued focus on training of the sales teams; and</w:t>
            </w:r>
          </w:p>
        </w:tc>
      </w:tr>
    </w:tbl>
    <w:p>
      <w:pPr>
        <w:pStyle w:val="Normal"/>
        <w:bidi w:val="0"/>
        <w:spacing w:before="0" w:after="0"/>
        <w:jc w:val="left"/>
        <w:rPr>
          <w:sz w:val="4"/>
          <w:szCs w:val="4"/>
        </w:rPr>
      </w:pPr>
      <w:r>
        <w:rPr>
          <w:sz w:val="4"/>
          <w:szCs w:val="4"/>
        </w:rPr>
      </w:r>
      <w:bookmarkStart w:id="101" w:name="zbe38b7dc280a4349ac78c0bc582b93d4"/>
      <w:bookmarkStart w:id="102" w:name="zbe38b7dc280a4349ac78c0bc582b93d4"/>
      <w:bookmarkEnd w:id="10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Conducted targeted physician trainings and symposiums both in the U.S. and internationally throughout the year.</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Key Compensation Program Features and Governance Practices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We have set forth below certain key features of our executive compensation program applicable to our named executive officers and key compensation governance practices that strengthen the alignment of our named executive officers’ interests with those of our shareholders: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3" w:name="zaa26598aad854cefb0ed7f47dbd745b9"/>
      <w:bookmarkStart w:id="104" w:name="zaa26598aad854cefb0ed7f47dbd745b9"/>
      <w:bookmarkEnd w:id="104"/>
    </w:p>
    <w:tbl>
      <w:tblPr>
        <w:tblW w:w="10205" w:type="dxa"/>
        <w:jc w:val="left"/>
        <w:tblInd w:w="-15" w:type="dxa"/>
        <w:tblLayout w:type="fixed"/>
        <w:tblCellMar>
          <w:top w:w="28" w:type="dxa"/>
          <w:left w:w="28" w:type="dxa"/>
          <w:bottom w:w="28" w:type="dxa"/>
          <w:right w:w="28" w:type="dxa"/>
        </w:tblCellMar>
      </w:tblPr>
      <w:tblGrid>
        <w:gridCol w:w="140"/>
        <w:gridCol w:w="5577"/>
        <w:gridCol w:w="53"/>
        <w:gridCol w:w="140"/>
        <w:gridCol w:w="4295"/>
      </w:tblGrid>
      <w:tr>
        <w:trPr/>
        <w:tc>
          <w:tcPr>
            <w:tcW w:w="5717" w:type="dxa"/>
            <w:gridSpan w:val="2"/>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color w:val="000000"/>
              </w:rPr>
            </w:pPr>
            <w:r>
              <w:rPr>
                <w:color w:val="000000"/>
              </w:rPr>
              <w:t>Key Compensation Program Features</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4435" w:type="dxa"/>
            <w:gridSpan w:val="2"/>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color w:val="000000"/>
              </w:rPr>
            </w:pPr>
            <w:r>
              <w:rPr>
                <w:color w:val="000000"/>
              </w:rPr>
              <w:t>Key Compensation Governance Practices</w:t>
            </w:r>
          </w:p>
        </w:tc>
      </w:tr>
      <w:tr>
        <w:trPr/>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For fiscal year 2026, 64% of our CEO's target total compensation was performance-based (including performance shares, options and short-term incentive compensation)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Robust stock ownership guidelines to align executives with our shareholders regarding our long-term performance</w:t>
            </w:r>
          </w:p>
        </w:tc>
      </w:tr>
      <w:tr>
        <w:trPr/>
        <w:tc>
          <w:tcPr>
            <w:tcW w:w="140" w:type="dxa"/>
            <w:tcBorders>
              <w:left w:val="single" w:sz="12" w:space="0" w:color="000000"/>
            </w:tcBorders>
            <w:shd w:fill="CCEEFF" w:val="clear"/>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color w:val="000000"/>
              </w:rPr>
            </w:pPr>
            <w:r>
              <w:rPr>
                <w:color w:val="000000"/>
              </w:rPr>
              <w:t>Mix of fixed and variable compensation, with a strong emphasis on variable, at-risk performance-based compensation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shd w:fill="CCEEFF" w:val="clear"/>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color w:val="000000"/>
              </w:rPr>
            </w:pPr>
            <w:r>
              <w:rPr>
                <w:color w:val="000000"/>
              </w:rPr>
              <w:t>Clawback policy that allows the Company to recoup incentive-based compensation paid to executive officers under certain circumstances</w:t>
            </w:r>
          </w:p>
        </w:tc>
      </w:tr>
      <w:tr>
        <w:trPr/>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Short- and long-term compensation opportunities with performance metrics tied to our strategy and performance (including relative total shareholder return)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No option repricing or cash buyout of underwater options without shareholder approval</w:t>
            </w:r>
          </w:p>
        </w:tc>
      </w:tr>
      <w:tr>
        <w:trPr/>
        <w:tc>
          <w:tcPr>
            <w:tcW w:w="140" w:type="dxa"/>
            <w:tcBorders>
              <w:left w:val="single" w:sz="12" w:space="0" w:color="000000"/>
            </w:tcBorders>
            <w:shd w:fill="CCEEFF" w:val="clear"/>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color w:val="000000"/>
              </w:rPr>
            </w:pPr>
            <w:r>
              <w:rPr>
                <w:color w:val="000000"/>
              </w:rPr>
              <w:t>50% of target long-term incentive opportunity is performance-contingent and measured over a three-year period</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shd w:fill="CCEEFF" w:val="clear"/>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color w:val="000000"/>
              </w:rPr>
            </w:pPr>
            <w:r>
              <w:rPr>
                <w:color w:val="000000"/>
              </w:rPr>
              <w:t>Engagement of an independent compensation consultant with no other ties to the Company or management</w:t>
            </w:r>
          </w:p>
        </w:tc>
      </w:tr>
      <w:tr>
        <w:trPr/>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Stock-based awards with four-year vesting to promote retention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Change in control agreements with double trigger severance arrangements</w:t>
            </w:r>
          </w:p>
        </w:tc>
      </w:tr>
      <w:tr>
        <w:trPr/>
        <w:tc>
          <w:tcPr>
            <w:tcW w:w="14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center"/>
              <w:rPr>
                <w:color w:val="000000"/>
              </w:rPr>
            </w:pPr>
            <w:r>
              <w:rPr>
                <w:color w:val="000000"/>
              </w:rPr>
              <w:t>•</w:t>
            </w:r>
          </w:p>
        </w:tc>
        <w:tc>
          <w:tcPr>
            <w:tcW w:w="5577"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283"/>
              <w:jc w:val="left"/>
              <w:rPr>
                <w:color w:val="000000"/>
              </w:rPr>
            </w:pPr>
            <w:r>
              <w:rPr>
                <w:color w:val="000000"/>
              </w:rPr>
              <w:t>Double trigger change in control provision in the 2020 Long Term Incentive Plan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center"/>
              <w:rPr>
                <w:color w:val="000000"/>
              </w:rPr>
            </w:pPr>
            <w:r>
              <w:rPr>
                <w:color w:val="000000"/>
              </w:rPr>
              <w:t>•</w:t>
            </w:r>
          </w:p>
        </w:tc>
        <w:tc>
          <w:tcPr>
            <w:tcW w:w="429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283"/>
              <w:jc w:val="left"/>
              <w:rPr>
                <w:color w:val="000000"/>
              </w:rPr>
            </w:pPr>
            <w:r>
              <w:rPr>
                <w:color w:val="000000"/>
              </w:rPr>
              <w:t>Active engagement with investors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2025 Shareholder Advisory Vote on Executive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At our </w:t>
      </w:r>
      <w:r>
        <w:rPr>
          <w:rFonts w:ascii="Times New Roman" w:hAnsi="Times New Roman"/>
          <w:color w:val="000000"/>
          <w:sz w:val="20"/>
          <w:shd w:fill="FFFFFF" w:val="clear"/>
        </w:rPr>
        <w:t>2025</w:t>
      </w:r>
      <w:r>
        <w:rPr>
          <w:rFonts w:ascii="Times New Roman" w:hAnsi="Times New Roman"/>
          <w:color w:val="181818"/>
          <w:sz w:val="20"/>
          <w:shd w:fill="FFFFFF" w:val="clear"/>
        </w:rPr>
        <w:t xml:space="preserve"> annual meeting, our shareholders approved, on an advisory basis, the compensation paid to our named executive officers, as disclosed under the compensation disclosure rules of the SEC, including the compensation discussion and analysis, the compensation tables and any related materials disclosed in the proxy statement for the </w:t>
      </w:r>
      <w:r>
        <w:rPr>
          <w:rFonts w:ascii="Times New Roman" w:hAnsi="Times New Roman"/>
          <w:color w:val="000000"/>
          <w:sz w:val="20"/>
          <w:shd w:fill="FFFFFF" w:val="clear"/>
        </w:rPr>
        <w:t>2025</w:t>
      </w:r>
      <w:r>
        <w:rPr>
          <w:rFonts w:ascii="Times New Roman" w:hAnsi="Times New Roman"/>
          <w:color w:val="181818"/>
          <w:sz w:val="20"/>
          <w:shd w:fill="FFFFFF" w:val="clear"/>
        </w:rPr>
        <w:t xml:space="preserve"> annual meeting. The shareholder vote in favor of our named executive officer compensation totaled approximately</w:t>
      </w:r>
      <w:r>
        <w:rPr>
          <w:rFonts w:ascii="Times New Roman" w:hAnsi="Times New Roman"/>
          <w:color w:val="000000"/>
          <w:sz w:val="20"/>
          <w:shd w:fill="FFFFFF" w:val="clear"/>
        </w:rPr>
        <w:t xml:space="preserve"> 93.1 </w:t>
      </w:r>
      <w:r>
        <w:rPr>
          <w:rFonts w:ascii="Times New Roman" w:hAnsi="Times New Roman"/>
          <w:color w:val="181818"/>
          <w:sz w:val="20"/>
          <w:shd w:fill="FFFFFF" w:val="clear"/>
        </w:rPr>
        <w:t xml:space="preserve">percent of all votes cast, including abstentions. The Compensation and Human Capital Committee considered the results of the </w:t>
      </w:r>
      <w:r>
        <w:rPr>
          <w:rFonts w:ascii="Times New Roman" w:hAnsi="Times New Roman"/>
          <w:color w:val="000000"/>
          <w:sz w:val="20"/>
          <w:shd w:fill="FFFFFF" w:val="clear"/>
        </w:rPr>
        <w:t>2025</w:t>
      </w:r>
      <w:r>
        <w:rPr>
          <w:rFonts w:ascii="Times New Roman" w:hAnsi="Times New Roman"/>
          <w:color w:val="181818"/>
          <w:sz w:val="20"/>
          <w:shd w:fill="FFFFFF" w:val="clear"/>
        </w:rPr>
        <w:t xml:space="preserve"> vote and views the outcome as evidence of strong shareholder support of our executive compensation decisions and policies. Accordingly, the Compensation and Human Capital Committee did not change its general approach to executive compensation in fiscal year </w:t>
      </w:r>
      <w:r>
        <w:rPr>
          <w:rFonts w:ascii="Times New Roman" w:hAnsi="Times New Roman"/>
          <w:color w:val="000000"/>
          <w:sz w:val="20"/>
          <w:shd w:fill="FFFFFF" w:val="clear"/>
        </w:rPr>
        <w:t>2026</w:t>
      </w:r>
      <w:r>
        <w:rPr>
          <w:rFonts w:ascii="Times New Roman" w:hAnsi="Times New Roman"/>
          <w:color w:val="181818"/>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Compensation Philosophy and Objectives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AngioDynamics operates in an extremely competitive industry. Our compensation philosophy is designed to:</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5" w:name="z118645f3c6754944b205e88acf405824"/>
      <w:bookmarkStart w:id="106" w:name="z118645f3c6754944b205e88acf405824"/>
      <w:bookmarkEnd w:id="10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align our executive officers’ compensation with our business objectives and the interests of our shareholders;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07" w:name="z4f109d11e13d4d14be24f9e128d55846"/>
      <w:bookmarkStart w:id="108" w:name="z4f109d11e13d4d14be24f9e128d55846"/>
      <w:bookmarkEnd w:id="10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enable us to attract, motivate, engage and retain successful, qualified senior executive leadership talent necessary to achieve our long-term goals; and</w:t>
            </w:r>
          </w:p>
        </w:tc>
      </w:tr>
    </w:tbl>
    <w:p>
      <w:pPr>
        <w:pStyle w:val="Normal"/>
        <w:bidi w:val="0"/>
        <w:spacing w:before="0" w:after="0"/>
        <w:jc w:val="left"/>
        <w:rPr>
          <w:sz w:val="4"/>
          <w:szCs w:val="4"/>
        </w:rPr>
      </w:pPr>
      <w:r>
        <w:rPr>
          <w:sz w:val="4"/>
          <w:szCs w:val="4"/>
        </w:rPr>
      </w:r>
      <w:bookmarkStart w:id="109" w:name="zcca462e9f0fd4502808f8b9cbe2eaeae"/>
      <w:bookmarkStart w:id="110" w:name="zcca462e9f0fd4502808f8b9cbe2eaeae"/>
      <w:bookmarkEnd w:id="110"/>
    </w:p>
    <w:tbl>
      <w:tblPr>
        <w:tblW w:w="9108" w:type="dxa"/>
        <w:jc w:val="left"/>
        <w:tblInd w:w="0" w:type="dxa"/>
        <w:tblLayout w:type="fixed"/>
        <w:tblCellMar>
          <w:top w:w="0" w:type="dxa"/>
          <w:left w:w="0" w:type="dxa"/>
          <w:bottom w:w="0" w:type="dxa"/>
          <w:right w:w="0" w:type="dxa"/>
        </w:tblCellMar>
      </w:tblPr>
      <w:tblGrid>
        <w:gridCol w:w="68"/>
        <w:gridCol w:w="140"/>
        <w:gridCol w:w="89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left"/>
              <w:rPr/>
            </w:pPr>
            <w:r>
              <w:rPr/>
              <w:t>reward performance, company growth and advancement of our long-term strategic initiatives.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AngioDynamics generally sets executive compensation targets for cash and equity-based compensation within a competitive range of the 50th percentile of companies in a pre-determined comparable group through a combination of fixed and variable compensation.  Our compensation program supports our “pay for performance” philosophy by targeting compensation within a competitive range of the 50th percentile with the opportunity to earn higher percentile actual pay when warranted by performance. Conversely, if performance falls below objectives, the programs are structured such that actual realized pay would vary accordingly.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AngioDynamics views these ranges of compensation targets as a guideline in setting and adjusting our compensation programs. While the Compensation and Human Capital Committee attempts to base compensation decisions on the most recent market data available, it also recognizes the importance of flexibility and customization, and may go above or below the targeted ranges for any individual or for any specific element of compensation based on considerations such as individual performance, experience, history and scope of position, current market conditions and the specific needs of the business at critical points in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Within this overall philosophy, the Compensation and Human Capital Committee’s objectives are to:</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1" w:name="z988b09d32bd64b0f915e7fba7779bd8f"/>
      <w:bookmarkStart w:id="112" w:name="z988b09d32bd64b0f915e7fba7779bd8f"/>
      <w:bookmarkEnd w:id="11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offer a total compensation package that takes into consideration the compensation practices of similarly situated companies with which we compete for exceptional senior level talent;</w:t>
            </w:r>
          </w:p>
        </w:tc>
      </w:tr>
    </w:tbl>
    <w:p>
      <w:pPr>
        <w:pStyle w:val="Normal"/>
        <w:bidi w:val="0"/>
        <w:spacing w:before="0" w:after="0"/>
        <w:jc w:val="left"/>
        <w:rPr>
          <w:sz w:val="4"/>
          <w:szCs w:val="4"/>
        </w:rPr>
      </w:pPr>
      <w:r>
        <w:rPr>
          <w:sz w:val="4"/>
          <w:szCs w:val="4"/>
        </w:rPr>
      </w:r>
      <w:bookmarkStart w:id="113" w:name="zd84e43c152d842de8d944371e4e4f4d6"/>
      <w:bookmarkStart w:id="114" w:name="zd84e43c152d842de8d944371e4e4f4d6"/>
      <w:bookmarkEnd w:id="11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provide annual cash incentive awards relative to attaining certain pre-determined financial metrics, along with completion of individual objectives;</w:t>
            </w:r>
          </w:p>
        </w:tc>
      </w:tr>
    </w:tbl>
    <w:p>
      <w:pPr>
        <w:pStyle w:val="Normal"/>
        <w:bidi w:val="0"/>
        <w:spacing w:before="0" w:after="0"/>
        <w:jc w:val="left"/>
        <w:rPr>
          <w:sz w:val="4"/>
          <w:szCs w:val="4"/>
        </w:rPr>
      </w:pPr>
      <w:r>
        <w:rPr>
          <w:sz w:val="4"/>
          <w:szCs w:val="4"/>
        </w:rPr>
      </w:r>
      <w:bookmarkStart w:id="115" w:name="zcfad9186ae9e4055aa04076826bbc3d1"/>
      <w:bookmarkStart w:id="116" w:name="zcfad9186ae9e4055aa04076826bbc3d1"/>
      <w:bookmarkEnd w:id="11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align financial incentives with shareholders’ interests through significant equity-based long-term incentives to senior management; and</w:t>
            </w:r>
          </w:p>
        </w:tc>
      </w:tr>
    </w:tbl>
    <w:p>
      <w:pPr>
        <w:pStyle w:val="Normal"/>
        <w:bidi w:val="0"/>
        <w:spacing w:before="0" w:after="0"/>
        <w:jc w:val="left"/>
        <w:rPr>
          <w:sz w:val="4"/>
          <w:szCs w:val="4"/>
        </w:rPr>
      </w:pPr>
      <w:r>
        <w:rPr>
          <w:sz w:val="4"/>
          <w:szCs w:val="4"/>
        </w:rPr>
      </w:r>
      <w:bookmarkStart w:id="117" w:name="z1c2ff4163fb74887b8f5deb6ff6704f0"/>
      <w:bookmarkStart w:id="118" w:name="z1c2ff4163fb74887b8f5deb6ff6704f0"/>
      <w:bookmarkEnd w:id="11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reward overachievement of goals with programs designed to have upside opportunity for participants, but also providing downsides if performance falls short.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Named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AngioDynamics’ named executive officers (or "NEOs") for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are as follows:</w:t>
      </w:r>
    </w:p>
    <w:p>
      <w:pPr>
        <w:pStyle w:val="Normal"/>
        <w:bidi w:val="0"/>
        <w:spacing w:before="0" w:after="0"/>
        <w:jc w:val="left"/>
        <w:rPr>
          <w:sz w:val="4"/>
          <w:szCs w:val="4"/>
        </w:rPr>
      </w:pPr>
      <w:r>
        <w:rPr>
          <w:sz w:val="4"/>
          <w:szCs w:val="4"/>
        </w:rPr>
      </w:r>
      <w:bookmarkStart w:id="119" w:name="z30a76378986449028231392e9cf5403e"/>
      <w:bookmarkStart w:id="120" w:name="z30a76378986449028231392e9cf5403e"/>
      <w:bookmarkEnd w:id="120"/>
    </w:p>
    <w:tbl>
      <w:tblPr>
        <w:tblW w:w="9805" w:type="dxa"/>
        <w:jc w:val="left"/>
        <w:tblInd w:w="0" w:type="dxa"/>
        <w:tblLayout w:type="fixed"/>
        <w:tblCellMar>
          <w:top w:w="0" w:type="dxa"/>
          <w:left w:w="0" w:type="dxa"/>
          <w:bottom w:w="28" w:type="dxa"/>
          <w:right w:w="0" w:type="dxa"/>
        </w:tblCellMar>
      </w:tblPr>
      <w:tblGrid>
        <w:gridCol w:w="2300"/>
        <w:gridCol w:w="7505"/>
      </w:tblGrid>
      <w:tr>
        <w:trPr/>
        <w:tc>
          <w:tcPr>
            <w:tcW w:w="2300" w:type="dxa"/>
            <w:tcBorders>
              <w:bottom w:val="single" w:sz="12" w:space="0" w:color="000000"/>
            </w:tcBorders>
            <w:vAlign w:val="center"/>
          </w:tcPr>
          <w:p>
            <w:pPr>
              <w:pStyle w:val="TableContents"/>
              <w:bidi w:val="0"/>
              <w:spacing w:before="0" w:after="0"/>
              <w:jc w:val="left"/>
              <w:rPr>
                <w:b/>
                <w:color w:val="000000"/>
              </w:rPr>
            </w:pPr>
            <w:r>
              <w:rPr>
                <w:b/>
                <w:color w:val="000000"/>
              </w:rPr>
              <w:t>Executive Officer</w:t>
            </w:r>
          </w:p>
        </w:tc>
        <w:tc>
          <w:tcPr>
            <w:tcW w:w="7505" w:type="dxa"/>
            <w:tcBorders>
              <w:bottom w:val="single" w:sz="12" w:space="0" w:color="000000"/>
            </w:tcBorders>
            <w:vAlign w:val="center"/>
          </w:tcPr>
          <w:p>
            <w:pPr>
              <w:pStyle w:val="TableContents"/>
              <w:bidi w:val="0"/>
              <w:spacing w:before="0" w:after="0"/>
              <w:jc w:val="left"/>
              <w:rPr>
                <w:b/>
                <w:color w:val="000000"/>
              </w:rPr>
            </w:pPr>
            <w:r>
              <w:rPr>
                <w:b/>
                <w:color w:val="000000"/>
              </w:rPr>
              <w:t>Title</w:t>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James C. Clemmer</w:t>
            </w:r>
          </w:p>
        </w:tc>
        <w:tc>
          <w:tcPr>
            <w:tcW w:w="7505" w:type="dxa"/>
            <w:tcBorders/>
            <w:shd w:fill="CCEEFF" w:val="clear"/>
            <w:tcMar>
              <w:bottom w:w="0" w:type="dxa"/>
            </w:tcMar>
            <w:vAlign w:val="center"/>
          </w:tcPr>
          <w:p>
            <w:pPr>
              <w:pStyle w:val="TableContents"/>
              <w:bidi w:val="0"/>
              <w:spacing w:before="0" w:after="0"/>
              <w:jc w:val="left"/>
              <w:rPr>
                <w:color w:val="000000"/>
              </w:rPr>
            </w:pPr>
            <w:r>
              <w:rPr>
                <w:color w:val="000000"/>
              </w:rPr>
              <w:t>President and Chief Executive Officer</w:t>
            </w:r>
          </w:p>
        </w:tc>
      </w:tr>
      <w:tr>
        <w:trPr/>
        <w:tc>
          <w:tcPr>
            <w:tcW w:w="2300" w:type="dxa"/>
            <w:tcBorders/>
            <w:tcMar>
              <w:bottom w:w="0" w:type="dxa"/>
            </w:tcMar>
            <w:vAlign w:val="center"/>
          </w:tcPr>
          <w:p>
            <w:pPr>
              <w:pStyle w:val="TableContents"/>
              <w:bidi w:val="0"/>
              <w:spacing w:before="0" w:after="0"/>
              <w:jc w:val="left"/>
              <w:rPr>
                <w:color w:val="000000"/>
              </w:rPr>
            </w:pPr>
            <w:r>
              <w:rPr>
                <w:color w:val="000000"/>
              </w:rPr>
              <w:t>Stephen A. Trowbridge</w:t>
            </w:r>
          </w:p>
        </w:tc>
        <w:tc>
          <w:tcPr>
            <w:tcW w:w="7505" w:type="dxa"/>
            <w:tcBorders/>
            <w:tcMar>
              <w:bottom w:w="0" w:type="dxa"/>
            </w:tcMar>
            <w:vAlign w:val="center"/>
          </w:tcPr>
          <w:p>
            <w:pPr>
              <w:pStyle w:val="TableContents"/>
              <w:bidi w:val="0"/>
              <w:spacing w:before="0" w:after="0"/>
              <w:jc w:val="left"/>
              <w:rPr>
                <w:color w:val="000000"/>
              </w:rPr>
            </w:pPr>
            <w:r>
              <w:rPr>
                <w:color w:val="000000"/>
              </w:rPr>
              <w:t>Executive Vice President and Chief Financial Officer</w:t>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Lawrence T. Weiss</w:t>
            </w:r>
          </w:p>
        </w:tc>
        <w:tc>
          <w:tcPr>
            <w:tcW w:w="7505" w:type="dxa"/>
            <w:tcBorders/>
            <w:shd w:fill="CCEEFF" w:val="clear"/>
            <w:tcMar>
              <w:bottom w:w="0" w:type="dxa"/>
            </w:tcMar>
            <w:vAlign w:val="center"/>
          </w:tcPr>
          <w:p>
            <w:pPr>
              <w:pStyle w:val="TableContents"/>
              <w:bidi w:val="0"/>
              <w:spacing w:before="0" w:after="0"/>
              <w:jc w:val="left"/>
              <w:rPr>
                <w:color w:val="000000"/>
              </w:rPr>
            </w:pPr>
            <w:r>
              <w:rPr>
                <w:color w:val="000000"/>
              </w:rPr>
              <w:t>Senior Vice President, Chief Legal Officer &amp; Corporate Secretary</w:t>
            </w:r>
          </w:p>
        </w:tc>
      </w:tr>
      <w:tr>
        <w:trPr/>
        <w:tc>
          <w:tcPr>
            <w:tcW w:w="2300" w:type="dxa"/>
            <w:tcBorders/>
            <w:tcMar>
              <w:bottom w:w="0" w:type="dxa"/>
            </w:tcMar>
            <w:vAlign w:val="center"/>
          </w:tcPr>
          <w:p>
            <w:pPr>
              <w:pStyle w:val="TableContents"/>
              <w:bidi w:val="0"/>
              <w:spacing w:before="0" w:after="0"/>
              <w:jc w:val="left"/>
              <w:rPr>
                <w:color w:val="000000"/>
              </w:rPr>
            </w:pPr>
            <w:r>
              <w:rPr>
                <w:color w:val="000000"/>
              </w:rPr>
              <w:t>Laura Piccinini</w:t>
            </w:r>
          </w:p>
        </w:tc>
        <w:tc>
          <w:tcPr>
            <w:tcW w:w="7505" w:type="dxa"/>
            <w:tcBorders/>
            <w:tcMar>
              <w:bottom w:w="0" w:type="dxa"/>
            </w:tcMar>
            <w:vAlign w:val="center"/>
          </w:tcPr>
          <w:p>
            <w:pPr>
              <w:pStyle w:val="TableContents"/>
              <w:bidi w:val="0"/>
              <w:spacing w:before="0" w:after="0"/>
              <w:jc w:val="left"/>
              <w:rPr>
                <w:color w:val="000000"/>
              </w:rPr>
            </w:pPr>
            <w:r>
              <w:rPr>
                <w:color w:val="000000"/>
              </w:rPr>
              <w:t>Senior Vice President and General Manager,  Cardiovascular and International</w:t>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Warren G. Nighan</w:t>
            </w:r>
          </w:p>
        </w:tc>
        <w:tc>
          <w:tcPr>
            <w:tcW w:w="7505" w:type="dxa"/>
            <w:tcBorders/>
            <w:shd w:fill="CCEEFF" w:val="clear"/>
            <w:tcMar>
              <w:bottom w:w="0" w:type="dxa"/>
            </w:tcMar>
            <w:vAlign w:val="center"/>
          </w:tcPr>
          <w:p>
            <w:pPr>
              <w:pStyle w:val="TableContents"/>
              <w:bidi w:val="0"/>
              <w:spacing w:before="0" w:after="0"/>
              <w:jc w:val="left"/>
              <w:rPr>
                <w:color w:val="000000"/>
              </w:rPr>
            </w:pPr>
            <w:r>
              <w:rPr>
                <w:color w:val="000000"/>
              </w:rPr>
              <w:t>Senior Vice President, Global Supply Chain, Quality and Regulatory Affairs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This Compensation Discussion and Analysis and the tables that follow describe compensation decisions regarding our NEOs.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Summary of Mix of Executive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charts depict the mix of components of target compensation for our CEO and our other named executive officers established by our Compensation and Human Capital Committee for our fiscal year ended May 31, 2026.  As demonstrated by the charts, a majority of each of our executive's target compensation is performance-based and at risk.  Each of the components is described in more detail below.</w:t>
      </w:r>
    </w:p>
    <w:p>
      <w:pPr>
        <w:pStyle w:val="TextBody"/>
        <w:bidi w:val="0"/>
        <w:spacing w:before="0" w:after="0"/>
        <w:ind w:left="0" w:right="0" w:firstLine="495"/>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2009775"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9775" cy="1209675"/>
                    </a:xfrm>
                    <a:prstGeom prst="rect">
                      <a:avLst/>
                    </a:prstGeom>
                  </pic:spPr>
                </pic:pic>
              </a:graphicData>
            </a:graphic>
          </wp:inline>
        </w:drawing>
      </w:r>
      <w:r>
        <w:rPr>
          <w:color w:val="000000"/>
          <w:shd w:fill="FFFFFF" w:val="clear"/>
        </w:rPr>
        <w:drawing>
          <wp:inline distT="0" distB="0" distL="0" distR="0">
            <wp:extent cx="2009775" cy="1190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9775" cy="1190625"/>
                    </a:xfrm>
                    <a:prstGeom prst="rect">
                      <a:avLst/>
                    </a:prstGeom>
                  </pic:spPr>
                </pic:pic>
              </a:graphicData>
            </a:graphic>
          </wp:inline>
        </w:drawing>
      </w:r>
      <w:r>
        <w:rPr>
          <w:color w:val="000000"/>
          <w:shd w:fill="FFFFFF" w:val="clear"/>
        </w:rPr>
        <w:t xml:space="preserve"> </w:t>
      </w:r>
    </w:p>
    <w:p>
      <w:pPr>
        <w:pStyle w:val="TextBody"/>
        <w:bidi w:val="0"/>
        <w:spacing w:before="0" w:after="0"/>
        <w:ind w:left="0" w:right="0" w:firstLine="495"/>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1828800" cy="1181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 cy="11811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2009775" cy="1314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9775" cy="1314450"/>
                    </a:xfrm>
                    <a:prstGeom prst="rect">
                      <a:avLst/>
                    </a:prstGeom>
                  </pic:spPr>
                </pic:pic>
              </a:graphicData>
            </a:graphic>
          </wp:inline>
        </w:drawing>
      </w:r>
      <w:r>
        <w:rPr>
          <w:color w:val="000000"/>
          <w:shd w:fill="FFFFFF" w:val="clear"/>
        </w:rPr>
        <w:drawing>
          <wp:inline distT="0" distB="0" distL="0" distR="0">
            <wp:extent cx="2105025" cy="1323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05025" cy="1323975"/>
                    </a:xfrm>
                    <a:prstGeom prst="rect">
                      <a:avLst/>
                    </a:prstGeom>
                  </pic:spPr>
                </pic:pic>
              </a:graphicData>
            </a:graphic>
          </wp:inline>
        </w:drawing>
      </w:r>
      <w:r>
        <w:rPr>
          <w:color w:val="000000"/>
          <w:shd w:fill="FFFFFF" w:val="clear"/>
        </w:rPr>
        <w:t xml:space="preserve">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Compensation and Human Capital Committee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Compensation and Human Capital Committee is responsible for: (i) assisting the Board in developing and evaluating potential candidates for executive positions; (ii) reviewing and recommending to the Board the corporate goals and objectives with respect to our CEO’s compensation on an annual basis; (iii) reviewing our CEO’s performance annually in light of the Committee’s established goals and objectives and recommending to the full Board (exclusive of the CEO) the compensation payable to the CEO; (iv) reviewing and approving the evaluation process, compensation structure and payouts for our other named executive officers annually and overseeing the CEO’s decisions concerning the performance and compensation of our other named executive officers; and (v) reviewing and ensuring our incentive compensation and other stock-based plans are administered consistent with the terms of such plans and recommending changes in such plans to the Board, as needed. The authority and responsibilities of the Compensation and Human Capital Committee are set forth in detail in its charter, which is available on our website located at www.angiodynamics.com under the “Investors-Corporate Governance-Highlights-Committee Charters-Compensation and Human Capital Committee” caption.  The information on our website is not a part of this proxy statement.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Our Board of Directors has determined that all of the directors who were members of the Compensation and Human Capital Committee during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Ms. Auen, Ms. Burgess, Ms. Licitra, and Mr. Tarnoff, are independent under the Nasdaq listing standards.   Although the Compensation and Human Capital Committee comprises solely independent directors, it does consider the recommendations, if any, provided by our CEO in determining the appropriate levels of compensation for our named executive officers, other than the CEO.</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Independent Compensation Consultant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Committee has the authority, in its sole discretion, to retain compensation consultants. In establishing executive compensation for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the Committee retained Meridian Compensation Partners, LLC (“Meridian”) as its compensation consultant based on its expertise and past service to the Committee. Meridian provided research, data analyses, benchmarking information and design expertise in developing compensation programs for executives and incentive programs for eligible employees. Meridian kept the Compensation and Human Capital Committee apprised of regulatory developments and market trends related to executive compensation practices. Meridian does not determine or recommend the exact amount or form of executive compensation for any of our executive officers or directors. Representatives of Meridian attended meetings of the Compensation and Human Capital Committee, as requested.  The Committee assessed the independence of Meridian and concluded that no conflict of interest exists with respect to its services to the Compensation and Human Capital Committee.  Among other things in fiscal year </w:t>
      </w:r>
      <w:r>
        <w:rPr>
          <w:rFonts w:ascii="Times New Roman" w:hAnsi="Times New Roman"/>
          <w:color w:val="000000"/>
          <w:sz w:val="20"/>
          <w:shd w:fill="FFFFFF" w:val="clear"/>
        </w:rPr>
        <w:t>2026</w:t>
      </w:r>
      <w:r>
        <w:rPr>
          <w:rFonts w:ascii="Times New Roman" w:hAnsi="Times New Roman"/>
          <w:color w:val="181818"/>
          <w:sz w:val="20"/>
          <w:shd w:fill="FFFFFF" w:val="clear"/>
        </w:rPr>
        <w:t>, Meridian: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1" w:name="zd66ab96460234cc3b5ef5ec541811f0e"/>
      <w:bookmarkStart w:id="122" w:name="zd66ab96460234cc3b5ef5ec541811f0e"/>
      <w:bookmarkEnd w:id="122"/>
    </w:p>
    <w:tbl>
      <w:tblPr>
        <w:tblW w:w="7518" w:type="dxa"/>
        <w:jc w:val="left"/>
        <w:tblInd w:w="0" w:type="dxa"/>
        <w:tblLayout w:type="fixed"/>
        <w:tblCellMar>
          <w:top w:w="0" w:type="dxa"/>
          <w:left w:w="0" w:type="dxa"/>
          <w:bottom w:w="0" w:type="dxa"/>
          <w:right w:w="0" w:type="dxa"/>
        </w:tblCellMar>
      </w:tblPr>
      <w:tblGrid>
        <w:gridCol w:w="68"/>
        <w:gridCol w:w="140"/>
        <w:gridCol w:w="73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0"/>
              <w:jc w:val="left"/>
              <w:rPr/>
            </w:pPr>
            <w:r>
              <w:rPr/>
              <w:t>analyzed our historical and current compensation practices and philosophies;</w:t>
            </w:r>
          </w:p>
        </w:tc>
      </w:tr>
    </w:tbl>
    <w:p>
      <w:pPr>
        <w:pStyle w:val="Normal"/>
        <w:bidi w:val="0"/>
        <w:spacing w:before="0" w:after="0"/>
        <w:jc w:val="left"/>
        <w:rPr>
          <w:sz w:val="4"/>
          <w:szCs w:val="4"/>
        </w:rPr>
      </w:pPr>
      <w:r>
        <w:rPr>
          <w:sz w:val="4"/>
          <w:szCs w:val="4"/>
        </w:rPr>
      </w:r>
      <w:bookmarkStart w:id="123" w:name="zb0c84c52342142e398bbb3be54e953ee"/>
      <w:bookmarkStart w:id="124" w:name="zb0c84c52342142e398bbb3be54e953ee"/>
      <w:bookmarkEnd w:id="12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 xml:space="preserve">performed a proxy pay level benchmarking review using peer group data and other industry specific surveys to analyze base salary, annual cash incentives, total cash compensation, long-term incentives, and total direct compensation paid to executives and summarized its findings in the form of a competitive pay analysis to inform fiscal year </w:t>
            </w:r>
            <w:r>
              <w:rPr>
                <w:color w:val="000000"/>
              </w:rPr>
              <w:t>2026</w:t>
            </w:r>
            <w:r>
              <w:rPr/>
              <w:t xml:space="preserve"> target compensation; and</w:t>
            </w:r>
          </w:p>
        </w:tc>
      </w:tr>
    </w:tbl>
    <w:p>
      <w:pPr>
        <w:pStyle w:val="Normal"/>
        <w:bidi w:val="0"/>
        <w:spacing w:before="0" w:after="0"/>
        <w:jc w:val="left"/>
        <w:rPr>
          <w:sz w:val="4"/>
          <w:szCs w:val="4"/>
        </w:rPr>
      </w:pPr>
      <w:r>
        <w:rPr>
          <w:sz w:val="4"/>
          <w:szCs w:val="4"/>
        </w:rPr>
      </w:r>
      <w:bookmarkStart w:id="125" w:name="z6f71dfb1dc5e454593bbe7280be822e8"/>
      <w:bookmarkStart w:id="126" w:name="z6f71dfb1dc5e454593bbe7280be822e8"/>
      <w:bookmarkEnd w:id="12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 xml:space="preserve">presented recommendations for comprehensive executive plan strategy and pay structure for fiscal year </w:t>
            </w:r>
            <w:r>
              <w:rPr>
                <w:color w:val="000000"/>
              </w:rPr>
              <w:t>2026</w:t>
            </w:r>
            <w:r>
              <w:rPr/>
              <w:t>, including base salary levels, design of the annual bonus program, design of long-term incentive programs and amount and allocation of short-term and long-term incentive compensation components.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Compensation Peer Group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compensation decisions, Meridian reassessed the list of peer companies to be used in compensation benchmarking analysis, focusing on publicly-traded medical device companies with revenues of approximately 1/3x to 3x our current revenue at the time of selection.  The result of the analysis was the following peer group of 16 companies with our revenue positioned at approximately the median of the group at the time of selection.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7" w:name="z6a94a531d95f49e2beb3320a3e7315c1"/>
      <w:bookmarkStart w:id="128" w:name="z6a94a531d95f49e2beb3320a3e7315c1"/>
      <w:bookmarkEnd w:id="128"/>
    </w:p>
    <w:tbl>
      <w:tblPr>
        <w:tblW w:w="9635" w:type="dxa"/>
        <w:jc w:val="left"/>
        <w:tblInd w:w="0" w:type="dxa"/>
        <w:tblLayout w:type="fixed"/>
        <w:tblCellMar>
          <w:top w:w="0" w:type="dxa"/>
          <w:left w:w="0" w:type="dxa"/>
          <w:bottom w:w="0" w:type="dxa"/>
          <w:right w:w="0" w:type="dxa"/>
        </w:tblCellMar>
      </w:tblPr>
      <w:tblGrid>
        <w:gridCol w:w="2315"/>
        <w:gridCol w:w="2045"/>
        <w:gridCol w:w="2300"/>
        <w:gridCol w:w="2975"/>
      </w:tblGrid>
      <w:tr>
        <w:trPr/>
        <w:tc>
          <w:tcPr>
            <w:tcW w:w="2315" w:type="dxa"/>
            <w:tcBorders/>
            <w:vAlign w:val="center"/>
          </w:tcPr>
          <w:p>
            <w:pPr>
              <w:pStyle w:val="TableContents"/>
              <w:bidi w:val="0"/>
              <w:spacing w:before="0" w:after="0"/>
              <w:jc w:val="left"/>
              <w:rPr>
                <w:color w:val="000000"/>
              </w:rPr>
            </w:pPr>
            <w:r>
              <w:rPr>
                <w:color w:val="000000"/>
              </w:rPr>
              <w:t>Accuray Incorporated</w:t>
            </w:r>
          </w:p>
        </w:tc>
        <w:tc>
          <w:tcPr>
            <w:tcW w:w="2045" w:type="dxa"/>
            <w:tcBorders/>
            <w:vAlign w:val="center"/>
          </w:tcPr>
          <w:p>
            <w:pPr>
              <w:pStyle w:val="TableContents"/>
              <w:bidi w:val="0"/>
              <w:spacing w:before="0" w:after="0"/>
              <w:jc w:val="left"/>
              <w:rPr>
                <w:color w:val="000000"/>
              </w:rPr>
            </w:pPr>
            <w:r>
              <w:rPr>
                <w:color w:val="000000"/>
              </w:rPr>
              <w:t>AxoGen, Inc.</w:t>
            </w:r>
          </w:p>
        </w:tc>
        <w:tc>
          <w:tcPr>
            <w:tcW w:w="2300" w:type="dxa"/>
            <w:tcBorders/>
            <w:vAlign w:val="center"/>
          </w:tcPr>
          <w:p>
            <w:pPr>
              <w:pStyle w:val="TableContents"/>
              <w:bidi w:val="0"/>
              <w:spacing w:before="0" w:after="0"/>
              <w:jc w:val="left"/>
              <w:rPr>
                <w:color w:val="000000"/>
              </w:rPr>
            </w:pPr>
            <w:r>
              <w:rPr>
                <w:color w:val="000000"/>
              </w:rPr>
              <w:t>LeMaitre Vascular, Inc.</w:t>
            </w:r>
          </w:p>
        </w:tc>
        <w:tc>
          <w:tcPr>
            <w:tcW w:w="2975" w:type="dxa"/>
            <w:tcBorders/>
            <w:vAlign w:val="center"/>
          </w:tcPr>
          <w:p>
            <w:pPr>
              <w:pStyle w:val="TableContents"/>
              <w:bidi w:val="0"/>
              <w:spacing w:before="0" w:after="0"/>
              <w:jc w:val="left"/>
              <w:rPr>
                <w:color w:val="000000"/>
              </w:rPr>
            </w:pPr>
            <w:r>
              <w:rPr>
                <w:color w:val="000000"/>
              </w:rPr>
              <w:t>STAAR Surgical Company</w:t>
            </w:r>
          </w:p>
        </w:tc>
      </w:tr>
      <w:tr>
        <w:trPr/>
        <w:tc>
          <w:tcPr>
            <w:tcW w:w="2315" w:type="dxa"/>
            <w:tcBorders/>
            <w:vAlign w:val="center"/>
          </w:tcPr>
          <w:p>
            <w:pPr>
              <w:pStyle w:val="TableContents"/>
              <w:bidi w:val="0"/>
              <w:spacing w:before="0" w:after="0"/>
              <w:jc w:val="left"/>
              <w:rPr>
                <w:color w:val="000000"/>
              </w:rPr>
            </w:pPr>
            <w:r>
              <w:rPr>
                <w:color w:val="000000"/>
              </w:rPr>
              <w:t>Alphatec Holdings, Inc.</w:t>
            </w:r>
          </w:p>
        </w:tc>
        <w:tc>
          <w:tcPr>
            <w:tcW w:w="2045" w:type="dxa"/>
            <w:tcBorders/>
            <w:vAlign w:val="center"/>
          </w:tcPr>
          <w:p>
            <w:pPr>
              <w:pStyle w:val="TableContents"/>
              <w:bidi w:val="0"/>
              <w:spacing w:before="0" w:after="0"/>
              <w:jc w:val="left"/>
              <w:rPr>
                <w:color w:val="000000"/>
              </w:rPr>
            </w:pPr>
            <w:r>
              <w:rPr>
                <w:color w:val="000000"/>
              </w:rPr>
              <w:t>Cutera, Inc.</w:t>
            </w:r>
          </w:p>
        </w:tc>
        <w:tc>
          <w:tcPr>
            <w:tcW w:w="2300" w:type="dxa"/>
            <w:tcBorders/>
            <w:vAlign w:val="center"/>
          </w:tcPr>
          <w:p>
            <w:pPr>
              <w:pStyle w:val="TableContents"/>
              <w:bidi w:val="0"/>
              <w:spacing w:before="0" w:after="0"/>
              <w:jc w:val="left"/>
              <w:rPr>
                <w:color w:val="000000"/>
              </w:rPr>
            </w:pPr>
            <w:r>
              <w:rPr>
                <w:color w:val="000000"/>
              </w:rPr>
              <w:t>Orthofix Medical Inc.</w:t>
            </w:r>
          </w:p>
        </w:tc>
        <w:tc>
          <w:tcPr>
            <w:tcW w:w="2975" w:type="dxa"/>
            <w:tcBorders/>
            <w:vAlign w:val="center"/>
          </w:tcPr>
          <w:p>
            <w:pPr>
              <w:pStyle w:val="TableContents"/>
              <w:bidi w:val="0"/>
              <w:spacing w:before="0" w:after="0"/>
              <w:jc w:val="left"/>
              <w:rPr>
                <w:color w:val="000000"/>
              </w:rPr>
            </w:pPr>
            <w:r>
              <w:rPr>
                <w:color w:val="000000"/>
              </w:rPr>
              <w:t>SI-Bone, Inc.</w:t>
            </w:r>
          </w:p>
        </w:tc>
      </w:tr>
      <w:tr>
        <w:trPr/>
        <w:tc>
          <w:tcPr>
            <w:tcW w:w="2315" w:type="dxa"/>
            <w:tcBorders/>
            <w:vAlign w:val="center"/>
          </w:tcPr>
          <w:p>
            <w:pPr>
              <w:pStyle w:val="TableContents"/>
              <w:bidi w:val="0"/>
              <w:spacing w:before="0" w:after="0"/>
              <w:jc w:val="left"/>
              <w:rPr>
                <w:color w:val="000000"/>
              </w:rPr>
            </w:pPr>
            <w:r>
              <w:rPr>
                <w:color w:val="000000"/>
              </w:rPr>
              <w:t>Artivion, Inc.</w:t>
            </w:r>
          </w:p>
        </w:tc>
        <w:tc>
          <w:tcPr>
            <w:tcW w:w="2045" w:type="dxa"/>
            <w:tcBorders/>
            <w:vAlign w:val="center"/>
          </w:tcPr>
          <w:p>
            <w:pPr>
              <w:pStyle w:val="TableContents"/>
              <w:bidi w:val="0"/>
              <w:spacing w:before="0" w:after="0"/>
              <w:jc w:val="left"/>
              <w:rPr>
                <w:color w:val="000000"/>
              </w:rPr>
            </w:pPr>
            <w:r>
              <w:rPr>
                <w:color w:val="000000"/>
              </w:rPr>
              <w:t>Glaukos Corporation</w:t>
            </w:r>
          </w:p>
        </w:tc>
        <w:tc>
          <w:tcPr>
            <w:tcW w:w="2300" w:type="dxa"/>
            <w:tcBorders/>
            <w:vAlign w:val="center"/>
          </w:tcPr>
          <w:p>
            <w:pPr>
              <w:pStyle w:val="TableContents"/>
              <w:bidi w:val="0"/>
              <w:spacing w:before="0" w:after="0"/>
              <w:jc w:val="left"/>
              <w:rPr>
                <w:color w:val="000000"/>
              </w:rPr>
            </w:pPr>
            <w:r>
              <w:rPr>
                <w:color w:val="000000"/>
              </w:rPr>
              <w:t>Orthopediatrics Corp.</w:t>
            </w:r>
          </w:p>
        </w:tc>
        <w:tc>
          <w:tcPr>
            <w:tcW w:w="2975" w:type="dxa"/>
            <w:tcBorders/>
            <w:vAlign w:val="center"/>
          </w:tcPr>
          <w:p>
            <w:pPr>
              <w:pStyle w:val="TableContents"/>
              <w:bidi w:val="0"/>
              <w:spacing w:before="0" w:after="0"/>
              <w:jc w:val="left"/>
              <w:rPr>
                <w:color w:val="000000"/>
              </w:rPr>
            </w:pPr>
            <w:r>
              <w:rPr>
                <w:color w:val="000000"/>
              </w:rPr>
              <w:t>Treace Medical Concepts, Inc.</w:t>
            </w:r>
          </w:p>
        </w:tc>
      </w:tr>
      <w:tr>
        <w:trPr/>
        <w:tc>
          <w:tcPr>
            <w:tcW w:w="2315" w:type="dxa"/>
            <w:tcBorders/>
            <w:vAlign w:val="center"/>
          </w:tcPr>
          <w:p>
            <w:pPr>
              <w:pStyle w:val="TableContents"/>
              <w:bidi w:val="0"/>
              <w:spacing w:before="0" w:after="0"/>
              <w:jc w:val="left"/>
              <w:rPr>
                <w:color w:val="000000"/>
              </w:rPr>
            </w:pPr>
            <w:r>
              <w:rPr>
                <w:color w:val="000000"/>
              </w:rPr>
              <w:t>AtriCure, Inc.</w:t>
            </w:r>
          </w:p>
        </w:tc>
        <w:tc>
          <w:tcPr>
            <w:tcW w:w="2045" w:type="dxa"/>
            <w:tcBorders/>
            <w:vAlign w:val="center"/>
          </w:tcPr>
          <w:p>
            <w:pPr>
              <w:pStyle w:val="TableContents"/>
              <w:bidi w:val="0"/>
              <w:spacing w:before="0" w:after="0"/>
              <w:jc w:val="left"/>
              <w:rPr>
                <w:color w:val="000000"/>
              </w:rPr>
            </w:pPr>
            <w:r>
              <w:rPr>
                <w:color w:val="000000"/>
              </w:rPr>
              <w:t>Inari Medical, Inc.</w:t>
            </w:r>
          </w:p>
        </w:tc>
        <w:tc>
          <w:tcPr>
            <w:tcW w:w="2300" w:type="dxa"/>
            <w:tcBorders/>
            <w:vAlign w:val="center"/>
          </w:tcPr>
          <w:p>
            <w:pPr>
              <w:pStyle w:val="TableContents"/>
              <w:bidi w:val="0"/>
              <w:spacing w:before="0" w:after="0"/>
              <w:jc w:val="left"/>
              <w:rPr>
                <w:color w:val="000000"/>
              </w:rPr>
            </w:pPr>
            <w:r>
              <w:rPr>
                <w:color w:val="000000"/>
              </w:rPr>
              <w:t>Nevro Corp.</w:t>
            </w:r>
          </w:p>
        </w:tc>
        <w:tc>
          <w:tcPr>
            <w:tcW w:w="2975" w:type="dxa"/>
            <w:tcBorders/>
            <w:vAlign w:val="center"/>
          </w:tcPr>
          <w:p>
            <w:pPr>
              <w:pStyle w:val="TableContents"/>
              <w:bidi w:val="0"/>
              <w:spacing w:before="0" w:after="0"/>
              <w:jc w:val="left"/>
              <w:rPr>
                <w:color w:val="000000"/>
              </w:rPr>
            </w:pPr>
            <w:r>
              <w:rPr>
                <w:color w:val="000000"/>
              </w:rPr>
              <w:t>Zynex, Inc.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Components of Executive Compensation for Fiscal Year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three components of the compensation program for named executive officers are base salary, annual cash incentive compensation and long-term equity-based incentive awards in the form of performance share awards, stock options and restricted stock unit awards. The Compensation and Human Capital Committee administers these components with the goal of providing total compensation that is competitive in the marketplace, while recognizing meaningful differences in individual performance and offering the opportunity to earn superior rewards when merited by individual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Base Salaries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base salary for each named executive officer is determined at levels considered appropriate for comparable positions at similarly situated companies, while generally targeting the 50th percentile for total cash compensation of executives at such similarly situated companies. Adjustments to each individual’s base salary are made based on annual performance reviews with consideration given to the executive’s performance as well as his/her salary compared with the range of those listed in the aforementioned survey and our executives generally. Among the criteria used in the annual performance reviews are the work and supervisory performance of the executive, demonstrated management and leadership skills, performance to specific established personal goals, and the strengths and weaknesses that the executive demonstrates on the job.</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Base salary increases for the named executive officers occurred in fiscal year </w:t>
      </w:r>
      <w:r>
        <w:rPr>
          <w:rFonts w:ascii="Times New Roman" w:hAnsi="Times New Roman"/>
          <w:color w:val="000000"/>
          <w:sz w:val="20"/>
          <w:shd w:fill="FFFFFF" w:val="clear"/>
        </w:rPr>
        <w:t>2026</w:t>
      </w:r>
      <w:r>
        <w:rPr>
          <w:rFonts w:ascii="Times New Roman" w:hAnsi="Times New Roman"/>
          <w:color w:val="181818"/>
          <w:sz w:val="20"/>
          <w:shd w:fill="FFFFFF" w:val="clear"/>
        </w:rPr>
        <w:t>, that were effective September 1, 2025 as summarized in the below table:</w:t>
      </w:r>
    </w:p>
    <w:p>
      <w:pPr>
        <w:pStyle w:val="TextBody"/>
        <w:bidi w:val="0"/>
        <w:spacing w:before="0" w:after="0"/>
        <w:ind w:left="0" w:right="0" w:firstLine="468"/>
        <w:jc w:val="left"/>
        <w:rPr>
          <w:color w:val="181818"/>
        </w:rPr>
      </w:pPr>
      <w:r>
        <w:rPr>
          <w:color w:val="181818"/>
        </w:rPr>
      </w:r>
    </w:p>
    <w:p>
      <w:pPr>
        <w:pStyle w:val="Normal"/>
        <w:bidi w:val="0"/>
        <w:spacing w:before="0" w:after="0"/>
        <w:jc w:val="left"/>
        <w:rPr>
          <w:sz w:val="4"/>
          <w:szCs w:val="4"/>
        </w:rPr>
      </w:pPr>
      <w:r>
        <w:rPr>
          <w:sz w:val="4"/>
          <w:szCs w:val="4"/>
        </w:rPr>
      </w:r>
      <w:bookmarkStart w:id="129" w:name="z8067b53ebfbf457394fd3ead7f7e3ad6"/>
      <w:bookmarkStart w:id="130" w:name="z8067b53ebfbf457394fd3ead7f7e3ad6"/>
      <w:bookmarkEnd w:id="130"/>
    </w:p>
    <w:tbl>
      <w:tblPr>
        <w:tblW w:w="6698" w:type="dxa"/>
        <w:jc w:val="left"/>
        <w:tblInd w:w="0" w:type="dxa"/>
        <w:tblLayout w:type="fixed"/>
        <w:tblCellMar>
          <w:top w:w="0" w:type="dxa"/>
          <w:left w:w="0" w:type="dxa"/>
          <w:bottom w:w="28" w:type="dxa"/>
          <w:right w:w="0" w:type="dxa"/>
        </w:tblCellMar>
      </w:tblPr>
      <w:tblGrid>
        <w:gridCol w:w="2300"/>
        <w:gridCol w:w="90"/>
        <w:gridCol w:w="212"/>
        <w:gridCol w:w="1037"/>
        <w:gridCol w:w="90"/>
        <w:gridCol w:w="90"/>
        <w:gridCol w:w="212"/>
        <w:gridCol w:w="1037"/>
        <w:gridCol w:w="90"/>
        <w:gridCol w:w="90"/>
        <w:gridCol w:w="188"/>
        <w:gridCol w:w="987"/>
        <w:gridCol w:w="275"/>
      </w:tblGrid>
      <w:tr>
        <w:trPr/>
        <w:tc>
          <w:tcPr>
            <w:tcW w:w="2300" w:type="dxa"/>
            <w:tcBorders>
              <w:bottom w:val="single" w:sz="12" w:space="0" w:color="000000"/>
            </w:tcBorders>
            <w:vAlign w:val="bottom"/>
          </w:tcPr>
          <w:p>
            <w:pPr>
              <w:pStyle w:val="TableContents"/>
              <w:bidi w:val="0"/>
              <w:spacing w:before="0" w:after="0"/>
              <w:jc w:val="left"/>
              <w:rPr>
                <w:b/>
                <w:color w:val="000000"/>
              </w:rPr>
            </w:pPr>
            <w:r>
              <w:rPr>
                <w:b/>
                <w:color w:val="000000"/>
              </w:rPr>
              <w:t>Name</w:t>
            </w:r>
          </w:p>
        </w:tc>
        <w:tc>
          <w:tcPr>
            <w:tcW w:w="90" w:type="dxa"/>
            <w:tcBorders>
              <w:bottom w:val="single" w:sz="12" w:space="0" w:color="000000"/>
            </w:tcBorders>
            <w:vAlign w:val="bottom"/>
          </w:tcPr>
          <w:p>
            <w:pPr>
              <w:pStyle w:val="TableContents"/>
              <w:bidi w:val="0"/>
              <w:spacing w:before="0" w:after="283"/>
              <w:jc w:val="left"/>
              <w:rPr/>
            </w:pPr>
            <w:r>
              <w:rPr/>
              <w:t> </w:t>
            </w:r>
          </w:p>
        </w:tc>
        <w:tc>
          <w:tcPr>
            <w:tcW w:w="1249" w:type="dxa"/>
            <w:gridSpan w:val="2"/>
            <w:tcBorders>
              <w:bottom w:val="single" w:sz="12" w:space="0" w:color="000000"/>
            </w:tcBorders>
            <w:vAlign w:val="bottom"/>
          </w:tcPr>
          <w:p>
            <w:pPr>
              <w:pStyle w:val="TableContents"/>
              <w:bidi w:val="0"/>
              <w:spacing w:before="0" w:after="0"/>
              <w:jc w:val="center"/>
              <w:rPr>
                <w:b/>
                <w:color w:val="000000"/>
              </w:rPr>
            </w:pPr>
            <w:r>
              <w:rPr>
                <w:b/>
                <w:color w:val="000000"/>
              </w:rPr>
              <w:t>Fiscal 2025</w:t>
            </w:r>
          </w:p>
          <w:p>
            <w:pPr>
              <w:pStyle w:val="TableContents"/>
              <w:bidi w:val="0"/>
              <w:spacing w:before="0" w:after="0"/>
              <w:jc w:val="center"/>
              <w:rPr>
                <w:b/>
                <w:color w:val="000000"/>
              </w:rPr>
            </w:pPr>
            <w:r>
              <w:rPr>
                <w:b/>
                <w:color w:val="000000"/>
              </w:rPr>
              <w:t>Base Salary</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49" w:type="dxa"/>
            <w:gridSpan w:val="2"/>
            <w:tcBorders>
              <w:bottom w:val="single" w:sz="12" w:space="0" w:color="000000"/>
            </w:tcBorders>
            <w:vAlign w:val="bottom"/>
          </w:tcPr>
          <w:p>
            <w:pPr>
              <w:pStyle w:val="TableContents"/>
              <w:bidi w:val="0"/>
              <w:spacing w:before="0" w:after="0"/>
              <w:jc w:val="center"/>
              <w:rPr>
                <w:b/>
                <w:color w:val="000000"/>
              </w:rPr>
            </w:pPr>
            <w:r>
              <w:rPr>
                <w:b/>
                <w:color w:val="000000"/>
              </w:rPr>
              <w:t>Fiscal 2026</w:t>
            </w:r>
          </w:p>
          <w:p>
            <w:pPr>
              <w:pStyle w:val="TableContents"/>
              <w:bidi w:val="0"/>
              <w:spacing w:before="0" w:after="0"/>
              <w:jc w:val="center"/>
              <w:rPr>
                <w:b/>
                <w:color w:val="000000"/>
              </w:rPr>
            </w:pPr>
            <w:r>
              <w:rPr>
                <w:b/>
                <w:color w:val="000000"/>
              </w:rPr>
              <w:t>Base Salary</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75" w:type="dxa"/>
            <w:gridSpan w:val="2"/>
            <w:tcBorders>
              <w:bottom w:val="single" w:sz="12" w:space="0" w:color="000000"/>
            </w:tcBorders>
            <w:vAlign w:val="bottom"/>
          </w:tcPr>
          <w:p>
            <w:pPr>
              <w:pStyle w:val="TableContents"/>
              <w:bidi w:val="0"/>
              <w:spacing w:before="0" w:after="0"/>
              <w:jc w:val="center"/>
              <w:rPr>
                <w:b/>
                <w:color w:val="000000"/>
              </w:rPr>
            </w:pPr>
            <w:r>
              <w:rPr>
                <w:b/>
                <w:color w:val="000000"/>
              </w:rPr>
              <w:t>Percentage</w:t>
            </w:r>
          </w:p>
          <w:p>
            <w:pPr>
              <w:pStyle w:val="TableContents"/>
              <w:bidi w:val="0"/>
              <w:spacing w:before="0" w:after="0"/>
              <w:jc w:val="center"/>
              <w:rPr>
                <w:b/>
                <w:color w:val="000000"/>
              </w:rPr>
            </w:pPr>
            <w:r>
              <w:rPr>
                <w:b/>
                <w:color w:val="000000"/>
              </w:rPr>
              <w:t>Increase</w:t>
            </w:r>
          </w:p>
        </w:tc>
        <w:tc>
          <w:tcPr>
            <w:tcW w:w="275" w:type="dxa"/>
            <w:tcBorders/>
            <w:tcMar>
              <w:bottom w:w="0" w:type="dxa"/>
            </w:tcMar>
            <w:vAlign w:val="bottom"/>
          </w:tcPr>
          <w:p>
            <w:pPr>
              <w:pStyle w:val="TableContents"/>
              <w:bidi w:val="0"/>
              <w:spacing w:before="0" w:after="283"/>
              <w:jc w:val="left"/>
              <w:rPr/>
            </w:pPr>
            <w:r>
              <w:rPr/>
              <w:t> </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810,400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834,717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8" w:type="dxa"/>
            <w:tcBorders/>
            <w:shd w:fill="CCEEFF" w:val="clear"/>
            <w:tcMar>
              <w:bottom w:w="0" w:type="dxa"/>
            </w:tcMar>
            <w:vAlign w:val="bottom"/>
          </w:tcPr>
          <w:p>
            <w:pPr>
              <w:pStyle w:val="TableContents"/>
              <w:bidi w:val="0"/>
              <w:spacing w:before="0" w:after="283"/>
              <w:jc w:val="left"/>
              <w:rPr/>
            </w:pPr>
            <w:r>
              <w:rPr/>
              <w:t> </w:t>
            </w:r>
          </w:p>
        </w:tc>
        <w:tc>
          <w:tcPr>
            <w:tcW w:w="987" w:type="dxa"/>
            <w:tcBorders/>
            <w:shd w:fill="CCEEFF" w:val="clear"/>
            <w:tcMar>
              <w:bottom w:w="0" w:type="dxa"/>
            </w:tcMar>
            <w:vAlign w:val="bottom"/>
          </w:tcPr>
          <w:p>
            <w:pPr>
              <w:pStyle w:val="TableContents"/>
              <w:bidi w:val="0"/>
              <w:spacing w:before="0" w:after="0"/>
              <w:jc w:val="right"/>
              <w:rPr>
                <w:color w:val="000000"/>
              </w:rPr>
            </w:pPr>
            <w:r>
              <w:rPr>
                <w:color w:val="000000"/>
              </w:rPr>
              <w:t>3.0</w:t>
            </w:r>
          </w:p>
        </w:tc>
        <w:tc>
          <w:tcPr>
            <w:tcW w:w="275"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300"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color w:val="000000"/>
              </w:rPr>
            </w:pPr>
            <w:r>
              <w:rPr>
                <w:color w:val="000000"/>
              </w:rPr>
              <w:t>$</w:t>
            </w:r>
          </w:p>
        </w:tc>
        <w:tc>
          <w:tcPr>
            <w:tcW w:w="1037" w:type="dxa"/>
            <w:tcBorders/>
            <w:tcMar>
              <w:bottom w:w="0" w:type="dxa"/>
            </w:tcMar>
            <w:vAlign w:val="bottom"/>
          </w:tcPr>
          <w:p>
            <w:pPr>
              <w:pStyle w:val="TableContents"/>
              <w:bidi w:val="0"/>
              <w:spacing w:before="0" w:after="0"/>
              <w:jc w:val="right"/>
              <w:rPr>
                <w:color w:val="000000"/>
              </w:rPr>
            </w:pPr>
            <w:r>
              <w:rPr>
                <w:color w:val="000000"/>
              </w:rPr>
              <w:t>461,194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color w:val="000000"/>
              </w:rPr>
            </w:pPr>
            <w:r>
              <w:rPr>
                <w:color w:val="000000"/>
              </w:rPr>
              <w:t>$</w:t>
            </w:r>
          </w:p>
        </w:tc>
        <w:tc>
          <w:tcPr>
            <w:tcW w:w="1037" w:type="dxa"/>
            <w:tcBorders/>
            <w:tcMar>
              <w:bottom w:w="0" w:type="dxa"/>
            </w:tcMar>
            <w:vAlign w:val="bottom"/>
          </w:tcPr>
          <w:p>
            <w:pPr>
              <w:pStyle w:val="TableContents"/>
              <w:bidi w:val="0"/>
              <w:spacing w:before="0" w:after="0"/>
              <w:jc w:val="right"/>
              <w:rPr>
                <w:color w:val="000000"/>
              </w:rPr>
            </w:pPr>
            <w:r>
              <w:rPr>
                <w:color w:val="000000"/>
              </w:rPr>
              <w:t>475,030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8" w:type="dxa"/>
            <w:tcBorders/>
            <w:tcMar>
              <w:bottom w:w="0" w:type="dxa"/>
            </w:tcMar>
            <w:vAlign w:val="bottom"/>
          </w:tcPr>
          <w:p>
            <w:pPr>
              <w:pStyle w:val="TableContents"/>
              <w:bidi w:val="0"/>
              <w:spacing w:before="0" w:after="283"/>
              <w:jc w:val="left"/>
              <w:rPr/>
            </w:pPr>
            <w:r>
              <w:rPr/>
              <w:t> </w:t>
            </w:r>
          </w:p>
        </w:tc>
        <w:tc>
          <w:tcPr>
            <w:tcW w:w="987" w:type="dxa"/>
            <w:tcBorders/>
            <w:tcMar>
              <w:bottom w:w="0" w:type="dxa"/>
            </w:tcMar>
            <w:vAlign w:val="bottom"/>
          </w:tcPr>
          <w:p>
            <w:pPr>
              <w:pStyle w:val="TableContents"/>
              <w:bidi w:val="0"/>
              <w:spacing w:before="0" w:after="0"/>
              <w:jc w:val="right"/>
              <w:rPr>
                <w:color w:val="000000"/>
              </w:rPr>
            </w:pPr>
            <w:r>
              <w:rPr>
                <w:color w:val="000000"/>
              </w:rPr>
              <w:t>3.0</w:t>
            </w:r>
          </w:p>
        </w:tc>
        <w:tc>
          <w:tcPr>
            <w:tcW w:w="275" w:type="dxa"/>
            <w:tcBorders/>
            <w:tcMar>
              <w:bottom w:w="0" w:type="dxa"/>
            </w:tcMar>
            <w:vAlign w:val="bottom"/>
          </w:tcPr>
          <w:p>
            <w:pPr>
              <w:pStyle w:val="TableContents"/>
              <w:bidi w:val="0"/>
              <w:spacing w:before="0" w:after="0"/>
              <w:jc w:val="left"/>
              <w:rPr>
                <w:color w:val="000000"/>
              </w:rPr>
            </w:pPr>
            <w:r>
              <w:rPr>
                <w:color w:val="000000"/>
              </w:rPr>
              <w:t>%</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430,000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442,900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8" w:type="dxa"/>
            <w:tcBorders/>
            <w:shd w:fill="CCEEFF" w:val="clear"/>
            <w:tcMar>
              <w:bottom w:w="0" w:type="dxa"/>
            </w:tcMar>
            <w:vAlign w:val="bottom"/>
          </w:tcPr>
          <w:p>
            <w:pPr>
              <w:pStyle w:val="TableContents"/>
              <w:bidi w:val="0"/>
              <w:spacing w:before="0" w:after="283"/>
              <w:jc w:val="left"/>
              <w:rPr/>
            </w:pPr>
            <w:r>
              <w:rPr/>
              <w:t> </w:t>
            </w:r>
          </w:p>
        </w:tc>
        <w:tc>
          <w:tcPr>
            <w:tcW w:w="987" w:type="dxa"/>
            <w:tcBorders/>
            <w:shd w:fill="CCEEFF" w:val="clear"/>
            <w:tcMar>
              <w:bottom w:w="0" w:type="dxa"/>
            </w:tcMar>
            <w:vAlign w:val="bottom"/>
          </w:tcPr>
          <w:p>
            <w:pPr>
              <w:pStyle w:val="TableContents"/>
              <w:bidi w:val="0"/>
              <w:spacing w:before="0" w:after="0"/>
              <w:jc w:val="right"/>
              <w:rPr>
                <w:color w:val="000000"/>
              </w:rPr>
            </w:pPr>
            <w:r>
              <w:rPr>
                <w:color w:val="000000"/>
              </w:rPr>
              <w:t>3.0</w:t>
            </w:r>
          </w:p>
        </w:tc>
        <w:tc>
          <w:tcPr>
            <w:tcW w:w="275"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300" w:type="dxa"/>
            <w:tcBorders/>
            <w:tcMar>
              <w:bottom w:w="0" w:type="dxa"/>
            </w:tcMar>
            <w:vAlign w:val="bottom"/>
          </w:tcPr>
          <w:p>
            <w:pPr>
              <w:pStyle w:val="TableContents"/>
              <w:bidi w:val="0"/>
              <w:spacing w:lineRule="auto" w:line="240" w:before="0" w:after="0"/>
              <w:jc w:val="left"/>
              <w:rPr>
                <w:color w:val="000000"/>
              </w:rPr>
            </w:pPr>
            <w:r>
              <w:rPr>
                <w:color w:val="000000"/>
              </w:rPr>
              <w:t>Laura Piccinini  (1)</w:t>
            </w:r>
          </w:p>
        </w:tc>
        <w:tc>
          <w:tcPr>
            <w:tcW w:w="9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color w:val="000000"/>
              </w:rPr>
            </w:pPr>
            <w:r>
              <w:rPr>
                <w:color w:val="000000"/>
              </w:rPr>
              <w:t>$</w:t>
            </w:r>
          </w:p>
        </w:tc>
        <w:tc>
          <w:tcPr>
            <w:tcW w:w="1037" w:type="dxa"/>
            <w:tcBorders/>
            <w:tcMar>
              <w:bottom w:w="0" w:type="dxa"/>
            </w:tcMar>
            <w:vAlign w:val="bottom"/>
          </w:tcPr>
          <w:p>
            <w:pPr>
              <w:pStyle w:val="TableContents"/>
              <w:bidi w:val="0"/>
              <w:spacing w:before="0" w:after="0"/>
              <w:jc w:val="right"/>
              <w:rPr>
                <w:color w:val="000000"/>
              </w:rPr>
            </w:pPr>
            <w:r>
              <w:rPr>
                <w:color w:val="000000"/>
              </w:rPr>
              <w:t>413,064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color w:val="000000"/>
              </w:rPr>
            </w:pPr>
            <w:r>
              <w:rPr>
                <w:color w:val="000000"/>
              </w:rPr>
              <w:t>$</w:t>
            </w:r>
          </w:p>
        </w:tc>
        <w:tc>
          <w:tcPr>
            <w:tcW w:w="1037" w:type="dxa"/>
            <w:tcBorders/>
            <w:tcMar>
              <w:bottom w:w="0" w:type="dxa"/>
            </w:tcMar>
            <w:vAlign w:val="bottom"/>
          </w:tcPr>
          <w:p>
            <w:pPr>
              <w:pStyle w:val="TableContents"/>
              <w:bidi w:val="0"/>
              <w:spacing w:before="0" w:after="0"/>
              <w:jc w:val="right"/>
              <w:rPr>
                <w:color w:val="000000"/>
              </w:rPr>
            </w:pPr>
            <w:r>
              <w:rPr>
                <w:color w:val="000000"/>
              </w:rPr>
              <w:t>463,353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8" w:type="dxa"/>
            <w:tcBorders/>
            <w:tcMar>
              <w:bottom w:w="0" w:type="dxa"/>
            </w:tcMar>
            <w:vAlign w:val="bottom"/>
          </w:tcPr>
          <w:p>
            <w:pPr>
              <w:pStyle w:val="TableContents"/>
              <w:bidi w:val="0"/>
              <w:spacing w:before="0" w:after="283"/>
              <w:jc w:val="left"/>
              <w:rPr/>
            </w:pPr>
            <w:r>
              <w:rPr/>
              <w:t> </w:t>
            </w:r>
          </w:p>
        </w:tc>
        <w:tc>
          <w:tcPr>
            <w:tcW w:w="987" w:type="dxa"/>
            <w:tcBorders/>
            <w:tcMar>
              <w:bottom w:w="0" w:type="dxa"/>
            </w:tcMar>
            <w:vAlign w:val="bottom"/>
          </w:tcPr>
          <w:p>
            <w:pPr>
              <w:pStyle w:val="TableContents"/>
              <w:bidi w:val="0"/>
              <w:spacing w:before="0" w:after="0"/>
              <w:jc w:val="right"/>
              <w:rPr>
                <w:color w:val="000000"/>
              </w:rPr>
            </w:pPr>
            <w:r>
              <w:rPr>
                <w:color w:val="000000"/>
              </w:rPr>
              <w:t>12.2</w:t>
            </w:r>
          </w:p>
        </w:tc>
        <w:tc>
          <w:tcPr>
            <w:tcW w:w="275" w:type="dxa"/>
            <w:tcBorders/>
            <w:tcMar>
              <w:bottom w:w="0" w:type="dxa"/>
            </w:tcMar>
            <w:vAlign w:val="bottom"/>
          </w:tcPr>
          <w:p>
            <w:pPr>
              <w:pStyle w:val="TableContents"/>
              <w:bidi w:val="0"/>
              <w:spacing w:before="0" w:after="0"/>
              <w:jc w:val="left"/>
              <w:rPr>
                <w:color w:val="000000"/>
              </w:rPr>
            </w:pPr>
            <w:r>
              <w:rPr>
                <w:color w:val="000000"/>
              </w:rPr>
              <w:t>%</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404,481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420,660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8" w:type="dxa"/>
            <w:tcBorders/>
            <w:shd w:fill="CCEEFF" w:val="clear"/>
            <w:tcMar>
              <w:bottom w:w="0" w:type="dxa"/>
            </w:tcMar>
            <w:vAlign w:val="bottom"/>
          </w:tcPr>
          <w:p>
            <w:pPr>
              <w:pStyle w:val="TableContents"/>
              <w:bidi w:val="0"/>
              <w:spacing w:before="0" w:after="283"/>
              <w:jc w:val="left"/>
              <w:rPr/>
            </w:pPr>
            <w:r>
              <w:rPr/>
              <w:t> </w:t>
            </w:r>
          </w:p>
        </w:tc>
        <w:tc>
          <w:tcPr>
            <w:tcW w:w="987" w:type="dxa"/>
            <w:tcBorders/>
            <w:shd w:fill="CCEEFF" w:val="clear"/>
            <w:tcMar>
              <w:bottom w:w="0" w:type="dxa"/>
            </w:tcMar>
            <w:vAlign w:val="bottom"/>
          </w:tcPr>
          <w:p>
            <w:pPr>
              <w:pStyle w:val="TableContents"/>
              <w:bidi w:val="0"/>
              <w:spacing w:before="0" w:after="0"/>
              <w:jc w:val="right"/>
              <w:rPr>
                <w:color w:val="000000"/>
              </w:rPr>
            </w:pPr>
            <w:r>
              <w:rPr>
                <w:color w:val="000000"/>
              </w:rPr>
              <w:t>4.0</w:t>
            </w:r>
          </w:p>
        </w:tc>
        <w:tc>
          <w:tcPr>
            <w:tcW w:w="275" w:type="dxa"/>
            <w:tcBorders/>
            <w:shd w:fill="CCEEFF" w:val="clear"/>
            <w:tcMar>
              <w:bottom w:w="0"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1" w:name="z68f79dfa7947406788ae8f1ad9a9b9c7"/>
      <w:bookmarkStart w:id="132" w:name="z68f79dfa7947406788ae8f1ad9a9b9c7"/>
      <w:bookmarkEnd w:id="132"/>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0"/>
              <w:jc w:val="left"/>
              <w:rPr/>
            </w:pPr>
            <w:r>
              <w:rPr/>
              <w:t>Ms. Piccinini is paid in Euros, which was converted to U.S. Dollars using a period average exchange rate for fiscal years 2026 and 2025 of 1.17 Euro per Dollar and 1.08 Euro per Dollar, respectively. Based upon the spot rate on the date that Ms. Piccinini's base salary was set for fiscal year 2026, she received a 4% base salary increase.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Annual Cash Incentives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Compensation and Human Capital Committee believes that a meaningful portion of the annual compensation of each named executive officer should be in the form of annual cash incentive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annual cash incentive targets were based upon a mix of pre-determined financial metrics and the achievement of pre-determined corporate objectives with compensation up to a maximum of 200% of the target incentive payment amounts if we overachieve our targets.  The table below sets forth the targets set by the Compensation and Human Capital Committee, the rationale for the particular goal and achievement against targets: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33" w:name="zab693f8f761e4e1ab38ce7645ac19dea"/>
      <w:bookmarkStart w:id="134" w:name="zab693f8f761e4e1ab38ce7645ac19dea"/>
      <w:bookmarkEnd w:id="134"/>
    </w:p>
    <w:tbl>
      <w:tblPr>
        <w:tblW w:w="10205" w:type="dxa"/>
        <w:jc w:val="left"/>
        <w:tblInd w:w="0" w:type="dxa"/>
        <w:tblLayout w:type="fixed"/>
        <w:tblCellMar>
          <w:top w:w="0" w:type="dxa"/>
          <w:left w:w="0" w:type="dxa"/>
          <w:bottom w:w="28" w:type="dxa"/>
          <w:right w:w="0" w:type="dxa"/>
        </w:tblCellMar>
      </w:tblPr>
      <w:tblGrid>
        <w:gridCol w:w="90"/>
        <w:gridCol w:w="1743"/>
        <w:gridCol w:w="53"/>
        <w:gridCol w:w="1536"/>
        <w:gridCol w:w="1096"/>
        <w:gridCol w:w="830"/>
        <w:gridCol w:w="1439"/>
        <w:gridCol w:w="1381"/>
        <w:gridCol w:w="770"/>
        <w:gridCol w:w="815"/>
        <w:gridCol w:w="452"/>
      </w:tblGrid>
      <w:tr>
        <w:trPr/>
        <w:tc>
          <w:tcPr>
            <w:tcW w:w="90" w:type="dxa"/>
            <w:tcBorders>
              <w:bottom w:val="single" w:sz="12" w:space="0" w:color="000000"/>
            </w:tcBorders>
            <w:vAlign w:val="center"/>
          </w:tcPr>
          <w:p>
            <w:pPr>
              <w:pStyle w:val="TableContents"/>
              <w:bidi w:val="0"/>
              <w:spacing w:before="0" w:after="283"/>
              <w:jc w:val="left"/>
              <w:rPr/>
            </w:pPr>
            <w:r>
              <w:rPr/>
              <w:t> </w:t>
            </w:r>
          </w:p>
        </w:tc>
        <w:tc>
          <w:tcPr>
            <w:tcW w:w="1743" w:type="dxa"/>
            <w:tcBorders>
              <w:bottom w:val="single" w:sz="12" w:space="0" w:color="000000"/>
            </w:tcBorders>
            <w:vAlign w:val="center"/>
          </w:tcPr>
          <w:p>
            <w:pPr>
              <w:pStyle w:val="TableContents"/>
              <w:bidi w:val="0"/>
              <w:spacing w:before="0" w:after="0"/>
              <w:jc w:val="center"/>
              <w:rPr>
                <w:b/>
                <w:color w:val="000000"/>
              </w:rPr>
            </w:pPr>
            <w:r>
              <w:rPr>
                <w:b/>
                <w:color w:val="000000"/>
              </w:rPr>
              <w:t>Goal</w:t>
            </w:r>
          </w:p>
        </w:tc>
        <w:tc>
          <w:tcPr>
            <w:tcW w:w="53" w:type="dxa"/>
            <w:tcBorders>
              <w:bottom w:val="single" w:sz="12" w:space="0" w:color="000000"/>
            </w:tcBorders>
            <w:vAlign w:val="center"/>
          </w:tcPr>
          <w:p>
            <w:pPr>
              <w:pStyle w:val="TableContents"/>
              <w:bidi w:val="0"/>
              <w:spacing w:before="0" w:after="283"/>
              <w:jc w:val="left"/>
              <w:rPr/>
            </w:pPr>
            <w:r>
              <w:rPr/>
            </w:r>
          </w:p>
        </w:tc>
        <w:tc>
          <w:tcPr>
            <w:tcW w:w="1536" w:type="dxa"/>
            <w:tcBorders>
              <w:bottom w:val="single" w:sz="12" w:space="0" w:color="000000"/>
            </w:tcBorders>
            <w:vAlign w:val="center"/>
          </w:tcPr>
          <w:p>
            <w:pPr>
              <w:pStyle w:val="TableContents"/>
              <w:bidi w:val="0"/>
              <w:spacing w:before="0" w:after="0"/>
              <w:jc w:val="center"/>
              <w:rPr>
                <w:b/>
                <w:color w:val="000000"/>
              </w:rPr>
            </w:pPr>
            <w:r>
              <w:rPr>
                <w:b/>
                <w:color w:val="000000"/>
              </w:rPr>
              <w:t>Rationale</w:t>
            </w:r>
          </w:p>
        </w:tc>
        <w:tc>
          <w:tcPr>
            <w:tcW w:w="1096" w:type="dxa"/>
            <w:tcBorders>
              <w:bottom w:val="single" w:sz="12" w:space="0" w:color="000000"/>
            </w:tcBorders>
            <w:vAlign w:val="center"/>
          </w:tcPr>
          <w:p>
            <w:pPr>
              <w:pStyle w:val="TableContents"/>
              <w:bidi w:val="0"/>
              <w:spacing w:before="0" w:after="0"/>
              <w:jc w:val="center"/>
              <w:rPr>
                <w:b/>
                <w:color w:val="000000"/>
              </w:rPr>
            </w:pPr>
            <w:r>
              <w:rPr>
                <w:b/>
                <w:color w:val="000000"/>
              </w:rPr>
              <w:t>Target</w:t>
            </w:r>
          </w:p>
        </w:tc>
        <w:tc>
          <w:tcPr>
            <w:tcW w:w="830" w:type="dxa"/>
            <w:tcBorders>
              <w:bottom w:val="single" w:sz="12" w:space="0" w:color="000000"/>
            </w:tcBorders>
            <w:vAlign w:val="center"/>
          </w:tcPr>
          <w:p>
            <w:pPr>
              <w:pStyle w:val="TableContents"/>
              <w:bidi w:val="0"/>
              <w:spacing w:before="0" w:after="0"/>
              <w:jc w:val="center"/>
              <w:rPr>
                <w:b/>
                <w:color w:val="000000"/>
              </w:rPr>
            </w:pPr>
            <w:r>
              <w:rPr>
                <w:b/>
                <w:color w:val="000000"/>
              </w:rPr>
              <w:t>Target</w:t>
            </w:r>
          </w:p>
          <w:p>
            <w:pPr>
              <w:pStyle w:val="TableContents"/>
              <w:bidi w:val="0"/>
              <w:spacing w:before="0" w:after="0"/>
              <w:jc w:val="center"/>
              <w:rPr>
                <w:b/>
                <w:color w:val="000000"/>
              </w:rPr>
            </w:pPr>
            <w:r>
              <w:rPr>
                <w:b/>
                <w:color w:val="000000"/>
              </w:rPr>
              <w:t>Bonus</w:t>
            </w:r>
          </w:p>
          <w:p>
            <w:pPr>
              <w:pStyle w:val="TableContents"/>
              <w:bidi w:val="0"/>
              <w:spacing w:before="0" w:after="0"/>
              <w:jc w:val="center"/>
              <w:rPr>
                <w:b/>
                <w:color w:val="000000"/>
              </w:rPr>
            </w:pPr>
            <w:r>
              <w:rPr>
                <w:b/>
                <w:color w:val="000000"/>
              </w:rPr>
              <w:t>Percent</w:t>
            </w:r>
          </w:p>
        </w:tc>
        <w:tc>
          <w:tcPr>
            <w:tcW w:w="1439" w:type="dxa"/>
            <w:tcBorders>
              <w:bottom w:val="single" w:sz="12" w:space="0" w:color="000000"/>
            </w:tcBorders>
            <w:vAlign w:val="center"/>
          </w:tcPr>
          <w:p>
            <w:pPr>
              <w:pStyle w:val="TableContents"/>
              <w:bidi w:val="0"/>
              <w:spacing w:before="0" w:after="0"/>
              <w:jc w:val="center"/>
              <w:rPr>
                <w:b/>
                <w:color w:val="000000"/>
              </w:rPr>
            </w:pPr>
            <w:r>
              <w:rPr>
                <w:b/>
                <w:color w:val="000000"/>
              </w:rPr>
              <w:t>Achievement</w:t>
            </w:r>
          </w:p>
          <w:p>
            <w:pPr>
              <w:pStyle w:val="TableContents"/>
              <w:bidi w:val="0"/>
              <w:spacing w:before="0" w:after="0"/>
              <w:jc w:val="center"/>
              <w:rPr>
                <w:b/>
                <w:color w:val="000000"/>
              </w:rPr>
            </w:pPr>
            <w:r>
              <w:rPr>
                <w:b/>
                <w:color w:val="000000"/>
              </w:rPr>
              <w:t>($)</w:t>
            </w:r>
          </w:p>
        </w:tc>
        <w:tc>
          <w:tcPr>
            <w:tcW w:w="1381" w:type="dxa"/>
            <w:tcBorders>
              <w:bottom w:val="single" w:sz="12" w:space="0" w:color="000000"/>
            </w:tcBorders>
            <w:vAlign w:val="center"/>
          </w:tcPr>
          <w:p>
            <w:pPr>
              <w:pStyle w:val="TableContents"/>
              <w:bidi w:val="0"/>
              <w:spacing w:before="0" w:after="0"/>
              <w:jc w:val="center"/>
              <w:rPr>
                <w:b/>
                <w:color w:val="000000"/>
              </w:rPr>
            </w:pPr>
            <w:r>
              <w:rPr>
                <w:b/>
                <w:color w:val="000000"/>
              </w:rPr>
              <w:t>Achievement</w:t>
            </w:r>
          </w:p>
          <w:p>
            <w:pPr>
              <w:pStyle w:val="TableContents"/>
              <w:bidi w:val="0"/>
              <w:spacing w:before="0" w:after="0"/>
              <w:jc w:val="center"/>
              <w:rPr>
                <w:b/>
                <w:color w:val="000000"/>
              </w:rPr>
            </w:pPr>
            <w:r>
              <w:rPr>
                <w:b/>
                <w:color w:val="000000"/>
              </w:rPr>
              <w:t>(% of Target</w:t>
            </w:r>
          </w:p>
          <w:p>
            <w:pPr>
              <w:pStyle w:val="TableContents"/>
              <w:bidi w:val="0"/>
              <w:spacing w:before="0" w:after="0"/>
              <w:jc w:val="center"/>
              <w:rPr>
                <w:b/>
                <w:color w:val="000000"/>
              </w:rPr>
            </w:pPr>
            <w:r>
              <w:rPr>
                <w:b/>
                <w:color w:val="000000"/>
              </w:rPr>
              <w:t>Bonus Percent)</w:t>
            </w:r>
          </w:p>
        </w:tc>
        <w:tc>
          <w:tcPr>
            <w:tcW w:w="770" w:type="dxa"/>
            <w:tcBorders>
              <w:bottom w:val="single" w:sz="12" w:space="0" w:color="000000"/>
            </w:tcBorders>
            <w:vAlign w:val="center"/>
          </w:tcPr>
          <w:p>
            <w:pPr>
              <w:pStyle w:val="TableContents"/>
              <w:bidi w:val="0"/>
              <w:spacing w:before="0" w:after="0"/>
              <w:jc w:val="left"/>
              <w:rPr/>
            </w:pPr>
            <w:r>
              <w:rPr/>
            </w:r>
          </w:p>
          <w:p>
            <w:pPr>
              <w:pStyle w:val="TableContents"/>
              <w:bidi w:val="0"/>
              <w:spacing w:before="0" w:after="0"/>
              <w:jc w:val="left"/>
              <w:rPr/>
            </w:pPr>
            <w:r>
              <w:rPr/>
              <w:t> </w:t>
            </w:r>
          </w:p>
          <w:p>
            <w:pPr>
              <w:pStyle w:val="TableContents"/>
              <w:bidi w:val="0"/>
              <w:spacing w:before="0" w:after="0"/>
              <w:jc w:val="center"/>
              <w:rPr>
                <w:b/>
              </w:rPr>
            </w:pPr>
            <w:r>
              <w:rPr>
                <w:b/>
              </w:rPr>
              <w:t>Bonus</w:t>
            </w:r>
          </w:p>
          <w:p>
            <w:pPr>
              <w:pStyle w:val="TableContents"/>
              <w:bidi w:val="0"/>
              <w:spacing w:before="0" w:after="0"/>
              <w:jc w:val="center"/>
              <w:rPr>
                <w:b/>
              </w:rPr>
            </w:pPr>
            <w:r>
              <w:rPr>
                <w:b/>
              </w:rPr>
              <w:t>Payout</w:t>
            </w:r>
          </w:p>
          <w:p>
            <w:pPr>
              <w:pStyle w:val="TableContents"/>
              <w:bidi w:val="0"/>
              <w:spacing w:before="0" w:after="0"/>
              <w:jc w:val="center"/>
              <w:rPr>
                <w:b/>
              </w:rPr>
            </w:pPr>
            <w:r>
              <w:rPr>
                <w:b/>
              </w:rPr>
              <w:t>(%)</w:t>
            </w:r>
          </w:p>
        </w:tc>
        <w:tc>
          <w:tcPr>
            <w:tcW w:w="815" w:type="dxa"/>
            <w:tcBorders>
              <w:bottom w:val="single" w:sz="12" w:space="0" w:color="000000"/>
            </w:tcBorders>
            <w:vAlign w:val="center"/>
          </w:tcPr>
          <w:p>
            <w:pPr>
              <w:pStyle w:val="TableContents"/>
              <w:bidi w:val="0"/>
              <w:spacing w:before="0" w:after="283"/>
              <w:jc w:val="left"/>
              <w:rPr/>
            </w:pPr>
            <w:r>
              <w:rPr/>
              <w:t> </w:t>
            </w:r>
          </w:p>
        </w:tc>
        <w:tc>
          <w:tcPr>
            <w:tcW w:w="452" w:type="dxa"/>
            <w:tcBorders>
              <w:bottom w:val="single" w:sz="12" w:space="0" w:color="000000"/>
            </w:tcBorders>
            <w:vAlign w:val="center"/>
          </w:tcPr>
          <w:p>
            <w:pPr>
              <w:pStyle w:val="TableContents"/>
              <w:bidi w:val="0"/>
              <w:spacing w:before="0" w:after="283"/>
              <w:jc w:val="left"/>
              <w:rPr/>
            </w:pPr>
            <w:r>
              <w:rPr/>
              <w:t> </w:t>
            </w:r>
          </w:p>
        </w:tc>
      </w:tr>
      <w:tr>
        <w:trPr/>
        <w:tc>
          <w:tcPr>
            <w:tcW w:w="90" w:type="dxa"/>
            <w:tcBorders>
              <w:left w:val="single" w:sz="12" w:space="0" w:color="000000"/>
              <w:bottom w:val="single" w:sz="12" w:space="0" w:color="000000"/>
            </w:tcBorders>
            <w:shd w:fill="CCEEFF" w:val="clear"/>
            <w:tcMar>
              <w:left w:w="28" w:type="dxa"/>
            </w:tcMar>
            <w:vAlign w:val="center"/>
          </w:tcPr>
          <w:p>
            <w:pPr>
              <w:pStyle w:val="TableContents"/>
              <w:bidi w:val="0"/>
              <w:spacing w:before="0" w:after="283"/>
              <w:jc w:val="left"/>
              <w:rPr/>
            </w:pPr>
            <w:r>
              <w:rPr/>
            </w:r>
          </w:p>
        </w:tc>
        <w:tc>
          <w:tcPr>
            <w:tcW w:w="1796" w:type="dxa"/>
            <w:gridSpan w:val="2"/>
            <w:tcBorders>
              <w:bottom w:val="single" w:sz="12" w:space="0" w:color="000000"/>
            </w:tcBorders>
            <w:shd w:fill="CCEEFF" w:val="clear"/>
            <w:vAlign w:val="center"/>
          </w:tcPr>
          <w:p>
            <w:pPr>
              <w:pStyle w:val="TableContents"/>
              <w:bidi w:val="0"/>
              <w:spacing w:before="0" w:after="0"/>
              <w:jc w:val="left"/>
              <w:rPr>
                <w:b/>
                <w:color w:val="000000"/>
              </w:rPr>
            </w:pPr>
            <w:r>
              <w:rPr>
                <w:b/>
                <w:color w:val="000000"/>
              </w:rPr>
              <w:t>Financial Metrics:</w:t>
            </w:r>
          </w:p>
        </w:tc>
        <w:tc>
          <w:tcPr>
            <w:tcW w:w="1536" w:type="dxa"/>
            <w:tcBorders>
              <w:bottom w:val="single" w:sz="12" w:space="0" w:color="000000"/>
            </w:tcBorders>
            <w:shd w:fill="CCEEFF" w:val="clear"/>
            <w:vAlign w:val="center"/>
          </w:tcPr>
          <w:p>
            <w:pPr>
              <w:pStyle w:val="TableContents"/>
              <w:bidi w:val="0"/>
              <w:spacing w:before="0" w:after="283"/>
              <w:jc w:val="left"/>
              <w:rPr/>
            </w:pPr>
            <w:r>
              <w:rPr/>
              <w:t> </w:t>
            </w:r>
          </w:p>
        </w:tc>
        <w:tc>
          <w:tcPr>
            <w:tcW w:w="1096"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left"/>
              <w:rPr/>
            </w:pPr>
            <w:r>
              <w:rPr/>
              <w:t> </w:t>
            </w:r>
          </w:p>
        </w:tc>
        <w:tc>
          <w:tcPr>
            <w:tcW w:w="1439" w:type="dxa"/>
            <w:tcBorders>
              <w:bottom w:val="single" w:sz="12" w:space="0" w:color="000000"/>
            </w:tcBorders>
            <w:shd w:fill="CCEEFF" w:val="clear"/>
            <w:vAlign w:val="center"/>
          </w:tcPr>
          <w:p>
            <w:pPr>
              <w:pStyle w:val="TableContents"/>
              <w:bidi w:val="0"/>
              <w:spacing w:before="0" w:after="283"/>
              <w:jc w:val="left"/>
              <w:rPr/>
            </w:pPr>
            <w:r>
              <w:rPr/>
              <w:t> </w:t>
            </w:r>
          </w:p>
        </w:tc>
        <w:tc>
          <w:tcPr>
            <w:tcW w:w="1381" w:type="dxa"/>
            <w:tcBorders>
              <w:left w:val="single" w:sz="12" w:space="0" w:color="000000"/>
              <w:bottom w:val="single" w:sz="12" w:space="0" w:color="000000"/>
              <w:right w:val="single" w:sz="12" w:space="0" w:color="000000"/>
            </w:tcBorders>
            <w:shd w:fill="CCEEFF" w:val="clear"/>
            <w:tcMar>
              <w:left w:w="28" w:type="dxa"/>
              <w:right w:w="28" w:type="dxa"/>
            </w:tcMar>
            <w:vAlign w:val="center"/>
          </w:tcPr>
          <w:p>
            <w:pPr>
              <w:pStyle w:val="TableContents"/>
              <w:bidi w:val="0"/>
              <w:spacing w:before="0" w:after="283"/>
              <w:jc w:val="left"/>
              <w:rPr/>
            </w:pPr>
            <w:r>
              <w:rPr/>
              <w:t> </w:t>
            </w:r>
          </w:p>
        </w:tc>
        <w:tc>
          <w:tcPr>
            <w:tcW w:w="770" w:type="dxa"/>
            <w:tcBorders>
              <w:bottom w:val="single" w:sz="12" w:space="0" w:color="000000"/>
              <w:right w:val="single" w:sz="12" w:space="0" w:color="000000"/>
            </w:tcBorders>
            <w:shd w:fill="CCEEFF" w:val="clear"/>
            <w:tcMar>
              <w:right w:w="28" w:type="dxa"/>
            </w:tcMar>
            <w:vAlign w:val="center"/>
          </w:tcPr>
          <w:p>
            <w:pPr>
              <w:pStyle w:val="TableContents"/>
              <w:bidi w:val="0"/>
              <w:spacing w:before="0" w:after="283"/>
              <w:jc w:val="left"/>
              <w:rPr/>
            </w:pPr>
            <w:r>
              <w:rPr/>
            </w:r>
          </w:p>
        </w:tc>
        <w:tc>
          <w:tcPr>
            <w:tcW w:w="815" w:type="dxa"/>
            <w:vMerge w:val="restart"/>
            <w:tcBorders>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serif" w:hAnsi="Times New Roman;serif"/>
                <w:sz w:val="160"/>
              </w:rPr>
            </w:pPr>
            <w:r>
              <w:rPr>
                <w:rFonts w:ascii="Times New Roman;serif" w:hAnsi="Times New Roman;serif"/>
                <w:sz w:val="160"/>
              </w:rPr>
              <w:t>}</w:t>
            </w:r>
          </w:p>
          <w:p>
            <w:pPr>
              <w:pStyle w:val="TableContents"/>
              <w:bidi w:val="0"/>
              <w:spacing w:before="0" w:after="0"/>
              <w:jc w:val="center"/>
              <w:rPr/>
            </w:pPr>
            <w:r>
              <w:rPr/>
              <w:t xml:space="preserve">  </w:t>
            </w:r>
          </w:p>
        </w:tc>
        <w:tc>
          <w:tcPr>
            <w:tcW w:w="452" w:type="dxa"/>
            <w:vMerge w:val="restart"/>
            <w:tcBorders>
              <w:bottom w:val="single" w:sz="12" w:space="0" w:color="000000"/>
              <w:right w:val="single" w:sz="12" w:space="0" w:color="000000"/>
            </w:tcBorders>
            <w:tcMar>
              <w:right w:w="28" w:type="dxa"/>
            </w:tcMar>
            <w:vAlign w:val="center"/>
          </w:tcPr>
          <w:p>
            <w:pPr>
              <w:pStyle w:val="TableContents"/>
              <w:bidi w:val="0"/>
              <w:spacing w:before="0" w:after="283"/>
              <w:jc w:val="center"/>
              <w:rPr/>
            </w:pPr>
            <w:r>
              <w:rPr/>
              <w:t>180%</w:t>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Net Sales</w:t>
            </w:r>
          </w:p>
        </w:tc>
        <w:tc>
          <w:tcPr>
            <w:tcW w:w="53" w:type="dxa"/>
            <w:vMerge w:val="restart"/>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536" w:type="dxa"/>
            <w:vMerge w:val="restart"/>
            <w:tcBorders>
              <w:bottom w:val="single" w:sz="12" w:space="0" w:color="000000"/>
            </w:tcBorders>
            <w:vAlign w:val="center"/>
          </w:tcPr>
          <w:p>
            <w:pPr>
              <w:pStyle w:val="TableContents"/>
              <w:bidi w:val="0"/>
              <w:spacing w:before="0" w:after="0"/>
              <w:jc w:val="left"/>
              <w:rPr>
                <w:color w:val="000000"/>
              </w:rPr>
            </w:pPr>
            <w:r>
              <w:rPr>
                <w:color w:val="000000"/>
              </w:rPr>
              <w:t>Directly linked to creating long-term value for shareholders</w:t>
            </w:r>
          </w:p>
        </w:tc>
        <w:tc>
          <w:tcPr>
            <w:tcW w:w="1096"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$312 million</w:t>
            </w:r>
          </w:p>
        </w:tc>
        <w:tc>
          <w:tcPr>
            <w:tcW w:w="830"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50%</w:t>
            </w:r>
          </w:p>
        </w:tc>
        <w:tc>
          <w:tcPr>
            <w:tcW w:w="1439"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$320.2 million</w:t>
            </w:r>
          </w:p>
        </w:tc>
        <w:tc>
          <w:tcPr>
            <w:tcW w:w="1381"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200%</w:t>
            </w:r>
          </w:p>
        </w:tc>
        <w:tc>
          <w:tcPr>
            <w:tcW w:w="770"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100%</w:t>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lineRule="auto" w:line="240" w:before="0" w:after="0"/>
              <w:jc w:val="left"/>
              <w:rPr>
                <w:color w:val="000000"/>
              </w:rPr>
            </w:pPr>
            <w:r>
              <w:rPr>
                <w:color w:val="000000"/>
              </w:rPr>
              <w:t>Adjusted EBITDA(1)</w:t>
            </w:r>
          </w:p>
        </w:tc>
        <w:tc>
          <w:tcPr>
            <w:tcW w:w="53"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536" w:type="dxa"/>
            <w:vMerge w:val="continue"/>
            <w:tcBorders>
              <w:bottom w:val="single" w:sz="12" w:space="0" w:color="000000"/>
            </w:tcBorders>
            <w:vAlign w:val="center"/>
          </w:tcPr>
          <w:p>
            <w:pPr>
              <w:pStyle w:val="Normal"/>
              <w:bidi w:val="0"/>
              <w:jc w:val="left"/>
              <w:rPr/>
            </w:pPr>
            <w:r>
              <w:rPr/>
            </w:r>
          </w:p>
        </w:tc>
        <w:tc>
          <w:tcPr>
            <w:tcW w:w="1096"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$10.5 million</w:t>
            </w:r>
          </w:p>
        </w:tc>
        <w:tc>
          <w:tcPr>
            <w:tcW w:w="830"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30%</w:t>
            </w:r>
          </w:p>
        </w:tc>
        <w:tc>
          <w:tcPr>
            <w:tcW w:w="1439"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$18.2 million</w:t>
            </w:r>
          </w:p>
        </w:tc>
        <w:tc>
          <w:tcPr>
            <w:tcW w:w="1381"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200%</w:t>
            </w:r>
          </w:p>
        </w:tc>
        <w:tc>
          <w:tcPr>
            <w:tcW w:w="770"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60%</w:t>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shd w:fill="CCEEFF" w:val="clear"/>
            <w:tcMar>
              <w:left w:w="28" w:type="dxa"/>
            </w:tcMar>
            <w:vAlign w:val="center"/>
          </w:tcPr>
          <w:p>
            <w:pPr>
              <w:pStyle w:val="TableContents"/>
              <w:bidi w:val="0"/>
              <w:spacing w:before="0" w:after="283"/>
              <w:jc w:val="left"/>
              <w:rPr/>
            </w:pPr>
            <w:r>
              <w:rPr/>
            </w:r>
          </w:p>
        </w:tc>
        <w:tc>
          <w:tcPr>
            <w:tcW w:w="1796" w:type="dxa"/>
            <w:gridSpan w:val="2"/>
            <w:tcBorders>
              <w:bottom w:val="single" w:sz="12" w:space="0" w:color="000000"/>
            </w:tcBorders>
            <w:shd w:fill="CCEEFF" w:val="clear"/>
            <w:vAlign w:val="center"/>
          </w:tcPr>
          <w:p>
            <w:pPr>
              <w:pStyle w:val="TableContents"/>
              <w:bidi w:val="0"/>
              <w:spacing w:before="0" w:after="0"/>
              <w:jc w:val="left"/>
              <w:rPr>
                <w:b/>
                <w:color w:val="000000"/>
              </w:rPr>
            </w:pPr>
            <w:r>
              <w:rPr>
                <w:b/>
                <w:color w:val="000000"/>
              </w:rPr>
              <w:t>Corporate Objectives:</w:t>
            </w:r>
          </w:p>
        </w:tc>
        <w:tc>
          <w:tcPr>
            <w:tcW w:w="1536" w:type="dxa"/>
            <w:tcBorders>
              <w:bottom w:val="single" w:sz="12" w:space="0" w:color="000000"/>
            </w:tcBorders>
            <w:shd w:fill="CCEEFF" w:val="clear"/>
            <w:vAlign w:val="center"/>
          </w:tcPr>
          <w:p>
            <w:pPr>
              <w:pStyle w:val="TableContents"/>
              <w:bidi w:val="0"/>
              <w:spacing w:before="0" w:after="283"/>
              <w:jc w:val="left"/>
              <w:rPr/>
            </w:pPr>
            <w:r>
              <w:rPr/>
              <w:t> </w:t>
            </w:r>
          </w:p>
        </w:tc>
        <w:tc>
          <w:tcPr>
            <w:tcW w:w="1096"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left"/>
              <w:rPr/>
            </w:pPr>
            <w:r>
              <w:rPr/>
              <w:t> </w:t>
            </w:r>
          </w:p>
        </w:tc>
        <w:tc>
          <w:tcPr>
            <w:tcW w:w="1439" w:type="dxa"/>
            <w:tcBorders>
              <w:bottom w:val="single" w:sz="12" w:space="0" w:color="000000"/>
            </w:tcBorders>
            <w:shd w:fill="CCEEFF" w:val="clear"/>
            <w:vAlign w:val="center"/>
          </w:tcPr>
          <w:p>
            <w:pPr>
              <w:pStyle w:val="TableContents"/>
              <w:bidi w:val="0"/>
              <w:spacing w:before="0" w:after="283"/>
              <w:jc w:val="left"/>
              <w:rPr/>
            </w:pPr>
            <w:r>
              <w:rPr/>
              <w:t> </w:t>
            </w:r>
          </w:p>
        </w:tc>
        <w:tc>
          <w:tcPr>
            <w:tcW w:w="1381" w:type="dxa"/>
            <w:tcBorders>
              <w:left w:val="single" w:sz="12" w:space="0" w:color="000000"/>
              <w:bottom w:val="single" w:sz="12" w:space="0" w:color="000000"/>
              <w:right w:val="single" w:sz="12" w:space="0" w:color="000000"/>
            </w:tcBorders>
            <w:shd w:fill="CCEEFF" w:val="clear"/>
            <w:tcMar>
              <w:left w:w="28" w:type="dxa"/>
              <w:right w:w="28" w:type="dxa"/>
            </w:tcMar>
            <w:vAlign w:val="center"/>
          </w:tcPr>
          <w:p>
            <w:pPr>
              <w:pStyle w:val="TableContents"/>
              <w:bidi w:val="0"/>
              <w:spacing w:before="0" w:after="283"/>
              <w:jc w:val="left"/>
              <w:rPr/>
            </w:pPr>
            <w:r>
              <w:rPr/>
              <w:t> </w:t>
            </w:r>
          </w:p>
        </w:tc>
        <w:tc>
          <w:tcPr>
            <w:tcW w:w="770" w:type="dxa"/>
            <w:tcBorders>
              <w:bottom w:val="single" w:sz="12" w:space="0" w:color="000000"/>
              <w:right w:val="single" w:sz="12" w:space="0" w:color="000000"/>
            </w:tcBorders>
            <w:shd w:fill="CCEEFF" w:val="clear"/>
            <w:tcMar>
              <w:right w:w="28" w:type="dxa"/>
            </w:tcMar>
            <w:vAlign w:val="center"/>
          </w:tcPr>
          <w:p>
            <w:pPr>
              <w:pStyle w:val="TableContents"/>
              <w:bidi w:val="0"/>
              <w:spacing w:before="0" w:after="283"/>
              <w:jc w:val="left"/>
              <w:rPr/>
            </w:pPr>
            <w:r>
              <w:rPr/>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Execute on manufacturing transfer program milestones to achieve savings goals</w:t>
            </w:r>
          </w:p>
        </w:tc>
        <w:tc>
          <w:tcPr>
            <w:tcW w:w="53" w:type="dxa"/>
            <w:vMerge w:val="restart"/>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536" w:type="dxa"/>
            <w:vMerge w:val="restart"/>
            <w:tcBorders>
              <w:bottom w:val="single" w:sz="12" w:space="0" w:color="000000"/>
            </w:tcBorders>
            <w:vAlign w:val="center"/>
          </w:tcPr>
          <w:p>
            <w:pPr>
              <w:pStyle w:val="TableContents"/>
              <w:bidi w:val="0"/>
              <w:spacing w:before="0" w:after="0"/>
              <w:jc w:val="left"/>
              <w:rPr>
                <w:color w:val="000000"/>
              </w:rPr>
            </w:pPr>
            <w:r>
              <w:rPr>
                <w:color w:val="000000"/>
              </w:rPr>
              <w:t>Directly linked to  strategic plan and creating long-term value for shareholders</w:t>
            </w:r>
          </w:p>
        </w:tc>
        <w:tc>
          <w:tcPr>
            <w:tcW w:w="1096" w:type="dxa"/>
            <w:vMerge w:val="restart"/>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Qualitative</w:t>
            </w:r>
          </w:p>
        </w:tc>
        <w:tc>
          <w:tcPr>
            <w:tcW w:w="830" w:type="dxa"/>
            <w:vMerge w:val="restart"/>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20%</w:t>
            </w:r>
          </w:p>
        </w:tc>
        <w:tc>
          <w:tcPr>
            <w:tcW w:w="1439" w:type="dxa"/>
            <w:vMerge w:val="restart"/>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Achieved target expectations</w:t>
            </w:r>
          </w:p>
        </w:tc>
        <w:tc>
          <w:tcPr>
            <w:tcW w:w="1381" w:type="dxa"/>
            <w:vMerge w:val="restart"/>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100%</w:t>
            </w:r>
          </w:p>
        </w:tc>
        <w:tc>
          <w:tcPr>
            <w:tcW w:w="770" w:type="dxa"/>
            <w:vMerge w:val="restart"/>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20%</w:t>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Develop private/payer reimbursement plan for NanoKnife</w:t>
            </w:r>
          </w:p>
        </w:tc>
        <w:tc>
          <w:tcPr>
            <w:tcW w:w="53"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536" w:type="dxa"/>
            <w:vMerge w:val="continue"/>
            <w:tcBorders>
              <w:bottom w:val="single" w:sz="12" w:space="0" w:color="000000"/>
            </w:tcBorders>
            <w:vAlign w:val="center"/>
          </w:tcPr>
          <w:p>
            <w:pPr>
              <w:pStyle w:val="Normal"/>
              <w:bidi w:val="0"/>
              <w:jc w:val="left"/>
              <w:rPr/>
            </w:pPr>
            <w:r>
              <w:rPr/>
            </w:r>
          </w:p>
        </w:tc>
        <w:tc>
          <w:tcPr>
            <w:tcW w:w="1096"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30"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439"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381"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770"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Achieve milestones in the Ambition/BTK plan</w:t>
            </w:r>
          </w:p>
        </w:tc>
        <w:tc>
          <w:tcPr>
            <w:tcW w:w="53"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536" w:type="dxa"/>
            <w:vMerge w:val="continue"/>
            <w:tcBorders>
              <w:bottom w:val="single" w:sz="12" w:space="0" w:color="000000"/>
            </w:tcBorders>
            <w:vAlign w:val="center"/>
          </w:tcPr>
          <w:p>
            <w:pPr>
              <w:pStyle w:val="Normal"/>
              <w:bidi w:val="0"/>
              <w:jc w:val="left"/>
              <w:rPr/>
            </w:pPr>
            <w:r>
              <w:rPr/>
            </w:r>
          </w:p>
        </w:tc>
        <w:tc>
          <w:tcPr>
            <w:tcW w:w="1096"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30"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439"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381"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770"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Obtain clarity on pathway for AngioVac endocarditis</w:t>
            </w:r>
          </w:p>
        </w:tc>
        <w:tc>
          <w:tcPr>
            <w:tcW w:w="53"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536" w:type="dxa"/>
            <w:vMerge w:val="continue"/>
            <w:tcBorders>
              <w:bottom w:val="single" w:sz="12" w:space="0" w:color="000000"/>
            </w:tcBorders>
            <w:vAlign w:val="center"/>
          </w:tcPr>
          <w:p>
            <w:pPr>
              <w:pStyle w:val="Normal"/>
              <w:bidi w:val="0"/>
              <w:jc w:val="left"/>
              <w:rPr/>
            </w:pPr>
            <w:r>
              <w:rPr/>
            </w:r>
          </w:p>
        </w:tc>
        <w:tc>
          <w:tcPr>
            <w:tcW w:w="1096"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30"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439"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381"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770"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(1) Adjusted EBITDA, excludes the amortization of intangibles, change in fair value of contingent consideration, acquisition, restructuring and other items.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achievement on the financial metrics as a percent of target is based upon pre-determined quantitative levels of achievements.  For our corporate objectives, the Committee takes both a goal specific and a comprehensive evaluation approach to determine total achievement.  Assessing the overall specifics with respect to each goal, as well as the impact of these activities on the Company's strategic transformation and the fiscal year operating resulting, including revenue growth, gross margin and adjusted earnings per share, the Committee awarded attainment of 100% of our corporate objective metrics.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In fiscal year </w:t>
      </w:r>
      <w:r>
        <w:rPr>
          <w:rFonts w:ascii="Times New Roman" w:hAnsi="Times New Roman"/>
          <w:color w:val="000000"/>
          <w:sz w:val="20"/>
          <w:shd w:fill="FFFFFF" w:val="clear"/>
        </w:rPr>
        <w:t>2026</w:t>
      </w:r>
      <w:r>
        <w:rPr>
          <w:rFonts w:ascii="Times New Roman" w:hAnsi="Times New Roman"/>
          <w:color w:val="181818"/>
          <w:sz w:val="20"/>
          <w:shd w:fill="FFFFFF" w:val="clear"/>
        </w:rPr>
        <w:t>, the target incentive payment amounts and the actual payout amounts, each as a percentage of base salary, for the named executive officers were as follows:</w:t>
      </w:r>
    </w:p>
    <w:p>
      <w:pPr>
        <w:pStyle w:val="TextBody"/>
        <w:bidi w:val="0"/>
        <w:spacing w:before="0" w:after="0"/>
        <w:ind w:left="0" w:right="0" w:firstLine="468"/>
        <w:jc w:val="left"/>
        <w:rPr>
          <w:color w:val="181818"/>
        </w:rPr>
      </w:pPr>
      <w:r>
        <w:rPr>
          <w:color w:val="181818"/>
        </w:rPr>
      </w:r>
    </w:p>
    <w:p>
      <w:pPr>
        <w:pStyle w:val="Normal"/>
        <w:bidi w:val="0"/>
        <w:spacing w:before="0" w:after="0"/>
        <w:jc w:val="left"/>
        <w:rPr>
          <w:sz w:val="4"/>
          <w:szCs w:val="4"/>
        </w:rPr>
      </w:pPr>
      <w:r>
        <w:rPr>
          <w:sz w:val="4"/>
          <w:szCs w:val="4"/>
        </w:rPr>
      </w:r>
      <w:bookmarkStart w:id="135" w:name="z265ce4eb7d22433f95a162065781d0f8"/>
      <w:bookmarkStart w:id="136" w:name="z265ce4eb7d22433f95a162065781d0f8"/>
      <w:bookmarkEnd w:id="136"/>
    </w:p>
    <w:tbl>
      <w:tblPr>
        <w:tblW w:w="10062" w:type="dxa"/>
        <w:jc w:val="left"/>
        <w:tblInd w:w="0" w:type="dxa"/>
        <w:tblLayout w:type="fixed"/>
        <w:tblCellMar>
          <w:top w:w="0" w:type="dxa"/>
          <w:left w:w="0" w:type="dxa"/>
          <w:bottom w:w="28" w:type="dxa"/>
          <w:right w:w="0" w:type="dxa"/>
        </w:tblCellMar>
      </w:tblPr>
      <w:tblGrid>
        <w:gridCol w:w="2300"/>
        <w:gridCol w:w="90"/>
        <w:gridCol w:w="483"/>
        <w:gridCol w:w="2206"/>
        <w:gridCol w:w="245"/>
        <w:gridCol w:w="90"/>
        <w:gridCol w:w="391"/>
        <w:gridCol w:w="1788"/>
        <w:gridCol w:w="245"/>
        <w:gridCol w:w="90"/>
        <w:gridCol w:w="290"/>
        <w:gridCol w:w="1724"/>
        <w:gridCol w:w="120"/>
      </w:tblGrid>
      <w:tr>
        <w:trPr/>
        <w:tc>
          <w:tcPr>
            <w:tcW w:w="2300" w:type="dxa"/>
            <w:tcBorders>
              <w:bottom w:val="single" w:sz="12" w:space="0" w:color="000000"/>
            </w:tcBorders>
            <w:vAlign w:val="bottom"/>
          </w:tcPr>
          <w:p>
            <w:pPr>
              <w:pStyle w:val="TableContents"/>
              <w:bidi w:val="0"/>
              <w:spacing w:before="0" w:after="0"/>
              <w:jc w:val="left"/>
              <w:rPr>
                <w:b/>
                <w:color w:val="000000"/>
              </w:rPr>
            </w:pPr>
            <w:r>
              <w:rPr>
                <w:b/>
                <w:color w:val="000000"/>
              </w:rPr>
              <w:t>Name</w:t>
            </w:r>
          </w:p>
        </w:tc>
        <w:tc>
          <w:tcPr>
            <w:tcW w:w="90" w:type="dxa"/>
            <w:tcBorders>
              <w:bottom w:val="single" w:sz="12" w:space="0" w:color="000000"/>
            </w:tcBorders>
            <w:vAlign w:val="bottom"/>
          </w:tcPr>
          <w:p>
            <w:pPr>
              <w:pStyle w:val="TableContents"/>
              <w:bidi w:val="0"/>
              <w:spacing w:before="0" w:after="283"/>
              <w:jc w:val="left"/>
              <w:rPr/>
            </w:pPr>
            <w:r>
              <w:rPr/>
              <w:t> </w:t>
            </w:r>
          </w:p>
        </w:tc>
        <w:tc>
          <w:tcPr>
            <w:tcW w:w="2689" w:type="dxa"/>
            <w:gridSpan w:val="2"/>
            <w:tcBorders>
              <w:bottom w:val="single" w:sz="12" w:space="0" w:color="000000"/>
            </w:tcBorders>
            <w:vAlign w:val="bottom"/>
          </w:tcPr>
          <w:p>
            <w:pPr>
              <w:pStyle w:val="TableContents"/>
              <w:bidi w:val="0"/>
              <w:spacing w:before="0" w:after="0"/>
              <w:jc w:val="center"/>
              <w:rPr>
                <w:b/>
                <w:color w:val="000000"/>
              </w:rPr>
            </w:pPr>
            <w:r>
              <w:rPr>
                <w:b/>
                <w:color w:val="000000"/>
              </w:rPr>
              <w:t>Target as a</w:t>
            </w:r>
          </w:p>
          <w:p>
            <w:pPr>
              <w:pStyle w:val="TableContents"/>
              <w:bidi w:val="0"/>
              <w:spacing w:before="0" w:after="0"/>
              <w:jc w:val="center"/>
              <w:rPr>
                <w:b/>
                <w:color w:val="000000"/>
              </w:rPr>
            </w:pPr>
            <w:r>
              <w:rPr>
                <w:b/>
                <w:color w:val="000000"/>
              </w:rPr>
              <w:t>Percentage of Base Salary</w:t>
            </w:r>
          </w:p>
        </w:tc>
        <w:tc>
          <w:tcPr>
            <w:tcW w:w="245"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179" w:type="dxa"/>
            <w:gridSpan w:val="2"/>
            <w:tcBorders>
              <w:bottom w:val="single" w:sz="12" w:space="0" w:color="000000"/>
            </w:tcBorders>
            <w:vAlign w:val="bottom"/>
          </w:tcPr>
          <w:p>
            <w:pPr>
              <w:pStyle w:val="TableContents"/>
              <w:bidi w:val="0"/>
              <w:spacing w:before="0" w:after="0"/>
              <w:jc w:val="center"/>
              <w:rPr>
                <w:b/>
                <w:color w:val="000000"/>
              </w:rPr>
            </w:pPr>
            <w:r>
              <w:rPr>
                <w:b/>
                <w:color w:val="000000"/>
              </w:rPr>
              <w:t>Actual Payout as a</w:t>
            </w:r>
          </w:p>
          <w:p>
            <w:pPr>
              <w:pStyle w:val="TableContents"/>
              <w:bidi w:val="0"/>
              <w:spacing w:before="0" w:after="0"/>
              <w:jc w:val="center"/>
              <w:rPr>
                <w:b/>
                <w:color w:val="000000"/>
              </w:rPr>
            </w:pPr>
            <w:r>
              <w:rPr>
                <w:b/>
                <w:color w:val="000000"/>
              </w:rPr>
              <w:t>Percentage of Target</w:t>
            </w:r>
          </w:p>
        </w:tc>
        <w:tc>
          <w:tcPr>
            <w:tcW w:w="245"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014"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Amount Paid</w:t>
            </w:r>
          </w:p>
        </w:tc>
        <w:tc>
          <w:tcPr>
            <w:tcW w:w="120" w:type="dxa"/>
            <w:tcBorders/>
            <w:tcMar>
              <w:bottom w:w="0" w:type="dxa"/>
            </w:tcMar>
            <w:vAlign w:val="bottom"/>
          </w:tcPr>
          <w:p>
            <w:pPr>
              <w:pStyle w:val="TableContents"/>
              <w:bidi w:val="0"/>
              <w:spacing w:before="0" w:after="283"/>
              <w:jc w:val="left"/>
              <w:rPr/>
            </w:pPr>
            <w:r>
              <w:rPr/>
              <w:t> </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483" w:type="dxa"/>
            <w:tcBorders/>
            <w:shd w:fill="CCEEFF" w:val="clear"/>
            <w:tcMar>
              <w:bottom w:w="0" w:type="dxa"/>
            </w:tcMar>
            <w:vAlign w:val="bottom"/>
          </w:tcPr>
          <w:p>
            <w:pPr>
              <w:pStyle w:val="TableContents"/>
              <w:bidi w:val="0"/>
              <w:spacing w:before="0" w:after="283"/>
              <w:jc w:val="left"/>
              <w:rPr/>
            </w:pPr>
            <w:r>
              <w:rPr/>
              <w:t> </w:t>
            </w:r>
          </w:p>
        </w:tc>
        <w:tc>
          <w:tcPr>
            <w:tcW w:w="2206" w:type="dxa"/>
            <w:tcBorders/>
            <w:shd w:fill="CCEEFF" w:val="clear"/>
            <w:tcMar>
              <w:bottom w:w="0" w:type="dxa"/>
            </w:tcMar>
            <w:vAlign w:val="bottom"/>
          </w:tcPr>
          <w:p>
            <w:pPr>
              <w:pStyle w:val="TableContents"/>
              <w:bidi w:val="0"/>
              <w:spacing w:before="0" w:after="0"/>
              <w:jc w:val="right"/>
              <w:rPr>
                <w:color w:val="000000"/>
              </w:rPr>
            </w:pPr>
            <w:r>
              <w:rPr>
                <w:color w:val="000000"/>
              </w:rPr>
              <w:t>100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391" w:type="dxa"/>
            <w:tcBorders/>
            <w:shd w:fill="CCEEFF" w:val="clear"/>
            <w:tcMar>
              <w:bottom w:w="0" w:type="dxa"/>
            </w:tcMar>
            <w:vAlign w:val="bottom"/>
          </w:tcPr>
          <w:p>
            <w:pPr>
              <w:pStyle w:val="TableContents"/>
              <w:bidi w:val="0"/>
              <w:spacing w:before="0" w:after="283"/>
              <w:jc w:val="left"/>
              <w:rPr/>
            </w:pPr>
            <w:r>
              <w:rPr/>
              <w:t> </w:t>
            </w:r>
          </w:p>
        </w:tc>
        <w:tc>
          <w:tcPr>
            <w:tcW w:w="1788" w:type="dxa"/>
            <w:tcBorders/>
            <w:shd w:fill="CCEEFF" w:val="clear"/>
            <w:tcMar>
              <w:bottom w:w="0" w:type="dxa"/>
            </w:tcMar>
            <w:vAlign w:val="bottom"/>
          </w:tcPr>
          <w:p>
            <w:pPr>
              <w:pStyle w:val="TableContents"/>
              <w:bidi w:val="0"/>
              <w:spacing w:before="0" w:after="0"/>
              <w:jc w:val="right"/>
              <w:rPr>
                <w:color w:val="000000"/>
              </w:rPr>
            </w:pPr>
            <w:r>
              <w:rPr>
                <w:color w:val="000000"/>
              </w:rPr>
              <w:t>180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724" w:type="dxa"/>
            <w:tcBorders/>
            <w:shd w:fill="CCEEFF" w:val="clear"/>
            <w:tcMar>
              <w:bottom w:w="0" w:type="dxa"/>
            </w:tcMar>
            <w:vAlign w:val="bottom"/>
          </w:tcPr>
          <w:p>
            <w:pPr>
              <w:pStyle w:val="TableContents"/>
              <w:bidi w:val="0"/>
              <w:spacing w:before="0" w:after="0"/>
              <w:jc w:val="right"/>
              <w:rPr>
                <w:color w:val="000000"/>
              </w:rPr>
            </w:pPr>
            <w:r>
              <w:rPr>
                <w:color w:val="000000"/>
              </w:rPr>
              <w:t>1,502,490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2300"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483" w:type="dxa"/>
            <w:tcBorders/>
            <w:tcMar>
              <w:bottom w:w="0" w:type="dxa"/>
            </w:tcMar>
            <w:vAlign w:val="bottom"/>
          </w:tcPr>
          <w:p>
            <w:pPr>
              <w:pStyle w:val="TableContents"/>
              <w:bidi w:val="0"/>
              <w:spacing w:before="0" w:after="283"/>
              <w:jc w:val="left"/>
              <w:rPr/>
            </w:pPr>
            <w:r>
              <w:rPr/>
              <w:t> </w:t>
            </w:r>
          </w:p>
        </w:tc>
        <w:tc>
          <w:tcPr>
            <w:tcW w:w="2206" w:type="dxa"/>
            <w:tcBorders/>
            <w:tcMar>
              <w:bottom w:w="0" w:type="dxa"/>
            </w:tcMar>
            <w:vAlign w:val="bottom"/>
          </w:tcPr>
          <w:p>
            <w:pPr>
              <w:pStyle w:val="TableContents"/>
              <w:bidi w:val="0"/>
              <w:spacing w:before="0" w:after="0"/>
              <w:jc w:val="right"/>
              <w:rPr>
                <w:color w:val="000000"/>
              </w:rPr>
            </w:pPr>
            <w:r>
              <w:rPr>
                <w:color w:val="000000"/>
              </w:rPr>
              <w:t>70</w:t>
            </w:r>
          </w:p>
        </w:tc>
        <w:tc>
          <w:tcPr>
            <w:tcW w:w="24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391" w:type="dxa"/>
            <w:tcBorders/>
            <w:tcMar>
              <w:bottom w:w="0" w:type="dxa"/>
            </w:tcMar>
            <w:vAlign w:val="bottom"/>
          </w:tcPr>
          <w:p>
            <w:pPr>
              <w:pStyle w:val="TableContents"/>
              <w:bidi w:val="0"/>
              <w:spacing w:before="0" w:after="283"/>
              <w:jc w:val="left"/>
              <w:rPr/>
            </w:pPr>
            <w:r>
              <w:rPr/>
              <w:t> </w:t>
            </w:r>
          </w:p>
        </w:tc>
        <w:tc>
          <w:tcPr>
            <w:tcW w:w="1788" w:type="dxa"/>
            <w:tcBorders/>
            <w:tcMar>
              <w:bottom w:w="0" w:type="dxa"/>
            </w:tcMar>
            <w:vAlign w:val="bottom"/>
          </w:tcPr>
          <w:p>
            <w:pPr>
              <w:pStyle w:val="TableContents"/>
              <w:bidi w:val="0"/>
              <w:spacing w:before="0" w:after="0"/>
              <w:jc w:val="right"/>
              <w:rPr>
                <w:color w:val="000000"/>
              </w:rPr>
            </w:pPr>
            <w:r>
              <w:rPr>
                <w:color w:val="000000"/>
              </w:rPr>
              <w:t>180</w:t>
            </w:r>
          </w:p>
        </w:tc>
        <w:tc>
          <w:tcPr>
            <w:tcW w:w="24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290" w:type="dxa"/>
            <w:tcBorders/>
            <w:tcMar>
              <w:bottom w:w="0" w:type="dxa"/>
            </w:tcMar>
            <w:vAlign w:val="bottom"/>
          </w:tcPr>
          <w:p>
            <w:pPr>
              <w:pStyle w:val="TableContents"/>
              <w:bidi w:val="0"/>
              <w:spacing w:before="0" w:after="0"/>
              <w:jc w:val="left"/>
              <w:rPr>
                <w:color w:val="000000"/>
              </w:rPr>
            </w:pPr>
            <w:r>
              <w:rPr>
                <w:color w:val="000000"/>
              </w:rPr>
              <w:t>$</w:t>
            </w:r>
          </w:p>
        </w:tc>
        <w:tc>
          <w:tcPr>
            <w:tcW w:w="1724" w:type="dxa"/>
            <w:tcBorders/>
            <w:tcMar>
              <w:bottom w:w="0" w:type="dxa"/>
            </w:tcMar>
            <w:vAlign w:val="bottom"/>
          </w:tcPr>
          <w:p>
            <w:pPr>
              <w:pStyle w:val="TableContents"/>
              <w:bidi w:val="0"/>
              <w:spacing w:before="0" w:after="0"/>
              <w:jc w:val="right"/>
              <w:rPr>
                <w:color w:val="000000"/>
              </w:rPr>
            </w:pPr>
            <w:r>
              <w:rPr>
                <w:color w:val="000000"/>
              </w:rPr>
              <w:t>598,537</w:t>
            </w:r>
          </w:p>
        </w:tc>
        <w:tc>
          <w:tcPr>
            <w:tcW w:w="120" w:type="dxa"/>
            <w:tcBorders/>
            <w:tcMar>
              <w:bottom w:w="0" w:type="dxa"/>
            </w:tcMar>
            <w:vAlign w:val="bottom"/>
          </w:tcPr>
          <w:p>
            <w:pPr>
              <w:pStyle w:val="TableContents"/>
              <w:bidi w:val="0"/>
              <w:spacing w:before="0" w:after="283"/>
              <w:jc w:val="left"/>
              <w:rPr/>
            </w:pPr>
            <w:r>
              <w:rPr/>
              <w:t> </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483" w:type="dxa"/>
            <w:tcBorders/>
            <w:shd w:fill="CCEEFF" w:val="clear"/>
            <w:tcMar>
              <w:bottom w:w="0" w:type="dxa"/>
            </w:tcMar>
            <w:vAlign w:val="bottom"/>
          </w:tcPr>
          <w:p>
            <w:pPr>
              <w:pStyle w:val="TableContents"/>
              <w:bidi w:val="0"/>
              <w:spacing w:before="0" w:after="283"/>
              <w:jc w:val="left"/>
              <w:rPr/>
            </w:pPr>
            <w:r>
              <w:rPr/>
              <w:t> </w:t>
            </w:r>
          </w:p>
        </w:tc>
        <w:tc>
          <w:tcPr>
            <w:tcW w:w="2206" w:type="dxa"/>
            <w:tcBorders/>
            <w:shd w:fill="CCEEFF" w:val="clear"/>
            <w:tcMar>
              <w:bottom w:w="0" w:type="dxa"/>
            </w:tcMar>
            <w:vAlign w:val="bottom"/>
          </w:tcPr>
          <w:p>
            <w:pPr>
              <w:pStyle w:val="TableContents"/>
              <w:bidi w:val="0"/>
              <w:spacing w:before="0" w:after="0"/>
              <w:jc w:val="right"/>
              <w:rPr>
                <w:color w:val="000000"/>
              </w:rPr>
            </w:pPr>
            <w:r>
              <w:rPr>
                <w:color w:val="000000"/>
              </w:rPr>
              <w:t>60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391" w:type="dxa"/>
            <w:tcBorders/>
            <w:shd w:fill="CCEEFF" w:val="clear"/>
            <w:tcMar>
              <w:bottom w:w="0" w:type="dxa"/>
            </w:tcMar>
            <w:vAlign w:val="bottom"/>
          </w:tcPr>
          <w:p>
            <w:pPr>
              <w:pStyle w:val="TableContents"/>
              <w:bidi w:val="0"/>
              <w:spacing w:before="0" w:after="283"/>
              <w:jc w:val="left"/>
              <w:rPr/>
            </w:pPr>
            <w:r>
              <w:rPr/>
              <w:t> </w:t>
            </w:r>
          </w:p>
        </w:tc>
        <w:tc>
          <w:tcPr>
            <w:tcW w:w="1788" w:type="dxa"/>
            <w:tcBorders/>
            <w:shd w:fill="CCEEFF" w:val="clear"/>
            <w:tcMar>
              <w:bottom w:w="0" w:type="dxa"/>
            </w:tcMar>
            <w:vAlign w:val="bottom"/>
          </w:tcPr>
          <w:p>
            <w:pPr>
              <w:pStyle w:val="TableContents"/>
              <w:bidi w:val="0"/>
              <w:spacing w:before="0" w:after="0"/>
              <w:jc w:val="right"/>
              <w:rPr>
                <w:color w:val="000000"/>
              </w:rPr>
            </w:pPr>
            <w:r>
              <w:rPr>
                <w:color w:val="000000"/>
              </w:rPr>
              <w:t>180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724" w:type="dxa"/>
            <w:tcBorders/>
            <w:shd w:fill="CCEEFF" w:val="clear"/>
            <w:tcMar>
              <w:bottom w:w="0" w:type="dxa"/>
            </w:tcMar>
            <w:vAlign w:val="bottom"/>
          </w:tcPr>
          <w:p>
            <w:pPr>
              <w:pStyle w:val="TableContents"/>
              <w:bidi w:val="0"/>
              <w:spacing w:before="0" w:after="0"/>
              <w:jc w:val="right"/>
              <w:rPr>
                <w:color w:val="000000"/>
              </w:rPr>
            </w:pPr>
            <w:r>
              <w:rPr>
                <w:color w:val="000000"/>
              </w:rPr>
              <w:t>478,332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2300" w:type="dxa"/>
            <w:tcBorders/>
            <w:tcMar>
              <w:bottom w:w="0" w:type="dxa"/>
            </w:tcMar>
            <w:vAlign w:val="bottom"/>
          </w:tcPr>
          <w:p>
            <w:pPr>
              <w:pStyle w:val="TableContents"/>
              <w:bidi w:val="0"/>
              <w:spacing w:before="0" w:after="0"/>
              <w:jc w:val="left"/>
              <w:rPr>
                <w:color w:val="000000"/>
              </w:rPr>
            </w:pPr>
            <w:r>
              <w:rPr>
                <w:color w:val="000000"/>
              </w:rPr>
              <w:t>Laura Piccinini</w:t>
            </w:r>
          </w:p>
        </w:tc>
        <w:tc>
          <w:tcPr>
            <w:tcW w:w="90" w:type="dxa"/>
            <w:tcBorders/>
            <w:tcMar>
              <w:bottom w:w="0" w:type="dxa"/>
            </w:tcMar>
            <w:vAlign w:val="bottom"/>
          </w:tcPr>
          <w:p>
            <w:pPr>
              <w:pStyle w:val="TableContents"/>
              <w:bidi w:val="0"/>
              <w:spacing w:before="0" w:after="283"/>
              <w:jc w:val="left"/>
              <w:rPr/>
            </w:pPr>
            <w:r>
              <w:rPr/>
              <w:t> </w:t>
            </w:r>
          </w:p>
        </w:tc>
        <w:tc>
          <w:tcPr>
            <w:tcW w:w="483" w:type="dxa"/>
            <w:tcBorders/>
            <w:tcMar>
              <w:bottom w:w="0" w:type="dxa"/>
            </w:tcMar>
            <w:vAlign w:val="bottom"/>
          </w:tcPr>
          <w:p>
            <w:pPr>
              <w:pStyle w:val="TableContents"/>
              <w:bidi w:val="0"/>
              <w:spacing w:before="0" w:after="283"/>
              <w:jc w:val="left"/>
              <w:rPr/>
            </w:pPr>
            <w:r>
              <w:rPr/>
              <w:t> </w:t>
            </w:r>
          </w:p>
        </w:tc>
        <w:tc>
          <w:tcPr>
            <w:tcW w:w="2206" w:type="dxa"/>
            <w:tcBorders/>
            <w:tcMar>
              <w:bottom w:w="0" w:type="dxa"/>
            </w:tcMar>
            <w:vAlign w:val="bottom"/>
          </w:tcPr>
          <w:p>
            <w:pPr>
              <w:pStyle w:val="TableContents"/>
              <w:bidi w:val="0"/>
              <w:spacing w:before="0" w:after="0"/>
              <w:jc w:val="right"/>
              <w:rPr>
                <w:color w:val="000000"/>
              </w:rPr>
            </w:pPr>
            <w:r>
              <w:rPr>
                <w:color w:val="000000"/>
              </w:rPr>
              <w:t>60</w:t>
            </w:r>
          </w:p>
        </w:tc>
        <w:tc>
          <w:tcPr>
            <w:tcW w:w="24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391" w:type="dxa"/>
            <w:tcBorders/>
            <w:tcMar>
              <w:bottom w:w="0" w:type="dxa"/>
            </w:tcMar>
            <w:vAlign w:val="bottom"/>
          </w:tcPr>
          <w:p>
            <w:pPr>
              <w:pStyle w:val="TableContents"/>
              <w:bidi w:val="0"/>
              <w:spacing w:before="0" w:after="283"/>
              <w:jc w:val="left"/>
              <w:rPr/>
            </w:pPr>
            <w:r>
              <w:rPr/>
              <w:t> </w:t>
            </w:r>
          </w:p>
        </w:tc>
        <w:tc>
          <w:tcPr>
            <w:tcW w:w="1788" w:type="dxa"/>
            <w:tcBorders/>
            <w:tcMar>
              <w:bottom w:w="0" w:type="dxa"/>
            </w:tcMar>
            <w:vAlign w:val="bottom"/>
          </w:tcPr>
          <w:p>
            <w:pPr>
              <w:pStyle w:val="TableContents"/>
              <w:bidi w:val="0"/>
              <w:spacing w:before="0" w:after="0"/>
              <w:jc w:val="right"/>
              <w:rPr>
                <w:color w:val="000000"/>
              </w:rPr>
            </w:pPr>
            <w:r>
              <w:rPr>
                <w:color w:val="000000"/>
              </w:rPr>
              <w:t>180</w:t>
            </w:r>
          </w:p>
        </w:tc>
        <w:tc>
          <w:tcPr>
            <w:tcW w:w="24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290" w:type="dxa"/>
            <w:tcBorders/>
            <w:tcMar>
              <w:bottom w:w="0" w:type="dxa"/>
            </w:tcMar>
            <w:vAlign w:val="bottom"/>
          </w:tcPr>
          <w:p>
            <w:pPr>
              <w:pStyle w:val="TableContents"/>
              <w:bidi w:val="0"/>
              <w:spacing w:before="0" w:after="0"/>
              <w:jc w:val="left"/>
              <w:rPr>
                <w:color w:val="000000"/>
              </w:rPr>
            </w:pPr>
            <w:r>
              <w:rPr>
                <w:color w:val="000000"/>
              </w:rPr>
              <w:t>$</w:t>
            </w:r>
          </w:p>
        </w:tc>
        <w:tc>
          <w:tcPr>
            <w:tcW w:w="1724" w:type="dxa"/>
            <w:tcBorders/>
            <w:tcMar>
              <w:bottom w:w="0" w:type="dxa"/>
            </w:tcMar>
            <w:vAlign w:val="bottom"/>
          </w:tcPr>
          <w:p>
            <w:pPr>
              <w:pStyle w:val="TableContents"/>
              <w:bidi w:val="0"/>
              <w:spacing w:before="0" w:after="0"/>
              <w:jc w:val="right"/>
              <w:rPr>
                <w:color w:val="000000"/>
              </w:rPr>
            </w:pPr>
            <w:r>
              <w:rPr>
                <w:color w:val="000000"/>
              </w:rPr>
              <w:t>500,422</w:t>
            </w:r>
          </w:p>
        </w:tc>
        <w:tc>
          <w:tcPr>
            <w:tcW w:w="120" w:type="dxa"/>
            <w:tcBorders/>
            <w:tcMar>
              <w:bottom w:w="0" w:type="dxa"/>
            </w:tcMar>
            <w:vAlign w:val="bottom"/>
          </w:tcPr>
          <w:p>
            <w:pPr>
              <w:pStyle w:val="TableContents"/>
              <w:bidi w:val="0"/>
              <w:spacing w:before="0" w:after="283"/>
              <w:jc w:val="left"/>
              <w:rPr/>
            </w:pPr>
            <w:r>
              <w:rPr/>
              <w:t> </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483" w:type="dxa"/>
            <w:tcBorders/>
            <w:shd w:fill="CCEEFF" w:val="clear"/>
            <w:tcMar>
              <w:bottom w:w="0" w:type="dxa"/>
            </w:tcMar>
            <w:vAlign w:val="bottom"/>
          </w:tcPr>
          <w:p>
            <w:pPr>
              <w:pStyle w:val="TableContents"/>
              <w:bidi w:val="0"/>
              <w:spacing w:before="0" w:after="283"/>
              <w:jc w:val="left"/>
              <w:rPr/>
            </w:pPr>
            <w:r>
              <w:rPr/>
              <w:t> </w:t>
            </w:r>
          </w:p>
        </w:tc>
        <w:tc>
          <w:tcPr>
            <w:tcW w:w="2206" w:type="dxa"/>
            <w:tcBorders/>
            <w:shd w:fill="CCEEFF" w:val="clear"/>
            <w:tcMar>
              <w:bottom w:w="0" w:type="dxa"/>
            </w:tcMar>
            <w:vAlign w:val="bottom"/>
          </w:tcPr>
          <w:p>
            <w:pPr>
              <w:pStyle w:val="TableContents"/>
              <w:bidi w:val="0"/>
              <w:spacing w:before="0" w:after="0"/>
              <w:jc w:val="right"/>
              <w:rPr>
                <w:color w:val="000000"/>
              </w:rPr>
            </w:pPr>
            <w:r>
              <w:rPr>
                <w:color w:val="000000"/>
              </w:rPr>
              <w:t>60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391" w:type="dxa"/>
            <w:tcBorders/>
            <w:shd w:fill="CCEEFF" w:val="clear"/>
            <w:tcMar>
              <w:bottom w:w="0" w:type="dxa"/>
            </w:tcMar>
            <w:vAlign w:val="bottom"/>
          </w:tcPr>
          <w:p>
            <w:pPr>
              <w:pStyle w:val="TableContents"/>
              <w:bidi w:val="0"/>
              <w:spacing w:before="0" w:after="283"/>
              <w:jc w:val="left"/>
              <w:rPr/>
            </w:pPr>
            <w:r>
              <w:rPr/>
              <w:t> </w:t>
            </w:r>
          </w:p>
        </w:tc>
        <w:tc>
          <w:tcPr>
            <w:tcW w:w="1788" w:type="dxa"/>
            <w:tcBorders/>
            <w:shd w:fill="CCEEFF" w:val="clear"/>
            <w:tcMar>
              <w:bottom w:w="0" w:type="dxa"/>
            </w:tcMar>
            <w:vAlign w:val="bottom"/>
          </w:tcPr>
          <w:p>
            <w:pPr>
              <w:pStyle w:val="TableContents"/>
              <w:bidi w:val="0"/>
              <w:spacing w:before="0" w:after="0"/>
              <w:jc w:val="right"/>
              <w:rPr>
                <w:color w:val="000000"/>
              </w:rPr>
            </w:pPr>
            <w:r>
              <w:rPr>
                <w:color w:val="000000"/>
              </w:rPr>
              <w:t>180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724" w:type="dxa"/>
            <w:tcBorders/>
            <w:shd w:fill="CCEEFF" w:val="clear"/>
            <w:tcMar>
              <w:bottom w:w="0" w:type="dxa"/>
            </w:tcMar>
            <w:vAlign w:val="bottom"/>
          </w:tcPr>
          <w:p>
            <w:pPr>
              <w:pStyle w:val="TableContents"/>
              <w:bidi w:val="0"/>
              <w:spacing w:before="0" w:after="0"/>
              <w:jc w:val="right"/>
              <w:rPr>
                <w:color w:val="000000"/>
              </w:rPr>
            </w:pPr>
            <w:r>
              <w:rPr>
                <w:color w:val="000000"/>
              </w:rPr>
              <w:t>454,313</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Long-Term, Equity-Based Incentive Awards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In 2020, we adopted the AngioDynamics, Inc. 2020 Equity Incentive Plan, (the "2020 Plan").  The 2020 Plan provides for the grant of incentive awards, including performance share awards, performance unit awards, restricted stock awards and restricted stock unit awards, as well as incentive and non-qualified stock options and stock appreciation rights.  The Compensation and Human Capital Committee believes that including equity grants as a significant component of executive compensation aligns our executives’ interest with those of our shareholders.  The Compensation and Human Capital Committee has made grants of stock options, restricted stock unit awards and performance share awards and, in the future, expects to offer additional awards under equity plans approved by the shareholders in order to provide named executive officers with an opportunity to share, along with shareholders, in our long-term performance and to reward these individuals for their contribution to our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target value of stock options, restricted stock units or performance share awards granted to each named executive officer is based upon several factors, including: (i) position with AngioDynamics; (ii) base salary; (iii) performance; and (iv) the grants made, on average, by similarly situated companies to executives with similar responsibilities.  For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the Compensation and Human Capital Committee set targets of total long-term incentive awards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7" w:name="z797cccaae74749788642a44dcf9be41d"/>
      <w:bookmarkStart w:id="138" w:name="z797cccaae74749788642a44dcf9be41d"/>
      <w:bookmarkEnd w:id="138"/>
    </w:p>
    <w:tbl>
      <w:tblPr>
        <w:tblW w:w="9750" w:type="dxa"/>
        <w:jc w:val="left"/>
        <w:tblInd w:w="0" w:type="dxa"/>
        <w:tblLayout w:type="fixed"/>
        <w:tblCellMar>
          <w:top w:w="0" w:type="dxa"/>
          <w:left w:w="0" w:type="dxa"/>
          <w:bottom w:w="28" w:type="dxa"/>
          <w:right w:w="0" w:type="dxa"/>
        </w:tblCellMar>
      </w:tblPr>
      <w:tblGrid>
        <w:gridCol w:w="2300"/>
        <w:gridCol w:w="4055"/>
        <w:gridCol w:w="345"/>
        <w:gridCol w:w="3050"/>
      </w:tblGrid>
      <w:tr>
        <w:trPr/>
        <w:tc>
          <w:tcPr>
            <w:tcW w:w="2300" w:type="dxa"/>
            <w:tcBorders>
              <w:bottom w:val="single" w:sz="12" w:space="0" w:color="000000"/>
            </w:tcBorders>
            <w:vAlign w:val="center"/>
          </w:tcPr>
          <w:p>
            <w:pPr>
              <w:pStyle w:val="TableContents"/>
              <w:bidi w:val="0"/>
              <w:spacing w:before="0" w:after="0"/>
              <w:jc w:val="left"/>
              <w:rPr>
                <w:b/>
                <w:color w:val="000000"/>
              </w:rPr>
            </w:pPr>
            <w:r>
              <w:rPr>
                <w:b/>
                <w:color w:val="000000"/>
              </w:rPr>
              <w:t>Name</w:t>
            </w:r>
          </w:p>
        </w:tc>
        <w:tc>
          <w:tcPr>
            <w:tcW w:w="4055" w:type="dxa"/>
            <w:tcBorders>
              <w:bottom w:val="single" w:sz="12" w:space="0" w:color="000000"/>
            </w:tcBorders>
            <w:vAlign w:val="center"/>
          </w:tcPr>
          <w:p>
            <w:pPr>
              <w:pStyle w:val="TableContents"/>
              <w:bidi w:val="0"/>
              <w:spacing w:before="0" w:after="0"/>
              <w:jc w:val="center"/>
              <w:rPr>
                <w:b/>
                <w:color w:val="000000"/>
              </w:rPr>
            </w:pPr>
            <w:r>
              <w:rPr>
                <w:b/>
                <w:color w:val="000000"/>
              </w:rPr>
              <w:t>Target Long-term Incentive Awards %</w:t>
            </w:r>
          </w:p>
        </w:tc>
        <w:tc>
          <w:tcPr>
            <w:tcW w:w="345" w:type="dxa"/>
            <w:tcBorders/>
            <w:tcMar>
              <w:bottom w:w="0" w:type="dxa"/>
            </w:tcMar>
            <w:vAlign w:val="center"/>
          </w:tcPr>
          <w:p>
            <w:pPr>
              <w:pStyle w:val="TableContents"/>
              <w:bidi w:val="0"/>
              <w:spacing w:before="0" w:after="283"/>
              <w:jc w:val="left"/>
              <w:rPr/>
            </w:pPr>
            <w:r>
              <w:rPr/>
            </w:r>
          </w:p>
        </w:tc>
        <w:tc>
          <w:tcPr>
            <w:tcW w:w="3050" w:type="dxa"/>
            <w:tcBorders>
              <w:bottom w:val="single" w:sz="12" w:space="0" w:color="000000"/>
            </w:tcBorders>
            <w:vAlign w:val="center"/>
          </w:tcPr>
          <w:p>
            <w:pPr>
              <w:pStyle w:val="TableContents"/>
              <w:bidi w:val="0"/>
              <w:spacing w:before="0" w:after="0"/>
              <w:jc w:val="center"/>
              <w:rPr>
                <w:b/>
                <w:color w:val="000000"/>
              </w:rPr>
            </w:pPr>
            <w:r>
              <w:rPr>
                <w:b/>
                <w:color w:val="000000"/>
              </w:rPr>
              <w:t>Composition</w:t>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James C. Clemmer</w:t>
            </w:r>
          </w:p>
        </w:tc>
        <w:tc>
          <w:tcPr>
            <w:tcW w:w="4055" w:type="dxa"/>
            <w:tcBorders/>
            <w:shd w:fill="CCEEFF" w:val="clear"/>
            <w:tcMar>
              <w:bottom w:w="0" w:type="dxa"/>
            </w:tcMar>
            <w:vAlign w:val="center"/>
          </w:tcPr>
          <w:p>
            <w:pPr>
              <w:pStyle w:val="TableContents"/>
              <w:bidi w:val="0"/>
              <w:spacing w:before="0" w:after="0"/>
              <w:jc w:val="center"/>
              <w:rPr>
                <w:color w:val="000000"/>
              </w:rPr>
            </w:pPr>
            <w:r>
              <w:rPr>
                <w:color w:val="000000"/>
              </w:rPr>
              <w:t>400% of base salary</w:t>
            </w:r>
          </w:p>
        </w:tc>
        <w:tc>
          <w:tcPr>
            <w:tcW w:w="345" w:type="dxa"/>
            <w:vMerge w:val="restart"/>
            <w:tcBorders/>
            <w:tcMar>
              <w:bottom w:w="0" w:type="dxa"/>
            </w:tcMar>
            <w:vAlign w:val="center"/>
          </w:tcPr>
          <w:p>
            <w:pPr>
              <w:pStyle w:val="TableContents"/>
              <w:bidi w:val="0"/>
              <w:spacing w:before="0" w:after="0"/>
              <w:jc w:val="center"/>
              <w:rPr>
                <w:color w:val="000000"/>
              </w:rPr>
            </w:pPr>
            <w:r>
              <w:rPr>
                <w:color w:val="000000"/>
              </w:rPr>
              <w:drawing>
                <wp:inline distT="0" distB="0" distL="0" distR="0">
                  <wp:extent cx="200025" cy="600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0025" cy="600075"/>
                          </a:xfrm>
                          <a:prstGeom prst="rect">
                            <a:avLst/>
                          </a:prstGeom>
                        </pic:spPr>
                      </pic:pic>
                    </a:graphicData>
                  </a:graphic>
                </wp:inline>
              </w:drawing>
            </w:r>
          </w:p>
        </w:tc>
        <w:tc>
          <w:tcPr>
            <w:tcW w:w="3050" w:type="dxa"/>
            <w:vMerge w:val="restart"/>
            <w:tcBorders/>
            <w:tcMar>
              <w:bottom w:w="0" w:type="dxa"/>
            </w:tcMar>
            <w:vAlign w:val="center"/>
          </w:tcPr>
          <w:p>
            <w:pPr>
              <w:pStyle w:val="TableContents"/>
              <w:bidi w:val="0"/>
              <w:spacing w:before="0" w:after="0"/>
              <w:jc w:val="center"/>
              <w:rPr>
                <w:color w:val="000000"/>
              </w:rPr>
            </w:pPr>
            <w:r>
              <w:rPr>
                <w:color w:val="000000"/>
              </w:rPr>
              <w:t>50% performance share awards</w:t>
            </w:r>
          </w:p>
          <w:p>
            <w:pPr>
              <w:pStyle w:val="TableContents"/>
              <w:bidi w:val="0"/>
              <w:spacing w:before="0" w:after="0"/>
              <w:jc w:val="center"/>
              <w:rPr>
                <w:color w:val="000000"/>
              </w:rPr>
            </w:pPr>
            <w:r>
              <w:rPr>
                <w:color w:val="000000"/>
              </w:rPr>
              <w:t>50% restricted stock units</w:t>
            </w:r>
          </w:p>
        </w:tc>
      </w:tr>
      <w:tr>
        <w:trPr/>
        <w:tc>
          <w:tcPr>
            <w:tcW w:w="2300" w:type="dxa"/>
            <w:tcBorders/>
            <w:tcMar>
              <w:bottom w:w="0" w:type="dxa"/>
            </w:tcMar>
            <w:vAlign w:val="center"/>
          </w:tcPr>
          <w:p>
            <w:pPr>
              <w:pStyle w:val="TableContents"/>
              <w:bidi w:val="0"/>
              <w:spacing w:before="0" w:after="0"/>
              <w:jc w:val="left"/>
              <w:rPr>
                <w:color w:val="000000"/>
              </w:rPr>
            </w:pPr>
            <w:r>
              <w:rPr>
                <w:color w:val="000000"/>
              </w:rPr>
              <w:t>Stephen A. Trowbridge</w:t>
            </w:r>
          </w:p>
        </w:tc>
        <w:tc>
          <w:tcPr>
            <w:tcW w:w="4055" w:type="dxa"/>
            <w:tcBorders/>
            <w:tcMar>
              <w:bottom w:w="0" w:type="dxa"/>
            </w:tcMar>
            <w:vAlign w:val="center"/>
          </w:tcPr>
          <w:p>
            <w:pPr>
              <w:pStyle w:val="TableContents"/>
              <w:bidi w:val="0"/>
              <w:spacing w:before="0" w:after="0"/>
              <w:jc w:val="center"/>
              <w:rPr>
                <w:color w:val="000000"/>
              </w:rPr>
            </w:pPr>
            <w:r>
              <w:rPr>
                <w:color w:val="000000"/>
              </w:rPr>
              <w:t>315% of base salary</w:t>
            </w:r>
          </w:p>
        </w:tc>
        <w:tc>
          <w:tcPr>
            <w:tcW w:w="345" w:type="dxa"/>
            <w:vMerge w:val="continue"/>
            <w:tcBorders/>
            <w:tcMar>
              <w:bottom w:w="0" w:type="dxa"/>
            </w:tcMar>
            <w:vAlign w:val="center"/>
          </w:tcPr>
          <w:p>
            <w:pPr>
              <w:pStyle w:val="Normal"/>
              <w:bidi w:val="0"/>
              <w:jc w:val="left"/>
              <w:rPr/>
            </w:pPr>
            <w:r>
              <w:rPr/>
            </w:r>
          </w:p>
        </w:tc>
        <w:tc>
          <w:tcPr>
            <w:tcW w:w="3050" w:type="dxa"/>
            <w:vMerge w:val="continue"/>
            <w:tcBorders/>
            <w:tcMar>
              <w:bottom w:w="0" w:type="dxa"/>
            </w:tcMar>
            <w:vAlign w:val="center"/>
          </w:tcPr>
          <w:p>
            <w:pPr>
              <w:pStyle w:val="Normal"/>
              <w:bidi w:val="0"/>
              <w:jc w:val="left"/>
              <w:rPr/>
            </w:pPr>
            <w:r>
              <w:rPr/>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Lawrence T. Weiss</w:t>
            </w:r>
          </w:p>
        </w:tc>
        <w:tc>
          <w:tcPr>
            <w:tcW w:w="4055" w:type="dxa"/>
            <w:tcBorders/>
            <w:shd w:fill="CCEEFF" w:val="clear"/>
            <w:tcMar>
              <w:bottom w:w="0" w:type="dxa"/>
            </w:tcMar>
            <w:vAlign w:val="center"/>
          </w:tcPr>
          <w:p>
            <w:pPr>
              <w:pStyle w:val="TableContents"/>
              <w:bidi w:val="0"/>
              <w:spacing w:before="0" w:after="0"/>
              <w:jc w:val="center"/>
              <w:rPr>
                <w:color w:val="000000"/>
              </w:rPr>
            </w:pPr>
            <w:r>
              <w:rPr>
                <w:color w:val="000000"/>
              </w:rPr>
              <w:t>120% of base salary</w:t>
            </w:r>
          </w:p>
        </w:tc>
        <w:tc>
          <w:tcPr>
            <w:tcW w:w="345" w:type="dxa"/>
            <w:vMerge w:val="continue"/>
            <w:tcBorders/>
            <w:tcMar>
              <w:bottom w:w="0" w:type="dxa"/>
            </w:tcMar>
            <w:vAlign w:val="center"/>
          </w:tcPr>
          <w:p>
            <w:pPr>
              <w:pStyle w:val="Normal"/>
              <w:bidi w:val="0"/>
              <w:jc w:val="left"/>
              <w:rPr/>
            </w:pPr>
            <w:r>
              <w:rPr/>
            </w:r>
          </w:p>
        </w:tc>
        <w:tc>
          <w:tcPr>
            <w:tcW w:w="3050" w:type="dxa"/>
            <w:vMerge w:val="continue"/>
            <w:tcBorders/>
            <w:tcMar>
              <w:bottom w:w="0" w:type="dxa"/>
            </w:tcMar>
            <w:vAlign w:val="center"/>
          </w:tcPr>
          <w:p>
            <w:pPr>
              <w:pStyle w:val="Normal"/>
              <w:bidi w:val="0"/>
              <w:jc w:val="left"/>
              <w:rPr/>
            </w:pPr>
            <w:r>
              <w:rPr/>
            </w:r>
          </w:p>
        </w:tc>
      </w:tr>
      <w:tr>
        <w:trPr/>
        <w:tc>
          <w:tcPr>
            <w:tcW w:w="2300" w:type="dxa"/>
            <w:tcBorders/>
            <w:tcMar>
              <w:bottom w:w="0" w:type="dxa"/>
            </w:tcMar>
            <w:vAlign w:val="center"/>
          </w:tcPr>
          <w:p>
            <w:pPr>
              <w:pStyle w:val="TableContents"/>
              <w:bidi w:val="0"/>
              <w:spacing w:before="0" w:after="0"/>
              <w:jc w:val="left"/>
              <w:rPr>
                <w:color w:val="000000"/>
              </w:rPr>
            </w:pPr>
            <w:r>
              <w:rPr>
                <w:color w:val="000000"/>
              </w:rPr>
              <w:t>Laura Piccinini</w:t>
            </w:r>
          </w:p>
        </w:tc>
        <w:tc>
          <w:tcPr>
            <w:tcW w:w="4055" w:type="dxa"/>
            <w:tcBorders/>
            <w:tcMar>
              <w:bottom w:w="0" w:type="dxa"/>
            </w:tcMar>
            <w:vAlign w:val="center"/>
          </w:tcPr>
          <w:p>
            <w:pPr>
              <w:pStyle w:val="TableContents"/>
              <w:bidi w:val="0"/>
              <w:spacing w:before="0" w:after="0"/>
              <w:jc w:val="center"/>
              <w:rPr>
                <w:color w:val="000000"/>
              </w:rPr>
            </w:pPr>
            <w:r>
              <w:rPr>
                <w:color w:val="000000"/>
              </w:rPr>
              <w:t>120% of base salary</w:t>
            </w:r>
          </w:p>
        </w:tc>
        <w:tc>
          <w:tcPr>
            <w:tcW w:w="345" w:type="dxa"/>
            <w:vMerge w:val="continue"/>
            <w:tcBorders/>
            <w:tcMar>
              <w:bottom w:w="0" w:type="dxa"/>
            </w:tcMar>
            <w:vAlign w:val="center"/>
          </w:tcPr>
          <w:p>
            <w:pPr>
              <w:pStyle w:val="Normal"/>
              <w:bidi w:val="0"/>
              <w:jc w:val="left"/>
              <w:rPr/>
            </w:pPr>
            <w:r>
              <w:rPr/>
            </w:r>
          </w:p>
        </w:tc>
        <w:tc>
          <w:tcPr>
            <w:tcW w:w="3050" w:type="dxa"/>
            <w:vMerge w:val="continue"/>
            <w:tcBorders/>
            <w:tcMar>
              <w:bottom w:w="0" w:type="dxa"/>
            </w:tcMar>
            <w:vAlign w:val="center"/>
          </w:tcPr>
          <w:p>
            <w:pPr>
              <w:pStyle w:val="Normal"/>
              <w:bidi w:val="0"/>
              <w:jc w:val="left"/>
              <w:rPr/>
            </w:pPr>
            <w:r>
              <w:rPr/>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Warren G. Nighan</w:t>
            </w:r>
          </w:p>
        </w:tc>
        <w:tc>
          <w:tcPr>
            <w:tcW w:w="4055" w:type="dxa"/>
            <w:tcBorders/>
            <w:shd w:fill="CCEEFF" w:val="clear"/>
            <w:tcMar>
              <w:bottom w:w="0" w:type="dxa"/>
            </w:tcMar>
            <w:vAlign w:val="center"/>
          </w:tcPr>
          <w:p>
            <w:pPr>
              <w:pStyle w:val="TableContents"/>
              <w:bidi w:val="0"/>
              <w:spacing w:before="0" w:after="0"/>
              <w:jc w:val="center"/>
              <w:rPr>
                <w:color w:val="000000"/>
              </w:rPr>
            </w:pPr>
            <w:r>
              <w:rPr>
                <w:color w:val="000000"/>
              </w:rPr>
              <w:t>120% of base salary</w:t>
            </w:r>
          </w:p>
        </w:tc>
        <w:tc>
          <w:tcPr>
            <w:tcW w:w="345" w:type="dxa"/>
            <w:vMerge w:val="continue"/>
            <w:tcBorders/>
            <w:tcMar>
              <w:bottom w:w="0" w:type="dxa"/>
            </w:tcMar>
            <w:vAlign w:val="center"/>
          </w:tcPr>
          <w:p>
            <w:pPr>
              <w:pStyle w:val="Normal"/>
              <w:bidi w:val="0"/>
              <w:jc w:val="left"/>
              <w:rPr/>
            </w:pPr>
            <w:r>
              <w:rPr/>
            </w:r>
          </w:p>
        </w:tc>
        <w:tc>
          <w:tcPr>
            <w:tcW w:w="3050" w:type="dxa"/>
            <w:vMerge w:val="continue"/>
            <w:tcBorders/>
            <w:tcMar>
              <w:bottom w:w="0" w:type="dxa"/>
            </w:tcMar>
            <w:vAlign w:val="center"/>
          </w:tcPr>
          <w:p>
            <w:pPr>
              <w:pStyle w:val="Normal"/>
              <w:bidi w:val="0"/>
              <w:jc w:val="left"/>
              <w:rPr/>
            </w:pPr>
            <w:r>
              <w:rPr/>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long term inventive awards made in fiscal year </w:t>
      </w:r>
      <w:r>
        <w:rPr>
          <w:rFonts w:ascii="Times New Roman" w:hAnsi="Times New Roman"/>
          <w:color w:val="000000"/>
          <w:sz w:val="20"/>
          <w:shd w:fill="FFFFFF" w:val="clear"/>
        </w:rPr>
        <w:t>2026</w:t>
      </w:r>
      <w:r>
        <w:rPr>
          <w:rFonts w:ascii="Times New Roman" w:hAnsi="Times New Roman"/>
          <w:color w:val="181818"/>
          <w:sz w:val="20"/>
          <w:shd w:fill="FFFFFF" w:val="clear"/>
        </w:rPr>
        <w:t>, the Committee determined to grant each of the named executive officers 100% of target.</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Compensation and Human Capital Committee and the Board of Directors believe that this annual long-term incentive program provides a strong pay for performance orientation while effectively incentivizing management decision making and providing appropriate retention incentives.  Performance share award payouts are directly tied to AngioDynamics’ performance and total shareholder return relative to a peer group of companies with similar risk profiles to AngioDynamics.  Restricted stock units are intended to retain key management through vesting periods, with the opportunity for capital accumulation and more predictable long-term incentive value than stock options.  Restricted stock unit awards, including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awards, typically vest equally over a four-year period and are settled in shares of AngioDynamics' common stock if the employee remains active with the Company through the vesting date.</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Performance share awards are generally made each year with awards having a three-year term with payouts to be made in shares of AngioDynamics’ common stock at the end of the term depending on performance against pre-determined goals.  For the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awards (granted on </w:t>
      </w:r>
      <w:r>
        <w:rPr>
          <w:rFonts w:ascii="Times New Roman" w:hAnsi="Times New Roman"/>
          <w:color w:val="000000"/>
          <w:sz w:val="20"/>
          <w:shd w:fill="FFFFFF" w:val="clear"/>
        </w:rPr>
        <w:t>July 16, 2025</w:t>
      </w:r>
      <w:r>
        <w:rPr>
          <w:rFonts w:ascii="Times New Roman" w:hAnsi="Times New Roman"/>
          <w:color w:val="181818"/>
          <w:sz w:val="20"/>
          <w:shd w:fill="FFFFFF" w:val="clear"/>
        </w:rPr>
        <w:t>), 70 percent of the performance shares will be measured based on our revenue and 30 percent will be measured based on our adjusted EBITDA over the three-year performance period.  At the beginning of the performance period, the threshold, target and maximum revenue goals were set by the Compensation and Human Capital Committee for the entire three-year performance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At the end of the performance period, the total number of shares eligible to vest is subject to a relative total shareholder return (“TSR”) modifier to more closely align management and shareholder interests. The TSR modifier can adjust the aggregate number of shares eligible to vest at the end of the three-year period up or down by 20% based on performance relative to a peer group of companies with similar risk profiles to AngioDynamics.  No modifier will apply if relative TSR performance between the 75th and 25th percentiles. If relative TSR performance exceeds the 75th percentile, the number of shares eligible to vest will increase by 20%.  If relative TSR performance is below the 25th percentile, the number of shares eligible to vest will decrease by 20%. Therefore, with the TSR modifier applied, 0% to 240% of the total target number of shares subject to the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performance share unit awards will be eligible to vest at the end of the three-year performance period. For the fiscal year 2026 award, the relative TSR peer group consisted of 47 publicly traded healthcare equipment companies with revenue greater than $200 million at the time of selection.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Compensation and Human Capital Committee approves all equity awards granted to our NEOs and Board on or before the grant date.  </w:t>
      </w:r>
      <w:r>
        <w:rPr>
          <w:rFonts w:ascii="Times New Roman" w:hAnsi="Times New Roman"/>
          <w:color w:val="000000"/>
          <w:sz w:val="20"/>
          <w:shd w:fill="FFFFFF" w:val="clear"/>
        </w:rPr>
        <w:t xml:space="preserve">Annual equity awards are generally granted effective after our applicable fiscal year-end earnings release following the decision to make the grant, regardless of the timing of the decision.  Our Compensation and Human Capital Committee has elected to grant equity-based awards shortly following our earnings releases so that the equity-based awards are granted (and valued) at a point in time when the most important information about our company then known to management and our board is likely to have been disseminated in the market.  The Compensation and Human Capital Committee may also grant equity awards at other times during the year due to special circumstances, including to new executive officers upon hire or promotion or a change in an executive officer’s role.  As a matter of good corporate governance, we do not grant equity awards in anticipation of the release of material nonpublic information and, in any event, we do not time the release of material nonpublic information in coordination with grants of equity awards in a manner that intentionally benefits our NEOs or directors. </w:t>
      </w:r>
      <w:r>
        <w:rPr>
          <w:rFonts w:ascii="Times New Roman" w:hAnsi="Times New Roman"/>
          <w:color w:val="181818"/>
          <w:sz w:val="20"/>
          <w:shd w:fill="FFFFFF" w:val="clear"/>
        </w:rPr>
        <w:t>The Compensation and Human Capital Committee did not take material nonpublic information into account when determining the timing and terms of equity awards in fiscal year 2026.</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peer group for performance share awards granted in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is set forth in the table below.</w:t>
      </w:r>
    </w:p>
    <w:p>
      <w:pPr>
        <w:pStyle w:val="TextBody"/>
        <w:bidi w:val="0"/>
        <w:spacing w:before="0" w:after="0"/>
        <w:jc w:val="left"/>
        <w:rPr>
          <w:color w:val="181818"/>
        </w:rPr>
      </w:pPr>
      <w:r>
        <w:rPr>
          <w:color w:val="181818"/>
        </w:rPr>
      </w:r>
    </w:p>
    <w:p>
      <w:pPr>
        <w:pStyle w:val="Normal"/>
        <w:bidi w:val="0"/>
        <w:spacing w:before="0" w:after="0"/>
        <w:jc w:val="left"/>
        <w:rPr>
          <w:sz w:val="4"/>
          <w:szCs w:val="4"/>
        </w:rPr>
      </w:pPr>
      <w:r>
        <w:rPr>
          <w:sz w:val="4"/>
          <w:szCs w:val="4"/>
        </w:rPr>
      </w:r>
      <w:bookmarkStart w:id="139" w:name="zab390dbea76c4cb690823c808346dc02"/>
      <w:bookmarkStart w:id="140" w:name="zab390dbea76c4cb690823c808346dc02"/>
      <w:bookmarkEnd w:id="140"/>
    </w:p>
    <w:tbl>
      <w:tblPr>
        <w:tblW w:w="10205" w:type="dxa"/>
        <w:jc w:val="left"/>
        <w:tblInd w:w="0" w:type="dxa"/>
        <w:tblLayout w:type="fixed"/>
        <w:tblCellMar>
          <w:top w:w="0" w:type="dxa"/>
          <w:left w:w="0" w:type="dxa"/>
          <w:bottom w:w="0" w:type="dxa"/>
          <w:right w:w="0" w:type="dxa"/>
        </w:tblCellMar>
      </w:tblPr>
      <w:tblGrid>
        <w:gridCol w:w="3082"/>
        <w:gridCol w:w="3790"/>
        <w:gridCol w:w="3333"/>
      </w:tblGrid>
      <w:tr>
        <w:trPr/>
        <w:tc>
          <w:tcPr>
            <w:tcW w:w="3082" w:type="dxa"/>
            <w:tcBorders/>
            <w:vAlign w:val="center"/>
          </w:tcPr>
          <w:p>
            <w:pPr>
              <w:pStyle w:val="TableContents"/>
              <w:bidi w:val="0"/>
              <w:spacing w:before="0" w:after="0"/>
              <w:jc w:val="left"/>
              <w:rPr>
                <w:color w:val="000000"/>
              </w:rPr>
            </w:pPr>
            <w:r>
              <w:rPr>
                <w:color w:val="000000"/>
              </w:rPr>
              <w:t>Abbott Laboratories</w:t>
            </w:r>
          </w:p>
        </w:tc>
        <w:tc>
          <w:tcPr>
            <w:tcW w:w="3790" w:type="dxa"/>
            <w:tcBorders/>
            <w:vAlign w:val="center"/>
          </w:tcPr>
          <w:p>
            <w:pPr>
              <w:pStyle w:val="TableContents"/>
              <w:bidi w:val="0"/>
              <w:spacing w:before="0" w:after="0"/>
              <w:jc w:val="left"/>
              <w:rPr>
                <w:color w:val="000000"/>
              </w:rPr>
            </w:pPr>
            <w:r>
              <w:rPr>
                <w:color w:val="000000"/>
              </w:rPr>
              <w:t>Globus Medical, Inc.</w:t>
            </w:r>
          </w:p>
        </w:tc>
        <w:tc>
          <w:tcPr>
            <w:tcW w:w="3333" w:type="dxa"/>
            <w:tcBorders/>
            <w:vAlign w:val="center"/>
          </w:tcPr>
          <w:p>
            <w:pPr>
              <w:pStyle w:val="TableContents"/>
              <w:bidi w:val="0"/>
              <w:spacing w:before="0" w:after="0"/>
              <w:jc w:val="left"/>
              <w:rPr>
                <w:color w:val="000000"/>
              </w:rPr>
            </w:pPr>
            <w:r>
              <w:rPr>
                <w:color w:val="000000"/>
              </w:rPr>
              <w:t>Orthofix Medical Inc.</w:t>
            </w:r>
          </w:p>
        </w:tc>
      </w:tr>
      <w:tr>
        <w:trPr/>
        <w:tc>
          <w:tcPr>
            <w:tcW w:w="3082" w:type="dxa"/>
            <w:tcBorders/>
            <w:vAlign w:val="center"/>
          </w:tcPr>
          <w:p>
            <w:pPr>
              <w:pStyle w:val="TableContents"/>
              <w:bidi w:val="0"/>
              <w:spacing w:before="0" w:after="0"/>
              <w:jc w:val="left"/>
              <w:rPr>
                <w:color w:val="000000"/>
              </w:rPr>
            </w:pPr>
            <w:r>
              <w:rPr>
                <w:color w:val="000000"/>
              </w:rPr>
              <w:t>Accuray Incorporated</w:t>
            </w:r>
          </w:p>
        </w:tc>
        <w:tc>
          <w:tcPr>
            <w:tcW w:w="3790" w:type="dxa"/>
            <w:tcBorders/>
            <w:vAlign w:val="center"/>
          </w:tcPr>
          <w:p>
            <w:pPr>
              <w:pStyle w:val="TableContents"/>
              <w:bidi w:val="0"/>
              <w:spacing w:before="0" w:after="0"/>
              <w:jc w:val="left"/>
              <w:rPr>
                <w:color w:val="000000"/>
              </w:rPr>
            </w:pPr>
            <w:r>
              <w:rPr>
                <w:color w:val="000000"/>
              </w:rPr>
              <w:t>IDEXX Laboratories, Inc.</w:t>
            </w:r>
          </w:p>
        </w:tc>
        <w:tc>
          <w:tcPr>
            <w:tcW w:w="3333" w:type="dxa"/>
            <w:tcBorders/>
            <w:vAlign w:val="center"/>
          </w:tcPr>
          <w:p>
            <w:pPr>
              <w:pStyle w:val="TableContents"/>
              <w:bidi w:val="0"/>
              <w:spacing w:before="0" w:after="0"/>
              <w:jc w:val="left"/>
              <w:rPr>
                <w:color w:val="000000"/>
              </w:rPr>
            </w:pPr>
            <w:r>
              <w:rPr>
                <w:color w:val="000000"/>
              </w:rPr>
              <w:t>Penumbra, Inc.</w:t>
            </w:r>
          </w:p>
        </w:tc>
      </w:tr>
      <w:tr>
        <w:trPr/>
        <w:tc>
          <w:tcPr>
            <w:tcW w:w="3082" w:type="dxa"/>
            <w:tcBorders/>
            <w:vAlign w:val="center"/>
          </w:tcPr>
          <w:p>
            <w:pPr>
              <w:pStyle w:val="TableContents"/>
              <w:bidi w:val="0"/>
              <w:spacing w:before="0" w:after="0"/>
              <w:jc w:val="left"/>
              <w:rPr>
                <w:color w:val="000000"/>
              </w:rPr>
            </w:pPr>
            <w:r>
              <w:rPr>
                <w:color w:val="000000"/>
              </w:rPr>
              <w:t>Alphatec Holdings, Inc.</w:t>
            </w:r>
          </w:p>
        </w:tc>
        <w:tc>
          <w:tcPr>
            <w:tcW w:w="3790" w:type="dxa"/>
            <w:tcBorders/>
            <w:vAlign w:val="center"/>
          </w:tcPr>
          <w:p>
            <w:pPr>
              <w:pStyle w:val="TableContents"/>
              <w:bidi w:val="0"/>
              <w:spacing w:before="0" w:after="0"/>
              <w:jc w:val="left"/>
              <w:rPr>
                <w:color w:val="000000"/>
              </w:rPr>
            </w:pPr>
            <w:r>
              <w:rPr>
                <w:color w:val="000000"/>
              </w:rPr>
              <w:t>InMode Ltd.</w:t>
            </w:r>
          </w:p>
        </w:tc>
        <w:tc>
          <w:tcPr>
            <w:tcW w:w="3333" w:type="dxa"/>
            <w:tcBorders/>
            <w:vAlign w:val="center"/>
          </w:tcPr>
          <w:p>
            <w:pPr>
              <w:pStyle w:val="TableContents"/>
              <w:bidi w:val="0"/>
              <w:spacing w:before="0" w:after="0"/>
              <w:jc w:val="left"/>
              <w:rPr>
                <w:color w:val="000000"/>
              </w:rPr>
            </w:pPr>
            <w:r>
              <w:rPr>
                <w:color w:val="000000"/>
              </w:rPr>
              <w:t>PROCEPT BioRobotics Corporation</w:t>
            </w:r>
          </w:p>
        </w:tc>
      </w:tr>
      <w:tr>
        <w:trPr/>
        <w:tc>
          <w:tcPr>
            <w:tcW w:w="3082" w:type="dxa"/>
            <w:tcBorders/>
            <w:vAlign w:val="center"/>
          </w:tcPr>
          <w:p>
            <w:pPr>
              <w:pStyle w:val="TableContents"/>
              <w:bidi w:val="0"/>
              <w:spacing w:before="0" w:after="0"/>
              <w:jc w:val="left"/>
              <w:rPr>
                <w:color w:val="000000"/>
              </w:rPr>
            </w:pPr>
            <w:r>
              <w:rPr>
                <w:color w:val="000000"/>
              </w:rPr>
              <w:t>Artivion, Inc.</w:t>
            </w:r>
          </w:p>
        </w:tc>
        <w:tc>
          <w:tcPr>
            <w:tcW w:w="3790" w:type="dxa"/>
            <w:tcBorders/>
            <w:vAlign w:val="center"/>
          </w:tcPr>
          <w:p>
            <w:pPr>
              <w:pStyle w:val="TableContents"/>
              <w:bidi w:val="0"/>
              <w:spacing w:before="0" w:after="0"/>
              <w:jc w:val="left"/>
              <w:rPr>
                <w:color w:val="000000"/>
              </w:rPr>
            </w:pPr>
            <w:r>
              <w:rPr>
                <w:color w:val="000000"/>
              </w:rPr>
              <w:t>Inogen, Inc.</w:t>
            </w:r>
          </w:p>
        </w:tc>
        <w:tc>
          <w:tcPr>
            <w:tcW w:w="3333" w:type="dxa"/>
            <w:tcBorders/>
            <w:vAlign w:val="center"/>
          </w:tcPr>
          <w:p>
            <w:pPr>
              <w:pStyle w:val="TableContents"/>
              <w:bidi w:val="0"/>
              <w:spacing w:before="0" w:after="0"/>
              <w:jc w:val="left"/>
              <w:rPr>
                <w:color w:val="000000"/>
              </w:rPr>
            </w:pPr>
            <w:r>
              <w:rPr>
                <w:color w:val="000000"/>
              </w:rPr>
              <w:t>QuidelOrtho Corporation</w:t>
            </w:r>
          </w:p>
        </w:tc>
      </w:tr>
      <w:tr>
        <w:trPr/>
        <w:tc>
          <w:tcPr>
            <w:tcW w:w="3082" w:type="dxa"/>
            <w:tcBorders/>
            <w:vAlign w:val="center"/>
          </w:tcPr>
          <w:p>
            <w:pPr>
              <w:pStyle w:val="TableContents"/>
              <w:bidi w:val="0"/>
              <w:spacing w:before="0" w:after="0"/>
              <w:jc w:val="left"/>
              <w:rPr>
                <w:color w:val="000000"/>
              </w:rPr>
            </w:pPr>
            <w:r>
              <w:rPr>
                <w:color w:val="000000"/>
              </w:rPr>
              <w:t>AtriCure, Inc.</w:t>
            </w:r>
          </w:p>
        </w:tc>
        <w:tc>
          <w:tcPr>
            <w:tcW w:w="3790" w:type="dxa"/>
            <w:tcBorders/>
            <w:vAlign w:val="center"/>
          </w:tcPr>
          <w:p>
            <w:pPr>
              <w:pStyle w:val="TableContents"/>
              <w:bidi w:val="0"/>
              <w:spacing w:before="0" w:after="0"/>
              <w:jc w:val="left"/>
              <w:rPr>
                <w:color w:val="000000"/>
              </w:rPr>
            </w:pPr>
            <w:r>
              <w:rPr>
                <w:color w:val="000000"/>
              </w:rPr>
              <w:t>Inspire Medical Systems, Inc.</w:t>
            </w:r>
          </w:p>
        </w:tc>
        <w:tc>
          <w:tcPr>
            <w:tcW w:w="3333" w:type="dxa"/>
            <w:tcBorders/>
            <w:vAlign w:val="center"/>
          </w:tcPr>
          <w:p>
            <w:pPr>
              <w:pStyle w:val="TableContents"/>
              <w:bidi w:val="0"/>
              <w:spacing w:before="0" w:after="0"/>
              <w:jc w:val="left"/>
              <w:rPr>
                <w:color w:val="000000"/>
              </w:rPr>
            </w:pPr>
            <w:r>
              <w:rPr>
                <w:color w:val="000000"/>
              </w:rPr>
              <w:t>ResMed Inc.</w:t>
            </w:r>
          </w:p>
        </w:tc>
      </w:tr>
      <w:tr>
        <w:trPr/>
        <w:tc>
          <w:tcPr>
            <w:tcW w:w="3082" w:type="dxa"/>
            <w:tcBorders/>
            <w:vAlign w:val="center"/>
          </w:tcPr>
          <w:p>
            <w:pPr>
              <w:pStyle w:val="TableContents"/>
              <w:bidi w:val="0"/>
              <w:spacing w:before="0" w:after="0"/>
              <w:jc w:val="left"/>
              <w:rPr>
                <w:color w:val="000000"/>
              </w:rPr>
            </w:pPr>
            <w:r>
              <w:rPr>
                <w:color w:val="000000"/>
              </w:rPr>
              <w:t>Axogen, Inc.</w:t>
            </w:r>
          </w:p>
        </w:tc>
        <w:tc>
          <w:tcPr>
            <w:tcW w:w="3790" w:type="dxa"/>
            <w:tcBorders/>
            <w:vAlign w:val="center"/>
          </w:tcPr>
          <w:p>
            <w:pPr>
              <w:pStyle w:val="TableContents"/>
              <w:bidi w:val="0"/>
              <w:spacing w:before="0" w:after="0"/>
              <w:jc w:val="left"/>
              <w:rPr>
                <w:color w:val="000000"/>
              </w:rPr>
            </w:pPr>
            <w:r>
              <w:rPr>
                <w:color w:val="000000"/>
              </w:rPr>
              <w:t>Insulet Corporation</w:t>
            </w:r>
          </w:p>
        </w:tc>
        <w:tc>
          <w:tcPr>
            <w:tcW w:w="3333" w:type="dxa"/>
            <w:tcBorders/>
            <w:vAlign w:val="center"/>
          </w:tcPr>
          <w:p>
            <w:pPr>
              <w:pStyle w:val="TableContents"/>
              <w:bidi w:val="0"/>
              <w:spacing w:before="0" w:after="0"/>
              <w:jc w:val="left"/>
              <w:rPr>
                <w:color w:val="000000"/>
              </w:rPr>
            </w:pPr>
            <w:r>
              <w:rPr>
                <w:color w:val="000000"/>
              </w:rPr>
              <w:t>SI-BONE, Inc.</w:t>
            </w:r>
          </w:p>
        </w:tc>
      </w:tr>
      <w:tr>
        <w:trPr/>
        <w:tc>
          <w:tcPr>
            <w:tcW w:w="3082" w:type="dxa"/>
            <w:tcBorders/>
            <w:vAlign w:val="center"/>
          </w:tcPr>
          <w:p>
            <w:pPr>
              <w:pStyle w:val="TableContents"/>
              <w:bidi w:val="0"/>
              <w:spacing w:before="0" w:after="0"/>
              <w:jc w:val="left"/>
              <w:rPr>
                <w:color w:val="000000"/>
              </w:rPr>
            </w:pPr>
            <w:r>
              <w:rPr>
                <w:color w:val="000000"/>
              </w:rPr>
              <w:t>Baxter International Inc.</w:t>
            </w:r>
          </w:p>
        </w:tc>
        <w:tc>
          <w:tcPr>
            <w:tcW w:w="3790" w:type="dxa"/>
            <w:tcBorders/>
            <w:vAlign w:val="center"/>
          </w:tcPr>
          <w:p>
            <w:pPr>
              <w:pStyle w:val="TableContents"/>
              <w:bidi w:val="0"/>
              <w:spacing w:before="0" w:after="0"/>
              <w:jc w:val="left"/>
              <w:rPr>
                <w:color w:val="000000"/>
              </w:rPr>
            </w:pPr>
            <w:r>
              <w:rPr>
                <w:color w:val="000000"/>
              </w:rPr>
              <w:t>Integer Holdings Corporation</w:t>
            </w:r>
          </w:p>
        </w:tc>
        <w:tc>
          <w:tcPr>
            <w:tcW w:w="3333" w:type="dxa"/>
            <w:tcBorders/>
            <w:vAlign w:val="center"/>
          </w:tcPr>
          <w:p>
            <w:pPr>
              <w:pStyle w:val="TableContents"/>
              <w:bidi w:val="0"/>
              <w:spacing w:before="0" w:after="0"/>
              <w:jc w:val="left"/>
              <w:rPr>
                <w:color w:val="000000"/>
              </w:rPr>
            </w:pPr>
            <w:r>
              <w:rPr>
                <w:color w:val="000000"/>
              </w:rPr>
              <w:t>STERIS plc</w:t>
            </w:r>
          </w:p>
        </w:tc>
      </w:tr>
      <w:tr>
        <w:trPr/>
        <w:tc>
          <w:tcPr>
            <w:tcW w:w="3082" w:type="dxa"/>
            <w:tcBorders/>
            <w:vAlign w:val="center"/>
          </w:tcPr>
          <w:p>
            <w:pPr>
              <w:pStyle w:val="TableContents"/>
              <w:bidi w:val="0"/>
              <w:spacing w:before="0" w:after="0"/>
              <w:jc w:val="left"/>
              <w:rPr>
                <w:color w:val="000000"/>
              </w:rPr>
            </w:pPr>
            <w:r>
              <w:rPr>
                <w:color w:val="000000"/>
              </w:rPr>
              <w:t>Becton, Dickinson and Company</w:t>
            </w:r>
          </w:p>
        </w:tc>
        <w:tc>
          <w:tcPr>
            <w:tcW w:w="3790" w:type="dxa"/>
            <w:tcBorders/>
            <w:vAlign w:val="center"/>
          </w:tcPr>
          <w:p>
            <w:pPr>
              <w:pStyle w:val="TableContents"/>
              <w:bidi w:val="0"/>
              <w:spacing w:before="0" w:after="0"/>
              <w:jc w:val="left"/>
              <w:rPr>
                <w:color w:val="000000"/>
              </w:rPr>
            </w:pPr>
            <w:r>
              <w:rPr>
                <w:color w:val="000000"/>
              </w:rPr>
              <w:t>Integra LifeSciences Holdings Corporation</w:t>
            </w:r>
          </w:p>
        </w:tc>
        <w:tc>
          <w:tcPr>
            <w:tcW w:w="3333" w:type="dxa"/>
            <w:tcBorders/>
            <w:vAlign w:val="center"/>
          </w:tcPr>
          <w:p>
            <w:pPr>
              <w:pStyle w:val="TableContents"/>
              <w:bidi w:val="0"/>
              <w:spacing w:before="0" w:after="0"/>
              <w:jc w:val="left"/>
              <w:rPr>
                <w:color w:val="000000"/>
              </w:rPr>
            </w:pPr>
            <w:r>
              <w:rPr>
                <w:color w:val="000000"/>
              </w:rPr>
              <w:t>Stryker Corporation</w:t>
            </w:r>
          </w:p>
        </w:tc>
      </w:tr>
      <w:tr>
        <w:trPr/>
        <w:tc>
          <w:tcPr>
            <w:tcW w:w="3082" w:type="dxa"/>
            <w:tcBorders/>
            <w:vAlign w:val="center"/>
          </w:tcPr>
          <w:p>
            <w:pPr>
              <w:pStyle w:val="TableContents"/>
              <w:bidi w:val="0"/>
              <w:spacing w:before="0" w:after="0"/>
              <w:jc w:val="left"/>
              <w:rPr>
                <w:color w:val="000000"/>
              </w:rPr>
            </w:pPr>
            <w:r>
              <w:rPr>
                <w:color w:val="000000"/>
              </w:rPr>
              <w:t>Boston Scientific Corporation</w:t>
            </w:r>
          </w:p>
        </w:tc>
        <w:tc>
          <w:tcPr>
            <w:tcW w:w="3790" w:type="dxa"/>
            <w:tcBorders/>
            <w:vAlign w:val="center"/>
          </w:tcPr>
          <w:p>
            <w:pPr>
              <w:pStyle w:val="TableContents"/>
              <w:bidi w:val="0"/>
              <w:spacing w:before="0" w:after="0"/>
              <w:jc w:val="left"/>
              <w:rPr>
                <w:color w:val="000000"/>
              </w:rPr>
            </w:pPr>
            <w:r>
              <w:rPr>
                <w:color w:val="000000"/>
              </w:rPr>
              <w:t>Intuitive Surgical, Inc.</w:t>
            </w:r>
          </w:p>
        </w:tc>
        <w:tc>
          <w:tcPr>
            <w:tcW w:w="3333" w:type="dxa"/>
            <w:tcBorders/>
            <w:vAlign w:val="center"/>
          </w:tcPr>
          <w:p>
            <w:pPr>
              <w:pStyle w:val="TableContents"/>
              <w:bidi w:val="0"/>
              <w:spacing w:before="0" w:after="0"/>
              <w:jc w:val="left"/>
              <w:rPr>
                <w:color w:val="000000"/>
              </w:rPr>
            </w:pPr>
            <w:r>
              <w:rPr>
                <w:color w:val="000000"/>
              </w:rPr>
              <w:t>Tactile Systems Technology, Inc.</w:t>
            </w:r>
          </w:p>
        </w:tc>
      </w:tr>
      <w:tr>
        <w:trPr/>
        <w:tc>
          <w:tcPr>
            <w:tcW w:w="3082" w:type="dxa"/>
            <w:tcBorders/>
            <w:vAlign w:val="center"/>
          </w:tcPr>
          <w:p>
            <w:pPr>
              <w:pStyle w:val="TableContents"/>
              <w:bidi w:val="0"/>
              <w:spacing w:before="0" w:after="0"/>
              <w:jc w:val="left"/>
              <w:rPr>
                <w:color w:val="000000"/>
              </w:rPr>
            </w:pPr>
            <w:r>
              <w:rPr>
                <w:color w:val="000000"/>
              </w:rPr>
              <w:t>CONMED Corporation</w:t>
            </w:r>
          </w:p>
        </w:tc>
        <w:tc>
          <w:tcPr>
            <w:tcW w:w="3790" w:type="dxa"/>
            <w:tcBorders/>
            <w:vAlign w:val="center"/>
          </w:tcPr>
          <w:p>
            <w:pPr>
              <w:pStyle w:val="TableContents"/>
              <w:bidi w:val="0"/>
              <w:spacing w:before="0" w:after="0"/>
              <w:jc w:val="left"/>
              <w:rPr>
                <w:color w:val="000000"/>
              </w:rPr>
            </w:pPr>
            <w:r>
              <w:rPr>
                <w:color w:val="000000"/>
              </w:rPr>
              <w:t>iRhythm Technologies, Inc.</w:t>
            </w:r>
          </w:p>
        </w:tc>
        <w:tc>
          <w:tcPr>
            <w:tcW w:w="3333" w:type="dxa"/>
            <w:tcBorders/>
            <w:vAlign w:val="center"/>
          </w:tcPr>
          <w:p>
            <w:pPr>
              <w:pStyle w:val="TableContents"/>
              <w:bidi w:val="0"/>
              <w:spacing w:before="0" w:after="0"/>
              <w:jc w:val="left"/>
              <w:rPr>
                <w:color w:val="000000"/>
              </w:rPr>
            </w:pPr>
            <w:r>
              <w:rPr>
                <w:color w:val="000000"/>
              </w:rPr>
              <w:t>Tandem Diabetes Care, Inc.</w:t>
            </w:r>
          </w:p>
        </w:tc>
      </w:tr>
      <w:tr>
        <w:trPr/>
        <w:tc>
          <w:tcPr>
            <w:tcW w:w="3082" w:type="dxa"/>
            <w:tcBorders/>
            <w:vAlign w:val="center"/>
          </w:tcPr>
          <w:p>
            <w:pPr>
              <w:pStyle w:val="TableContents"/>
              <w:bidi w:val="0"/>
              <w:spacing w:before="0" w:after="0"/>
              <w:jc w:val="left"/>
              <w:rPr>
                <w:color w:val="000000"/>
              </w:rPr>
            </w:pPr>
            <w:r>
              <w:rPr>
                <w:color w:val="000000"/>
              </w:rPr>
              <w:t>DexCom, Inc.</w:t>
            </w:r>
          </w:p>
        </w:tc>
        <w:tc>
          <w:tcPr>
            <w:tcW w:w="3790" w:type="dxa"/>
            <w:tcBorders/>
            <w:vAlign w:val="center"/>
          </w:tcPr>
          <w:p>
            <w:pPr>
              <w:pStyle w:val="TableContents"/>
              <w:bidi w:val="0"/>
              <w:spacing w:before="0" w:after="0"/>
              <w:jc w:val="left"/>
              <w:rPr>
                <w:color w:val="000000"/>
              </w:rPr>
            </w:pPr>
            <w:r>
              <w:rPr>
                <w:color w:val="000000"/>
              </w:rPr>
              <w:t>Kewaunee Scientific Corporation</w:t>
            </w:r>
          </w:p>
        </w:tc>
        <w:tc>
          <w:tcPr>
            <w:tcW w:w="3333" w:type="dxa"/>
            <w:tcBorders/>
            <w:vAlign w:val="center"/>
          </w:tcPr>
          <w:p>
            <w:pPr>
              <w:pStyle w:val="TableContents"/>
              <w:bidi w:val="0"/>
              <w:spacing w:before="0" w:after="0"/>
              <w:jc w:val="left"/>
              <w:rPr>
                <w:color w:val="000000"/>
              </w:rPr>
            </w:pPr>
            <w:r>
              <w:rPr>
                <w:color w:val="000000"/>
              </w:rPr>
              <w:t>Teleflex Incorporated</w:t>
            </w:r>
          </w:p>
        </w:tc>
      </w:tr>
      <w:tr>
        <w:trPr/>
        <w:tc>
          <w:tcPr>
            <w:tcW w:w="3082" w:type="dxa"/>
            <w:tcBorders/>
            <w:vAlign w:val="center"/>
          </w:tcPr>
          <w:p>
            <w:pPr>
              <w:pStyle w:val="TableContents"/>
              <w:bidi w:val="0"/>
              <w:spacing w:before="0" w:after="0"/>
              <w:jc w:val="left"/>
              <w:rPr>
                <w:color w:val="000000"/>
              </w:rPr>
            </w:pPr>
            <w:r>
              <w:rPr>
                <w:color w:val="000000"/>
              </w:rPr>
              <w:t>Edwards Lifesciences Corporation</w:t>
            </w:r>
          </w:p>
        </w:tc>
        <w:tc>
          <w:tcPr>
            <w:tcW w:w="3790" w:type="dxa"/>
            <w:tcBorders/>
            <w:vAlign w:val="center"/>
          </w:tcPr>
          <w:p>
            <w:pPr>
              <w:pStyle w:val="TableContents"/>
              <w:bidi w:val="0"/>
              <w:spacing w:before="0" w:after="0"/>
              <w:jc w:val="left"/>
              <w:rPr>
                <w:color w:val="000000"/>
              </w:rPr>
            </w:pPr>
            <w:r>
              <w:rPr>
                <w:color w:val="000000"/>
              </w:rPr>
              <w:t>LeMaitre Vascular, Inc.</w:t>
            </w:r>
          </w:p>
        </w:tc>
        <w:tc>
          <w:tcPr>
            <w:tcW w:w="3333" w:type="dxa"/>
            <w:tcBorders/>
            <w:vAlign w:val="center"/>
          </w:tcPr>
          <w:p>
            <w:pPr>
              <w:pStyle w:val="TableContents"/>
              <w:bidi w:val="0"/>
              <w:spacing w:before="0" w:after="0"/>
              <w:jc w:val="left"/>
              <w:rPr>
                <w:color w:val="000000"/>
              </w:rPr>
            </w:pPr>
            <w:r>
              <w:rPr>
                <w:color w:val="000000"/>
              </w:rPr>
              <w:t>TransMedics Group, Inc.</w:t>
            </w:r>
          </w:p>
        </w:tc>
      </w:tr>
      <w:tr>
        <w:trPr/>
        <w:tc>
          <w:tcPr>
            <w:tcW w:w="3082" w:type="dxa"/>
            <w:tcBorders/>
            <w:vAlign w:val="center"/>
          </w:tcPr>
          <w:p>
            <w:pPr>
              <w:pStyle w:val="TableContents"/>
              <w:bidi w:val="0"/>
              <w:spacing w:before="0" w:after="0"/>
              <w:jc w:val="left"/>
              <w:rPr>
                <w:color w:val="000000"/>
              </w:rPr>
            </w:pPr>
            <w:r>
              <w:rPr>
                <w:color w:val="000000"/>
              </w:rPr>
              <w:t>Enovis Corporation</w:t>
            </w:r>
          </w:p>
        </w:tc>
        <w:tc>
          <w:tcPr>
            <w:tcW w:w="3790" w:type="dxa"/>
            <w:tcBorders/>
            <w:vAlign w:val="center"/>
          </w:tcPr>
          <w:p>
            <w:pPr>
              <w:pStyle w:val="TableContents"/>
              <w:bidi w:val="0"/>
              <w:spacing w:before="0" w:after="0"/>
              <w:jc w:val="left"/>
              <w:rPr>
                <w:color w:val="000000"/>
              </w:rPr>
            </w:pPr>
            <w:r>
              <w:rPr>
                <w:color w:val="000000"/>
              </w:rPr>
              <w:t>LivaNova PLC</w:t>
            </w:r>
          </w:p>
        </w:tc>
        <w:tc>
          <w:tcPr>
            <w:tcW w:w="3333" w:type="dxa"/>
            <w:tcBorders/>
            <w:vAlign w:val="center"/>
          </w:tcPr>
          <w:p>
            <w:pPr>
              <w:pStyle w:val="TableContents"/>
              <w:bidi w:val="0"/>
              <w:spacing w:before="0" w:after="0"/>
              <w:jc w:val="left"/>
              <w:rPr>
                <w:color w:val="000000"/>
              </w:rPr>
            </w:pPr>
            <w:r>
              <w:rPr>
                <w:color w:val="000000"/>
              </w:rPr>
              <w:t>Treace Medical Concepts, Inc.</w:t>
            </w:r>
          </w:p>
        </w:tc>
      </w:tr>
      <w:tr>
        <w:trPr/>
        <w:tc>
          <w:tcPr>
            <w:tcW w:w="3082" w:type="dxa"/>
            <w:tcBorders/>
            <w:vAlign w:val="center"/>
          </w:tcPr>
          <w:p>
            <w:pPr>
              <w:pStyle w:val="TableContents"/>
              <w:bidi w:val="0"/>
              <w:spacing w:before="0" w:after="0"/>
              <w:jc w:val="left"/>
              <w:rPr>
                <w:color w:val="000000"/>
              </w:rPr>
            </w:pPr>
            <w:r>
              <w:rPr>
                <w:color w:val="000000"/>
              </w:rPr>
              <w:t>Envista Holdings Corporation</w:t>
            </w:r>
          </w:p>
        </w:tc>
        <w:tc>
          <w:tcPr>
            <w:tcW w:w="3790" w:type="dxa"/>
            <w:tcBorders/>
            <w:vAlign w:val="center"/>
          </w:tcPr>
          <w:p>
            <w:pPr>
              <w:pStyle w:val="TableContents"/>
              <w:bidi w:val="0"/>
              <w:spacing w:before="0" w:after="0"/>
              <w:jc w:val="left"/>
              <w:rPr>
                <w:color w:val="000000"/>
              </w:rPr>
            </w:pPr>
            <w:r>
              <w:rPr>
                <w:color w:val="000000"/>
              </w:rPr>
              <w:t>Medtronic plc</w:t>
            </w:r>
          </w:p>
        </w:tc>
        <w:tc>
          <w:tcPr>
            <w:tcW w:w="3333" w:type="dxa"/>
            <w:tcBorders/>
            <w:vAlign w:val="center"/>
          </w:tcPr>
          <w:p>
            <w:pPr>
              <w:pStyle w:val="TableContents"/>
              <w:bidi w:val="0"/>
              <w:spacing w:before="0" w:after="0"/>
              <w:jc w:val="left"/>
              <w:rPr>
                <w:color w:val="000000"/>
              </w:rPr>
            </w:pPr>
            <w:r>
              <w:rPr>
                <w:color w:val="000000"/>
              </w:rPr>
              <w:t>Varex Imaging Corporation</w:t>
            </w:r>
          </w:p>
        </w:tc>
      </w:tr>
      <w:tr>
        <w:trPr/>
        <w:tc>
          <w:tcPr>
            <w:tcW w:w="3082" w:type="dxa"/>
            <w:tcBorders/>
            <w:vAlign w:val="center"/>
          </w:tcPr>
          <w:p>
            <w:pPr>
              <w:pStyle w:val="TableContents"/>
              <w:bidi w:val="0"/>
              <w:spacing w:before="0" w:after="0"/>
              <w:jc w:val="left"/>
              <w:rPr>
                <w:color w:val="000000"/>
              </w:rPr>
            </w:pPr>
            <w:r>
              <w:rPr>
                <w:color w:val="000000"/>
              </w:rPr>
              <w:t>GE HealthCare Technologies Inc.</w:t>
            </w:r>
          </w:p>
        </w:tc>
        <w:tc>
          <w:tcPr>
            <w:tcW w:w="3790" w:type="dxa"/>
            <w:tcBorders/>
            <w:vAlign w:val="center"/>
          </w:tcPr>
          <w:p>
            <w:pPr>
              <w:pStyle w:val="TableContents"/>
              <w:bidi w:val="0"/>
              <w:spacing w:before="0" w:after="0"/>
              <w:jc w:val="left"/>
              <w:rPr>
                <w:color w:val="000000"/>
              </w:rPr>
            </w:pPr>
            <w:r>
              <w:rPr>
                <w:color w:val="000000"/>
              </w:rPr>
              <w:t>NovoCure Limited</w:t>
            </w:r>
          </w:p>
        </w:tc>
        <w:tc>
          <w:tcPr>
            <w:tcW w:w="3333" w:type="dxa"/>
            <w:tcBorders/>
            <w:vAlign w:val="center"/>
          </w:tcPr>
          <w:p>
            <w:pPr>
              <w:pStyle w:val="TableContents"/>
              <w:bidi w:val="0"/>
              <w:spacing w:before="0" w:after="0"/>
              <w:jc w:val="left"/>
              <w:rPr>
                <w:color w:val="000000"/>
              </w:rPr>
            </w:pPr>
            <w:r>
              <w:rPr>
                <w:color w:val="000000"/>
              </w:rPr>
              <w:t>Zimmer Biomet Holdings, Inc.</w:t>
            </w:r>
          </w:p>
        </w:tc>
      </w:tr>
      <w:tr>
        <w:trPr/>
        <w:tc>
          <w:tcPr>
            <w:tcW w:w="3082" w:type="dxa"/>
            <w:tcBorders/>
            <w:vAlign w:val="center"/>
          </w:tcPr>
          <w:p>
            <w:pPr>
              <w:pStyle w:val="TableContents"/>
              <w:bidi w:val="0"/>
              <w:spacing w:before="0" w:after="0"/>
              <w:jc w:val="left"/>
              <w:rPr>
                <w:color w:val="000000"/>
              </w:rPr>
            </w:pPr>
            <w:r>
              <w:rPr>
                <w:color w:val="000000"/>
              </w:rPr>
              <w:t>Glaukos Corporation</w:t>
            </w:r>
          </w:p>
        </w:tc>
        <w:tc>
          <w:tcPr>
            <w:tcW w:w="3790" w:type="dxa"/>
            <w:tcBorders/>
            <w:vAlign w:val="center"/>
          </w:tcPr>
          <w:p>
            <w:pPr>
              <w:pStyle w:val="TableContents"/>
              <w:bidi w:val="0"/>
              <w:spacing w:before="0" w:after="0"/>
              <w:jc w:val="left"/>
              <w:rPr>
                <w:color w:val="000000"/>
              </w:rPr>
            </w:pPr>
            <w:r>
              <w:rPr>
                <w:color w:val="000000"/>
              </w:rPr>
              <w:t>Omnicell, Inc.</w:t>
            </w:r>
          </w:p>
        </w:tc>
        <w:tc>
          <w:tcPr>
            <w:tcW w:w="3333"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Except as described below under "Potential Payments Upon Termination or Change in Control," in the event of the named executive officer’s termination of employment, all of his or her unvested options, restricted stock units and performance share awards are generally forfeited in accordance with the provisions of the 2004 Plan, the 2020 Plan and the applicable grant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xml:space="preserve">, based upon the closing price for our common stock as of </w:t>
      </w:r>
      <w:r>
        <w:rPr>
          <w:rFonts w:ascii="Times New Roman" w:hAnsi="Times New Roman"/>
          <w:color w:val="000000"/>
          <w:sz w:val="20"/>
          <w:shd w:fill="FFFFFF" w:val="clear"/>
        </w:rPr>
        <w:t>July 16, 2025</w:t>
      </w:r>
      <w:r>
        <w:rPr>
          <w:rFonts w:ascii="Times New Roman" w:hAnsi="Times New Roman"/>
          <w:color w:val="181818"/>
          <w:sz w:val="20"/>
          <w:shd w:fill="FFFFFF" w:val="clear"/>
        </w:rPr>
        <w:t>, the Compensation and Human Capital Committee granted the following restricted stock units for our named executive officers, which vest ratably over four years:</w:t>
      </w:r>
    </w:p>
    <w:p>
      <w:pPr>
        <w:pStyle w:val="TextBody"/>
        <w:bidi w:val="0"/>
        <w:spacing w:before="0" w:after="0"/>
        <w:jc w:val="left"/>
        <w:rPr>
          <w:color w:val="181818"/>
        </w:rPr>
      </w:pPr>
      <w:r>
        <w:rPr>
          <w:color w:val="181818"/>
        </w:rPr>
      </w:r>
    </w:p>
    <w:p>
      <w:pPr>
        <w:pStyle w:val="Normal"/>
        <w:bidi w:val="0"/>
        <w:spacing w:before="0" w:after="0"/>
        <w:jc w:val="left"/>
        <w:rPr>
          <w:sz w:val="4"/>
          <w:szCs w:val="4"/>
        </w:rPr>
      </w:pPr>
      <w:r>
        <w:rPr>
          <w:sz w:val="4"/>
          <w:szCs w:val="4"/>
        </w:rPr>
      </w:r>
      <w:bookmarkStart w:id="141" w:name="z633a6e4e91324ff38d42152befcf430c"/>
      <w:bookmarkStart w:id="142" w:name="z633a6e4e91324ff38d42152befcf430c"/>
      <w:bookmarkEnd w:id="142"/>
    </w:p>
    <w:tbl>
      <w:tblPr>
        <w:tblW w:w="7334" w:type="dxa"/>
        <w:jc w:val="left"/>
        <w:tblInd w:w="0" w:type="dxa"/>
        <w:tblLayout w:type="fixed"/>
        <w:tblCellMar>
          <w:top w:w="0" w:type="dxa"/>
          <w:left w:w="0" w:type="dxa"/>
          <w:bottom w:w="28" w:type="dxa"/>
          <w:right w:w="0" w:type="dxa"/>
        </w:tblCellMar>
      </w:tblPr>
      <w:tblGrid>
        <w:gridCol w:w="2315"/>
        <w:gridCol w:w="90"/>
        <w:gridCol w:w="220"/>
        <w:gridCol w:w="2034"/>
        <w:gridCol w:w="90"/>
        <w:gridCol w:w="90"/>
        <w:gridCol w:w="340"/>
        <w:gridCol w:w="2020"/>
        <w:gridCol w:w="135"/>
      </w:tblGrid>
      <w:tr>
        <w:trPr/>
        <w:tc>
          <w:tcPr>
            <w:tcW w:w="2315" w:type="dxa"/>
            <w:tcBorders>
              <w:bottom w:val="single" w:sz="12" w:space="0" w:color="000000"/>
            </w:tcBorders>
            <w:vAlign w:val="bottom"/>
          </w:tcPr>
          <w:p>
            <w:pPr>
              <w:pStyle w:val="TableContents"/>
              <w:bidi w:val="0"/>
              <w:spacing w:before="0" w:after="0"/>
              <w:jc w:val="left"/>
              <w:rPr>
                <w:b/>
                <w:color w:val="000000"/>
              </w:rPr>
            </w:pPr>
            <w:r>
              <w:rPr>
                <w:b/>
                <w:color w:val="000000"/>
              </w:rPr>
              <w:t>Executive Officer</w:t>
            </w:r>
          </w:p>
        </w:tc>
        <w:tc>
          <w:tcPr>
            <w:tcW w:w="90" w:type="dxa"/>
            <w:tcBorders>
              <w:bottom w:val="single" w:sz="12" w:space="0" w:color="000000"/>
            </w:tcBorders>
            <w:vAlign w:val="bottom"/>
          </w:tcPr>
          <w:p>
            <w:pPr>
              <w:pStyle w:val="TableContents"/>
              <w:bidi w:val="0"/>
              <w:spacing w:before="0" w:after="283"/>
              <w:jc w:val="left"/>
              <w:rPr/>
            </w:pPr>
            <w:r>
              <w:rPr/>
              <w:t> </w:t>
            </w:r>
          </w:p>
        </w:tc>
        <w:tc>
          <w:tcPr>
            <w:tcW w:w="2254"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 Restricted</w:t>
            </w:r>
          </w:p>
          <w:p>
            <w:pPr>
              <w:pStyle w:val="TableContents"/>
              <w:bidi w:val="0"/>
              <w:spacing w:before="0" w:after="0"/>
              <w:jc w:val="center"/>
              <w:rPr>
                <w:b/>
                <w:color w:val="000000"/>
              </w:rPr>
            </w:pPr>
            <w:r>
              <w:rPr>
                <w:b/>
                <w:color w:val="000000"/>
              </w:rPr>
              <w:t>Stock Units</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360" w:type="dxa"/>
            <w:gridSpan w:val="2"/>
            <w:tcBorders>
              <w:bottom w:val="single" w:sz="12" w:space="0" w:color="000000"/>
            </w:tcBorders>
            <w:vAlign w:val="bottom"/>
          </w:tcPr>
          <w:p>
            <w:pPr>
              <w:pStyle w:val="TableContents"/>
              <w:bidi w:val="0"/>
              <w:spacing w:before="0" w:after="0"/>
              <w:jc w:val="center"/>
              <w:rPr>
                <w:b/>
                <w:color w:val="000000"/>
              </w:rPr>
            </w:pPr>
            <w:r>
              <w:rPr>
                <w:b/>
                <w:color w:val="000000"/>
              </w:rPr>
              <w:t>Grant Date Fair Value</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2034" w:type="dxa"/>
            <w:tcBorders/>
            <w:shd w:fill="CCEEFF" w:val="clear"/>
            <w:tcMar>
              <w:bottom w:w="0" w:type="dxa"/>
            </w:tcMar>
            <w:vAlign w:val="bottom"/>
          </w:tcPr>
          <w:p>
            <w:pPr>
              <w:pStyle w:val="TableContents"/>
              <w:bidi w:val="0"/>
              <w:spacing w:before="0" w:after="0"/>
              <w:jc w:val="right"/>
              <w:rPr>
                <w:color w:val="000000"/>
              </w:rPr>
            </w:pPr>
            <w:r>
              <w:rPr>
                <w:color w:val="000000"/>
              </w:rPr>
              <w:t>206,253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1,773,776</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2034" w:type="dxa"/>
            <w:tcBorders/>
            <w:tcMar>
              <w:bottom w:w="0" w:type="dxa"/>
            </w:tcMar>
            <w:vAlign w:val="bottom"/>
          </w:tcPr>
          <w:p>
            <w:pPr>
              <w:pStyle w:val="TableContents"/>
              <w:bidi w:val="0"/>
              <w:spacing w:before="0" w:after="0"/>
              <w:jc w:val="right"/>
              <w:rPr>
                <w:color w:val="000000"/>
              </w:rPr>
            </w:pPr>
            <w:r>
              <w:rPr>
                <w:color w:val="000000"/>
              </w:rPr>
              <w:t>86,997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40" w:type="dxa"/>
            <w:tcBorders/>
            <w:tcMar>
              <w:bottom w:w="0" w:type="dxa"/>
            </w:tcMar>
            <w:vAlign w:val="bottom"/>
          </w:tcPr>
          <w:p>
            <w:pPr>
              <w:pStyle w:val="TableContents"/>
              <w:bidi w:val="0"/>
              <w:spacing w:before="0" w:after="0"/>
              <w:jc w:val="left"/>
              <w:rPr>
                <w:color w:val="000000"/>
              </w:rPr>
            </w:pPr>
            <w:r>
              <w:rPr>
                <w:color w:val="000000"/>
              </w:rPr>
              <w:t>$</w:t>
            </w:r>
          </w:p>
        </w:tc>
        <w:tc>
          <w:tcPr>
            <w:tcW w:w="2020" w:type="dxa"/>
            <w:tcBorders/>
            <w:tcMar>
              <w:bottom w:w="0" w:type="dxa"/>
            </w:tcMar>
            <w:vAlign w:val="bottom"/>
          </w:tcPr>
          <w:p>
            <w:pPr>
              <w:pStyle w:val="TableContents"/>
              <w:bidi w:val="0"/>
              <w:spacing w:before="0" w:after="0"/>
              <w:jc w:val="right"/>
              <w:rPr>
                <w:color w:val="000000"/>
              </w:rPr>
            </w:pPr>
            <w:r>
              <w:rPr>
                <w:color w:val="000000"/>
              </w:rPr>
              <w:t>748,174</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2034" w:type="dxa"/>
            <w:tcBorders/>
            <w:shd w:fill="CCEEFF" w:val="clear"/>
            <w:tcMar>
              <w:bottom w:w="0" w:type="dxa"/>
            </w:tcMar>
            <w:vAlign w:val="bottom"/>
          </w:tcPr>
          <w:p>
            <w:pPr>
              <w:pStyle w:val="TableContents"/>
              <w:bidi w:val="0"/>
              <w:spacing w:before="0" w:after="0"/>
              <w:jc w:val="right"/>
              <w:rPr>
                <w:color w:val="000000"/>
              </w:rPr>
            </w:pPr>
            <w:r>
              <w:rPr>
                <w:color w:val="000000"/>
              </w:rPr>
              <w:t>30,900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265,740</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Laura Piccinini</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2034" w:type="dxa"/>
            <w:tcBorders/>
            <w:tcMar>
              <w:bottom w:w="0" w:type="dxa"/>
            </w:tcMar>
            <w:vAlign w:val="bottom"/>
          </w:tcPr>
          <w:p>
            <w:pPr>
              <w:pStyle w:val="TableContents"/>
              <w:bidi w:val="0"/>
              <w:spacing w:before="0" w:after="0"/>
              <w:jc w:val="right"/>
              <w:rPr>
                <w:color w:val="000000"/>
              </w:rPr>
            </w:pPr>
            <w:r>
              <w:rPr>
                <w:color w:val="000000"/>
              </w:rPr>
              <w:t>32,423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40" w:type="dxa"/>
            <w:tcBorders/>
            <w:tcMar>
              <w:bottom w:w="0" w:type="dxa"/>
            </w:tcMar>
            <w:vAlign w:val="bottom"/>
          </w:tcPr>
          <w:p>
            <w:pPr>
              <w:pStyle w:val="TableContents"/>
              <w:bidi w:val="0"/>
              <w:spacing w:before="0" w:after="0"/>
              <w:jc w:val="left"/>
              <w:rPr>
                <w:color w:val="000000"/>
              </w:rPr>
            </w:pPr>
            <w:r>
              <w:rPr>
                <w:color w:val="000000"/>
              </w:rPr>
              <w:t>$</w:t>
            </w:r>
          </w:p>
        </w:tc>
        <w:tc>
          <w:tcPr>
            <w:tcW w:w="2020" w:type="dxa"/>
            <w:tcBorders/>
            <w:tcMar>
              <w:bottom w:w="0" w:type="dxa"/>
            </w:tcMar>
            <w:vAlign w:val="bottom"/>
          </w:tcPr>
          <w:p>
            <w:pPr>
              <w:pStyle w:val="TableContents"/>
              <w:bidi w:val="0"/>
              <w:spacing w:before="0" w:after="0"/>
              <w:jc w:val="right"/>
              <w:rPr>
                <w:color w:val="000000"/>
              </w:rPr>
            </w:pPr>
            <w:r>
              <w:rPr>
                <w:color w:val="000000"/>
              </w:rPr>
              <w:t>278,838</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2034" w:type="dxa"/>
            <w:tcBorders/>
            <w:shd w:fill="CCEEFF" w:val="clear"/>
            <w:tcMar>
              <w:bottom w:w="0" w:type="dxa"/>
            </w:tcMar>
            <w:vAlign w:val="bottom"/>
          </w:tcPr>
          <w:p>
            <w:pPr>
              <w:pStyle w:val="TableContents"/>
              <w:bidi w:val="0"/>
              <w:spacing w:before="0" w:after="0"/>
              <w:jc w:val="right"/>
              <w:rPr>
                <w:color w:val="000000"/>
              </w:rPr>
            </w:pPr>
            <w:r>
              <w:rPr>
                <w:color w:val="000000"/>
              </w:rPr>
              <w:t>29,349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252,401</w:t>
            </w:r>
          </w:p>
        </w:tc>
        <w:tc>
          <w:tcPr>
            <w:tcW w:w="13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xml:space="preserve">, the Compensation and Human Capital Committee granted the following performance share awards for our named executive officers with a target number of performance shares as follows: </w:t>
      </w:r>
    </w:p>
    <w:p>
      <w:pPr>
        <w:pStyle w:val="Normal"/>
        <w:bidi w:val="0"/>
        <w:spacing w:before="0" w:after="0"/>
        <w:jc w:val="left"/>
        <w:rPr>
          <w:sz w:val="4"/>
          <w:szCs w:val="4"/>
        </w:rPr>
      </w:pPr>
      <w:r>
        <w:rPr>
          <w:sz w:val="4"/>
          <w:szCs w:val="4"/>
        </w:rPr>
      </w:r>
      <w:bookmarkStart w:id="143" w:name="z6d7839b0d36e4dbba49ef02a608c7dcf"/>
      <w:bookmarkStart w:id="144" w:name="z6d7839b0d36e4dbba49ef02a608c7dcf"/>
      <w:bookmarkEnd w:id="144"/>
    </w:p>
    <w:tbl>
      <w:tblPr>
        <w:tblW w:w="7199" w:type="dxa"/>
        <w:jc w:val="left"/>
        <w:tblInd w:w="0" w:type="dxa"/>
        <w:tblLayout w:type="fixed"/>
        <w:tblCellMar>
          <w:top w:w="0" w:type="dxa"/>
          <w:left w:w="0" w:type="dxa"/>
          <w:bottom w:w="28" w:type="dxa"/>
          <w:right w:w="0" w:type="dxa"/>
        </w:tblCellMar>
      </w:tblPr>
      <w:tblGrid>
        <w:gridCol w:w="2315"/>
        <w:gridCol w:w="90"/>
        <w:gridCol w:w="207"/>
        <w:gridCol w:w="1912"/>
        <w:gridCol w:w="90"/>
        <w:gridCol w:w="90"/>
        <w:gridCol w:w="340"/>
        <w:gridCol w:w="2020"/>
        <w:gridCol w:w="135"/>
      </w:tblGrid>
      <w:tr>
        <w:trPr/>
        <w:tc>
          <w:tcPr>
            <w:tcW w:w="2315" w:type="dxa"/>
            <w:tcBorders>
              <w:bottom w:val="single" w:sz="12" w:space="0" w:color="000000"/>
            </w:tcBorders>
            <w:vAlign w:val="bottom"/>
          </w:tcPr>
          <w:p>
            <w:pPr>
              <w:pStyle w:val="TableContents"/>
              <w:bidi w:val="0"/>
              <w:spacing w:before="0" w:after="0"/>
              <w:jc w:val="left"/>
              <w:rPr>
                <w:b/>
                <w:color w:val="000000"/>
              </w:rPr>
            </w:pPr>
            <w:r>
              <w:rPr>
                <w:b/>
                <w:color w:val="000000"/>
              </w:rPr>
              <w:t>Executive Officer</w:t>
            </w:r>
          </w:p>
        </w:tc>
        <w:tc>
          <w:tcPr>
            <w:tcW w:w="90" w:type="dxa"/>
            <w:tcBorders>
              <w:bottom w:val="single" w:sz="12" w:space="0" w:color="000000"/>
            </w:tcBorders>
            <w:vAlign w:val="bottom"/>
          </w:tcPr>
          <w:p>
            <w:pPr>
              <w:pStyle w:val="TableContents"/>
              <w:bidi w:val="0"/>
              <w:spacing w:before="0" w:after="283"/>
              <w:jc w:val="left"/>
              <w:rPr/>
            </w:pPr>
            <w:r>
              <w:rPr/>
              <w:t> </w:t>
            </w:r>
          </w:p>
        </w:tc>
        <w:tc>
          <w:tcPr>
            <w:tcW w:w="2119" w:type="dxa"/>
            <w:gridSpan w:val="2"/>
            <w:tcBorders>
              <w:bottom w:val="single" w:sz="12" w:space="0" w:color="000000"/>
            </w:tcBorders>
            <w:vAlign w:val="bottom"/>
          </w:tcPr>
          <w:p>
            <w:pPr>
              <w:pStyle w:val="TableContents"/>
              <w:bidi w:val="0"/>
              <w:spacing w:before="0" w:after="0"/>
              <w:jc w:val="center"/>
              <w:rPr>
                <w:b/>
                <w:color w:val="000000"/>
              </w:rPr>
            </w:pPr>
            <w:r>
              <w:rPr>
                <w:b/>
                <w:color w:val="000000"/>
              </w:rPr>
              <w:t>Target Number of</w:t>
            </w:r>
          </w:p>
          <w:p>
            <w:pPr>
              <w:pStyle w:val="TableContents"/>
              <w:bidi w:val="0"/>
              <w:spacing w:before="0" w:after="0"/>
              <w:jc w:val="center"/>
              <w:rPr>
                <w:b/>
                <w:color w:val="000000"/>
              </w:rPr>
            </w:pPr>
            <w:r>
              <w:rPr>
                <w:b/>
                <w:color w:val="000000"/>
              </w:rPr>
              <w:t>Performance Shares</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360" w:type="dxa"/>
            <w:gridSpan w:val="2"/>
            <w:tcBorders>
              <w:bottom w:val="single" w:sz="12" w:space="0" w:color="000000"/>
            </w:tcBorders>
            <w:vAlign w:val="bottom"/>
          </w:tcPr>
          <w:p>
            <w:pPr>
              <w:pStyle w:val="TableContents"/>
              <w:bidi w:val="0"/>
              <w:spacing w:before="0" w:after="0"/>
              <w:jc w:val="center"/>
              <w:rPr>
                <w:b/>
                <w:color w:val="000000"/>
              </w:rPr>
            </w:pPr>
            <w:r>
              <w:rPr>
                <w:b/>
                <w:color w:val="000000"/>
              </w:rPr>
              <w:t>Grant Date Fair Value</w:t>
            </w:r>
          </w:p>
          <w:p>
            <w:pPr>
              <w:pStyle w:val="TableContents"/>
              <w:bidi w:val="0"/>
              <w:spacing w:before="0" w:after="0"/>
              <w:jc w:val="center"/>
              <w:rPr>
                <w:b/>
                <w:color w:val="000000"/>
              </w:rPr>
            </w:pPr>
            <w:r>
              <w:rPr>
                <w:b/>
                <w:color w:val="000000"/>
              </w:rPr>
              <w:t>at Target</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912" w:type="dxa"/>
            <w:tcBorders/>
            <w:shd w:fill="CCEEFF" w:val="clear"/>
            <w:tcMar>
              <w:bottom w:w="0" w:type="dxa"/>
            </w:tcMar>
            <w:vAlign w:val="bottom"/>
          </w:tcPr>
          <w:p>
            <w:pPr>
              <w:pStyle w:val="TableContents"/>
              <w:bidi w:val="0"/>
              <w:spacing w:before="0" w:after="0"/>
              <w:jc w:val="right"/>
              <w:rPr>
                <w:color w:val="000000"/>
              </w:rPr>
            </w:pPr>
            <w:r>
              <w:rPr>
                <w:color w:val="000000"/>
              </w:rPr>
              <w:t>206,253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1,916,090</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207" w:type="dxa"/>
            <w:tcBorders/>
            <w:tcMar>
              <w:bottom w:w="0" w:type="dxa"/>
            </w:tcMar>
            <w:vAlign w:val="bottom"/>
          </w:tcPr>
          <w:p>
            <w:pPr>
              <w:pStyle w:val="TableContents"/>
              <w:bidi w:val="0"/>
              <w:spacing w:before="0" w:after="283"/>
              <w:jc w:val="left"/>
              <w:rPr/>
            </w:pPr>
            <w:r>
              <w:rPr/>
              <w:t> </w:t>
            </w:r>
          </w:p>
        </w:tc>
        <w:tc>
          <w:tcPr>
            <w:tcW w:w="1912" w:type="dxa"/>
            <w:tcBorders/>
            <w:tcMar>
              <w:bottom w:w="0" w:type="dxa"/>
            </w:tcMar>
            <w:vAlign w:val="bottom"/>
          </w:tcPr>
          <w:p>
            <w:pPr>
              <w:pStyle w:val="TableContents"/>
              <w:bidi w:val="0"/>
              <w:spacing w:before="0" w:after="0"/>
              <w:jc w:val="right"/>
              <w:rPr>
                <w:color w:val="000000"/>
              </w:rPr>
            </w:pPr>
            <w:r>
              <w:rPr>
                <w:color w:val="000000"/>
              </w:rPr>
              <w:t>86,997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40" w:type="dxa"/>
            <w:tcBorders/>
            <w:tcMar>
              <w:bottom w:w="0" w:type="dxa"/>
            </w:tcMar>
            <w:vAlign w:val="bottom"/>
          </w:tcPr>
          <w:p>
            <w:pPr>
              <w:pStyle w:val="TableContents"/>
              <w:bidi w:val="0"/>
              <w:spacing w:before="0" w:after="0"/>
              <w:jc w:val="left"/>
              <w:rPr>
                <w:color w:val="000000"/>
              </w:rPr>
            </w:pPr>
            <w:r>
              <w:rPr>
                <w:color w:val="000000"/>
              </w:rPr>
              <w:t>$</w:t>
            </w:r>
          </w:p>
        </w:tc>
        <w:tc>
          <w:tcPr>
            <w:tcW w:w="2020" w:type="dxa"/>
            <w:tcBorders/>
            <w:tcMar>
              <w:bottom w:w="0" w:type="dxa"/>
            </w:tcMar>
            <w:vAlign w:val="bottom"/>
          </w:tcPr>
          <w:p>
            <w:pPr>
              <w:pStyle w:val="TableContents"/>
              <w:bidi w:val="0"/>
              <w:spacing w:before="0" w:after="0"/>
              <w:jc w:val="right"/>
              <w:rPr>
                <w:color w:val="000000"/>
              </w:rPr>
            </w:pPr>
            <w:r>
              <w:rPr>
                <w:color w:val="000000"/>
              </w:rPr>
              <w:t>808,202</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912" w:type="dxa"/>
            <w:tcBorders/>
            <w:shd w:fill="CCEEFF" w:val="clear"/>
            <w:tcMar>
              <w:bottom w:w="0" w:type="dxa"/>
            </w:tcMar>
            <w:vAlign w:val="bottom"/>
          </w:tcPr>
          <w:p>
            <w:pPr>
              <w:pStyle w:val="TableContents"/>
              <w:bidi w:val="0"/>
              <w:spacing w:before="0" w:after="0"/>
              <w:jc w:val="right"/>
              <w:rPr>
                <w:color w:val="000000"/>
              </w:rPr>
            </w:pPr>
            <w:r>
              <w:rPr>
                <w:color w:val="000000"/>
              </w:rPr>
              <w:t>30,900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287,061</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Laura Piccinini</w:t>
            </w:r>
          </w:p>
        </w:tc>
        <w:tc>
          <w:tcPr>
            <w:tcW w:w="90" w:type="dxa"/>
            <w:tcBorders/>
            <w:tcMar>
              <w:bottom w:w="0" w:type="dxa"/>
            </w:tcMar>
            <w:vAlign w:val="bottom"/>
          </w:tcPr>
          <w:p>
            <w:pPr>
              <w:pStyle w:val="TableContents"/>
              <w:bidi w:val="0"/>
              <w:spacing w:before="0" w:after="283"/>
              <w:jc w:val="left"/>
              <w:rPr/>
            </w:pPr>
            <w:r>
              <w:rPr/>
              <w:t> </w:t>
            </w:r>
          </w:p>
        </w:tc>
        <w:tc>
          <w:tcPr>
            <w:tcW w:w="207" w:type="dxa"/>
            <w:tcBorders/>
            <w:tcMar>
              <w:bottom w:w="0" w:type="dxa"/>
            </w:tcMar>
            <w:vAlign w:val="bottom"/>
          </w:tcPr>
          <w:p>
            <w:pPr>
              <w:pStyle w:val="TableContents"/>
              <w:bidi w:val="0"/>
              <w:spacing w:before="0" w:after="283"/>
              <w:jc w:val="left"/>
              <w:rPr/>
            </w:pPr>
            <w:r>
              <w:rPr/>
              <w:t> </w:t>
            </w:r>
          </w:p>
        </w:tc>
        <w:tc>
          <w:tcPr>
            <w:tcW w:w="1912" w:type="dxa"/>
            <w:tcBorders/>
            <w:tcMar>
              <w:bottom w:w="0" w:type="dxa"/>
            </w:tcMar>
            <w:vAlign w:val="bottom"/>
          </w:tcPr>
          <w:p>
            <w:pPr>
              <w:pStyle w:val="TableContents"/>
              <w:bidi w:val="0"/>
              <w:spacing w:before="0" w:after="0"/>
              <w:jc w:val="right"/>
              <w:rPr>
                <w:color w:val="000000"/>
              </w:rPr>
            </w:pPr>
            <w:r>
              <w:rPr>
                <w:color w:val="000000"/>
              </w:rPr>
              <w:t>32,423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40" w:type="dxa"/>
            <w:tcBorders/>
            <w:tcMar>
              <w:bottom w:w="0" w:type="dxa"/>
            </w:tcMar>
            <w:vAlign w:val="bottom"/>
          </w:tcPr>
          <w:p>
            <w:pPr>
              <w:pStyle w:val="TableContents"/>
              <w:bidi w:val="0"/>
              <w:spacing w:before="0" w:after="0"/>
              <w:jc w:val="left"/>
              <w:rPr>
                <w:color w:val="000000"/>
              </w:rPr>
            </w:pPr>
            <w:r>
              <w:rPr>
                <w:color w:val="000000"/>
              </w:rPr>
              <w:t>$</w:t>
            </w:r>
          </w:p>
        </w:tc>
        <w:tc>
          <w:tcPr>
            <w:tcW w:w="2020" w:type="dxa"/>
            <w:tcBorders/>
            <w:tcMar>
              <w:bottom w:w="0" w:type="dxa"/>
            </w:tcMar>
            <w:vAlign w:val="bottom"/>
          </w:tcPr>
          <w:p>
            <w:pPr>
              <w:pStyle w:val="TableContents"/>
              <w:bidi w:val="0"/>
              <w:spacing w:before="0" w:after="0"/>
              <w:jc w:val="right"/>
              <w:rPr>
                <w:color w:val="000000"/>
              </w:rPr>
            </w:pPr>
            <w:r>
              <w:rPr>
                <w:color w:val="000000"/>
              </w:rPr>
              <w:t>301,209</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912" w:type="dxa"/>
            <w:tcBorders/>
            <w:shd w:fill="CCEEFF" w:val="clear"/>
            <w:tcMar>
              <w:bottom w:w="0" w:type="dxa"/>
            </w:tcMar>
            <w:vAlign w:val="bottom"/>
          </w:tcPr>
          <w:p>
            <w:pPr>
              <w:pStyle w:val="TableContents"/>
              <w:bidi w:val="0"/>
              <w:spacing w:before="0" w:after="0"/>
              <w:jc w:val="right"/>
              <w:rPr>
                <w:color w:val="000000"/>
              </w:rPr>
            </w:pPr>
            <w:r>
              <w:rPr>
                <w:color w:val="000000"/>
              </w:rPr>
              <w:t>29,349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272,652</w:t>
            </w:r>
          </w:p>
        </w:tc>
        <w:tc>
          <w:tcPr>
            <w:tcW w:w="13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Equity grants made to our named executive officers in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are set forth below in the table titled “Grants of Plan-Based Awards for Fiscal Year </w:t>
      </w:r>
      <w:r>
        <w:rPr>
          <w:rFonts w:ascii="Times New Roman" w:hAnsi="Times New Roman"/>
          <w:color w:val="000000"/>
          <w:sz w:val="20"/>
          <w:shd w:fill="FFFFFF" w:val="clear"/>
        </w:rPr>
        <w:t>2026</w:t>
      </w:r>
      <w:r>
        <w:rPr>
          <w:rFonts w:ascii="Times New Roman" w:hAnsi="Times New Roman"/>
          <w:color w:val="181818"/>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Vesting of Fiscal 2024 Performance Share Awards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Fiscal 2024 Performance Share Awards had a three year performance period from June 1, 2023 through May 31, 2026.  These grants were structured with performance targets linked to cumulative revenue over a three year performance period.  Performance against these financial targets was then modified by relative TSR achievement over the performance period against a pre-determined comparator group. As noted above, the TSR modifier can adjust the aggregate number of shares eligible to vest at the end of the performance period up or down by a maximum of 20% at the 75th and 25th percentile.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Company achieved revenue of $883.6 million, which resulted in 94.7% achievement and corresponded to a payout percentage of 23%.  The Company achieved a relative TSR ranking versus the applicable peer group of the </w:t>
      </w:r>
      <w:r>
        <w:rPr>
          <w:rFonts w:ascii="Times New Roman" w:hAnsi="Times New Roman"/>
          <w:color w:val="000000"/>
          <w:sz w:val="20"/>
          <w:shd w:fill="FFFFFF" w:val="clear"/>
        </w:rPr>
        <w:t>8</w:t>
      </w:r>
      <w:r>
        <w:rPr>
          <w:rFonts w:ascii="Times New Roman" w:hAnsi="Times New Roman"/>
          <w:color w:val="181818"/>
          <w:sz w:val="20"/>
          <w:shd w:fill="FFFFFF" w:val="clear"/>
        </w:rPr>
        <w:t xml:space="preserve">9th percentile which resulted in a </w:t>
      </w:r>
      <w:r>
        <w:rPr>
          <w:rFonts w:ascii="Times New Roman" w:hAnsi="Times New Roman"/>
          <w:color w:val="000000"/>
          <w:sz w:val="20"/>
          <w:shd w:fill="FFFFFF" w:val="clear"/>
        </w:rPr>
        <w:t>20%</w:t>
      </w:r>
      <w:r>
        <w:rPr>
          <w:rFonts w:ascii="Times New Roman" w:hAnsi="Times New Roman"/>
          <w:color w:val="181818"/>
          <w:sz w:val="20"/>
          <w:shd w:fill="FFFFFF" w:val="clear"/>
        </w:rPr>
        <w:t xml:space="preserve"> increase of the ultimate payout percentage.  As a result, 28.4% of Mr. Clemmer's, Mr. Trowbridge's, Ms. Piccinini's and Mr. Nighan's fiscal 2024 grant of performance share awards were earned.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45" w:name="zbde21f59c4db4b9493b22393513cddea"/>
      <w:bookmarkStart w:id="146" w:name="zbde21f59c4db4b9493b22393513cddea"/>
      <w:bookmarkEnd w:id="146"/>
    </w:p>
    <w:tbl>
      <w:tblPr>
        <w:tblW w:w="7000" w:type="dxa"/>
        <w:jc w:val="left"/>
        <w:tblInd w:w="0" w:type="dxa"/>
        <w:tblLayout w:type="fixed"/>
        <w:tblCellMar>
          <w:top w:w="0" w:type="dxa"/>
          <w:left w:w="0" w:type="dxa"/>
          <w:bottom w:w="28" w:type="dxa"/>
          <w:right w:w="0" w:type="dxa"/>
        </w:tblCellMar>
      </w:tblPr>
      <w:tblGrid>
        <w:gridCol w:w="2315"/>
        <w:gridCol w:w="90"/>
        <w:gridCol w:w="260"/>
        <w:gridCol w:w="840"/>
        <w:gridCol w:w="90"/>
        <w:gridCol w:w="90"/>
        <w:gridCol w:w="90"/>
        <w:gridCol w:w="830"/>
        <w:gridCol w:w="90"/>
        <w:gridCol w:w="90"/>
        <w:gridCol w:w="107"/>
        <w:gridCol w:w="993"/>
        <w:gridCol w:w="90"/>
        <w:gridCol w:w="90"/>
        <w:gridCol w:w="90"/>
        <w:gridCol w:w="710"/>
        <w:gridCol w:w="135"/>
      </w:tblGrid>
      <w:tr>
        <w:trPr/>
        <w:tc>
          <w:tcPr>
            <w:tcW w:w="2315" w:type="dxa"/>
            <w:tcBorders>
              <w:bottom w:val="single" w:sz="12" w:space="0" w:color="000000"/>
            </w:tcBorders>
            <w:vAlign w:val="bottom"/>
          </w:tcPr>
          <w:p>
            <w:pPr>
              <w:pStyle w:val="TableContents"/>
              <w:bidi w:val="0"/>
              <w:spacing w:before="0" w:after="0"/>
              <w:jc w:val="left"/>
              <w:rPr>
                <w:b/>
                <w:color w:val="000000"/>
              </w:rPr>
            </w:pPr>
            <w:r>
              <w:rPr>
                <w:b/>
                <w:color w:val="000000"/>
              </w:rPr>
              <w:t>Executive Officer</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Threshold</w:t>
            </w:r>
          </w:p>
          <w:p>
            <w:pPr>
              <w:pStyle w:val="TableContents"/>
              <w:bidi w:val="0"/>
              <w:spacing w:lineRule="auto" w:line="240" w:before="0" w:after="0"/>
              <w:jc w:val="center"/>
              <w:rPr>
                <w:b/>
                <w:color w:val="000000"/>
              </w:rPr>
            </w:pPr>
            <w:r>
              <w:rPr>
                <w:b/>
                <w:color w:val="000000"/>
              </w:rPr>
              <w:t>(#)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Target</w:t>
            </w:r>
          </w:p>
          <w:p>
            <w:pPr>
              <w:pStyle w:val="TableContents"/>
              <w:bidi w:val="0"/>
              <w:spacing w:lineRule="auto" w:line="240" w:before="0" w:after="0"/>
              <w:jc w:val="center"/>
              <w:rPr>
                <w:b/>
                <w:color w:val="000000"/>
              </w:rPr>
            </w:pPr>
            <w:r>
              <w:rPr>
                <w:b/>
                <w:color w:val="000000"/>
              </w:rPr>
              <w:t>(#)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Maximum</w:t>
            </w:r>
          </w:p>
          <w:p>
            <w:pPr>
              <w:pStyle w:val="TableContents"/>
              <w:bidi w:val="0"/>
              <w:spacing w:lineRule="auto" w:line="240" w:before="0" w:after="0"/>
              <w:jc w:val="center"/>
              <w:rPr>
                <w:b/>
                <w:color w:val="000000"/>
              </w:rPr>
            </w:pPr>
            <w:r>
              <w:rPr>
                <w:b/>
                <w:color w:val="000000"/>
              </w:rPr>
              <w:t>(#)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Actual</w:t>
            </w:r>
          </w:p>
          <w:p>
            <w:pPr>
              <w:pStyle w:val="TableContents"/>
              <w:bidi w:val="0"/>
              <w:spacing w:before="0" w:after="0"/>
              <w:jc w:val="center"/>
              <w:rPr>
                <w:b/>
                <w:color w:val="000000"/>
              </w:rPr>
            </w:pPr>
            <w:r>
              <w:rPr>
                <w:b/>
                <w:color w:val="000000"/>
              </w:rPr>
              <w:t>(#)</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84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184,361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7" w:type="dxa"/>
            <w:tcBorders/>
            <w:shd w:fill="CCEEFF" w:val="clear"/>
            <w:tcMar>
              <w:bottom w:w="0" w:type="dxa"/>
            </w:tcMar>
            <w:vAlign w:val="bottom"/>
          </w:tcPr>
          <w:p>
            <w:pPr>
              <w:pStyle w:val="TableContents"/>
              <w:bidi w:val="0"/>
              <w:spacing w:before="0" w:after="283"/>
              <w:jc w:val="left"/>
              <w:rPr/>
            </w:pPr>
            <w:r>
              <w:rPr/>
              <w:t> </w:t>
            </w:r>
          </w:p>
        </w:tc>
        <w:tc>
          <w:tcPr>
            <w:tcW w:w="993" w:type="dxa"/>
            <w:tcBorders/>
            <w:shd w:fill="CCEEFF" w:val="clear"/>
            <w:tcMar>
              <w:bottom w:w="0" w:type="dxa"/>
            </w:tcMar>
            <w:vAlign w:val="bottom"/>
          </w:tcPr>
          <w:p>
            <w:pPr>
              <w:pStyle w:val="TableContents"/>
              <w:bidi w:val="0"/>
              <w:spacing w:before="0" w:after="0"/>
              <w:jc w:val="right"/>
              <w:rPr>
                <w:color w:val="000000"/>
              </w:rPr>
            </w:pPr>
            <w:r>
              <w:rPr>
                <w:color w:val="000000"/>
              </w:rPr>
              <w:t>368,722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52,358</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840"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57,381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7" w:type="dxa"/>
            <w:tcBorders/>
            <w:tcMar>
              <w:bottom w:w="0" w:type="dxa"/>
            </w:tcMar>
            <w:vAlign w:val="bottom"/>
          </w:tcPr>
          <w:p>
            <w:pPr>
              <w:pStyle w:val="TableContents"/>
              <w:bidi w:val="0"/>
              <w:spacing w:before="0" w:after="283"/>
              <w:jc w:val="left"/>
              <w:rPr/>
            </w:pPr>
            <w:r>
              <w:rPr/>
              <w:t> </w:t>
            </w:r>
          </w:p>
        </w:tc>
        <w:tc>
          <w:tcPr>
            <w:tcW w:w="993" w:type="dxa"/>
            <w:tcBorders/>
            <w:tcMar>
              <w:bottom w:w="0" w:type="dxa"/>
            </w:tcMar>
            <w:vAlign w:val="bottom"/>
          </w:tcPr>
          <w:p>
            <w:pPr>
              <w:pStyle w:val="TableContents"/>
              <w:bidi w:val="0"/>
              <w:spacing w:before="0" w:after="0"/>
              <w:jc w:val="right"/>
              <w:rPr>
                <w:color w:val="000000"/>
              </w:rPr>
            </w:pPr>
            <w:r>
              <w:rPr>
                <w:color w:val="000000"/>
              </w:rPr>
              <w:t>114,762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16,296</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lineRule="auto" w:line="240" w:before="0" w:after="0"/>
              <w:jc w:val="left"/>
              <w:rPr>
                <w:color w:val="000000"/>
              </w:rPr>
            </w:pPr>
            <w:r>
              <w:rPr>
                <w:color w:val="000000"/>
              </w:rPr>
              <w:t>Lawrence T. Weiss(2)</w:t>
            </w:r>
          </w:p>
        </w:tc>
        <w:tc>
          <w:tcPr>
            <w:tcW w:w="9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84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7" w:type="dxa"/>
            <w:tcBorders/>
            <w:shd w:fill="CCEEFF" w:val="clear"/>
            <w:tcMar>
              <w:bottom w:w="0" w:type="dxa"/>
            </w:tcMar>
            <w:vAlign w:val="bottom"/>
          </w:tcPr>
          <w:p>
            <w:pPr>
              <w:pStyle w:val="TableContents"/>
              <w:bidi w:val="0"/>
              <w:spacing w:before="0" w:after="283"/>
              <w:jc w:val="left"/>
              <w:rPr/>
            </w:pPr>
            <w:r>
              <w:rPr/>
              <w:t> </w:t>
            </w:r>
          </w:p>
        </w:tc>
        <w:tc>
          <w:tcPr>
            <w:tcW w:w="993"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Laura Piccinini</w:t>
            </w:r>
          </w:p>
        </w:tc>
        <w:tc>
          <w:tcPr>
            <w:tcW w:w="9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840"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28,336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7" w:type="dxa"/>
            <w:tcBorders/>
            <w:tcMar>
              <w:bottom w:w="0" w:type="dxa"/>
            </w:tcMar>
            <w:vAlign w:val="bottom"/>
          </w:tcPr>
          <w:p>
            <w:pPr>
              <w:pStyle w:val="TableContents"/>
              <w:bidi w:val="0"/>
              <w:spacing w:before="0" w:after="283"/>
              <w:jc w:val="left"/>
              <w:rPr/>
            </w:pPr>
            <w:r>
              <w:rPr/>
              <w:t> </w:t>
            </w:r>
          </w:p>
        </w:tc>
        <w:tc>
          <w:tcPr>
            <w:tcW w:w="993" w:type="dxa"/>
            <w:tcBorders/>
            <w:tcMar>
              <w:bottom w:w="0" w:type="dxa"/>
            </w:tcMar>
            <w:vAlign w:val="bottom"/>
          </w:tcPr>
          <w:p>
            <w:pPr>
              <w:pStyle w:val="TableContents"/>
              <w:bidi w:val="0"/>
              <w:spacing w:before="0" w:after="0"/>
              <w:jc w:val="right"/>
              <w:rPr>
                <w:color w:val="000000"/>
              </w:rPr>
            </w:pPr>
            <w:r>
              <w:rPr>
                <w:color w:val="000000"/>
              </w:rPr>
              <w:t>56,672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8,047</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84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20,052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7" w:type="dxa"/>
            <w:tcBorders/>
            <w:shd w:fill="CCEEFF" w:val="clear"/>
            <w:tcMar>
              <w:bottom w:w="0" w:type="dxa"/>
            </w:tcMar>
            <w:vAlign w:val="bottom"/>
          </w:tcPr>
          <w:p>
            <w:pPr>
              <w:pStyle w:val="TableContents"/>
              <w:bidi w:val="0"/>
              <w:spacing w:before="0" w:after="283"/>
              <w:jc w:val="left"/>
              <w:rPr/>
            </w:pPr>
            <w:r>
              <w:rPr/>
              <w:t> </w:t>
            </w:r>
          </w:p>
        </w:tc>
        <w:tc>
          <w:tcPr>
            <w:tcW w:w="993" w:type="dxa"/>
            <w:tcBorders/>
            <w:shd w:fill="CCEEFF" w:val="clear"/>
            <w:tcMar>
              <w:bottom w:w="0" w:type="dxa"/>
            </w:tcMar>
            <w:vAlign w:val="bottom"/>
          </w:tcPr>
          <w:p>
            <w:pPr>
              <w:pStyle w:val="TableContents"/>
              <w:bidi w:val="0"/>
              <w:spacing w:before="0" w:after="0"/>
              <w:jc w:val="right"/>
              <w:rPr>
                <w:color w:val="000000"/>
              </w:rPr>
            </w:pPr>
            <w:r>
              <w:rPr>
                <w:color w:val="000000"/>
              </w:rPr>
              <w:t>40,104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5,694</w:t>
            </w:r>
          </w:p>
        </w:tc>
        <w:tc>
          <w:tcPr>
            <w:tcW w:w="13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(1) Excluding TSR modifier.</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(2) Mr. Weiss was hired in December 2024 and did not receive performance share awards in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Other Compensation Considerations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CEO Employment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On April 1, 2016, AngioDynamics entered into an employment agreement with James C. Clemmer, appointing Mr. Clemmer as President and Chief Executive Officer of the Company, effective April 4, 2016. Pursuant to that employment agreement, Mr. Clemmer, serves as the Company’s President and CEO for successive one-year terms unless either party notifies the other in writing not later than March 1 immediately prior to the anniversary of the employment agreement effective date. Mr. Clemmer’s employment agreement provides him with an annual base salary ($834,700 in fiscal year 2026) and eligibility for an annual bonus with a target level of 100% of his base salary, payable based upon our achievement of pre-determined financial metrics as discussed in further detail above.  In addition, pursuant to the agreement, Mr. Clemmer is eligible to receive (i) an executive car allowance of $1,500 per month (less applicable taxes) and (ii) reimbursement for reasonable business expenses incurred during the period of employment subject to the Company’s expense reimbursement policies.  Mr. Clemmer is eligible to participate in the benefit and perquisite plans and programs generally available to senior executives of the Company, including health insurance, life and disability insurance, the Employee Stock Purchase Plan, 401(k) plan and flexible spending plan.  The employment agreement also provides Mr. Clemmer with severance benefits in certain circumstances, as more fully described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Stock Ownership Guidelines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To further align the interests of management and shareholders, we maintain stock ownership guidelines for our senior executive officers, including our named executive officers. Our CEO is required to hold a number of shares with a value equal to three times his or her base salary, while our EVP and CFO and each of our SVPs are required to hold a number of shares with a value equal to one times his or her base salary. A senior executive who holds a number of shares less than the applicable ownership level must hold 100% of all Net Shares (as defined below) granted by the Company until the ownership level is met.  "Net Shares" are all shares received pursuant to all Company equity awards excluding shares sold to cover (i) the exercise price of options and/or (ii) taxes. The Compensation and Human Capital Committee is mindful that each individual’s personal circumstances will affect progress toward the targeted levels of stock ownership. Senior executives who are unable to achieve or maintain the targeted level of ownership may consult with the Compensation and Human Capital Committee with respect to a hardship exemption. Each of our named executive officers is currently in compliance with the applicable holding requirements.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Hedging and Pledging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Our Insider Trading Policy prohibits directors and employees, including named executive officers, from engaging in hedging or monetization transactions, such as zero-cost collars and forward sale contracts, and from engaging in borrowing against AngioDynamics’ securities held in a margin account, or pledging AngioDynamics’ securities as collateral for a loan.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Clawback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If any award (including an annual cash incentive award as well as a long-term equity-based incentive award) was granted to an AngioDynamics’ executive and the Compensation and Human Capital Committee (or the Board of Directors) later determines that the financial results of the Company used to determine the amount of that award, or any payment under that award, whether to the executive or to the executive’s beneficiary, are materially restated and that such executive engaged in fraud or intentional misconduct with respect to the inputs to, or determination of, such financial results, the Company will seek repayment or recovery of the award, as the Board of Directors in its sole discretion determines is reasonable and appropriate, notwithstanding any contrary provision of any incentive plan. In addition, the Compensation and Human Capital Committee or the Board of Directors may provide that any executive and/or any award, including any shares subject to or issued under an award, is subject to any other recovery, recoupment, clawback and/or other forfeiture policy maintained by the Company from time to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In addition, the Company has adopted an Executive Compensation Recoupment Policy that provides that the Company will recover reasonably promptly the amount of erroneously awarded incentive based compensation to an executive officer in the event that the Company is required to prepare an accounting restatement due to the material non-compliance of the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Finally, the Company’s 2004 Plan, as amended, and the 2020 Plan each includes clawback provisions that provide that any award (including annual cash incentive awards as well as long-term equity-based incentive awards) granted to an executive are subject to repayment if the Compensation and Human Capital Committee or the Board of Directors later determines that the financial results of the Company upon which such awards were based are materially restated and such executive engaged in fraud or intentional misconduct in connection with such financial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Perquisites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All executives of AngioDynamics are entitled to an automobile allowance of $1,200 per month ($1,500 in the case of our CEO) and we will cover the employee's expenses for mileage or gas for company related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Deferred Compensation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We do not sponsor or maintain any non-qualified deferred compensation programs for the benefit of any of our named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Severance and Change in Control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As described more fully below under the heading entitled “Potential Payments Upon Termination or Change in Control,” we maintain various arrangements with our named executive officers under which they may be eligible for severance payments and benefits, including change in control benefits.  Given our relative size in our industry and the continued trend toward consolidation in our industry, we believe that we need strong, market competitive change in control benefits to attract and retain key executives. We believe this to be particularly important during and beyond an acquisition to ensure the ongoing success of our business and to maximize value for our shareholders.  Each of our change in control agreements contains a “double trigger” whereby there must be both a change in control and a qualifying termination of employment before payment of such benefits thereunder to the executive.  We believe that these agreements encourage retention by providing an incentive for the executive to remain with us until the completion of a pending change in control and by providing security to the executive, either in the form of continued employment or severance benefits, following a change in control.</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Compensation Policies and Practices Relating to Risk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Each year, the Compensation and Human Capital Committee reviews our compensation programs applicable to all employees and reviews and approves the compensation program applicable to executives, including the named executive officers. Based on the Compensation and Human Capital Committee’s review of the terms and elements of these programs, as well as our practices and policies, the Compensation and Human Capital Committee determined that the Company’s compensation policies and practices are appropriately designed to provide incentives for our employees without creating an inappropriate risk of excessive risk taking.  Among other factors, the Compensation and Human Capital Committee’s compensation philosophy generally discourages excessive risk taking by, among other things: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7" w:name="z95ffb9943a5f471b80907fb8343cfbd0"/>
      <w:bookmarkStart w:id="148" w:name="z95ffb9943a5f471b80907fb8343cfbd0"/>
      <w:bookmarkEnd w:id="14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targeting base salary at or near a reasonable range around the 50th percentile of comparable companies, providing meaningful compensation at a competitive and market-appropriate level;</w:t>
            </w:r>
          </w:p>
        </w:tc>
      </w:tr>
    </w:tbl>
    <w:p>
      <w:pPr>
        <w:pStyle w:val="Normal"/>
        <w:bidi w:val="0"/>
        <w:spacing w:before="0" w:after="0"/>
        <w:jc w:val="left"/>
        <w:rPr>
          <w:sz w:val="4"/>
          <w:szCs w:val="4"/>
        </w:rPr>
      </w:pPr>
      <w:r>
        <w:rPr>
          <w:sz w:val="4"/>
          <w:szCs w:val="4"/>
        </w:rPr>
      </w:r>
      <w:bookmarkStart w:id="149" w:name="z4da39e61133149e695d52b12343773f3"/>
      <w:bookmarkStart w:id="150" w:name="z4da39e61133149e695d52b12343773f3"/>
      <w:bookmarkEnd w:id="15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designing total compensation programs to include a meaningful amount of long-term incentive compensation;</w:t>
            </w:r>
          </w:p>
        </w:tc>
      </w:tr>
    </w:tbl>
    <w:p>
      <w:pPr>
        <w:pStyle w:val="Normal"/>
        <w:bidi w:val="0"/>
        <w:spacing w:before="0" w:after="0"/>
        <w:jc w:val="left"/>
        <w:rPr>
          <w:sz w:val="4"/>
          <w:szCs w:val="4"/>
        </w:rPr>
      </w:pPr>
      <w:r>
        <w:rPr>
          <w:sz w:val="4"/>
          <w:szCs w:val="4"/>
        </w:rPr>
      </w:r>
      <w:bookmarkStart w:id="151" w:name="zd0282f48580d4e6293898acfd88c2224"/>
      <w:bookmarkStart w:id="152" w:name="zd0282f48580d4e6293898acfd88c2224"/>
      <w:bookmarkEnd w:id="15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balancing the composition of the Company’s long-term incentive program to include time based restricted stock units and stock options to go along with performance shares;</w:t>
            </w:r>
          </w:p>
        </w:tc>
      </w:tr>
    </w:tbl>
    <w:p>
      <w:pPr>
        <w:pStyle w:val="Normal"/>
        <w:bidi w:val="0"/>
        <w:spacing w:before="0" w:after="0"/>
        <w:jc w:val="left"/>
        <w:rPr>
          <w:sz w:val="4"/>
          <w:szCs w:val="4"/>
        </w:rPr>
      </w:pPr>
      <w:r>
        <w:rPr>
          <w:sz w:val="4"/>
          <w:szCs w:val="4"/>
        </w:rPr>
      </w:r>
      <w:bookmarkStart w:id="153" w:name="z4b3b340c31c841b3b31ec2ef40c4cbe2"/>
      <w:bookmarkStart w:id="154" w:name="z4b3b340c31c841b3b31ec2ef40c4cbe2"/>
      <w:bookmarkEnd w:id="15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capping the total payout of short-term cash incentive opportunities, as well as the maximum number of shares that can be earned under the performance-based component of LTI;</w:t>
            </w:r>
          </w:p>
        </w:tc>
      </w:tr>
    </w:tbl>
    <w:p>
      <w:pPr>
        <w:pStyle w:val="Normal"/>
        <w:bidi w:val="0"/>
        <w:spacing w:before="0" w:after="0"/>
        <w:jc w:val="left"/>
        <w:rPr>
          <w:sz w:val="4"/>
          <w:szCs w:val="4"/>
        </w:rPr>
      </w:pPr>
      <w:r>
        <w:rPr>
          <w:sz w:val="4"/>
          <w:szCs w:val="4"/>
        </w:rPr>
      </w:r>
      <w:bookmarkStart w:id="155" w:name="z839a517f138943499c4d49cdef0ea534"/>
      <w:bookmarkStart w:id="156" w:name="z839a517f138943499c4d49cdef0ea534"/>
      <w:bookmarkEnd w:id="156"/>
    </w:p>
    <w:tbl>
      <w:tblPr>
        <w:tblW w:w="9078" w:type="dxa"/>
        <w:jc w:val="left"/>
        <w:tblInd w:w="0" w:type="dxa"/>
        <w:tblLayout w:type="fixed"/>
        <w:tblCellMar>
          <w:top w:w="0" w:type="dxa"/>
          <w:left w:w="0" w:type="dxa"/>
          <w:bottom w:w="0" w:type="dxa"/>
          <w:right w:w="0" w:type="dxa"/>
        </w:tblCellMar>
      </w:tblPr>
      <w:tblGrid>
        <w:gridCol w:w="68"/>
        <w:gridCol w:w="140"/>
        <w:gridCol w:w="88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0"/>
              <w:jc w:val="left"/>
              <w:rPr/>
            </w:pPr>
            <w:r>
              <w:rPr/>
              <w:t>adopting a code of ethics and business conduct applicable to all employees and directors; and</w:t>
            </w:r>
          </w:p>
        </w:tc>
      </w:tr>
    </w:tbl>
    <w:p>
      <w:pPr>
        <w:pStyle w:val="Normal"/>
        <w:bidi w:val="0"/>
        <w:spacing w:before="0" w:after="0"/>
        <w:jc w:val="left"/>
        <w:rPr>
          <w:sz w:val="4"/>
          <w:szCs w:val="4"/>
        </w:rPr>
      </w:pPr>
      <w:r>
        <w:rPr>
          <w:sz w:val="4"/>
          <w:szCs w:val="4"/>
        </w:rPr>
      </w:r>
      <w:bookmarkStart w:id="157" w:name="zf5002157708b4d3b85c9d8dc59d90bb8"/>
      <w:bookmarkStart w:id="158" w:name="zf5002157708b4d3b85c9d8dc59d90bb8"/>
      <w:bookmarkEnd w:id="15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maintaining incentive plans that, in aggregate, assess performance multi-dimensionally, including top line, bottom line, TSR and qualitative measures.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In addition, the Company’s 2004 Plan, as amended, and the 2020 Plan each includes clawback provisions that provide that any award (including annual cash incentive awards as well as long-term equity-based incentive awards) granted to an executive are subject to repayment if the Compensation and Human Capital Committee or the Board of Directors later determines that the financial results of the Company upon which such awards were based are materially restated and such executive engaged in fraud or intentional misconduct in connection with such financial results.  See </w:t>
      </w:r>
      <w:r>
        <w:rPr>
          <w:rFonts w:ascii="Times New Roman" w:hAnsi="Times New Roman"/>
          <w:i/>
          <w:color w:val="181818"/>
          <w:sz w:val="20"/>
          <w:shd w:fill="FFFFFF" w:val="clear"/>
        </w:rPr>
        <w:t>Clawback Policy</w:t>
      </w:r>
      <w:r>
        <w:rPr>
          <w:rFonts w:ascii="Times New Roman" w:hAnsi="Times New Roman"/>
          <w:color w:val="181818"/>
          <w:sz w:val="20"/>
          <w:shd w:fill="FFFFFF" w:val="clear"/>
        </w:rPr>
        <w:t xml:space="preserve"> set forth in this Compensation Discussion and Analysis.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Based on the Compensation and Human Capital Committee’s review, the Company has concluded that the risks arising from its compensation policies and practices for its employees are not reasonably likely to have a material adverse effect on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Compensation and Human Capital Committee Report on Executive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Compensation and Human Capital Committee of the Board of Directors evaluates and makes recommendations to the Board of Directors regarding the compensation of the CEO and approves the compensation of our other named executive officers. The Compensation and Human Capital Committee also administers all executive compensation programs, incentive compensation plans and equity-based plans and all other compensation and benefit programs currently in place. We have reviewed and discussed the foregoing Compensation Discussion and Analysis with management. Based on our review and discussion with management, we have recommended to the Board that the Compensation Discussion and Analysis be included in this proxy statement for filing with the SEC.</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Eileen O. Auen (Chair)</w:t>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Lorinda Burgess</w:t>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Karen A. Licitra</w:t>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Michael E. Tarnoff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945" w:right="0" w:hanging="0"/>
        <w:jc w:val="center"/>
        <w:rPr>
          <w:rFonts w:ascii="Times New Roman" w:hAnsi="Times New Roman"/>
          <w:b/>
          <w:color w:val="000000"/>
          <w:sz w:val="20"/>
          <w:shd w:fill="FFFFFF" w:val="clear"/>
        </w:rPr>
      </w:pPr>
      <w:r>
        <w:rPr>
          <w:rFonts w:ascii="Times New Roman" w:hAnsi="Times New Roman"/>
          <w:b/>
          <w:color w:val="000000"/>
          <w:sz w:val="20"/>
          <w:shd w:fill="FFFFFF" w:val="clear"/>
        </w:rPr>
        <w:t>Summary Compensation Table for Fiscal Year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information concerning the compensation for services, in all capacities for our fiscal year ended May 31, 2026 of our named executive officers.</w:t>
      </w:r>
    </w:p>
    <w:p>
      <w:pPr>
        <w:pStyle w:val="TextBody"/>
        <w:bidi w:val="0"/>
        <w:spacing w:before="0" w:after="0"/>
        <w:ind w:left="0" w:right="0" w:firstLine="495"/>
        <w:jc w:val="left"/>
        <w:rPr/>
      </w:pPr>
      <w:r>
        <w:rPr/>
      </w:r>
    </w:p>
    <w:p>
      <w:pPr>
        <w:pStyle w:val="Normal"/>
        <w:bidi w:val="0"/>
        <w:spacing w:before="0" w:after="0"/>
        <w:jc w:val="left"/>
        <w:rPr>
          <w:sz w:val="4"/>
          <w:szCs w:val="4"/>
        </w:rPr>
      </w:pPr>
      <w:r>
        <w:rPr>
          <w:sz w:val="4"/>
          <w:szCs w:val="4"/>
        </w:rPr>
      </w:r>
      <w:bookmarkStart w:id="159" w:name="z2ce888edc840476683449ba418c26e58"/>
      <w:bookmarkStart w:id="160" w:name="z2ce888edc840476683449ba418c26e58"/>
      <w:bookmarkEnd w:id="160"/>
    </w:p>
    <w:tbl>
      <w:tblPr>
        <w:tblW w:w="12635" w:type="dxa"/>
        <w:jc w:val="left"/>
        <w:tblInd w:w="0" w:type="dxa"/>
        <w:tblLayout w:type="fixed"/>
        <w:tblCellMar>
          <w:top w:w="0" w:type="dxa"/>
          <w:left w:w="0" w:type="dxa"/>
          <w:bottom w:w="28" w:type="dxa"/>
          <w:right w:w="0" w:type="dxa"/>
        </w:tblCellMar>
      </w:tblPr>
      <w:tblGrid>
        <w:gridCol w:w="1235"/>
        <w:gridCol w:w="635"/>
        <w:gridCol w:w="90"/>
        <w:gridCol w:w="90"/>
        <w:gridCol w:w="830"/>
        <w:gridCol w:w="90"/>
        <w:gridCol w:w="90"/>
        <w:gridCol w:w="164"/>
        <w:gridCol w:w="531"/>
        <w:gridCol w:w="90"/>
        <w:gridCol w:w="90"/>
        <w:gridCol w:w="90"/>
        <w:gridCol w:w="1010"/>
        <w:gridCol w:w="90"/>
        <w:gridCol w:w="90"/>
        <w:gridCol w:w="90"/>
        <w:gridCol w:w="830"/>
        <w:gridCol w:w="90"/>
        <w:gridCol w:w="90"/>
        <w:gridCol w:w="124"/>
        <w:gridCol w:w="1396"/>
        <w:gridCol w:w="90"/>
        <w:gridCol w:w="90"/>
        <w:gridCol w:w="360"/>
        <w:gridCol w:w="1160"/>
        <w:gridCol w:w="90"/>
        <w:gridCol w:w="90"/>
        <w:gridCol w:w="171"/>
        <w:gridCol w:w="1349"/>
        <w:gridCol w:w="90"/>
        <w:gridCol w:w="90"/>
        <w:gridCol w:w="90"/>
        <w:gridCol w:w="1010"/>
        <w:gridCol w:w="120"/>
      </w:tblGrid>
      <w:tr>
        <w:trPr/>
        <w:tc>
          <w:tcPr>
            <w:tcW w:w="1235" w:type="dxa"/>
            <w:tcBorders>
              <w:bottom w:val="single" w:sz="12" w:space="0" w:color="000000"/>
            </w:tcBorders>
            <w:vAlign w:val="bottom"/>
          </w:tcPr>
          <w:p>
            <w:pPr>
              <w:pStyle w:val="TableContents"/>
              <w:bidi w:val="0"/>
              <w:spacing w:before="0" w:after="0"/>
              <w:jc w:val="left"/>
              <w:rPr>
                <w:b/>
                <w:color w:val="000000"/>
              </w:rPr>
            </w:pPr>
            <w:r>
              <w:rPr>
                <w:b/>
                <w:color w:val="000000"/>
              </w:rPr>
              <w:t>Name and Principal</w:t>
            </w:r>
          </w:p>
          <w:p>
            <w:pPr>
              <w:pStyle w:val="TableContents"/>
              <w:bidi w:val="0"/>
              <w:spacing w:before="0" w:after="0"/>
              <w:jc w:val="left"/>
              <w:rPr>
                <w:b/>
                <w:color w:val="000000"/>
              </w:rPr>
            </w:pPr>
            <w:r>
              <w:rPr>
                <w:b/>
                <w:color w:val="000000"/>
              </w:rPr>
              <w:t>Position</w:t>
            </w:r>
          </w:p>
        </w:tc>
        <w:tc>
          <w:tcPr>
            <w:tcW w:w="635" w:type="dxa"/>
            <w:tcBorders>
              <w:bottom w:val="single" w:sz="12" w:space="0" w:color="000000"/>
            </w:tcBorders>
            <w:vAlign w:val="bottom"/>
          </w:tcPr>
          <w:p>
            <w:pPr>
              <w:pStyle w:val="TableContents"/>
              <w:bidi w:val="0"/>
              <w:spacing w:before="0" w:after="0"/>
              <w:jc w:val="center"/>
              <w:rPr>
                <w:b/>
                <w:color w:val="000000"/>
              </w:rPr>
            </w:pPr>
            <w:r>
              <w:rPr>
                <w:b/>
                <w:color w:val="000000"/>
              </w:rPr>
              <w:t>Fiscal</w:t>
            </w:r>
          </w:p>
          <w:p>
            <w:pPr>
              <w:pStyle w:val="TableContents"/>
              <w:bidi w:val="0"/>
              <w:spacing w:before="0" w:after="0"/>
              <w:jc w:val="center"/>
              <w:rPr>
                <w:b/>
                <w:color w:val="000000"/>
              </w:rPr>
            </w:pPr>
            <w:r>
              <w:rPr>
                <w:b/>
                <w:color w:val="000000"/>
              </w:rPr>
              <w:t>Year</w:t>
            </w:r>
          </w:p>
        </w:tc>
        <w:tc>
          <w:tcPr>
            <w:tcW w:w="90" w:type="dxa"/>
            <w:tcBorders>
              <w:bottom w:val="single" w:sz="12" w:space="0" w:color="000000"/>
            </w:tcBorders>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Salary ($)</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695" w:type="dxa"/>
            <w:gridSpan w:val="2"/>
            <w:tcBorders>
              <w:bottom w:val="single" w:sz="12" w:space="0" w:color="000000"/>
            </w:tcBorders>
            <w:vAlign w:val="bottom"/>
          </w:tcPr>
          <w:p>
            <w:pPr>
              <w:pStyle w:val="TableContents"/>
              <w:bidi w:val="0"/>
              <w:spacing w:before="0" w:after="0"/>
              <w:jc w:val="center"/>
              <w:rPr>
                <w:b/>
                <w:color w:val="000000"/>
              </w:rPr>
            </w:pPr>
            <w:r>
              <w:rPr>
                <w:b/>
                <w:color w:val="000000"/>
              </w:rPr>
              <w:t>Bonus ($)</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Stock Awards</w:t>
            </w:r>
          </w:p>
          <w:p>
            <w:pPr>
              <w:pStyle w:val="TableContents"/>
              <w:bidi w:val="0"/>
              <w:spacing w:lineRule="auto" w:line="240" w:before="0" w:after="0"/>
              <w:jc w:val="center"/>
              <w:rPr>
                <w:b/>
                <w:color w:val="000000"/>
              </w:rPr>
            </w:pPr>
            <w:r>
              <w:rPr>
                <w:b/>
                <w:color w:val="000000"/>
              </w:rPr>
              <w:t>($)(1)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Option</w:t>
            </w:r>
          </w:p>
          <w:p>
            <w:pPr>
              <w:pStyle w:val="TableContents"/>
              <w:bidi w:val="0"/>
              <w:spacing w:before="0" w:after="0"/>
              <w:jc w:val="center"/>
              <w:rPr>
                <w:b/>
                <w:color w:val="000000"/>
              </w:rPr>
            </w:pPr>
            <w:r>
              <w:rPr>
                <w:b/>
                <w:color w:val="000000"/>
              </w:rPr>
              <w:t>Awards</w:t>
            </w:r>
          </w:p>
          <w:p>
            <w:pPr>
              <w:pStyle w:val="TableContents"/>
              <w:bidi w:val="0"/>
              <w:spacing w:lineRule="auto" w:line="240" w:before="0" w:after="0"/>
              <w:jc w:val="center"/>
              <w:rPr>
                <w:b/>
                <w:color w:val="000000"/>
              </w:rPr>
            </w:pPr>
            <w:r>
              <w:rPr>
                <w:b/>
                <w:color w:val="000000"/>
              </w:rPr>
              <w:t>($)(2)</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5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Non-Equity</w:t>
            </w:r>
          </w:p>
          <w:p>
            <w:pPr>
              <w:pStyle w:val="TableContents"/>
              <w:bidi w:val="0"/>
              <w:spacing w:before="0" w:after="0"/>
              <w:jc w:val="center"/>
              <w:rPr>
                <w:b/>
                <w:color w:val="000000"/>
              </w:rPr>
            </w:pPr>
            <w:r>
              <w:rPr>
                <w:b/>
                <w:color w:val="000000"/>
              </w:rPr>
              <w:t>Incentive Plan</w:t>
            </w:r>
          </w:p>
          <w:p>
            <w:pPr>
              <w:pStyle w:val="TableContents"/>
              <w:bidi w:val="0"/>
              <w:spacing w:before="0" w:after="0"/>
              <w:jc w:val="center"/>
              <w:rPr>
                <w:b/>
                <w:color w:val="000000"/>
              </w:rPr>
            </w:pPr>
            <w:r>
              <w:rPr>
                <w:b/>
                <w:color w:val="000000"/>
              </w:rPr>
              <w:t>Compensation</w:t>
            </w:r>
          </w:p>
          <w:p>
            <w:pPr>
              <w:pStyle w:val="TableContents"/>
              <w:bidi w:val="0"/>
              <w:spacing w:before="0" w:after="0"/>
              <w:jc w:val="center"/>
              <w:rPr>
                <w:b/>
                <w:color w:val="000000"/>
              </w:rPr>
            </w:pPr>
            <w:r>
              <w:rPr>
                <w:b/>
                <w:color w:val="000000"/>
              </w:rPr>
              <w: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5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Change in</w:t>
            </w:r>
          </w:p>
          <w:p>
            <w:pPr>
              <w:pStyle w:val="TableContents"/>
              <w:bidi w:val="0"/>
              <w:spacing w:before="0" w:after="0"/>
              <w:jc w:val="center"/>
              <w:rPr>
                <w:b/>
                <w:color w:val="000000"/>
              </w:rPr>
            </w:pPr>
            <w:r>
              <w:rPr>
                <w:b/>
                <w:color w:val="000000"/>
              </w:rPr>
              <w:t>Pension Value</w:t>
            </w:r>
          </w:p>
          <w:p>
            <w:pPr>
              <w:pStyle w:val="TableContents"/>
              <w:bidi w:val="0"/>
              <w:spacing w:before="0" w:after="0"/>
              <w:jc w:val="center"/>
              <w:rPr>
                <w:b/>
                <w:color w:val="000000"/>
              </w:rPr>
            </w:pPr>
            <w:r>
              <w:rPr>
                <w:b/>
                <w:color w:val="000000"/>
              </w:rPr>
              <w:t>and</w:t>
            </w:r>
          </w:p>
          <w:p>
            <w:pPr>
              <w:pStyle w:val="TableContents"/>
              <w:bidi w:val="0"/>
              <w:spacing w:before="0" w:after="0"/>
              <w:jc w:val="center"/>
              <w:rPr>
                <w:b/>
                <w:color w:val="000000"/>
              </w:rPr>
            </w:pPr>
            <w:r>
              <w:rPr>
                <w:b/>
                <w:color w:val="000000"/>
              </w:rPr>
              <w:t>Nonqualified</w:t>
            </w:r>
          </w:p>
          <w:p>
            <w:pPr>
              <w:pStyle w:val="TableContents"/>
              <w:bidi w:val="0"/>
              <w:spacing w:before="0" w:after="0"/>
              <w:jc w:val="center"/>
              <w:rPr>
                <w:b/>
                <w:color w:val="000000"/>
              </w:rPr>
            </w:pPr>
            <w:r>
              <w:rPr>
                <w:b/>
                <w:color w:val="000000"/>
              </w:rPr>
              <w:t>Deferred</w:t>
            </w:r>
          </w:p>
          <w:p>
            <w:pPr>
              <w:pStyle w:val="TableContents"/>
              <w:bidi w:val="0"/>
              <w:spacing w:before="0" w:after="0"/>
              <w:jc w:val="center"/>
              <w:rPr>
                <w:b/>
                <w:color w:val="000000"/>
              </w:rPr>
            </w:pPr>
            <w:r>
              <w:rPr>
                <w:b/>
                <w:color w:val="000000"/>
              </w:rPr>
              <w:t>Compensation</w:t>
            </w:r>
          </w:p>
          <w:p>
            <w:pPr>
              <w:pStyle w:val="TableContents"/>
              <w:bidi w:val="0"/>
              <w:spacing w:lineRule="auto" w:line="240" w:before="0" w:after="0"/>
              <w:jc w:val="center"/>
              <w:rPr>
                <w:b/>
                <w:color w:val="000000"/>
              </w:rPr>
            </w:pPr>
            <w:r>
              <w:rPr>
                <w:b/>
                <w:color w:val="000000"/>
              </w:rPr>
              <w:t>Earnings ($) (3)</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5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All Other</w:t>
            </w:r>
          </w:p>
          <w:p>
            <w:pPr>
              <w:pStyle w:val="TableContents"/>
              <w:bidi w:val="0"/>
              <w:spacing w:before="0" w:after="0"/>
              <w:jc w:val="center"/>
              <w:rPr>
                <w:b/>
                <w:color w:val="000000"/>
              </w:rPr>
            </w:pPr>
            <w:r>
              <w:rPr>
                <w:b/>
                <w:color w:val="000000"/>
              </w:rPr>
              <w:t>Compensation</w:t>
            </w:r>
          </w:p>
          <w:p>
            <w:pPr>
              <w:pStyle w:val="TableContents"/>
              <w:bidi w:val="0"/>
              <w:spacing w:lineRule="auto" w:line="240" w:before="0" w:after="0"/>
              <w:jc w:val="center"/>
              <w:rPr>
                <w:b/>
                <w:color w:val="000000"/>
              </w:rPr>
            </w:pPr>
            <w:r>
              <w:rPr>
                <w:b/>
                <w:color w:val="000000"/>
              </w:rPr>
              <w:t>($)(4)</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828,171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3,689,866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1,502,491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39,617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6,060,145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left"/>
              <w:rPr>
                <w:color w:val="000000"/>
              </w:rPr>
            </w:pPr>
            <w:r>
              <w:rPr>
                <w:color w:val="000000"/>
              </w:rPr>
              <w:t>President, CEO</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803,027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2,628,871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808,207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1,215,608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38,572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5,494,285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35"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783,000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2,579,215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820,002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783,000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40,754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5,005,971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635" w:type="dxa"/>
            <w:tcBorders/>
            <w:tcMar>
              <w:bottom w:w="0" w:type="dxa"/>
            </w:tcMar>
            <w:vAlign w:val="center"/>
          </w:tcPr>
          <w:p>
            <w:pPr>
              <w:pStyle w:val="TableContents"/>
              <w:bidi w:val="0"/>
              <w:spacing w:before="0" w:after="0"/>
              <w:jc w:val="center"/>
              <w:rPr>
                <w:color w:val="000000"/>
              </w:rPr>
            </w:pPr>
            <w:r>
              <w:rPr>
                <w:color w:val="000000"/>
              </w:rPr>
              <w:t>2026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471,305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1,556,376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598,538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35,751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2,661,970</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jc w:val="left"/>
              <w:rPr>
                <w:color w:val="000000"/>
              </w:rPr>
            </w:pPr>
            <w:r>
              <w:rPr>
                <w:color w:val="000000"/>
              </w:rPr>
              <w:t>EVP, CFO</w:t>
            </w:r>
          </w:p>
        </w:tc>
        <w:tc>
          <w:tcPr>
            <w:tcW w:w="635" w:type="dxa"/>
            <w:tcBorders/>
            <w:tcMar>
              <w:bottom w:w="0" w:type="dxa"/>
            </w:tcMar>
            <w:vAlign w:val="center"/>
          </w:tcPr>
          <w:p>
            <w:pPr>
              <w:pStyle w:val="TableContents"/>
              <w:bidi w:val="0"/>
              <w:spacing w:before="0" w:after="0"/>
              <w:jc w:val="center"/>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455,847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934,085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287,497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449,664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34,704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2,161,797</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jc w:val="center"/>
              <w:rPr>
                <w:color w:val="000000"/>
              </w:rPr>
            </w:pPr>
            <w:r>
              <w:rPr>
                <w:color w:val="000000"/>
              </w:rPr>
              <w:t> </w:t>
            </w:r>
          </w:p>
        </w:tc>
        <w:tc>
          <w:tcPr>
            <w:tcW w:w="635" w:type="dxa"/>
            <w:tcBorders/>
            <w:tcMar>
              <w:bottom w:w="0" w:type="dxa"/>
            </w:tcMar>
            <w:vAlign w:val="center"/>
          </w:tcPr>
          <w:p>
            <w:pPr>
              <w:pStyle w:val="TableContents"/>
              <w:bidi w:val="0"/>
              <w:spacing w:before="0" w:after="283"/>
              <w:jc w:val="center"/>
              <w:rPr/>
            </w:pPr>
            <w:r>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441,334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802,765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255,219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286,867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36,069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1,822,254</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439,427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552,801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478,332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23,769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1,494,329</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lineRule="auto" w:line="240" w:before="0" w:after="0"/>
              <w:jc w:val="left"/>
              <w:rPr>
                <w:color w:val="000000"/>
              </w:rPr>
            </w:pPr>
            <w:r>
              <w:rPr>
                <w:color w:val="000000"/>
              </w:rPr>
              <w:t>SVP, Chief Legal Officer &amp; Corporate Secretary(6)</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206,731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376,257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386,656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193,500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6,923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1,170,067</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lineRule="auto" w:line="240" w:before="0" w:after="0"/>
              <w:jc w:val="left"/>
              <w:rPr>
                <w:color w:val="000000"/>
              </w:rPr>
            </w:pPr>
            <w:r>
              <w:rPr>
                <w:color w:val="000000"/>
              </w:rPr>
              <w:t>Laura Piccinini (5)</w:t>
            </w:r>
          </w:p>
        </w:tc>
        <w:tc>
          <w:tcPr>
            <w:tcW w:w="635" w:type="dxa"/>
            <w:tcBorders/>
            <w:tcMar>
              <w:bottom w:w="0" w:type="dxa"/>
            </w:tcMar>
            <w:vAlign w:val="center"/>
          </w:tcPr>
          <w:p>
            <w:pPr>
              <w:pStyle w:val="TableContents"/>
              <w:bidi w:val="0"/>
              <w:spacing w:before="0" w:after="0"/>
              <w:jc w:val="center"/>
              <w:rPr>
                <w:color w:val="000000"/>
              </w:rPr>
            </w:pPr>
            <w:r>
              <w:rPr>
                <w:color w:val="000000"/>
              </w:rPr>
              <w:t>2026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470,563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580,047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500,422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57,655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1,608,687</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vMerge w:val="restart"/>
            <w:tcBorders/>
            <w:tcMar>
              <w:bottom w:w="0" w:type="dxa"/>
            </w:tcMar>
            <w:vAlign w:val="bottom"/>
          </w:tcPr>
          <w:p>
            <w:pPr>
              <w:pStyle w:val="TableContents"/>
              <w:bidi w:val="0"/>
              <w:spacing w:before="0" w:after="0"/>
              <w:jc w:val="left"/>
              <w:rPr>
                <w:color w:val="000000"/>
              </w:rPr>
            </w:pPr>
            <w:r>
              <w:rPr>
                <w:color w:val="000000"/>
              </w:rPr>
              <w:t>SVP &amp; GM, Cardiovascular and International</w:t>
            </w:r>
          </w:p>
        </w:tc>
        <w:tc>
          <w:tcPr>
            <w:tcW w:w="635" w:type="dxa"/>
            <w:tcBorders/>
            <w:tcMar>
              <w:bottom w:w="0" w:type="dxa"/>
            </w:tcMar>
            <w:vAlign w:val="center"/>
          </w:tcPr>
          <w:p>
            <w:pPr>
              <w:pStyle w:val="TableContents"/>
              <w:bidi w:val="0"/>
              <w:spacing w:before="0" w:after="0"/>
              <w:jc w:val="center"/>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410,056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414,834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112,291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371,758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60,487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1,369,426</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vMerge w:val="continue"/>
            <w:tcBorders/>
            <w:tcMar>
              <w:bottom w:w="0" w:type="dxa"/>
            </w:tcMar>
            <w:vAlign w:val="bottom"/>
          </w:tcPr>
          <w:p>
            <w:pPr>
              <w:pStyle w:val="Normal"/>
              <w:bidi w:val="0"/>
              <w:jc w:val="left"/>
              <w:rPr/>
            </w:pPr>
            <w:r>
              <w:rPr/>
            </w:r>
          </w:p>
        </w:tc>
        <w:tc>
          <w:tcPr>
            <w:tcW w:w="635" w:type="dxa"/>
            <w:tcBorders/>
            <w:tcMar>
              <w:bottom w:w="0" w:type="dxa"/>
            </w:tcMar>
            <w:vAlign w:val="center"/>
          </w:tcPr>
          <w:p>
            <w:pPr>
              <w:pStyle w:val="TableContents"/>
              <w:bidi w:val="0"/>
              <w:spacing w:before="0" w:after="0"/>
              <w:jc w:val="center"/>
              <w:rPr>
                <w:color w:val="000000"/>
              </w:rPr>
            </w:pPr>
            <w:r>
              <w:rPr>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401,282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396,421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126,032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240,769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64,876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1,229,380</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left"/>
              <w:rPr>
                <w:color w:val="000000"/>
              </w:rPr>
            </w:pPr>
            <w:r>
              <w:rPr>
                <w:color w:val="000000"/>
              </w:rPr>
              <w:t>Warren Nighan</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416,304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525,054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454,313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35,811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1,431,482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vMerge w:val="restart"/>
            <w:tcBorders/>
            <w:shd w:fill="CCEEFF" w:val="clear"/>
            <w:tcMar>
              <w:bottom w:w="0" w:type="dxa"/>
            </w:tcMar>
            <w:vAlign w:val="bottom"/>
          </w:tcPr>
          <w:p>
            <w:pPr>
              <w:pStyle w:val="TableContents"/>
              <w:bidi w:val="0"/>
              <w:spacing w:before="0" w:after="0"/>
              <w:jc w:val="left"/>
              <w:rPr>
                <w:color w:val="000000"/>
              </w:rPr>
            </w:pPr>
            <w:r>
              <w:rPr>
                <w:color w:val="000000"/>
              </w:rPr>
              <w:t>SVP &amp; GM, Global Supply Chain, Quality and Regulatory Affairs</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401,309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337,186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88,391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303,361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34,899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1,165,146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vMerge w:val="continue"/>
            <w:tcBorders/>
            <w:shd w:fill="CCEEFF" w:val="clear"/>
            <w:tcMar>
              <w:bottom w:w="0" w:type="dxa"/>
            </w:tcMar>
            <w:vAlign w:val="bottom"/>
          </w:tcPr>
          <w:p>
            <w:pPr>
              <w:pStyle w:val="Normal"/>
              <w:bidi w:val="0"/>
              <w:jc w:val="left"/>
              <w:rPr/>
            </w:pPr>
            <w:r>
              <w:rPr/>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392,700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280,527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89,188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196,350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36,317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995,082</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1" w:name="z2273674ee81a4d279b8bdaff097d8d03"/>
      <w:bookmarkStart w:id="162" w:name="z2273674ee81a4d279b8bdaff097d8d03"/>
      <w:bookmarkEnd w:id="162"/>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pPr>
            <w:r>
              <w:rPr>
                <w:b/>
              </w:rPr>
              <w:t xml:space="preserve">Stock Awards:  </w:t>
            </w:r>
            <w:r>
              <w:rPr/>
              <w:t>The stock awards column represents aggregate grant date fair value of restricted stock unit awards and performance share awards granted in the respective fiscal year as computed in accordance with FASB ASC Topic 718, Compensation - Stock Compensation. Accordingly, the grant date fair value of restricted stock units was determined by multiplying the number of restricted stock units by the closing stock price on the date of grant, while the grant date fair value of performance share awards was determined using a Monte Carlo simulation.  The assumptions used in the valuation of stock-based awards are discussed in Note 13 to our Audited Consolidated Financial Statements included in our Annual Report on Form 10-K for the fiscal year ended May 31, 2026.  The table below shows the grant date fair value of the performance share awards included in the stock awards column for each year, and the maximum grant date value assuming that the highest level of performance conditions was achieved: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63" w:name="zc7d4383905ed4370b5494f00a47b2590"/>
      <w:bookmarkStart w:id="164" w:name="zc7d4383905ed4370b5494f00a47b2590"/>
      <w:bookmarkEnd w:id="164"/>
    </w:p>
    <w:tbl>
      <w:tblPr>
        <w:tblW w:w="6798" w:type="dxa"/>
        <w:jc w:val="left"/>
        <w:tblInd w:w="0" w:type="dxa"/>
        <w:tblLayout w:type="fixed"/>
        <w:tblCellMar>
          <w:top w:w="0" w:type="dxa"/>
          <w:left w:w="0" w:type="dxa"/>
          <w:bottom w:w="0" w:type="dxa"/>
          <w:right w:w="0" w:type="dxa"/>
        </w:tblCellMar>
      </w:tblPr>
      <w:tblGrid>
        <w:gridCol w:w="2300"/>
        <w:gridCol w:w="1205"/>
        <w:gridCol w:w="90"/>
        <w:gridCol w:w="244"/>
        <w:gridCol w:w="1455"/>
        <w:gridCol w:w="90"/>
        <w:gridCol w:w="90"/>
        <w:gridCol w:w="173"/>
        <w:gridCol w:w="1031"/>
        <w:gridCol w:w="120"/>
      </w:tblGrid>
      <w:tr>
        <w:trPr/>
        <w:tc>
          <w:tcPr>
            <w:tcW w:w="2300" w:type="dxa"/>
            <w:tcBorders/>
            <w:vAlign w:val="bottom"/>
          </w:tcPr>
          <w:p>
            <w:pPr>
              <w:pStyle w:val="TableContents"/>
              <w:bidi w:val="0"/>
              <w:spacing w:before="0" w:after="283"/>
              <w:jc w:val="left"/>
              <w:rPr/>
            </w:pPr>
            <w:r>
              <w:rPr/>
              <w:t> </w:t>
            </w:r>
          </w:p>
        </w:tc>
        <w:tc>
          <w:tcPr>
            <w:tcW w:w="4378" w:type="dxa"/>
            <w:gridSpan w:val="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Performance Shares</w:t>
            </w:r>
          </w:p>
        </w:tc>
        <w:tc>
          <w:tcPr>
            <w:tcW w:w="120" w:type="dxa"/>
            <w:tcBorders/>
            <w:vAlign w:val="bottom"/>
          </w:tcPr>
          <w:p>
            <w:pPr>
              <w:pStyle w:val="TableContents"/>
              <w:bidi w:val="0"/>
              <w:spacing w:before="0" w:after="283"/>
              <w:jc w:val="left"/>
              <w:rPr/>
            </w:pPr>
            <w:r>
              <w:rPr/>
              <w:t> </w:t>
            </w:r>
          </w:p>
        </w:tc>
      </w:tr>
      <w:tr>
        <w:trPr/>
        <w:tc>
          <w:tcPr>
            <w:tcW w:w="230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Name</w:t>
            </w:r>
          </w:p>
        </w:tc>
        <w:tc>
          <w:tcPr>
            <w:tcW w:w="1205"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Grant Date</w:t>
            </w:r>
          </w:p>
        </w:tc>
        <w:tc>
          <w:tcPr>
            <w:tcW w:w="90" w:type="dxa"/>
            <w:tcBorders/>
            <w:vAlign w:val="bottom"/>
          </w:tcPr>
          <w:p>
            <w:pPr>
              <w:pStyle w:val="TableContents"/>
              <w:bidi w:val="0"/>
              <w:spacing w:before="0" w:after="283"/>
              <w:jc w:val="left"/>
              <w:rPr/>
            </w:pPr>
            <w:r>
              <w:rPr/>
              <w:t> </w:t>
            </w:r>
          </w:p>
        </w:tc>
        <w:tc>
          <w:tcPr>
            <w:tcW w:w="16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Grant Date 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Grant Date</w:t>
            </w:r>
          </w:p>
          <w:p>
            <w:pPr>
              <w:pStyle w:val="TableContents"/>
              <w:bidi w:val="0"/>
              <w:spacing w:lineRule="auto" w:line="240" w:before="0" w:after="0"/>
              <w:jc w:val="center"/>
              <w:rPr>
                <w:b/>
                <w:color w:val="000000"/>
              </w:rPr>
            </w:pPr>
            <w:r>
              <w:rPr>
                <w:b/>
                <w:color w:val="000000"/>
              </w:rPr>
              <w:t>Value (a)</w:t>
            </w:r>
          </w:p>
        </w:tc>
        <w:tc>
          <w:tcPr>
            <w:tcW w:w="12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color w:val="000000"/>
              </w:rPr>
            </w:pPr>
            <w:r>
              <w:rPr>
                <w:color w:val="000000"/>
              </w:rPr>
              <w:t>James C. Clemmer</w:t>
            </w:r>
          </w:p>
        </w:tc>
        <w:tc>
          <w:tcPr>
            <w:tcW w:w="1205" w:type="dxa"/>
            <w:tcBorders/>
            <w:shd w:fill="CCEEFF" w:val="clear"/>
            <w:vAlign w:val="bottom"/>
          </w:tcPr>
          <w:p>
            <w:pPr>
              <w:pStyle w:val="TableContents"/>
              <w:bidi w:val="0"/>
              <w:spacing w:before="0" w:after="0"/>
              <w:jc w:val="center"/>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1,916,090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3,832,180</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r>
          </w:p>
        </w:tc>
        <w:tc>
          <w:tcPr>
            <w:tcW w:w="1205" w:type="dxa"/>
            <w:tcBorders/>
            <w:shd w:fill="CCEEFF" w:val="clear"/>
            <w:vAlign w:val="bottom"/>
          </w:tcPr>
          <w:p>
            <w:pPr>
              <w:pStyle w:val="TableContents"/>
              <w:bidi w:val="0"/>
              <w:spacing w:before="0" w:after="0"/>
              <w:jc w:val="center"/>
              <w:rPr>
                <w:color w:val="000000"/>
              </w:rPr>
            </w:pPr>
            <w:r>
              <w:rPr>
                <w:color w:val="000000"/>
              </w:rPr>
              <w:t> </w:t>
            </w:r>
            <w:r>
              <w:rPr>
                <w:color w:val="000000"/>
              </w:rPr>
              <w:t>7/17/2024</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1,817,624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3,635,248</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r>
          </w:p>
        </w:tc>
        <w:tc>
          <w:tcPr>
            <w:tcW w:w="1205" w:type="dxa"/>
            <w:tcBorders/>
            <w:shd w:fill="CCEEFF" w:val="clear"/>
            <w:vAlign w:val="bottom"/>
          </w:tcPr>
          <w:p>
            <w:pPr>
              <w:pStyle w:val="TableContents"/>
              <w:bidi w:val="0"/>
              <w:spacing w:before="0" w:after="0"/>
              <w:jc w:val="center"/>
              <w:rPr>
                <w:color w:val="000000"/>
              </w:rPr>
            </w:pPr>
            <w:r>
              <w:rPr>
                <w:color w:val="000000"/>
              </w:rPr>
              <w:t> </w:t>
            </w:r>
            <w:r>
              <w:rPr>
                <w:color w:val="000000"/>
              </w:rPr>
              <w:t>7/19/2023</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1,756,960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3,513,920</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color w:val="000000"/>
              </w:rPr>
            </w:pPr>
            <w:r>
              <w:rPr>
                <w:color w:val="000000"/>
              </w:rPr>
              <w:t>Stephen A. Trowbridge</w:t>
            </w:r>
          </w:p>
        </w:tc>
        <w:tc>
          <w:tcPr>
            <w:tcW w:w="1205" w:type="dxa"/>
            <w:tcBorders/>
            <w:vAlign w:val="bottom"/>
          </w:tcPr>
          <w:p>
            <w:pPr>
              <w:pStyle w:val="TableContents"/>
              <w:bidi w:val="0"/>
              <w:spacing w:before="0" w:after="0"/>
              <w:jc w:val="center"/>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808,202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1,616,404</w:t>
            </w:r>
          </w:p>
        </w:tc>
        <w:tc>
          <w:tcPr>
            <w:tcW w:w="12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283"/>
              <w:jc w:val="left"/>
              <w:rPr/>
            </w:pPr>
            <w:r>
              <w:rPr/>
            </w:r>
          </w:p>
        </w:tc>
        <w:tc>
          <w:tcPr>
            <w:tcW w:w="1205" w:type="dxa"/>
            <w:tcBorders/>
            <w:vAlign w:val="bottom"/>
          </w:tcPr>
          <w:p>
            <w:pPr>
              <w:pStyle w:val="TableContents"/>
              <w:bidi w:val="0"/>
              <w:spacing w:before="0" w:after="0"/>
              <w:jc w:val="center"/>
              <w:rPr>
                <w:color w:val="000000"/>
              </w:rPr>
            </w:pPr>
            <w:r>
              <w:rPr>
                <w:color w:val="000000"/>
              </w:rPr>
              <w:t> </w:t>
            </w:r>
            <w:r>
              <w:rPr>
                <w:color w:val="000000"/>
              </w:rPr>
              <w:t>7/17/2024</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645,832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1,291,664</w:t>
            </w:r>
          </w:p>
        </w:tc>
        <w:tc>
          <w:tcPr>
            <w:tcW w:w="12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pPr>
            <w:r>
              <w:rPr/>
            </w:r>
          </w:p>
        </w:tc>
        <w:tc>
          <w:tcPr>
            <w:tcW w:w="1205" w:type="dxa"/>
            <w:tcBorders/>
            <w:vAlign w:val="bottom"/>
          </w:tcPr>
          <w:p>
            <w:pPr>
              <w:pStyle w:val="TableContents"/>
              <w:bidi w:val="0"/>
              <w:spacing w:before="0" w:after="0"/>
              <w:jc w:val="center"/>
              <w:rPr>
                <w:color w:val="000000"/>
              </w:rPr>
            </w:pPr>
            <w:r>
              <w:rPr>
                <w:color w:val="000000"/>
              </w:rPr>
              <w:t> </w:t>
            </w:r>
            <w:r>
              <w:rPr>
                <w:color w:val="000000"/>
              </w:rPr>
              <w:t>7/19/2023</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546,841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1,093,682</w:t>
            </w:r>
          </w:p>
        </w:tc>
        <w:tc>
          <w:tcPr>
            <w:tcW w:w="12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color w:val="000000"/>
              </w:rPr>
            </w:pPr>
            <w:r>
              <w:rPr>
                <w:color w:val="000000"/>
              </w:rPr>
              <w:t>Lawrence Weiss</w:t>
            </w:r>
          </w:p>
        </w:tc>
        <w:tc>
          <w:tcPr>
            <w:tcW w:w="1205" w:type="dxa"/>
            <w:tcBorders/>
            <w:shd w:fill="CCEEFF" w:val="clear"/>
            <w:vAlign w:val="bottom"/>
          </w:tcPr>
          <w:p>
            <w:pPr>
              <w:pStyle w:val="TableContents"/>
              <w:bidi w:val="0"/>
              <w:spacing w:before="0" w:after="0"/>
              <w:jc w:val="center"/>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287,061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574,122</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color w:val="000000"/>
              </w:rPr>
            </w:pPr>
            <w:r>
              <w:rPr>
                <w:color w:val="000000"/>
              </w:rPr>
              <w:t>Laura Piccinini</w:t>
            </w:r>
          </w:p>
        </w:tc>
        <w:tc>
          <w:tcPr>
            <w:tcW w:w="1205" w:type="dxa"/>
            <w:tcBorders/>
            <w:vAlign w:val="bottom"/>
          </w:tcPr>
          <w:p>
            <w:pPr>
              <w:pStyle w:val="TableContents"/>
              <w:bidi w:val="0"/>
              <w:spacing w:before="0" w:after="0"/>
              <w:jc w:val="center"/>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301,210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602,420</w:t>
            </w:r>
          </w:p>
        </w:tc>
        <w:tc>
          <w:tcPr>
            <w:tcW w:w="12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283"/>
              <w:jc w:val="left"/>
              <w:rPr/>
            </w:pPr>
            <w:r>
              <w:rPr/>
            </w:r>
          </w:p>
        </w:tc>
        <w:tc>
          <w:tcPr>
            <w:tcW w:w="1205" w:type="dxa"/>
            <w:tcBorders/>
            <w:vAlign w:val="bottom"/>
          </w:tcPr>
          <w:p>
            <w:pPr>
              <w:pStyle w:val="TableContents"/>
              <w:bidi w:val="0"/>
              <w:spacing w:before="0" w:after="0"/>
              <w:jc w:val="center"/>
              <w:rPr>
                <w:color w:val="000000"/>
              </w:rPr>
            </w:pPr>
            <w:r>
              <w:rPr>
                <w:color w:val="000000"/>
              </w:rPr>
              <w:t> </w:t>
            </w:r>
            <w:r>
              <w:rPr>
                <w:color w:val="000000"/>
              </w:rPr>
              <w:t>7/17/2024</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252,248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504,496</w:t>
            </w:r>
          </w:p>
        </w:tc>
        <w:tc>
          <w:tcPr>
            <w:tcW w:w="12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283"/>
              <w:jc w:val="left"/>
              <w:rPr/>
            </w:pPr>
            <w:r>
              <w:rPr/>
            </w:r>
          </w:p>
        </w:tc>
        <w:tc>
          <w:tcPr>
            <w:tcW w:w="1205" w:type="dxa"/>
            <w:tcBorders/>
            <w:vAlign w:val="bottom"/>
          </w:tcPr>
          <w:p>
            <w:pPr>
              <w:pStyle w:val="TableContents"/>
              <w:bidi w:val="0"/>
              <w:spacing w:before="0" w:after="0"/>
              <w:jc w:val="center"/>
              <w:rPr>
                <w:color w:val="000000"/>
              </w:rPr>
            </w:pPr>
            <w:r>
              <w:rPr>
                <w:color w:val="000000"/>
              </w:rPr>
              <w:t> </w:t>
            </w:r>
            <w:r>
              <w:rPr>
                <w:color w:val="000000"/>
              </w:rPr>
              <w:t>7/19/2023</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270,042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540,084</w:t>
            </w:r>
          </w:p>
        </w:tc>
        <w:tc>
          <w:tcPr>
            <w:tcW w:w="12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color w:val="000000"/>
              </w:rPr>
            </w:pPr>
            <w:r>
              <w:rPr>
                <w:color w:val="000000"/>
              </w:rPr>
              <w:t>Warren G. Nighan</w:t>
            </w:r>
          </w:p>
        </w:tc>
        <w:tc>
          <w:tcPr>
            <w:tcW w:w="1205" w:type="dxa"/>
            <w:tcBorders/>
            <w:shd w:fill="CCEEFF" w:val="clear"/>
            <w:vAlign w:val="bottom"/>
          </w:tcPr>
          <w:p>
            <w:pPr>
              <w:pStyle w:val="TableContents"/>
              <w:bidi w:val="0"/>
              <w:spacing w:before="0" w:after="0"/>
              <w:jc w:val="center"/>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272,652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545,304</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r>
          </w:p>
        </w:tc>
        <w:tc>
          <w:tcPr>
            <w:tcW w:w="1205" w:type="dxa"/>
            <w:tcBorders/>
            <w:shd w:fill="CCEEFF" w:val="clear"/>
            <w:vAlign w:val="bottom"/>
          </w:tcPr>
          <w:p>
            <w:pPr>
              <w:pStyle w:val="TableContents"/>
              <w:bidi w:val="0"/>
              <w:spacing w:before="0" w:after="0"/>
              <w:jc w:val="center"/>
              <w:rPr>
                <w:color w:val="000000"/>
              </w:rPr>
            </w:pPr>
            <w:r>
              <w:rPr>
                <w:color w:val="000000"/>
              </w:rPr>
              <w:t> </w:t>
            </w:r>
            <w:r>
              <w:rPr>
                <w:color w:val="000000"/>
              </w:rPr>
              <w:t>7/17/2024</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198,562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397,124</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r>
          </w:p>
        </w:tc>
        <w:tc>
          <w:tcPr>
            <w:tcW w:w="1205" w:type="dxa"/>
            <w:tcBorders/>
            <w:shd w:fill="CCEEFF" w:val="clear"/>
            <w:vAlign w:val="bottom"/>
          </w:tcPr>
          <w:p>
            <w:pPr>
              <w:pStyle w:val="TableContents"/>
              <w:bidi w:val="0"/>
              <w:spacing w:before="0" w:after="0"/>
              <w:jc w:val="center"/>
              <w:rPr>
                <w:color w:val="000000"/>
              </w:rPr>
            </w:pPr>
            <w:r>
              <w:rPr>
                <w:color w:val="000000"/>
              </w:rPr>
              <w:t> </w:t>
            </w:r>
            <w:r>
              <w:rPr>
                <w:color w:val="000000"/>
              </w:rPr>
              <w:t>7/19/2023</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191,096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382,192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(a) Excludes TSR modifier.  For maximum grant date value with the TSR modifier see Grants of Plan-Based Awards for Fiscal Year 2026.</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5" w:name="z437698a8bc514f8c8c8b99aa2e5c381d"/>
      <w:bookmarkStart w:id="166" w:name="z437698a8bc514f8c8c8b99aa2e5c381d"/>
      <w:bookmarkEnd w:id="166"/>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pPr>
            <w:r>
              <w:rPr>
                <w:b/>
              </w:rPr>
              <w:t>Option Awards:</w:t>
            </w:r>
            <w:r>
              <w:rPr/>
              <w:t>  The option awards column represents the aggregate grant date fair value of stock option awards granted in the respective fiscal year as computed in accordance with FASB ASC Topic 718, Compensation - Stock Compensation.  The fair value of each stock option award is estimated on the grant date using the Black-Scholes option valuation model.  The assumptions used in the valuation of stock-based awards are discussed in Note 13 to our Audited Consolidated Financial Statements included in our Annual Report on Form 10-K for the fiscal year ended May 31, 2026.</w:t>
            </w:r>
          </w:p>
        </w:tc>
      </w:tr>
    </w:tbl>
    <w:p>
      <w:pPr>
        <w:pStyle w:val="Normal"/>
        <w:bidi w:val="0"/>
        <w:spacing w:before="0" w:after="0"/>
        <w:jc w:val="left"/>
        <w:rPr>
          <w:sz w:val="4"/>
          <w:szCs w:val="4"/>
        </w:rPr>
      </w:pPr>
      <w:r>
        <w:rPr>
          <w:sz w:val="4"/>
          <w:szCs w:val="4"/>
        </w:rPr>
      </w:r>
      <w:bookmarkStart w:id="167" w:name="zd39401b667034f9aa98ccee8e4ffe385"/>
      <w:bookmarkStart w:id="168" w:name="zd39401b667034f9aa98ccee8e4ffe385"/>
      <w:bookmarkEnd w:id="168"/>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left"/>
              <w:rPr/>
            </w:pPr>
            <w:r>
              <w:rPr/>
              <w:t>For each of the Named Executive Officers, the amounts reported in Non-Equity Incentive Plan Compensation include the payments under our fiscal year 2026 annual cash incentive program, as described above under “Annual Cash Incentives.”</w:t>
            </w:r>
          </w:p>
        </w:tc>
      </w:tr>
    </w:tbl>
    <w:p>
      <w:pPr>
        <w:pStyle w:val="Normal"/>
        <w:bidi w:val="0"/>
        <w:spacing w:before="0" w:after="0"/>
        <w:jc w:val="left"/>
        <w:rPr>
          <w:sz w:val="4"/>
          <w:szCs w:val="4"/>
        </w:rPr>
      </w:pPr>
      <w:r>
        <w:rPr>
          <w:sz w:val="4"/>
          <w:szCs w:val="4"/>
        </w:rPr>
      </w:r>
      <w:bookmarkStart w:id="169" w:name="z22ae0a3924724262a9d2b0a861f29d85"/>
      <w:bookmarkStart w:id="170" w:name="z22ae0a3924724262a9d2b0a861f29d85"/>
      <w:bookmarkEnd w:id="170"/>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w:t>
            </w:r>
          </w:p>
        </w:tc>
        <w:tc>
          <w:tcPr>
            <w:tcW w:w="9924" w:type="dxa"/>
            <w:tcBorders/>
            <w:vAlign w:val="center"/>
          </w:tcPr>
          <w:p>
            <w:pPr>
              <w:pStyle w:val="TableContents"/>
              <w:bidi w:val="0"/>
              <w:spacing w:before="0" w:after="0"/>
              <w:jc w:val="left"/>
              <w:rPr/>
            </w:pPr>
            <w:r>
              <w:rPr/>
              <w:t>For each of the Named Executive Officers, the amounts reported in All Other Compensation include amounts we contributed as matching contributions under the 401(k) Plan, car allowance, payments for leased vehicles and housing allowance in connection with commencement of employment and are provided in the table below:</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71" w:name="z06183f5614594af382e8d066a6f5ac56"/>
      <w:bookmarkStart w:id="172" w:name="z06183f5614594af382e8d066a6f5ac56"/>
      <w:bookmarkEnd w:id="172"/>
    </w:p>
    <w:tbl>
      <w:tblPr>
        <w:tblW w:w="10205" w:type="dxa"/>
        <w:jc w:val="left"/>
        <w:tblInd w:w="0" w:type="dxa"/>
        <w:tblLayout w:type="fixed"/>
        <w:tblCellMar>
          <w:top w:w="0" w:type="dxa"/>
          <w:left w:w="0" w:type="dxa"/>
          <w:bottom w:w="28" w:type="dxa"/>
          <w:right w:w="0" w:type="dxa"/>
        </w:tblCellMar>
      </w:tblPr>
      <w:tblGrid>
        <w:gridCol w:w="2261"/>
        <w:gridCol w:w="649"/>
        <w:gridCol w:w="90"/>
        <w:gridCol w:w="192"/>
        <w:gridCol w:w="1518"/>
        <w:gridCol w:w="90"/>
        <w:gridCol w:w="90"/>
        <w:gridCol w:w="175"/>
        <w:gridCol w:w="1387"/>
        <w:gridCol w:w="90"/>
        <w:gridCol w:w="90"/>
        <w:gridCol w:w="159"/>
        <w:gridCol w:w="1272"/>
        <w:gridCol w:w="90"/>
        <w:gridCol w:w="90"/>
        <w:gridCol w:w="206"/>
        <w:gridCol w:w="1630"/>
        <w:gridCol w:w="126"/>
      </w:tblGrid>
      <w:tr>
        <w:trPr/>
        <w:tc>
          <w:tcPr>
            <w:tcW w:w="2261" w:type="dxa"/>
            <w:tcBorders>
              <w:bottom w:val="single" w:sz="12" w:space="0" w:color="000000"/>
            </w:tcBorders>
            <w:vAlign w:val="bottom"/>
          </w:tcPr>
          <w:p>
            <w:pPr>
              <w:pStyle w:val="TableContents"/>
              <w:bidi w:val="0"/>
              <w:spacing w:before="0" w:after="0"/>
              <w:jc w:val="left"/>
              <w:rPr>
                <w:b/>
                <w:color w:val="000000"/>
              </w:rPr>
            </w:pPr>
            <w:r>
              <w:rPr>
                <w:b/>
                <w:color w:val="000000"/>
              </w:rPr>
              <w:t>Name</w:t>
            </w:r>
          </w:p>
        </w:tc>
        <w:tc>
          <w:tcPr>
            <w:tcW w:w="649" w:type="dxa"/>
            <w:tcBorders>
              <w:bottom w:val="single" w:sz="12" w:space="0" w:color="000000"/>
            </w:tcBorders>
            <w:vAlign w:val="bottom"/>
          </w:tcPr>
          <w:p>
            <w:pPr>
              <w:pStyle w:val="TableContents"/>
              <w:bidi w:val="0"/>
              <w:spacing w:before="0" w:after="0"/>
              <w:jc w:val="center"/>
              <w:rPr>
                <w:b/>
                <w:color w:val="000000"/>
              </w:rPr>
            </w:pPr>
            <w:r>
              <w:rPr>
                <w:b/>
                <w:color w:val="000000"/>
              </w:rPr>
              <w:t>Fiscal</w:t>
            </w:r>
          </w:p>
          <w:p>
            <w:pPr>
              <w:pStyle w:val="TableContents"/>
              <w:bidi w:val="0"/>
              <w:spacing w:before="0" w:after="0"/>
              <w:jc w:val="center"/>
              <w:rPr>
                <w:b/>
                <w:color w:val="000000"/>
              </w:rPr>
            </w:pPr>
            <w:r>
              <w:rPr>
                <w:b/>
                <w:color w:val="000000"/>
              </w:rPr>
              <w:t>Year</w:t>
            </w:r>
          </w:p>
        </w:tc>
        <w:tc>
          <w:tcPr>
            <w:tcW w:w="90" w:type="dxa"/>
            <w:tcBorders>
              <w:bottom w:val="single" w:sz="12" w:space="0" w:color="000000"/>
            </w:tcBorders>
            <w:vAlign w:val="bottom"/>
          </w:tcPr>
          <w:p>
            <w:pPr>
              <w:pStyle w:val="TableContents"/>
              <w:bidi w:val="0"/>
              <w:spacing w:before="0" w:after="283"/>
              <w:jc w:val="left"/>
              <w:rPr/>
            </w:pPr>
            <w:r>
              <w:rPr/>
              <w:t> </w:t>
            </w:r>
          </w:p>
        </w:tc>
        <w:tc>
          <w:tcPr>
            <w:tcW w:w="1710" w:type="dxa"/>
            <w:gridSpan w:val="2"/>
            <w:tcBorders>
              <w:bottom w:val="single" w:sz="12" w:space="0" w:color="000000"/>
            </w:tcBorders>
            <w:vAlign w:val="bottom"/>
          </w:tcPr>
          <w:p>
            <w:pPr>
              <w:pStyle w:val="TableContents"/>
              <w:bidi w:val="0"/>
              <w:spacing w:before="0" w:after="0"/>
              <w:jc w:val="center"/>
              <w:rPr>
                <w:b/>
                <w:color w:val="000000"/>
              </w:rPr>
            </w:pPr>
            <w:r>
              <w:rPr>
                <w:b/>
                <w:color w:val="000000"/>
              </w:rPr>
              <w:t>401(k) Match ($)</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562" w:type="dxa"/>
            <w:gridSpan w:val="2"/>
            <w:tcBorders>
              <w:bottom w:val="single" w:sz="12" w:space="0" w:color="000000"/>
            </w:tcBorders>
            <w:vAlign w:val="bottom"/>
          </w:tcPr>
          <w:p>
            <w:pPr>
              <w:pStyle w:val="TableContents"/>
              <w:bidi w:val="0"/>
              <w:spacing w:before="0" w:after="0"/>
              <w:jc w:val="center"/>
              <w:rPr>
                <w:b/>
                <w:color w:val="000000"/>
              </w:rPr>
            </w:pPr>
            <w:r>
              <w:rPr>
                <w:b/>
                <w:color w:val="000000"/>
              </w:rPr>
              <w:t>Car Allowance</w:t>
            </w:r>
          </w:p>
          <w:p>
            <w:pPr>
              <w:pStyle w:val="TableContents"/>
              <w:bidi w:val="0"/>
              <w:spacing w:before="0" w:after="0"/>
              <w:jc w:val="center"/>
              <w:rPr>
                <w:b/>
                <w:color w:val="000000"/>
              </w:rPr>
            </w:pPr>
            <w:r>
              <w:rPr>
                <w:b/>
                <w:color w:val="000000"/>
              </w:rPr>
              <w: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431" w:type="dxa"/>
            <w:gridSpan w:val="2"/>
            <w:tcBorders>
              <w:bottom w:val="single" w:sz="12" w:space="0" w:color="000000"/>
            </w:tcBorders>
            <w:vAlign w:val="bottom"/>
          </w:tcPr>
          <w:p>
            <w:pPr>
              <w:pStyle w:val="TableContents"/>
              <w:bidi w:val="0"/>
              <w:spacing w:before="0" w:after="0"/>
              <w:jc w:val="center"/>
              <w:rPr>
                <w:b/>
                <w:color w:val="000000"/>
              </w:rPr>
            </w:pPr>
            <w:r>
              <w:rPr>
                <w:b/>
                <w:color w:val="000000"/>
              </w:rPr>
              <w:t>Housing</w:t>
            </w:r>
          </w:p>
          <w:p>
            <w:pPr>
              <w:pStyle w:val="TableContents"/>
              <w:bidi w:val="0"/>
              <w:spacing w:before="0" w:after="0"/>
              <w:jc w:val="center"/>
              <w:rPr>
                <w:b/>
                <w:color w:val="000000"/>
              </w:rPr>
            </w:pPr>
            <w:r>
              <w:rPr>
                <w:b/>
                <w:color w:val="000000"/>
              </w:rPr>
              <w:t>Allowance ($)</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836"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All Other</w:t>
            </w:r>
          </w:p>
          <w:p>
            <w:pPr>
              <w:pStyle w:val="TableContents"/>
              <w:bidi w:val="0"/>
              <w:spacing w:before="0" w:after="0"/>
              <w:jc w:val="center"/>
              <w:rPr>
                <w:b/>
                <w:color w:val="000000"/>
              </w:rPr>
            </w:pPr>
            <w:r>
              <w:rPr>
                <w:b/>
                <w:color w:val="000000"/>
              </w:rPr>
              <w:t>Compensation ($)</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649" w:type="dxa"/>
            <w:tcBorders/>
            <w:shd w:fill="CCEEFF" w:val="clear"/>
            <w:tcMar>
              <w:bottom w:w="0" w:type="dxa"/>
            </w:tcMar>
            <w:vAlign w:val="bottom"/>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21,617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18,000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39,617</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r>
          </w:p>
        </w:tc>
        <w:tc>
          <w:tcPr>
            <w:tcW w:w="649" w:type="dxa"/>
            <w:tcBorders/>
            <w:shd w:fill="CCEEFF" w:val="clear"/>
            <w:tcMar>
              <w:bottom w:w="0" w:type="dxa"/>
            </w:tcMar>
            <w:vAlign w:val="bottom"/>
          </w:tcPr>
          <w:p>
            <w:pPr>
              <w:pStyle w:val="TableContents"/>
              <w:bidi w:val="0"/>
              <w:spacing w:before="0" w:after="283"/>
              <w:jc w:val="center"/>
              <w:rPr/>
            </w:pPr>
            <w:r>
              <w:rPr/>
              <w:t> </w:t>
            </w:r>
            <w:r>
              <w:rPr/>
              <w:t xml:space="preserve">2025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20,571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18,000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38,571</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r>
          </w:p>
        </w:tc>
        <w:tc>
          <w:tcPr>
            <w:tcW w:w="649" w:type="dxa"/>
            <w:tcBorders/>
            <w:shd w:fill="CCEEFF" w:val="clear"/>
            <w:tcMar>
              <w:bottom w:w="0" w:type="dxa"/>
            </w:tcMar>
            <w:vAlign w:val="bottom"/>
          </w:tcPr>
          <w:p>
            <w:pPr>
              <w:pStyle w:val="TableContents"/>
              <w:bidi w:val="0"/>
              <w:spacing w:before="0" w:after="283"/>
              <w:jc w:val="center"/>
              <w:rPr/>
            </w:pPr>
            <w:r>
              <w:rPr/>
              <w:t> </w:t>
            </w:r>
            <w:r>
              <w:rPr/>
              <w:t xml:space="preserve">2024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22,062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18,692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40,754</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649" w:type="dxa"/>
            <w:tcBorders/>
            <w:tcMar>
              <w:bottom w:w="0" w:type="dxa"/>
            </w:tcMar>
            <w:vAlign w:val="bottom"/>
          </w:tcPr>
          <w:p>
            <w:pPr>
              <w:pStyle w:val="TableContents"/>
              <w:bidi w:val="0"/>
              <w:spacing w:before="0" w:after="0"/>
              <w:jc w:val="center"/>
              <w:rPr>
                <w:color w:val="000000"/>
              </w:rPr>
            </w:pPr>
            <w:r>
              <w:rPr>
                <w:color w:val="000000"/>
              </w:rPr>
              <w:t>2026</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21,351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14,400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35,751</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283"/>
              <w:jc w:val="left"/>
              <w:rPr/>
            </w:pPr>
            <w:r>
              <w:rPr/>
            </w:r>
          </w:p>
        </w:tc>
        <w:tc>
          <w:tcPr>
            <w:tcW w:w="649" w:type="dxa"/>
            <w:tcBorders/>
            <w:tcMar>
              <w:bottom w:w="0" w:type="dxa"/>
            </w:tcMar>
            <w:vAlign w:val="bottom"/>
          </w:tcPr>
          <w:p>
            <w:pPr>
              <w:pStyle w:val="TableContents"/>
              <w:bidi w:val="0"/>
              <w:spacing w:before="0" w:after="283"/>
              <w:jc w:val="center"/>
              <w:rPr/>
            </w:pPr>
            <w:r>
              <w:rPr/>
              <w:t> </w:t>
            </w:r>
            <w:r>
              <w:rPr/>
              <w:t xml:space="preserve">2025 </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20,304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14,400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34,704</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r>
          </w:p>
        </w:tc>
        <w:tc>
          <w:tcPr>
            <w:tcW w:w="649" w:type="dxa"/>
            <w:tcBorders/>
            <w:tcMar>
              <w:bottom w:w="0" w:type="dxa"/>
            </w:tcMar>
            <w:vAlign w:val="bottom"/>
          </w:tcPr>
          <w:p>
            <w:pPr>
              <w:pStyle w:val="TableContents"/>
              <w:bidi w:val="0"/>
              <w:spacing w:before="0" w:after="283"/>
              <w:jc w:val="center"/>
              <w:rPr/>
            </w:pPr>
            <w:r>
              <w:rPr/>
              <w:t> </w:t>
            </w:r>
            <w:r>
              <w:rPr/>
              <w:t xml:space="preserve">2024 </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21,115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14,954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36,069</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649" w:type="dxa"/>
            <w:tcBorders/>
            <w:shd w:fill="CCEEFF" w:val="clear"/>
            <w:tcMar>
              <w:bottom w:w="0" w:type="dxa"/>
            </w:tcMar>
            <w:vAlign w:val="bottom"/>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9,369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14,400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23,769</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r>
          </w:p>
        </w:tc>
        <w:tc>
          <w:tcPr>
            <w:tcW w:w="649" w:type="dxa"/>
            <w:tcBorders/>
            <w:shd w:fill="CCEEFF" w:val="clear"/>
            <w:tcMar>
              <w:bottom w:w="0" w:type="dxa"/>
            </w:tcMar>
            <w:vAlign w:val="bottom"/>
          </w:tcPr>
          <w:p>
            <w:pPr>
              <w:pStyle w:val="TableContents"/>
              <w:bidi w:val="0"/>
              <w:spacing w:before="0" w:after="283"/>
              <w:jc w:val="center"/>
              <w:rPr/>
            </w:pPr>
            <w:r>
              <w:rPr/>
              <w:t> </w:t>
            </w:r>
            <w:r>
              <w:rPr/>
              <w:t xml:space="preserve">2025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6,923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6,923</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t>Laura Piccinini</w:t>
            </w:r>
          </w:p>
        </w:tc>
        <w:tc>
          <w:tcPr>
            <w:tcW w:w="649" w:type="dxa"/>
            <w:tcBorders/>
            <w:tcMar>
              <w:bottom w:w="0" w:type="dxa"/>
            </w:tcMar>
            <w:vAlign w:val="bottom"/>
          </w:tcPr>
          <w:p>
            <w:pPr>
              <w:pStyle w:val="TableContents"/>
              <w:bidi w:val="0"/>
              <w:spacing w:before="0" w:after="0"/>
              <w:jc w:val="center"/>
              <w:rPr>
                <w:color w:val="000000"/>
              </w:rPr>
            </w:pPr>
            <w:r>
              <w:rPr>
                <w:color w:val="000000"/>
              </w:rPr>
              <w:t>2026</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22,658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34,997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57,655</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r>
          </w:p>
        </w:tc>
        <w:tc>
          <w:tcPr>
            <w:tcW w:w="649" w:type="dxa"/>
            <w:tcBorders/>
            <w:tcMar>
              <w:bottom w:w="0" w:type="dxa"/>
            </w:tcMar>
            <w:vAlign w:val="bottom"/>
          </w:tcPr>
          <w:p>
            <w:pPr>
              <w:pStyle w:val="TableContents"/>
              <w:bidi w:val="0"/>
              <w:spacing w:before="0" w:after="283"/>
              <w:jc w:val="center"/>
              <w:rPr/>
            </w:pPr>
            <w:r>
              <w:rPr/>
              <w:t> </w:t>
            </w:r>
            <w:r>
              <w:rPr/>
              <w:t xml:space="preserve">2025 </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21,846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6,194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32,446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60,486</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r>
          </w:p>
        </w:tc>
        <w:tc>
          <w:tcPr>
            <w:tcW w:w="649" w:type="dxa"/>
            <w:tcBorders/>
            <w:tcMar>
              <w:bottom w:w="0" w:type="dxa"/>
            </w:tcMar>
            <w:vAlign w:val="bottom"/>
          </w:tcPr>
          <w:p>
            <w:pPr>
              <w:pStyle w:val="TableContents"/>
              <w:bidi w:val="0"/>
              <w:spacing w:before="0" w:after="283"/>
              <w:jc w:val="center"/>
              <w:rPr/>
            </w:pPr>
            <w:r>
              <w:rPr/>
              <w:t> </w:t>
            </w:r>
            <w:r>
              <w:rPr/>
              <w:t xml:space="preserve">2024 </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21,784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10,625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32,466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64,875</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649" w:type="dxa"/>
            <w:tcBorders/>
            <w:shd w:fill="CCEEFF" w:val="clear"/>
            <w:tcMar>
              <w:bottom w:w="0" w:type="dxa"/>
            </w:tcMar>
            <w:vAlign w:val="bottom"/>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21,410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14,400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35,810</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283"/>
              <w:jc w:val="left"/>
              <w:rPr/>
            </w:pPr>
            <w:r>
              <w:rPr/>
            </w:r>
          </w:p>
        </w:tc>
        <w:tc>
          <w:tcPr>
            <w:tcW w:w="649" w:type="dxa"/>
            <w:tcBorders/>
            <w:shd w:fill="CCEEFF" w:val="clear"/>
            <w:tcMar>
              <w:bottom w:w="0" w:type="dxa"/>
            </w:tcMar>
            <w:vAlign w:val="bottom"/>
          </w:tcPr>
          <w:p>
            <w:pPr>
              <w:pStyle w:val="TableContents"/>
              <w:bidi w:val="0"/>
              <w:spacing w:before="0" w:after="0"/>
              <w:jc w:val="center"/>
              <w:rPr>
                <w:color w:val="000000"/>
              </w:rPr>
            </w:pPr>
            <w:r>
              <w:rPr>
                <w:color w:val="000000"/>
              </w:rPr>
              <w:t> </w:t>
            </w:r>
            <w:r>
              <w:rPr>
                <w:color w:val="000000"/>
              </w:rPr>
              <w:t>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20,499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14,400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34,899</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t> </w:t>
            </w:r>
          </w:p>
        </w:tc>
        <w:tc>
          <w:tcPr>
            <w:tcW w:w="649" w:type="dxa"/>
            <w:tcBorders/>
            <w:shd w:fill="CCEEFF" w:val="clear"/>
            <w:tcMar>
              <w:bottom w:w="0" w:type="dxa"/>
            </w:tcMar>
            <w:vAlign w:val="bottom"/>
          </w:tcPr>
          <w:p>
            <w:pPr>
              <w:pStyle w:val="TableContents"/>
              <w:bidi w:val="0"/>
              <w:spacing w:before="0" w:after="283"/>
              <w:jc w:val="center"/>
              <w:rPr/>
            </w:pPr>
            <w:r>
              <w:rPr/>
              <w:t xml:space="preserve">2024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21,363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14,954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36,317</w:t>
            </w:r>
          </w:p>
        </w:tc>
        <w:tc>
          <w:tcPr>
            <w:tcW w:w="126"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3" w:name="ze1716a8ebac445feaac31a3cdaa70061"/>
      <w:bookmarkStart w:id="174" w:name="ze1716a8ebac445feaac31a3cdaa70061"/>
      <w:bookmarkEnd w:id="174"/>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left"/>
              <w:rPr/>
            </w:pPr>
            <w:r>
              <w:rPr/>
              <w:t>Ms. Piccinini is paid in Euros, which was converted to U.S. Dollars using a period average exchange rate for fiscal years 2026 and 2025 of 1.17 Euro per Dollar and 1.08 Euro per Dollar, respectively.</w:t>
            </w:r>
          </w:p>
        </w:tc>
      </w:tr>
    </w:tbl>
    <w:p>
      <w:pPr>
        <w:pStyle w:val="Normal"/>
        <w:bidi w:val="0"/>
        <w:spacing w:before="0" w:after="0"/>
        <w:jc w:val="left"/>
        <w:rPr>
          <w:sz w:val="4"/>
          <w:szCs w:val="4"/>
        </w:rPr>
      </w:pPr>
      <w:r>
        <w:rPr>
          <w:sz w:val="4"/>
          <w:szCs w:val="4"/>
        </w:rPr>
      </w:r>
      <w:bookmarkStart w:id="175" w:name="z9455c666127746f39b18462998121623"/>
      <w:bookmarkStart w:id="176" w:name="z9455c666127746f39b18462998121623"/>
      <w:bookmarkEnd w:id="176"/>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0"/>
              <w:jc w:val="left"/>
              <w:rPr/>
            </w:pPr>
            <w:r>
              <w:rPr/>
              <w:t>Mr. Weiss' salary, non-equity incentive plan compensation and all other compensation was prorated during the fiscal year ended May 31, 2025 due to a December 2024 hire date.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Grants of Plan-Based Awards for Fiscal Year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provides information with respect to options to purchase shares of Common Stock, restricted stock units and performance awards granted to the named executive officers in fiscal year 2026.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7" w:name="z961e94559bd448339d88d5ab2369e1b4"/>
      <w:bookmarkStart w:id="178" w:name="z961e94559bd448339d88d5ab2369e1b4"/>
      <w:bookmarkEnd w:id="178"/>
    </w:p>
    <w:tbl>
      <w:tblPr>
        <w:tblW w:w="14250" w:type="dxa"/>
        <w:jc w:val="left"/>
        <w:tblInd w:w="0" w:type="dxa"/>
        <w:tblLayout w:type="fixed"/>
        <w:tblCellMar>
          <w:top w:w="0" w:type="dxa"/>
          <w:left w:w="0" w:type="dxa"/>
          <w:bottom w:w="0" w:type="dxa"/>
          <w:right w:w="0" w:type="dxa"/>
        </w:tblCellMar>
      </w:tblPr>
      <w:tblGrid>
        <w:gridCol w:w="1190"/>
        <w:gridCol w:w="90"/>
        <w:gridCol w:w="157"/>
        <w:gridCol w:w="508"/>
        <w:gridCol w:w="90"/>
        <w:gridCol w:w="90"/>
        <w:gridCol w:w="123"/>
        <w:gridCol w:w="977"/>
        <w:gridCol w:w="90"/>
        <w:gridCol w:w="90"/>
        <w:gridCol w:w="90"/>
        <w:gridCol w:w="830"/>
        <w:gridCol w:w="90"/>
        <w:gridCol w:w="90"/>
        <w:gridCol w:w="90"/>
        <w:gridCol w:w="1010"/>
        <w:gridCol w:w="90"/>
        <w:gridCol w:w="90"/>
        <w:gridCol w:w="123"/>
        <w:gridCol w:w="977"/>
        <w:gridCol w:w="90"/>
        <w:gridCol w:w="90"/>
        <w:gridCol w:w="90"/>
        <w:gridCol w:w="830"/>
        <w:gridCol w:w="90"/>
        <w:gridCol w:w="90"/>
        <w:gridCol w:w="107"/>
        <w:gridCol w:w="993"/>
        <w:gridCol w:w="90"/>
        <w:gridCol w:w="90"/>
        <w:gridCol w:w="90"/>
        <w:gridCol w:w="830"/>
        <w:gridCol w:w="90"/>
        <w:gridCol w:w="90"/>
        <w:gridCol w:w="285"/>
        <w:gridCol w:w="920"/>
        <w:gridCol w:w="90"/>
        <w:gridCol w:w="90"/>
        <w:gridCol w:w="214"/>
        <w:gridCol w:w="691"/>
        <w:gridCol w:w="90"/>
        <w:gridCol w:w="90"/>
        <w:gridCol w:w="90"/>
        <w:gridCol w:w="1010"/>
        <w:gridCol w:w="135"/>
      </w:tblGrid>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8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Future Payouts Under</w:t>
            </w:r>
          </w:p>
          <w:p>
            <w:pPr>
              <w:pStyle w:val="TableContents"/>
              <w:bidi w:val="0"/>
              <w:spacing w:lineRule="auto" w:line="240" w:before="0" w:after="0"/>
              <w:jc w:val="center"/>
              <w:rPr>
                <w:b/>
                <w:color w:val="000000"/>
              </w:rPr>
            </w:pPr>
            <w:r>
              <w:rPr>
                <w:b/>
                <w:color w:val="000000"/>
              </w:rPr>
              <w:t>Non-Equity Incentive Plan Awards(1)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8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Future Payouts Under</w:t>
            </w:r>
          </w:p>
          <w:p>
            <w:pPr>
              <w:pStyle w:val="TableContents"/>
              <w:bidi w:val="0"/>
              <w:spacing w:before="0" w:after="0"/>
              <w:jc w:val="center"/>
              <w:rPr>
                <w:b/>
                <w:color w:val="000000"/>
              </w:rPr>
            </w:pPr>
            <w:r>
              <w:rPr>
                <w:b/>
                <w:color w:val="000000"/>
              </w:rPr>
              <w:t>Equity Incentive Plan Awards</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20"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All Other</w:t>
            </w:r>
          </w:p>
          <w:p>
            <w:pPr>
              <w:pStyle w:val="TableContents"/>
              <w:bidi w:val="0"/>
              <w:spacing w:before="0" w:after="0"/>
              <w:jc w:val="center"/>
              <w:rPr>
                <w:b/>
                <w:color w:val="000000"/>
              </w:rPr>
            </w:pPr>
            <w:r>
              <w:rPr>
                <w:b/>
                <w:color w:val="000000"/>
              </w:rPr>
              <w:t>Stock</w:t>
            </w:r>
          </w:p>
          <w:p>
            <w:pPr>
              <w:pStyle w:val="TableContents"/>
              <w:bidi w:val="0"/>
              <w:spacing w:before="0" w:after="0"/>
              <w:jc w:val="center"/>
              <w:rPr>
                <w:b/>
                <w:color w:val="000000"/>
              </w:rPr>
            </w:pPr>
            <w:r>
              <w:rPr>
                <w:b/>
                <w:color w:val="000000"/>
              </w:rPr>
              <w:t>Awards:</w:t>
            </w:r>
          </w:p>
          <w:p>
            <w:pPr>
              <w:pStyle w:val="TableContents"/>
              <w:bidi w:val="0"/>
              <w:spacing w:before="0" w:after="0"/>
              <w:jc w:val="center"/>
              <w:rPr>
                <w:b/>
                <w:color w:val="000000"/>
              </w:rPr>
            </w:pPr>
            <w:r>
              <w:rPr>
                <w:b/>
                <w:color w:val="000000"/>
              </w:rPr>
              <w:t>Number of</w:t>
            </w:r>
          </w:p>
          <w:p>
            <w:pPr>
              <w:pStyle w:val="TableContents"/>
              <w:bidi w:val="0"/>
              <w:spacing w:before="0" w:after="0"/>
              <w:jc w:val="center"/>
              <w:rPr>
                <w:b/>
                <w:color w:val="000000"/>
              </w:rPr>
            </w:pPr>
            <w:r>
              <w:rPr>
                <w:b/>
                <w:color w:val="000000"/>
              </w:rPr>
              <w:t>Shares of</w:t>
            </w:r>
          </w:p>
          <w:p>
            <w:pPr>
              <w:pStyle w:val="TableContents"/>
              <w:bidi w:val="0"/>
              <w:spacing w:before="0" w:after="0"/>
              <w:jc w:val="center"/>
              <w:rPr>
                <w:b/>
                <w:color w:val="000000"/>
              </w:rPr>
            </w:pPr>
            <w:r>
              <w:rPr>
                <w:b/>
                <w:color w:val="000000"/>
              </w:rPr>
              <w:t>Stock or</w:t>
            </w:r>
          </w:p>
          <w:p>
            <w:pPr>
              <w:pStyle w:val="TableContents"/>
              <w:bidi w:val="0"/>
              <w:spacing w:before="0" w:after="0"/>
              <w:jc w:val="center"/>
              <w:rPr>
                <w:b/>
                <w:color w:val="000000"/>
              </w:rPr>
            </w:pPr>
            <w:r>
              <w:rPr>
                <w:b/>
                <w:color w:val="000000"/>
              </w:rPr>
              <w:t>Units</w:t>
            </w:r>
          </w:p>
          <w:p>
            <w:pPr>
              <w:pStyle w:val="TableContents"/>
              <w:bidi w:val="0"/>
              <w:spacing w:before="0" w:after="0"/>
              <w:jc w:val="center"/>
              <w:rPr>
                <w:b/>
                <w:color w:val="000000"/>
              </w:rPr>
            </w:pPr>
            <w:r>
              <w:rPr>
                <w:b/>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5"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All Other</w:t>
            </w:r>
          </w:p>
          <w:p>
            <w:pPr>
              <w:pStyle w:val="TableContents"/>
              <w:bidi w:val="0"/>
              <w:spacing w:before="0" w:after="0"/>
              <w:jc w:val="center"/>
              <w:rPr>
                <w:b/>
                <w:color w:val="000000"/>
              </w:rPr>
            </w:pPr>
            <w:r>
              <w:rPr>
                <w:b/>
                <w:color w:val="000000"/>
              </w:rPr>
              <w:t>Option</w:t>
            </w:r>
          </w:p>
          <w:p>
            <w:pPr>
              <w:pStyle w:val="TableContents"/>
              <w:bidi w:val="0"/>
              <w:spacing w:before="0" w:after="0"/>
              <w:jc w:val="center"/>
              <w:rPr>
                <w:b/>
                <w:color w:val="000000"/>
              </w:rPr>
            </w:pPr>
            <w:r>
              <w:rPr>
                <w:b/>
                <w:color w:val="000000"/>
              </w:rPr>
              <w:t>Awards:</w:t>
            </w:r>
          </w:p>
          <w:p>
            <w:pPr>
              <w:pStyle w:val="TableContents"/>
              <w:bidi w:val="0"/>
              <w:spacing w:before="0" w:after="0"/>
              <w:jc w:val="center"/>
              <w:rPr>
                <w:b/>
                <w:color w:val="000000"/>
              </w:rPr>
            </w:pPr>
            <w:r>
              <w:rPr>
                <w:b/>
                <w:color w:val="000000"/>
              </w:rPr>
              <w:t>Number of</w:t>
            </w:r>
          </w:p>
          <w:p>
            <w:pPr>
              <w:pStyle w:val="TableContents"/>
              <w:bidi w:val="0"/>
              <w:spacing w:before="0" w:after="0"/>
              <w:jc w:val="center"/>
              <w:rPr>
                <w:b/>
                <w:color w:val="000000"/>
              </w:rPr>
            </w:pPr>
            <w:r>
              <w:rPr>
                <w:b/>
                <w:color w:val="000000"/>
              </w:rPr>
              <w:t>Securities</w:t>
            </w:r>
          </w:p>
          <w:p>
            <w:pPr>
              <w:pStyle w:val="TableContents"/>
              <w:bidi w:val="0"/>
              <w:spacing w:before="0" w:after="0"/>
              <w:jc w:val="center"/>
              <w:rPr>
                <w:b/>
                <w:color w:val="000000"/>
              </w:rPr>
            </w:pPr>
            <w:r>
              <w:rPr>
                <w:b/>
                <w:color w:val="000000"/>
              </w:rPr>
              <w:t>Underlying</w:t>
            </w:r>
          </w:p>
          <w:p>
            <w:pPr>
              <w:pStyle w:val="TableContents"/>
              <w:bidi w:val="0"/>
              <w:spacing w:before="0" w:after="0"/>
              <w:jc w:val="center"/>
              <w:rPr>
                <w:b/>
                <w:color w:val="000000"/>
              </w:rPr>
            </w:pPr>
            <w:r>
              <w:rPr>
                <w:b/>
                <w:color w:val="000000"/>
              </w:rPr>
              <w:t>Options</w:t>
            </w:r>
          </w:p>
          <w:p>
            <w:pPr>
              <w:pStyle w:val="TableContents"/>
              <w:bidi w:val="0"/>
              <w:spacing w:lineRule="auto" w:line="240" w:before="0" w:after="0"/>
              <w:jc w:val="center"/>
              <w:rPr>
                <w:b/>
                <w:color w:val="000000"/>
              </w:rPr>
            </w:pPr>
            <w:r>
              <w:rPr>
                <w:b/>
                <w:color w:val="000000"/>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color w:val="000000"/>
              </w:rPr>
            </w:pPr>
            <w:r>
              <w:rPr>
                <w:b/>
                <w:color w:val="000000"/>
              </w:rPr>
              <w:t>Exercise</w:t>
            </w:r>
          </w:p>
          <w:p>
            <w:pPr>
              <w:pStyle w:val="TableContents"/>
              <w:bidi w:val="0"/>
              <w:spacing w:before="0" w:after="0"/>
              <w:jc w:val="center"/>
              <w:rPr>
                <w:b/>
                <w:color w:val="000000"/>
              </w:rPr>
            </w:pPr>
            <w:r>
              <w:rPr>
                <w:b/>
                <w:color w:val="000000"/>
              </w:rPr>
              <w:t>or Base</w:t>
            </w:r>
          </w:p>
          <w:p>
            <w:pPr>
              <w:pStyle w:val="TableContents"/>
              <w:bidi w:val="0"/>
              <w:spacing w:before="0" w:after="0"/>
              <w:jc w:val="center"/>
              <w:rPr>
                <w:b/>
                <w:color w:val="000000"/>
              </w:rPr>
            </w:pPr>
            <w:r>
              <w:rPr>
                <w:b/>
                <w:color w:val="000000"/>
              </w:rPr>
              <w:t>Price of</w:t>
            </w:r>
          </w:p>
          <w:p>
            <w:pPr>
              <w:pStyle w:val="TableContents"/>
              <w:bidi w:val="0"/>
              <w:spacing w:before="0" w:after="0"/>
              <w:jc w:val="center"/>
              <w:rPr>
                <w:b/>
                <w:color w:val="000000"/>
              </w:rPr>
            </w:pPr>
            <w:r>
              <w:rPr>
                <w:b/>
                <w:color w:val="000000"/>
              </w:rPr>
              <w:t>Option</w:t>
            </w:r>
          </w:p>
          <w:p>
            <w:pPr>
              <w:pStyle w:val="TableContents"/>
              <w:bidi w:val="0"/>
              <w:spacing w:before="0" w:after="0"/>
              <w:jc w:val="center"/>
              <w:rPr>
                <w:b/>
                <w:color w:val="000000"/>
              </w:rPr>
            </w:pPr>
            <w:r>
              <w:rPr>
                <w:b/>
                <w:color w:val="000000"/>
              </w:rPr>
              <w:t>Awards</w:t>
            </w:r>
          </w:p>
          <w:p>
            <w:pPr>
              <w:pStyle w:val="TableContents"/>
              <w:bidi w:val="0"/>
              <w:spacing w:before="0" w:after="0"/>
              <w:jc w:val="center"/>
              <w:rPr>
                <w:b/>
                <w:color w:val="000000"/>
              </w:rPr>
            </w:pPr>
            <w:r>
              <w:rPr>
                <w:b/>
                <w:color w:val="000000"/>
              </w:rPr>
              <w:t>($/Sh)</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Grant</w:t>
            </w:r>
          </w:p>
          <w:p>
            <w:pPr>
              <w:pStyle w:val="TableContents"/>
              <w:bidi w:val="0"/>
              <w:spacing w:before="0" w:after="0"/>
              <w:jc w:val="center"/>
              <w:rPr>
                <w:b/>
                <w:color w:val="000000"/>
              </w:rPr>
            </w:pPr>
            <w:r>
              <w:rPr>
                <w:b/>
                <w:color w:val="000000"/>
              </w:rPr>
              <w:t>Date Fair</w:t>
            </w:r>
          </w:p>
          <w:p>
            <w:pPr>
              <w:pStyle w:val="TableContents"/>
              <w:bidi w:val="0"/>
              <w:spacing w:before="0" w:after="0"/>
              <w:jc w:val="center"/>
              <w:rPr>
                <w:b/>
                <w:color w:val="000000"/>
              </w:rPr>
            </w:pPr>
            <w:r>
              <w:rPr>
                <w:b/>
                <w:color w:val="000000"/>
              </w:rPr>
              <w:t>Market</w:t>
            </w:r>
          </w:p>
          <w:p>
            <w:pPr>
              <w:pStyle w:val="TableContents"/>
              <w:bidi w:val="0"/>
              <w:spacing w:before="0" w:after="0"/>
              <w:jc w:val="center"/>
              <w:rPr>
                <w:b/>
                <w:color w:val="000000"/>
              </w:rPr>
            </w:pPr>
            <w:r>
              <w:rPr>
                <w:b/>
                <w:color w:val="000000"/>
              </w:rPr>
              <w:t>Value of</w:t>
            </w:r>
          </w:p>
          <w:p>
            <w:pPr>
              <w:pStyle w:val="TableContents"/>
              <w:bidi w:val="0"/>
              <w:spacing w:before="0" w:after="0"/>
              <w:jc w:val="center"/>
              <w:rPr>
                <w:b/>
                <w:color w:val="000000"/>
              </w:rPr>
            </w:pPr>
            <w:r>
              <w:rPr>
                <w:b/>
                <w:color w:val="000000"/>
              </w:rPr>
              <w:t>Stock and</w:t>
            </w:r>
          </w:p>
          <w:p>
            <w:pPr>
              <w:pStyle w:val="TableContents"/>
              <w:bidi w:val="0"/>
              <w:spacing w:before="0" w:after="0"/>
              <w:jc w:val="center"/>
              <w:rPr>
                <w:b/>
                <w:color w:val="000000"/>
              </w:rPr>
            </w:pPr>
            <w:r>
              <w:rPr>
                <w:b/>
                <w:color w:val="000000"/>
              </w:rPr>
              <w:t>Option</w:t>
            </w:r>
          </w:p>
          <w:p>
            <w:pPr>
              <w:pStyle w:val="TableContents"/>
              <w:bidi w:val="0"/>
              <w:spacing w:before="0" w:after="0"/>
              <w:jc w:val="center"/>
              <w:rPr>
                <w:b/>
                <w:color w:val="000000"/>
              </w:rPr>
            </w:pPr>
            <w:r>
              <w:rPr>
                <w:b/>
                <w:color w:val="000000"/>
              </w:rPr>
              <w:t>Awards</w:t>
            </w:r>
          </w:p>
          <w:p>
            <w:pPr>
              <w:pStyle w:val="TableContents"/>
              <w:bidi w:val="0"/>
              <w:spacing w:lineRule="auto" w:line="240" w:before="0" w:after="0"/>
              <w:jc w:val="center"/>
              <w:rPr>
                <w:b/>
                <w:color w:val="000000"/>
              </w:rPr>
            </w:pPr>
            <w:r>
              <w:rPr>
                <w:b/>
                <w:color w:val="000000"/>
              </w:rPr>
              <w:t>($)(5)</w:t>
            </w:r>
          </w:p>
        </w:tc>
        <w:tc>
          <w:tcPr>
            <w:tcW w:w="135" w:type="dxa"/>
            <w:tcBorders/>
            <w:vAlign w:val="bottom"/>
          </w:tcPr>
          <w:p>
            <w:pPr>
              <w:pStyle w:val="TableContents"/>
              <w:bidi w:val="0"/>
              <w:spacing w:before="0" w:after="283"/>
              <w:jc w:val="left"/>
              <w:rPr/>
            </w:pPr>
            <w:r>
              <w:rPr/>
              <w:t> </w:t>
            </w:r>
          </w:p>
        </w:tc>
      </w:tr>
      <w:tr>
        <w:trPr/>
        <w:tc>
          <w:tcPr>
            <w:tcW w:w="119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Name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Grant</w:t>
            </w:r>
          </w:p>
          <w:p>
            <w:pPr>
              <w:pStyle w:val="TableContents"/>
              <w:bidi w:val="0"/>
              <w:spacing w:lineRule="auto" w:line="240" w:before="0" w:after="0"/>
              <w:jc w:val="center"/>
              <w:rPr>
                <w:b/>
                <w:color w:val="000000"/>
              </w:rPr>
            </w:pPr>
            <w:r>
              <w:rPr>
                <w:b/>
                <w:color w:val="000000"/>
              </w:rPr>
              <w:t>Date(2)</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Threshold</w:t>
            </w:r>
          </w:p>
          <w:p>
            <w:pPr>
              <w:pStyle w:val="TableContents"/>
              <w:bidi w:val="0"/>
              <w:spacing w:lineRule="auto" w:line="240" w:before="0" w:after="0"/>
              <w:jc w:val="center"/>
              <w:rPr>
                <w:b/>
                <w:color w:val="000000"/>
              </w:rPr>
            </w:pPr>
            <w:r>
              <w:rPr>
                <w:b/>
                <w:color w:val="000000"/>
              </w:rPr>
              <w:t>($)(3)</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Target</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Threshold</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Target</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5"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vMerge w:val="continue"/>
            <w:tcBorders>
              <w:bottom w:val="single" w:sz="12" w:space="0" w:color="000000"/>
            </w:tcBorders>
            <w:tcMar>
              <w:bottom w:w="28" w:type="dxa"/>
            </w:tcMar>
            <w:vAlign w:val="bottom"/>
          </w:tcPr>
          <w:p>
            <w:pPr>
              <w:pStyle w:val="Normal"/>
              <w:bidi w:val="0"/>
              <w:jc w:val="left"/>
              <w:rPr/>
            </w:pPr>
            <w:r>
              <w:rPr/>
            </w:r>
          </w:p>
        </w:tc>
        <w:tc>
          <w:tcPr>
            <w:tcW w:w="135"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color w:val="000000"/>
              </w:rPr>
            </w:pPr>
            <w:r>
              <w:rPr>
                <w:color w:val="000000"/>
              </w:rPr>
              <w:t>James C. Clemmer</w:t>
            </w:r>
          </w:p>
        </w:tc>
        <w:tc>
          <w:tcPr>
            <w:tcW w:w="9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33,389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834,717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1,669,434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33,000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206,253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495,007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1,916,090</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206,253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1,773,776</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color w:val="000000"/>
              </w:rPr>
            </w:pPr>
            <w:r>
              <w:rPr>
                <w:color w:val="000000"/>
              </w:rPr>
              <w:t>Stephen A. Trowbridge</w:t>
            </w:r>
          </w:p>
        </w:tc>
        <w:tc>
          <w:tcPr>
            <w:tcW w:w="9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13,301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332,521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665,042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0"/>
              <w:jc w:val="right"/>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13,920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86,997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208,793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808,202</w:t>
            </w:r>
          </w:p>
        </w:tc>
        <w:tc>
          <w:tcPr>
            <w:tcW w:w="13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0"/>
              <w:jc w:val="right"/>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86,997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748,174</w:t>
            </w:r>
          </w:p>
        </w:tc>
        <w:tc>
          <w:tcPr>
            <w:tcW w:w="135"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color w:val="000000"/>
              </w:rPr>
            </w:pPr>
            <w:r>
              <w:rPr>
                <w:color w:val="000000"/>
              </w:rPr>
              <w:t>Lawrence T. Weiss</w:t>
            </w:r>
          </w:p>
        </w:tc>
        <w:tc>
          <w:tcPr>
            <w:tcW w:w="9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10,630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265,740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531,480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4,944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74,160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287,061</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265,740</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color w:val="000000"/>
              </w:rPr>
            </w:pPr>
            <w:r>
              <w:rPr>
                <w:color w:val="000000"/>
              </w:rPr>
              <w:t>Laura Piccinini</w:t>
            </w:r>
          </w:p>
        </w:tc>
        <w:tc>
          <w:tcPr>
            <w:tcW w:w="9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11,120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278,012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556,024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0"/>
              <w:jc w:val="right"/>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5,188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32,423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77,815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301,210</w:t>
            </w:r>
          </w:p>
        </w:tc>
        <w:tc>
          <w:tcPr>
            <w:tcW w:w="13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0"/>
              <w:jc w:val="right"/>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32,423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278,838</w:t>
            </w:r>
          </w:p>
        </w:tc>
        <w:tc>
          <w:tcPr>
            <w:tcW w:w="135"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color w:val="000000"/>
              </w:rPr>
            </w:pPr>
            <w:r>
              <w:rPr>
                <w:color w:val="000000"/>
              </w:rPr>
              <w:t>Warren G. Nighan</w:t>
            </w:r>
          </w:p>
        </w:tc>
        <w:tc>
          <w:tcPr>
            <w:tcW w:w="9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10,096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252,396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504,792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4,696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70,438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272,652</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252,401</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9360" w:hanging="0"/>
        <w:jc w:val="left"/>
        <w:rPr/>
      </w:pPr>
      <w:r>
        <w:rPr/>
      </w:r>
    </w:p>
    <w:p>
      <w:pPr>
        <w:pStyle w:val="Normal"/>
        <w:bidi w:val="0"/>
        <w:spacing w:before="0" w:after="0"/>
        <w:jc w:val="left"/>
        <w:rPr>
          <w:sz w:val="4"/>
          <w:szCs w:val="4"/>
        </w:rPr>
      </w:pPr>
      <w:r>
        <w:rPr>
          <w:sz w:val="4"/>
          <w:szCs w:val="4"/>
        </w:rPr>
      </w:r>
      <w:bookmarkStart w:id="179" w:name="zcda54f7e7e804a459182569f315ab38e"/>
      <w:bookmarkStart w:id="180" w:name="zcda54f7e7e804a459182569f315ab38e"/>
      <w:bookmarkEnd w:id="180"/>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pPr>
            <w:r>
              <w:rPr/>
              <w:t>The amounts shown under “Estimated Future Payouts under Non-Equity Incentive Plan Awards” represent the threshold, target, and maximum amounts payable under our fiscal year 2026 annual cash incentive program, as described above under “Annual Cash Incentives.”</w:t>
            </w:r>
          </w:p>
        </w:tc>
      </w:tr>
    </w:tbl>
    <w:p>
      <w:pPr>
        <w:pStyle w:val="Normal"/>
        <w:bidi w:val="0"/>
        <w:spacing w:before="0" w:after="0"/>
        <w:jc w:val="left"/>
        <w:rPr>
          <w:sz w:val="4"/>
          <w:szCs w:val="4"/>
        </w:rPr>
      </w:pPr>
      <w:r>
        <w:rPr>
          <w:sz w:val="4"/>
          <w:szCs w:val="4"/>
        </w:rPr>
      </w:r>
      <w:bookmarkStart w:id="181" w:name="ze6d1ca140d194cd1a4a4f467bd292a39"/>
      <w:bookmarkStart w:id="182" w:name="ze6d1ca140d194cd1a4a4f467bd292a39"/>
      <w:bookmarkEnd w:id="182"/>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left"/>
              <w:rPr/>
            </w:pPr>
            <w:r>
              <w:rPr/>
              <w:t>Grant Date pertains to the grant date of fiscal year 2026 stock option, restricted stock unit, and performance share awards.  For a description of the vesting terms applicable to fiscal year 2026 equity awards, please refer to the above discussion under “Long-Term, Equity-Based Incentive Awards.”</w:t>
            </w:r>
          </w:p>
        </w:tc>
      </w:tr>
    </w:tbl>
    <w:p>
      <w:pPr>
        <w:pStyle w:val="Normal"/>
        <w:bidi w:val="0"/>
        <w:spacing w:before="0" w:after="0"/>
        <w:jc w:val="left"/>
        <w:rPr>
          <w:sz w:val="4"/>
          <w:szCs w:val="4"/>
        </w:rPr>
      </w:pPr>
      <w:r>
        <w:rPr>
          <w:sz w:val="4"/>
          <w:szCs w:val="4"/>
        </w:rPr>
      </w:r>
      <w:bookmarkStart w:id="183" w:name="za22be752efe44483964c3b37ea554da7"/>
      <w:bookmarkStart w:id="184" w:name="za22be752efe44483964c3b37ea554da7"/>
      <w:bookmarkEnd w:id="184"/>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0"/>
              <w:jc w:val="left"/>
              <w:rPr/>
            </w:pPr>
            <w:r>
              <w:rPr/>
              <w:t>Threshold represents the minimum amount earned if one of the financial metrics under the plan on which 20% of the bonus is based were achieved at the minimum level needed for any payment.</w:t>
            </w:r>
          </w:p>
        </w:tc>
      </w:tr>
    </w:tbl>
    <w:p>
      <w:pPr>
        <w:pStyle w:val="Normal"/>
        <w:bidi w:val="0"/>
        <w:spacing w:before="0" w:after="0"/>
        <w:jc w:val="left"/>
        <w:rPr>
          <w:sz w:val="4"/>
          <w:szCs w:val="4"/>
        </w:rPr>
      </w:pPr>
      <w:r>
        <w:rPr>
          <w:sz w:val="4"/>
          <w:szCs w:val="4"/>
        </w:rPr>
      </w:r>
      <w:bookmarkStart w:id="185" w:name="z6228d3269286460690f4355858686f0f"/>
      <w:bookmarkStart w:id="186" w:name="z6228d3269286460690f4355858686f0f"/>
      <w:bookmarkEnd w:id="186"/>
    </w:p>
    <w:tbl>
      <w:tblPr>
        <w:tblW w:w="3790" w:type="dxa"/>
        <w:jc w:val="left"/>
        <w:tblInd w:w="0" w:type="dxa"/>
        <w:tblLayout w:type="fixed"/>
        <w:tblCellMar>
          <w:top w:w="0" w:type="dxa"/>
          <w:left w:w="0" w:type="dxa"/>
          <w:bottom w:w="0" w:type="dxa"/>
          <w:right w:w="0" w:type="dxa"/>
        </w:tblCellMar>
      </w:tblPr>
      <w:tblGrid>
        <w:gridCol w:w="335"/>
        <w:gridCol w:w="3455"/>
      </w:tblGrid>
      <w:tr>
        <w:trPr/>
        <w:tc>
          <w:tcPr>
            <w:tcW w:w="335" w:type="dxa"/>
            <w:tcBorders/>
            <w:vAlign w:val="center"/>
          </w:tcPr>
          <w:p>
            <w:pPr>
              <w:pStyle w:val="TableContents"/>
              <w:bidi w:val="0"/>
              <w:spacing w:before="0" w:after="283"/>
              <w:jc w:val="left"/>
              <w:rPr/>
            </w:pPr>
            <w:r>
              <w:rPr/>
              <w:t>(4)</w:t>
            </w:r>
          </w:p>
        </w:tc>
        <w:tc>
          <w:tcPr>
            <w:tcW w:w="3455" w:type="dxa"/>
            <w:tcBorders/>
            <w:vAlign w:val="center"/>
          </w:tcPr>
          <w:p>
            <w:pPr>
              <w:pStyle w:val="TableContents"/>
              <w:bidi w:val="0"/>
              <w:spacing w:before="0" w:after="0"/>
              <w:jc w:val="left"/>
              <w:rPr/>
            </w:pPr>
            <w:r>
              <w:rPr/>
              <w:t>These options have a ten-year term.</w:t>
            </w:r>
          </w:p>
        </w:tc>
      </w:tr>
    </w:tbl>
    <w:p>
      <w:pPr>
        <w:pStyle w:val="Normal"/>
        <w:bidi w:val="0"/>
        <w:spacing w:before="0" w:after="0"/>
        <w:jc w:val="left"/>
        <w:rPr>
          <w:sz w:val="4"/>
          <w:szCs w:val="4"/>
        </w:rPr>
      </w:pPr>
      <w:r>
        <w:rPr>
          <w:sz w:val="4"/>
          <w:szCs w:val="4"/>
        </w:rPr>
      </w:r>
      <w:bookmarkStart w:id="187" w:name="z72b140c1fd0045a2b594b5c68aada052"/>
      <w:bookmarkStart w:id="188" w:name="z72b140c1fd0045a2b594b5c68aada052"/>
      <w:bookmarkEnd w:id="188"/>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(5)</w:t>
            </w:r>
          </w:p>
        </w:tc>
        <w:tc>
          <w:tcPr>
            <w:tcW w:w="9923" w:type="dxa"/>
            <w:tcBorders/>
            <w:vAlign w:val="center"/>
          </w:tcPr>
          <w:p>
            <w:pPr>
              <w:pStyle w:val="TableContents"/>
              <w:bidi w:val="0"/>
              <w:spacing w:before="0" w:after="0"/>
              <w:jc w:val="left"/>
              <w:rPr/>
            </w:pPr>
            <w:r>
              <w:rPr/>
              <w:t>Represents grant-date fair value based on FASB ASC 718 for fiscal year 2026 equity grants. The assumptions used in the valuation of stock-based awards are discussed in Note 13 to our Audited Consolidated Financial Statements included in our Annual Report on Form 10-K for the fiscal year ended May 31, 2026.</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Outstanding Equity Awards at Fiscal 2026 Year-End</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number of securities underlying outstanding equity awards for the named executive officers on May 31,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9" w:name="z035662a0a18245dc92647e7ff07c3ff6"/>
      <w:bookmarkStart w:id="190" w:name="z035662a0a18245dc92647e7ff07c3ff6"/>
      <w:bookmarkEnd w:id="190"/>
    </w:p>
    <w:tbl>
      <w:tblPr>
        <w:tblW w:w="12030" w:type="dxa"/>
        <w:jc w:val="left"/>
        <w:tblInd w:w="0" w:type="dxa"/>
        <w:tblLayout w:type="fixed"/>
        <w:tblCellMar>
          <w:top w:w="0" w:type="dxa"/>
          <w:left w:w="0" w:type="dxa"/>
          <w:bottom w:w="0" w:type="dxa"/>
          <w:right w:w="0" w:type="dxa"/>
        </w:tblCellMar>
      </w:tblPr>
      <w:tblGrid>
        <w:gridCol w:w="995"/>
        <w:gridCol w:w="635"/>
        <w:gridCol w:w="90"/>
        <w:gridCol w:w="116"/>
        <w:gridCol w:w="939"/>
        <w:gridCol w:w="90"/>
        <w:gridCol w:w="90"/>
        <w:gridCol w:w="138"/>
        <w:gridCol w:w="1112"/>
        <w:gridCol w:w="90"/>
        <w:gridCol w:w="90"/>
        <w:gridCol w:w="116"/>
        <w:gridCol w:w="669"/>
        <w:gridCol w:w="90"/>
        <w:gridCol w:w="980"/>
        <w:gridCol w:w="90"/>
        <w:gridCol w:w="132"/>
        <w:gridCol w:w="428"/>
        <w:gridCol w:w="90"/>
        <w:gridCol w:w="90"/>
        <w:gridCol w:w="90"/>
        <w:gridCol w:w="725"/>
        <w:gridCol w:w="90"/>
        <w:gridCol w:w="90"/>
        <w:gridCol w:w="90"/>
        <w:gridCol w:w="875"/>
        <w:gridCol w:w="90"/>
        <w:gridCol w:w="90"/>
        <w:gridCol w:w="132"/>
        <w:gridCol w:w="428"/>
        <w:gridCol w:w="90"/>
        <w:gridCol w:w="90"/>
        <w:gridCol w:w="90"/>
        <w:gridCol w:w="725"/>
        <w:gridCol w:w="90"/>
        <w:gridCol w:w="90"/>
        <w:gridCol w:w="90"/>
        <w:gridCol w:w="875"/>
        <w:gridCol w:w="120"/>
      </w:tblGrid>
      <w:tr>
        <w:trPr/>
        <w:tc>
          <w:tcPr>
            <w:tcW w:w="995" w:type="dxa"/>
            <w:tcBorders/>
            <w:vAlign w:val="bottom"/>
          </w:tcPr>
          <w:p>
            <w:pPr>
              <w:pStyle w:val="TableContents"/>
              <w:bidi w:val="0"/>
              <w:spacing w:before="0" w:after="283"/>
              <w:jc w:val="left"/>
              <w:rPr/>
            </w:pPr>
            <w:r>
              <w:rPr/>
              <w:t> </w:t>
            </w:r>
          </w:p>
        </w:tc>
        <w:tc>
          <w:tcPr>
            <w:tcW w:w="5245" w:type="dxa"/>
            <w:gridSpan w:val="14"/>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b/>
                <w:sz w:val="20"/>
              </w:rPr>
            </w:pPr>
            <w:r>
              <w:rPr>
                <w:rFonts w:ascii="Times New Roman" w:hAnsi="Times New Roman"/>
                <w:b/>
                <w:sz w:val="20"/>
              </w:rPr>
              <w:t>Option Awards (1)</w:t>
            </w:r>
          </w:p>
        </w:tc>
        <w:tc>
          <w:tcPr>
            <w:tcW w:w="90" w:type="dxa"/>
            <w:tcBorders/>
            <w:vAlign w:val="bottom"/>
          </w:tcPr>
          <w:p>
            <w:pPr>
              <w:pStyle w:val="TableContents"/>
              <w:bidi w:val="0"/>
              <w:spacing w:before="0" w:after="283"/>
              <w:jc w:val="left"/>
              <w:rPr/>
            </w:pPr>
            <w:r>
              <w:rPr/>
              <w:t> </w:t>
            </w:r>
          </w:p>
        </w:tc>
        <w:tc>
          <w:tcPr>
            <w:tcW w:w="5580" w:type="dxa"/>
            <w:gridSpan w:val="2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b/>
                <w:sz w:val="20"/>
              </w:rPr>
            </w:pPr>
            <w:r>
              <w:rPr>
                <w:rFonts w:ascii="Times New Roman" w:hAnsi="Times New Roman"/>
                <w:b/>
                <w:sz w:val="20"/>
              </w:rPr>
              <w:t>Stock Awards (2)</w:t>
            </w:r>
          </w:p>
        </w:tc>
        <w:tc>
          <w:tcPr>
            <w:tcW w:w="12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Number of Securities </w:t>
            </w:r>
          </w:p>
          <w:p>
            <w:pPr>
              <w:pStyle w:val="TableContents"/>
              <w:bidi w:val="0"/>
              <w:spacing w:before="0" w:after="0"/>
              <w:jc w:val="center"/>
              <w:rPr>
                <w:rFonts w:ascii="Times New Roman" w:hAnsi="Times New Roman"/>
                <w:b/>
                <w:sz w:val="20"/>
              </w:rPr>
            </w:pPr>
            <w:r>
              <w:rPr>
                <w:rFonts w:ascii="Times New Roman" w:hAnsi="Times New Roman"/>
                <w:b/>
                <w:sz w:val="20"/>
              </w:rPr>
              <w:t xml:space="preserve">Underlying Unexercised </w:t>
            </w:r>
          </w:p>
          <w:p>
            <w:pPr>
              <w:pStyle w:val="TableContents"/>
              <w:bidi w:val="0"/>
              <w:spacing w:before="0" w:after="0"/>
              <w:jc w:val="center"/>
              <w:rPr>
                <w:rFonts w:ascii="Times New Roman" w:hAnsi="Times New Roman"/>
                <w:b/>
                <w:sz w:val="20"/>
              </w:rPr>
            </w:pPr>
            <w:r>
              <w:rPr>
                <w:rFonts w:ascii="Times New Roman" w:hAnsi="Times New Roman"/>
                <w:b/>
                <w:sz w:val="20"/>
              </w:rPr>
              <w:t>Options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 or Units of Stock</w:t>
            </w:r>
          </w:p>
          <w:p>
            <w:pPr>
              <w:pStyle w:val="TableContents"/>
              <w:bidi w:val="0"/>
              <w:spacing w:before="0" w:after="0"/>
              <w:jc w:val="center"/>
              <w:rPr>
                <w:rFonts w:ascii="Times New Roman" w:hAnsi="Times New Roman"/>
                <w:b/>
                <w:sz w:val="20"/>
              </w:rPr>
            </w:pPr>
            <w:r>
              <w:rPr>
                <w:rFonts w:ascii="Times New Roman" w:hAnsi="Times New Roman"/>
                <w:b/>
                <w:sz w:val="20"/>
              </w:rPr>
              <w:t>That Have Not Vested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Equity Incentive Plan </w:t>
            </w:r>
          </w:p>
          <w:p>
            <w:pPr>
              <w:pStyle w:val="TableContents"/>
              <w:bidi w:val="0"/>
              <w:spacing w:before="0" w:after="0"/>
              <w:jc w:val="center"/>
              <w:rPr>
                <w:rFonts w:ascii="Times New Roman" w:hAnsi="Times New Roman"/>
                <w:b/>
                <w:sz w:val="20"/>
              </w:rPr>
            </w:pPr>
            <w:r>
              <w:rPr>
                <w:rFonts w:ascii="Times New Roman" w:hAnsi="Times New Roman"/>
                <w:b/>
                <w:sz w:val="20"/>
              </w:rPr>
              <w:t xml:space="preserve">Awards: Number of </w:t>
            </w:r>
          </w:p>
          <w:p>
            <w:pPr>
              <w:pStyle w:val="TableContents"/>
              <w:bidi w:val="0"/>
              <w:spacing w:before="0" w:after="0"/>
              <w:jc w:val="center"/>
              <w:rPr>
                <w:rFonts w:ascii="Times New Roman" w:hAnsi="Times New Roman"/>
                <w:b/>
                <w:sz w:val="20"/>
              </w:rPr>
            </w:pPr>
            <w:r>
              <w:rPr>
                <w:rFonts w:ascii="Times New Roman" w:hAnsi="Times New Roman"/>
                <w:b/>
                <w:sz w:val="20"/>
              </w:rPr>
              <w:t xml:space="preserve">Unearned Shares, Units or </w:t>
            </w:r>
          </w:p>
          <w:p>
            <w:pPr>
              <w:pStyle w:val="TableContents"/>
              <w:bidi w:val="0"/>
              <w:spacing w:before="0" w:after="0"/>
              <w:jc w:val="center"/>
              <w:rPr>
                <w:rFonts w:ascii="Times New Roman" w:hAnsi="Times New Roman"/>
                <w:b/>
                <w:sz w:val="20"/>
              </w:rPr>
            </w:pPr>
            <w:r>
              <w:rPr>
                <w:rFonts w:ascii="Times New Roman" w:hAnsi="Times New Roman"/>
                <w:b/>
                <w:sz w:val="20"/>
              </w:rPr>
              <w:t>Other Rights That Have</w:t>
            </w:r>
          </w:p>
          <w:p>
            <w:pPr>
              <w:pStyle w:val="TableContents"/>
              <w:bidi w:val="0"/>
              <w:spacing w:before="0" w:after="0"/>
              <w:jc w:val="center"/>
              <w:rPr>
                <w:rFonts w:ascii="Times New Roman" w:hAnsi="Times New Roman"/>
                <w:b/>
                <w:sz w:val="20"/>
              </w:rPr>
            </w:pPr>
            <w:r>
              <w:rPr>
                <w:rFonts w:ascii="Times New Roman" w:hAnsi="Times New Roman"/>
                <w:b/>
                <w:sz w:val="20"/>
              </w:rPr>
              <w:t>Not Vested</w:t>
            </w:r>
          </w:p>
        </w:tc>
        <w:tc>
          <w:tcPr>
            <w:tcW w:w="120" w:type="dxa"/>
            <w:tcBorders/>
            <w:vAlign w:val="bottom"/>
          </w:tcPr>
          <w:p>
            <w:pPr>
              <w:pStyle w:val="TableContents"/>
              <w:bidi w:val="0"/>
              <w:spacing w:before="0" w:after="283"/>
              <w:jc w:val="left"/>
              <w:rPr/>
            </w:pPr>
            <w:r>
              <w:rPr/>
              <w:t> </w:t>
            </w:r>
          </w:p>
        </w:tc>
      </w:tr>
      <w:tr>
        <w:trPr/>
        <w:tc>
          <w:tcPr>
            <w:tcW w:w="99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Name</w:t>
            </w:r>
          </w:p>
        </w:tc>
        <w:tc>
          <w:tcPr>
            <w:tcW w:w="63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Option</w:t>
            </w:r>
          </w:p>
          <w:p>
            <w:pPr>
              <w:pStyle w:val="TableContents"/>
              <w:bidi w:val="0"/>
              <w:spacing w:before="0" w:after="0"/>
              <w:jc w:val="center"/>
              <w:rPr>
                <w:rFonts w:ascii="Times New Roman" w:hAnsi="Times New Roman"/>
                <w:b/>
                <w:sz w:val="20"/>
              </w:rPr>
            </w:pPr>
            <w:r>
              <w:rPr>
                <w:rFonts w:ascii="Times New Roman" w:hAnsi="Times New Roman"/>
                <w:b/>
                <w:sz w:val="20"/>
              </w:rPr>
              <w:t>Grant Date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Exercisable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Unexercisable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Option </w:t>
            </w:r>
          </w:p>
          <w:p>
            <w:pPr>
              <w:pStyle w:val="TableContents"/>
              <w:bidi w:val="0"/>
              <w:spacing w:before="0" w:after="0"/>
              <w:jc w:val="center"/>
              <w:rPr>
                <w:rFonts w:ascii="Times New Roman" w:hAnsi="Times New Roman"/>
                <w:b/>
                <w:sz w:val="20"/>
              </w:rPr>
            </w:pPr>
            <w:r>
              <w:rPr>
                <w:rFonts w:ascii="Times New Roman" w:hAnsi="Times New Roman"/>
                <w:b/>
                <w:sz w:val="20"/>
              </w:rPr>
              <w:t xml:space="preserve">Exercise </w:t>
            </w:r>
          </w:p>
          <w:p>
            <w:pPr>
              <w:pStyle w:val="TableContents"/>
              <w:bidi w:val="0"/>
              <w:spacing w:before="0" w:after="0"/>
              <w:jc w:val="center"/>
              <w:rPr>
                <w:rFonts w:ascii="Times New Roman" w:hAnsi="Times New Roman"/>
                <w:b/>
                <w:sz w:val="20"/>
              </w:rPr>
            </w:pPr>
            <w:r>
              <w:rPr>
                <w:rFonts w:ascii="Times New Roman" w:hAnsi="Times New Roman"/>
                <w:b/>
                <w:sz w:val="20"/>
              </w:rPr>
              <w:t>Price</w:t>
            </w:r>
          </w:p>
          <w:p>
            <w:pPr>
              <w:pStyle w:val="TableContents"/>
              <w:bidi w:val="0"/>
              <w:spacing w:before="0" w:after="0"/>
              <w:jc w:val="center"/>
              <w:rPr>
                <w:rFonts w:ascii="Times New Roman" w:hAnsi="Times New Roman"/>
                <w:b/>
                <w:sz w:val="20"/>
              </w:rPr>
            </w:pPr>
            <w:r>
              <w:rPr>
                <w:rFonts w:ascii="Times New Roman" w:hAnsi="Times New Roman"/>
                <w:b/>
                <w:sz w:val="2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Option Expiration Date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Grant Date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w:t>
            </w:r>
          </w:p>
          <w:p>
            <w:pPr>
              <w:pStyle w:val="TableContents"/>
              <w:bidi w:val="0"/>
              <w:spacing w:lineRule="auto" w:line="240" w:before="0" w:after="0"/>
              <w:jc w:val="center"/>
              <w:rPr>
                <w:rFonts w:ascii="Times New Roman" w:hAnsi="Times New Roman"/>
                <w:b/>
                <w:sz w:val="20"/>
              </w:rPr>
            </w:pPr>
            <w:r>
              <w:rPr>
                <w:rFonts w:ascii="Times New Roman" w:hAnsi="Times New Roman"/>
                <w:b/>
                <w:sz w:val="20"/>
              </w:rPr>
              <w:t>(#)(3)</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Market </w:t>
            </w:r>
          </w:p>
          <w:p>
            <w:pPr>
              <w:pStyle w:val="TableContents"/>
              <w:bidi w:val="0"/>
              <w:spacing w:before="0" w:after="0"/>
              <w:jc w:val="center"/>
              <w:rPr>
                <w:rFonts w:ascii="Times New Roman" w:hAnsi="Times New Roman"/>
                <w:b/>
                <w:sz w:val="20"/>
              </w:rPr>
            </w:pPr>
            <w:r>
              <w:rPr>
                <w:rFonts w:ascii="Times New Roman" w:hAnsi="Times New Roman"/>
                <w:b/>
                <w:sz w:val="20"/>
              </w:rPr>
              <w:t>Value</w:t>
            </w:r>
          </w:p>
          <w:p>
            <w:pPr>
              <w:pStyle w:val="TableContents"/>
              <w:bidi w:val="0"/>
              <w:spacing w:before="0" w:after="0"/>
              <w:jc w:val="center"/>
              <w:rPr>
                <w:rFonts w:ascii="Times New Roman" w:hAnsi="Times New Roman"/>
                <w:b/>
                <w:sz w:val="20"/>
              </w:rPr>
            </w:pPr>
            <w:r>
              <w:rPr>
                <w:rFonts w:ascii="Times New Roman" w:hAnsi="Times New Roman"/>
                <w:b/>
                <w:sz w:val="2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Grant Date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Number </w:t>
            </w:r>
          </w:p>
          <w:p>
            <w:pPr>
              <w:pStyle w:val="TableContents"/>
              <w:bidi w:val="0"/>
              <w:spacing w:lineRule="auto" w:line="240" w:before="0" w:after="0"/>
              <w:jc w:val="center"/>
              <w:rPr>
                <w:rFonts w:ascii="Times New Roman" w:hAnsi="Times New Roman"/>
                <w:b/>
                <w:sz w:val="20"/>
              </w:rPr>
            </w:pPr>
            <w:r>
              <w:rPr>
                <w:rFonts w:ascii="Times New Roman" w:hAnsi="Times New Roman"/>
                <w:b/>
                <w:sz w:val="20"/>
              </w:rPr>
              <w:t>(#)(4)</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Market or </w:t>
            </w:r>
          </w:p>
          <w:p>
            <w:pPr>
              <w:pStyle w:val="TableContents"/>
              <w:bidi w:val="0"/>
              <w:spacing w:before="0" w:after="0"/>
              <w:jc w:val="center"/>
              <w:rPr>
                <w:rFonts w:ascii="Times New Roman" w:hAnsi="Times New Roman"/>
                <w:b/>
                <w:sz w:val="20"/>
              </w:rPr>
            </w:pPr>
            <w:r>
              <w:rPr>
                <w:rFonts w:ascii="Times New Roman" w:hAnsi="Times New Roman"/>
                <w:b/>
                <w:sz w:val="20"/>
              </w:rPr>
              <w:t xml:space="preserve">Payout Value </w:t>
              <w:br/>
              <w:t>($)</w:t>
            </w:r>
          </w:p>
        </w:tc>
        <w:tc>
          <w:tcPr>
            <w:tcW w:w="120" w:type="dxa"/>
            <w:tcBorders/>
            <w:vAlign w:val="bottom"/>
          </w:tcPr>
          <w:p>
            <w:pPr>
              <w:pStyle w:val="TableContents"/>
              <w:bidi w:val="0"/>
              <w:spacing w:before="0" w:after="283"/>
              <w:jc w:val="left"/>
              <w:rPr/>
            </w:pPr>
            <w:r>
              <w:rPr/>
              <w:t> </w:t>
            </w:r>
          </w:p>
        </w:tc>
      </w:tr>
      <w:tr>
        <w:trPr/>
        <w:tc>
          <w:tcPr>
            <w:tcW w:w="995" w:type="dxa"/>
            <w:vMerge w:val="restart"/>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James C. Clemmer</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7/26/17</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77,627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16.55</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7/26/27</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94,986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2,116,464</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55,651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46,091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529,125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211,622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2,429,421</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7/17/19</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83,967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21.54</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7/17/29</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79,359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911,041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87,627</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7/14/20</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9.92</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7/14/30</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2,367,784</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7/21/21</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101,667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26.49</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7/21/31</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2,367,784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19,382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7/20/32</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7/19/33</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51,924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155,769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7/17/34</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7/19/24</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7/19/34</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restart"/>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Stephen A. Trowbridge</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7/26/17</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16.55</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7/26/27</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22,857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57,381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658,734</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164,692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77,905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894,349</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29,215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335,388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998,726</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7/17/19</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21.54</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7/17/29</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998,726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2/3/20</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18,204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13.74</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2/3/30</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7/14/20</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44,510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9.92</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7/14/30</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7/21/21</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26.49</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7/21/31</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21.53</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7/20/32</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7/19/33</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19,115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57,343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7/17/34</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restart"/>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Lawrence T. Weiss</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12/2/24</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77,737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12/2/34</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12/2/24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39,523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453,724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354,732</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354,732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restart"/>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Laura Piccinini</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23.49</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6/1/31</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325,297</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7/21/21</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26.49</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7/21/31</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81,324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30,428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349,313</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21.53</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7/20/32</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58,181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372,216</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7/19/33</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130,998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22,397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7/17/34</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372,216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restart"/>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Warren G. Nighan</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7/26/17</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16.55</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7/26/27</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230,197</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57,561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274,969</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336,927</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7/17/19</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21.54</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7/17/29</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103,113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7/14/20</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9.92</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7/14/30</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336,927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7/21/21</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26.49</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7/21/31</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7/20/32</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7/19/33</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17,630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7/17/34</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1" w:name="z422b93de13444be6a36fab5eb8f86426"/>
      <w:bookmarkStart w:id="192" w:name="z422b93de13444be6a36fab5eb8f86426"/>
      <w:bookmarkEnd w:id="192"/>
    </w:p>
    <w:tbl>
      <w:tblPr>
        <w:tblW w:w="7375" w:type="dxa"/>
        <w:jc w:val="left"/>
        <w:tblInd w:w="0" w:type="dxa"/>
        <w:tblLayout w:type="fixed"/>
        <w:tblCellMar>
          <w:top w:w="0" w:type="dxa"/>
          <w:left w:w="0" w:type="dxa"/>
          <w:bottom w:w="0" w:type="dxa"/>
          <w:right w:w="0" w:type="dxa"/>
        </w:tblCellMar>
      </w:tblPr>
      <w:tblGrid>
        <w:gridCol w:w="290"/>
        <w:gridCol w:w="708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vest 25% on each of the first four anniversaries following the grant date.</w:t>
            </w:r>
          </w:p>
        </w:tc>
      </w:tr>
    </w:tbl>
    <w:p>
      <w:pPr>
        <w:pStyle w:val="Normal"/>
        <w:bidi w:val="0"/>
        <w:spacing w:before="0" w:after="0"/>
        <w:jc w:val="left"/>
        <w:rPr>
          <w:sz w:val="4"/>
          <w:szCs w:val="4"/>
        </w:rPr>
      </w:pPr>
      <w:r>
        <w:rPr>
          <w:sz w:val="4"/>
          <w:szCs w:val="4"/>
        </w:rPr>
      </w:r>
      <w:bookmarkStart w:id="193" w:name="z4bb360568391483c958d72404f39b3fa"/>
      <w:bookmarkStart w:id="194" w:name="z4bb360568391483c958d72404f39b3fa"/>
      <w:bookmarkEnd w:id="194"/>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value of restricted stock units and performance share awards is determined using the closing price of our common stock on May 31, 2026 (the last trading day in fiscal year 2026) of $11.48.</w:t>
            </w:r>
          </w:p>
        </w:tc>
      </w:tr>
    </w:tbl>
    <w:p>
      <w:pPr>
        <w:pStyle w:val="Normal"/>
        <w:bidi w:val="0"/>
        <w:spacing w:before="0" w:after="0"/>
        <w:jc w:val="left"/>
        <w:rPr>
          <w:sz w:val="4"/>
          <w:szCs w:val="4"/>
        </w:rPr>
      </w:pPr>
      <w:r>
        <w:rPr>
          <w:sz w:val="4"/>
          <w:szCs w:val="4"/>
        </w:rPr>
      </w:r>
      <w:bookmarkStart w:id="195" w:name="z80a5414d783c447d8ad311a730fdfae6"/>
      <w:bookmarkStart w:id="196" w:name="z80a5414d783c447d8ad311a730fdfae6"/>
      <w:bookmarkEnd w:id="196"/>
    </w:p>
    <w:tbl>
      <w:tblPr>
        <w:tblW w:w="8005" w:type="dxa"/>
        <w:jc w:val="left"/>
        <w:tblInd w:w="0" w:type="dxa"/>
        <w:tblLayout w:type="fixed"/>
        <w:tblCellMar>
          <w:top w:w="0" w:type="dxa"/>
          <w:left w:w="0" w:type="dxa"/>
          <w:bottom w:w="0" w:type="dxa"/>
          <w:right w:w="0" w:type="dxa"/>
        </w:tblCellMar>
      </w:tblPr>
      <w:tblGrid>
        <w:gridCol w:w="290"/>
        <w:gridCol w:w="771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vest 25% on each of the first four anniversaries following the grant date.</w:t>
            </w:r>
          </w:p>
        </w:tc>
      </w:tr>
    </w:tbl>
    <w:p>
      <w:pPr>
        <w:pStyle w:val="Normal"/>
        <w:bidi w:val="0"/>
        <w:spacing w:before="0" w:after="0"/>
        <w:jc w:val="left"/>
        <w:rPr>
          <w:sz w:val="4"/>
          <w:szCs w:val="4"/>
        </w:rPr>
      </w:pPr>
      <w:r>
        <w:rPr>
          <w:sz w:val="4"/>
          <w:szCs w:val="4"/>
        </w:rPr>
      </w:r>
      <w:bookmarkStart w:id="197" w:name="z58737a2811a44de3b34790717479704b"/>
      <w:bookmarkStart w:id="198" w:name="z58737a2811a44de3b34790717479704b"/>
      <w:bookmarkEnd w:id="198"/>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2024, 2025 and 2026 performance share awards vest at the end of the third fiscal year following each respective grant, subject to (a) achievement of performance metrics, (b) continuous employment through the performance period, and (c) certification by the Compensation and Human Capital Committee (or the Board in the case of the CEO), which in the case of the 2024 performance share awards occurred in July 2026.  The performance share awards in this table reflect the target number of shares that were granted.</w:t>
            </w:r>
          </w:p>
        </w:tc>
      </w:tr>
    </w:tbl>
    <w:p>
      <w:pPr>
        <w:pStyle w:val="TextBody"/>
        <w:bidi w:val="0"/>
        <w:spacing w:before="0" w:after="18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Option Exercises and Stock Vested for Fiscal Year 2026</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summarizes the stock option exercises and shares vested by the named executive officers during our fiscal year ended May 31, 2026. </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199" w:name="zf77c117d5a6142f3be4f2a0e953e048d"/>
      <w:bookmarkStart w:id="200" w:name="zf77c117d5a6142f3be4f2a0e953e048d"/>
      <w:bookmarkEnd w:id="200"/>
    </w:p>
    <w:tbl>
      <w:tblPr>
        <w:tblW w:w="9108" w:type="dxa"/>
        <w:jc w:val="left"/>
        <w:tblInd w:w="0" w:type="dxa"/>
        <w:tblLayout w:type="fixed"/>
        <w:tblCellMar>
          <w:top w:w="0" w:type="dxa"/>
          <w:left w:w="0" w:type="dxa"/>
          <w:bottom w:w="0" w:type="dxa"/>
          <w:right w:w="0" w:type="dxa"/>
        </w:tblCellMar>
      </w:tblPr>
      <w:tblGrid>
        <w:gridCol w:w="1925"/>
        <w:gridCol w:w="90"/>
        <w:gridCol w:w="451"/>
        <w:gridCol w:w="1458"/>
        <w:gridCol w:w="126"/>
        <w:gridCol w:w="126"/>
        <w:gridCol w:w="322"/>
        <w:gridCol w:w="1047"/>
        <w:gridCol w:w="90"/>
        <w:gridCol w:w="90"/>
        <w:gridCol w:w="222"/>
        <w:gridCol w:w="1537"/>
        <w:gridCol w:w="90"/>
        <w:gridCol w:w="90"/>
        <w:gridCol w:w="146"/>
        <w:gridCol w:w="1178"/>
        <w:gridCol w:w="120"/>
      </w:tblGrid>
      <w:tr>
        <w:trPr/>
        <w:tc>
          <w:tcPr>
            <w:tcW w:w="19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Option Awards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6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 Awards</w:t>
            </w:r>
          </w:p>
        </w:tc>
        <w:tc>
          <w:tcPr>
            <w:tcW w:w="120" w:type="dxa"/>
            <w:tcBorders/>
            <w:vAlign w:val="bottom"/>
          </w:tcPr>
          <w:p>
            <w:pPr>
              <w:pStyle w:val="TableContents"/>
              <w:bidi w:val="0"/>
              <w:spacing w:before="0" w:after="283"/>
              <w:jc w:val="left"/>
              <w:rPr/>
            </w:pPr>
            <w:r>
              <w:rPr/>
              <w:t> </w:t>
            </w:r>
          </w:p>
        </w:tc>
      </w:tr>
      <w:tr>
        <w:trPr/>
        <w:tc>
          <w:tcPr>
            <w:tcW w:w="192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Number of Shares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Acquired on Exercise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Value Realized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Exercise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 Shares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Acquired on Vesting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 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Vesting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120" w:type="dxa"/>
            <w:tcBorders/>
            <w:vAlign w:val="bottom"/>
          </w:tcPr>
          <w:p>
            <w:pPr>
              <w:pStyle w:val="TableContents"/>
              <w:bidi w:val="0"/>
              <w:spacing w:before="0" w:after="283"/>
              <w:jc w:val="left"/>
              <w:rPr/>
            </w:pPr>
            <w:r>
              <w:rPr/>
              <w:t> </w:t>
            </w:r>
          </w:p>
        </w:tc>
      </w:tr>
      <w:tr>
        <w:trPr/>
        <w:tc>
          <w:tcPr>
            <w:tcW w:w="1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James C. Clemmer</w:t>
            </w:r>
          </w:p>
        </w:tc>
        <w:tc>
          <w:tcPr>
            <w:tcW w:w="9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0"/>
              <w:jc w:val="right"/>
              <w:rPr>
                <w:color w:val="000000"/>
              </w:rPr>
            </w:pPr>
            <w:r>
              <w:rPr>
                <w:color w:val="000000"/>
              </w:rPr>
              <w:t>—</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595,744</w:t>
            </w:r>
          </w:p>
        </w:tc>
        <w:tc>
          <w:tcPr>
            <w:tcW w:w="120" w:type="dxa"/>
            <w:tcBorders/>
            <w:shd w:fill="CCEEFF" w:val="clear"/>
            <w:vAlign w:val="bottom"/>
          </w:tcPr>
          <w:p>
            <w:pPr>
              <w:pStyle w:val="TableContents"/>
              <w:bidi w:val="0"/>
              <w:spacing w:before="0" w:after="283"/>
              <w:jc w:val="left"/>
              <w:rPr/>
            </w:pPr>
            <w:r>
              <w:rPr/>
              <w:t> </w:t>
            </w:r>
          </w:p>
        </w:tc>
      </w:tr>
      <w:tr>
        <w:trPr/>
        <w:tc>
          <w:tcPr>
            <w:tcW w:w="1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A. Trowbridge</w:t>
            </w:r>
          </w:p>
        </w:tc>
        <w:tc>
          <w:tcPr>
            <w:tcW w:w="9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0"/>
              <w:jc w:val="right"/>
              <w:rPr>
                <w:color w:val="000000"/>
              </w:rPr>
            </w:pPr>
            <w:r>
              <w:rPr>
                <w:color w:val="000000"/>
              </w:rPr>
              <w:t>—</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181,386</w:t>
            </w:r>
          </w:p>
        </w:tc>
        <w:tc>
          <w:tcPr>
            <w:tcW w:w="120" w:type="dxa"/>
            <w:tcBorders/>
            <w:vAlign w:val="bottom"/>
          </w:tcPr>
          <w:p>
            <w:pPr>
              <w:pStyle w:val="TableContents"/>
              <w:bidi w:val="0"/>
              <w:spacing w:before="0" w:after="283"/>
              <w:jc w:val="left"/>
              <w:rPr/>
            </w:pPr>
            <w:r>
              <w:rPr/>
              <w:t> </w:t>
            </w:r>
          </w:p>
        </w:tc>
      </w:tr>
      <w:tr>
        <w:trPr/>
        <w:tc>
          <w:tcPr>
            <w:tcW w:w="1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Lawrence Weiss</w:t>
            </w:r>
          </w:p>
        </w:tc>
        <w:tc>
          <w:tcPr>
            <w:tcW w:w="9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0"/>
              <w:jc w:val="right"/>
              <w:rPr>
                <w:color w:val="000000"/>
              </w:rPr>
            </w:pPr>
            <w:r>
              <w:rPr>
                <w:color w:val="000000"/>
              </w:rPr>
              <w:t>—</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176,136</w:t>
            </w:r>
          </w:p>
        </w:tc>
        <w:tc>
          <w:tcPr>
            <w:tcW w:w="120" w:type="dxa"/>
            <w:tcBorders/>
            <w:shd w:fill="CCEEFF" w:val="clear"/>
            <w:vAlign w:val="bottom"/>
          </w:tcPr>
          <w:p>
            <w:pPr>
              <w:pStyle w:val="TableContents"/>
              <w:bidi w:val="0"/>
              <w:spacing w:before="0" w:after="283"/>
              <w:jc w:val="left"/>
              <w:rPr/>
            </w:pPr>
            <w:r>
              <w:rPr/>
              <w:t> </w:t>
            </w:r>
          </w:p>
        </w:tc>
      </w:tr>
      <w:tr>
        <w:trPr/>
        <w:tc>
          <w:tcPr>
            <w:tcW w:w="1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Laura Piccinini</w:t>
            </w:r>
          </w:p>
        </w:tc>
        <w:tc>
          <w:tcPr>
            <w:tcW w:w="9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0"/>
              <w:jc w:val="right"/>
              <w:rPr>
                <w:color w:val="000000"/>
              </w:rPr>
            </w:pPr>
            <w:r>
              <w:rPr>
                <w:color w:val="000000"/>
              </w:rPr>
              <w:t>—</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119,232</w:t>
            </w:r>
          </w:p>
        </w:tc>
        <w:tc>
          <w:tcPr>
            <w:tcW w:w="120" w:type="dxa"/>
            <w:tcBorders/>
            <w:vAlign w:val="bottom"/>
          </w:tcPr>
          <w:p>
            <w:pPr>
              <w:pStyle w:val="TableContents"/>
              <w:bidi w:val="0"/>
              <w:spacing w:before="0" w:after="283"/>
              <w:jc w:val="left"/>
              <w:rPr/>
            </w:pPr>
            <w:r>
              <w:rPr/>
              <w:t> </w:t>
            </w:r>
          </w:p>
        </w:tc>
      </w:tr>
      <w:tr>
        <w:trPr/>
        <w:tc>
          <w:tcPr>
            <w:tcW w:w="1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Warren G. Nighan</w:t>
            </w:r>
          </w:p>
        </w:tc>
        <w:tc>
          <w:tcPr>
            <w:tcW w:w="9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0"/>
              <w:jc w:val="right"/>
              <w:rPr>
                <w:color w:val="000000"/>
              </w:rPr>
            </w:pPr>
            <w:r>
              <w:rPr>
                <w:color w:val="000000"/>
              </w:rPr>
              <w:t>—</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78,640</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Potential Payments upon Termination or Change in Control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maintains the following arrangements under which it provides compensation or benefits to our named executive officers by reason of a termination of employment or change in control.</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CEO Employment Agreement</w:t>
      </w:r>
    </w:p>
    <w:p>
      <w:pPr>
        <w:pStyle w:val="TextBody"/>
        <w:bidi w:val="0"/>
        <w:spacing w:before="0" w:after="0"/>
        <w:jc w:val="left"/>
        <w:rPr/>
      </w:pPr>
      <w:r>
        <w:rPr/>
      </w:r>
    </w:p>
    <w:p>
      <w:pPr>
        <w:pStyle w:val="TextBody"/>
        <w:bidi w:val="0"/>
        <w:spacing w:before="0" w:after="0"/>
        <w:ind w:left="0" w:right="0" w:firstLine="495"/>
        <w:jc w:val="left"/>
        <w:rPr>
          <w:color w:val="000000"/>
          <w:shd w:fill="FFFFFF" w:val="clear"/>
        </w:rPr>
      </w:pPr>
      <w:r>
        <w:rPr>
          <w:color w:val="000000"/>
          <w:shd w:fill="FFFFFF" w:val="clear"/>
        </w:rPr>
        <w:t>    </w:t>
      </w:r>
      <w:r>
        <w:rPr>
          <w:rFonts w:ascii="Times New Roman" w:hAnsi="Times New Roman"/>
          <w:color w:val="000000"/>
          <w:sz w:val="20"/>
          <w:shd w:fill="FFFFFF" w:val="clear"/>
        </w:rPr>
        <w:t>Under our employment agreement with Mr. Clemmer, if (A) his employment is terminated by the Company other than (1) in connection with a change in control of the Company (as defined in his change in control agreement described below) or (2) as a result of Mr. Clemmer’s (a) death, (b) disability, or (c) “Cause” (as defined in the employment agreement), or (B) if Mr. Clemmer’s employment is terminated by Mr. Clemmer for “Good Reason” (as defined in the employment agreement), then, subject to Mr. Clemmer’s execution of an effective release of claims in favor of the Company and continued compliance with certain restrictive covenants, including certain noncompete obligations, the Company will pay Mr. Clemmer his base salary for a 12-month severance period plus a prorated annual bonus for the fiscal year in which the termination occurs, with the amount of such prorated bonus to be determined by reference to the average of all annual bonuses (including any deferred bonuses) awarded to Mr. Clemmer during the 36 months immediately preceding the termination. The Company also would pay Mr. Clemmer’s COBRA/insurance premium for 12 months (or, if earlier, until Mr. Clemmer secures new full-time employment), and he would be entitled to continued vesting of his then outstanding equity awards for the 12-month period following his termination.</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As previously disclosed, Mr. Clemmer has announced his intention to retire on the earlier of November 30, 2026 and appointment of a successor Chief Executive Officer.  In connection with Mr. Clemmer’s intention to retire, the Company and Mr. Clemmer entered into a Transition and Retirement Agreement (the “Retirement Agreement”), pursuant to which Mr. Clemmer will continue to serve as President and Chief Executive Officer of the Company until the earlier to occur of (i) the appointment of a successor in the role of Chief Executive Officer of the Company and (ii) November 30, 2026 (the “Planned Retirement Date”); provided, that upon mutual agreement, the Company and Mr. Clemmer may elect to extend the Planned Retirement Date on a month-to-month basis until a successor is found (such ultimate date of retirement, the “Retirement Date”).  In the absence of a previously established retirement program, the Board of Directors of the Company entered into the Retirement Agreement to allow for the continued vesting of Mr. Clemmer’s previously issued and outstanding equity awards until the later of the termination of Mr. Clemmer’s service to the Company as a consultant or director on the Board (such later date, the “Separation of Service Date”) and certain other related terms.  Following the Separation of Service Date, stock options and service-based restricted stock units previously granted to Mr. Clemmer will immediately vest and each outstanding restricted stock unit granted to Mr. Clemmer that is subject to performance-based vesting conditions will remain outstanding and eligible to performance vest in accordance with its terms.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Executive Severance Policy</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named executive officers may be eligible for severance payments and benefits under our AngioDynamics Senior Executive Severance Pay Guidelines.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 senior executive may be eligible to receive severance benefits in the following situations: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1" w:name="z5d6ce1e729934e8ab07f8cd4697940b4"/>
      <w:bookmarkStart w:id="202" w:name="z5d6ce1e729934e8ab07f8cd4697940b4"/>
      <w:bookmarkEnd w:id="202"/>
    </w:p>
    <w:tbl>
      <w:tblPr>
        <w:tblW w:w="4398" w:type="dxa"/>
        <w:jc w:val="left"/>
        <w:tblInd w:w="0" w:type="dxa"/>
        <w:tblLayout w:type="fixed"/>
        <w:tblCellMar>
          <w:top w:w="0" w:type="dxa"/>
          <w:left w:w="0" w:type="dxa"/>
          <w:bottom w:w="0" w:type="dxa"/>
          <w:right w:w="0" w:type="dxa"/>
        </w:tblCellMar>
      </w:tblPr>
      <w:tblGrid>
        <w:gridCol w:w="68"/>
        <w:gridCol w:w="140"/>
        <w:gridCol w:w="41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elimination of the executive’s job or position;</w:t>
            </w:r>
          </w:p>
        </w:tc>
      </w:tr>
    </w:tbl>
    <w:p>
      <w:pPr>
        <w:pStyle w:val="Normal"/>
        <w:bidi w:val="0"/>
        <w:spacing w:before="0" w:after="0"/>
        <w:jc w:val="left"/>
        <w:rPr>
          <w:sz w:val="4"/>
          <w:szCs w:val="4"/>
        </w:rPr>
      </w:pPr>
      <w:r>
        <w:rPr>
          <w:sz w:val="4"/>
          <w:szCs w:val="4"/>
        </w:rPr>
      </w:r>
      <w:bookmarkStart w:id="203" w:name="z3de7dcab981f493796297c24016385bf"/>
      <w:bookmarkStart w:id="204" w:name="z3de7dcab981f493796297c24016385bf"/>
      <w:bookmarkEnd w:id="20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relocation of the executive’s job or position to a location in excess of 60 miles from the current location of employment; or</w:t>
            </w:r>
          </w:p>
        </w:tc>
      </w:tr>
    </w:tbl>
    <w:p>
      <w:pPr>
        <w:pStyle w:val="Normal"/>
        <w:bidi w:val="0"/>
        <w:spacing w:before="0" w:after="0"/>
        <w:jc w:val="left"/>
        <w:rPr>
          <w:sz w:val="4"/>
          <w:szCs w:val="4"/>
        </w:rPr>
      </w:pPr>
      <w:r>
        <w:rPr>
          <w:sz w:val="4"/>
          <w:szCs w:val="4"/>
        </w:rPr>
      </w:r>
      <w:bookmarkStart w:id="205" w:name="z2b0f34c492dd4226a167da754c4905d0"/>
      <w:bookmarkStart w:id="206" w:name="z2b0f34c492dd4226a167da754c4905d0"/>
      <w:bookmarkEnd w:id="20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Divestment of the executive’s business or business unit, unless the acquiring/successor entity offers continuing employment that does not involve a major relocation, as described above.</w:t>
            </w:r>
          </w:p>
        </w:tc>
      </w:tr>
    </w:tbl>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 senior executive would generally not be eligible for severance benefits in the following situations: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7" w:name="z8a426d76348d46e1a3a98bcb8a3ff608"/>
      <w:bookmarkStart w:id="208" w:name="z8a426d76348d46e1a3a98bcb8a3ff608"/>
      <w:bookmarkEnd w:id="208"/>
    </w:p>
    <w:tbl>
      <w:tblPr>
        <w:tblW w:w="6018" w:type="dxa"/>
        <w:jc w:val="left"/>
        <w:tblInd w:w="0" w:type="dxa"/>
        <w:tblLayout w:type="fixed"/>
        <w:tblCellMar>
          <w:top w:w="0" w:type="dxa"/>
          <w:left w:w="0" w:type="dxa"/>
          <w:bottom w:w="0" w:type="dxa"/>
          <w:right w:w="0" w:type="dxa"/>
        </w:tblCellMar>
      </w:tblPr>
      <w:tblGrid>
        <w:gridCol w:w="68"/>
        <w:gridCol w:w="140"/>
        <w:gridCol w:w="58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Terminations for performance reasons, including, violating work rules;</w:t>
            </w:r>
          </w:p>
        </w:tc>
      </w:tr>
    </w:tbl>
    <w:p>
      <w:pPr>
        <w:pStyle w:val="Normal"/>
        <w:bidi w:val="0"/>
        <w:spacing w:before="0" w:after="0"/>
        <w:jc w:val="left"/>
        <w:rPr>
          <w:sz w:val="4"/>
          <w:szCs w:val="4"/>
        </w:rPr>
      </w:pPr>
      <w:r>
        <w:rPr>
          <w:sz w:val="4"/>
          <w:szCs w:val="4"/>
        </w:rPr>
      </w:r>
      <w:bookmarkStart w:id="209" w:name="z9c73f235c34b4fc5bae197058948d20a"/>
      <w:bookmarkStart w:id="210" w:name="z9c73f235c34b4fc5bae197058948d20a"/>
      <w:bookmarkEnd w:id="210"/>
    </w:p>
    <w:tbl>
      <w:tblPr>
        <w:tblW w:w="2223" w:type="dxa"/>
        <w:jc w:val="left"/>
        <w:tblInd w:w="0" w:type="dxa"/>
        <w:tblLayout w:type="fixed"/>
        <w:tblCellMar>
          <w:top w:w="0" w:type="dxa"/>
          <w:left w:w="0" w:type="dxa"/>
          <w:bottom w:w="0" w:type="dxa"/>
          <w:right w:w="0" w:type="dxa"/>
        </w:tblCellMar>
      </w:tblPr>
      <w:tblGrid>
        <w:gridCol w:w="68"/>
        <w:gridCol w:w="140"/>
        <w:gridCol w:w="20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Voluntary resignations;</w:t>
            </w:r>
          </w:p>
        </w:tc>
      </w:tr>
    </w:tbl>
    <w:p>
      <w:pPr>
        <w:pStyle w:val="Normal"/>
        <w:bidi w:val="0"/>
        <w:spacing w:before="0" w:after="0"/>
        <w:jc w:val="left"/>
        <w:rPr>
          <w:sz w:val="4"/>
          <w:szCs w:val="4"/>
        </w:rPr>
      </w:pPr>
      <w:r>
        <w:rPr>
          <w:sz w:val="4"/>
          <w:szCs w:val="4"/>
        </w:rPr>
      </w:r>
      <w:bookmarkStart w:id="211" w:name="z4917c007dc3649bfbe35ff93614870eb"/>
      <w:bookmarkStart w:id="212" w:name="z4917c007dc3649bfbe35ff93614870eb"/>
      <w:bookmarkEnd w:id="21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the event of an asset or stock sale, where the executive continues employment with a successor in interest to AngioDynamics or any of either its or AngioDynamics’ subsidiaries, affiliates or joint ventures; or</w:t>
            </w:r>
          </w:p>
        </w:tc>
      </w:tr>
    </w:tbl>
    <w:p>
      <w:pPr>
        <w:pStyle w:val="Normal"/>
        <w:bidi w:val="0"/>
        <w:spacing w:before="0" w:after="0"/>
        <w:jc w:val="left"/>
        <w:rPr>
          <w:sz w:val="4"/>
          <w:szCs w:val="4"/>
        </w:rPr>
      </w:pPr>
      <w:r>
        <w:rPr>
          <w:sz w:val="4"/>
          <w:szCs w:val="4"/>
        </w:rPr>
      </w:r>
      <w:bookmarkStart w:id="213" w:name="zc7eb441e6a2b426bafac1d89a48911ff"/>
      <w:bookmarkStart w:id="214" w:name="zc7eb441e6a2b426bafac1d89a48911ff"/>
      <w:bookmarkEnd w:id="21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transfer or reassignment of the executive to another location, division, subsidiary, affiliate or joint venture that does not result in a major relocation as described above.</w:t>
            </w:r>
          </w:p>
        </w:tc>
      </w:tr>
    </w:tbl>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EVPs and SVPs who report directly to the CEO are entitled to an aggregate severance benefit equal to 12 months of base salary and continuation of health benefits for 12 months.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 general, the CEO is eligible for a severance benefit equal to 18 months of base salary, unless a different severance benefit is set forth in an effective agreement as noted for Mr. Clemmer above.</w:t>
      </w:r>
    </w:p>
    <w:p>
      <w:pPr>
        <w:pStyle w:val="TextBody"/>
        <w:bidi w:val="0"/>
        <w:spacing w:before="0" w:after="0"/>
        <w:jc w:val="left"/>
        <w:rPr/>
      </w:pPr>
      <w:r>
        <w:rPr/>
      </w:r>
    </w:p>
    <w:p>
      <w:pPr>
        <w:pStyle w:val="TextBody"/>
        <w:bidi w:val="0"/>
        <w:spacing w:before="0" w:after="0"/>
        <w:ind w:left="0" w:right="0" w:firstLine="450"/>
        <w:jc w:val="left"/>
        <w:rPr>
          <w:color w:val="000000"/>
          <w:shd w:fill="FFFFFF" w:val="clear"/>
        </w:rPr>
      </w:pPr>
      <w:r>
        <w:rPr>
          <w:color w:val="000000"/>
          <w:shd w:fill="FFFFFF" w:val="clear"/>
        </w:rPr>
        <w:t> </w:t>
      </w:r>
      <w:r>
        <w:rPr>
          <w:rFonts w:ascii="Times New Roman" w:hAnsi="Times New Roman"/>
          <w:color w:val="000000"/>
          <w:sz w:val="20"/>
          <w:shd w:fill="FFFFFF" w:val="clear"/>
        </w:rPr>
        <w:t>Payments are generally made in accordance with the Company’s regular salary payment practices, subject to modification in connection with Section 409A of the Internal Revenue Code, unless a different method is set forth in an effective agreement.</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Additional benefits, such as outplacement assistance and/or an agreement not to contest eligibility for unemployment compensation, may also be offered in a separation agreement.</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Change-in-Control Agreements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On January 29, 2021, we entered into amended and restated change in control severance agreements with certain executive officers, including each of the named executive officers then employed by the Company.  As amended and restated, each agreement has a current term that expires on December 31 of each year, and will automatically renew each year immediately following January 1 for an additional one year term (unless the Company has given notice not more than sixty days prior to such January 1 that the term will not be extended); provided however, that if a change in control occurs the term will expire no earlier than 24 calendar months after the calendar month in which such change in control occurs. A change in control is defined in each agreement generally as any of the following: (i) a person is or becomes a beneficial owner of more than 50% of our voting securities, (ii) subject to certain exceptions, the composition of a majority of our Board changes, (iii) we consummate a merger or consolidation (other than a transaction following which the Company’s voting securities continue to represent (by remaining outstanding or by conversion) at least 60% of the combined voting power of the Company or its successor, or a merger or consolidation effected to implement a recapitalization of the Company (or similar transaction) in which no person becomes a beneficial owner of more than 50% of our voting securities), or (iv) our shareholders approve a plan of liquidation or sale of all or substantially all of our assets (other than a sale by the Company to an entity at least 60% of the combined voting power of which is owned by shareholders of the Company in substantially the same proportions as their ownership of the Company).</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Each agreement provides, among other things, that if a change in control occurs during the term of the agreement, and the executive’s employment is terminated (including in certain circumstances not more than three months before the change in control) either by us or by the executive, other than (a) by us for “Cause” (as defined in the agreement), (b) by reason of death or disability, or (c) by the executive without “Good Reason” (as defined in the agreement), such executive will receive the following severance benefits: (A) a cash lump-sum payment equal to 1.5 times (2 times for the CEO) the sum of his or her annual base salary and cash bonus target (determined at the time of the termination or, if greater and as applicable, immediately preceding the event giving rise to Good Reason), (B) any unpaid annual bonus amounts for the prior year, (C) a prorated annual bonus amount for the year of termination (based on the highest of the average bonuses awarded to the executive for (x) the 36 months preceding the termination, (y) the Company’s three fiscal years preceding the termination, and (z) the 36 months preceding the change in control, in each case disregarding any years in which the executive was not employed by the Company and annualizing bonuses for any partial year of employment), (D) earned but unused vacation time, (E) provided the executive timely elects COBRA continuation coverage, continuation of  participation in the Company’s group medical, dental, vision, and prescription drug coverage at no cost to the executive and the executive’s dependents for a period of 18 months (24 months for the CEO) and (F) full vesting of any stock options, restricted stock, performance shares or other equity-based award granted to the executive officer upon or following entry into the agreements but prior to the applicable change in control (with any applicable performance conditions deemed satisfied at the “target” level). Each agreement also provides that in the event that the severance and other benefits provided for in the agreement or otherwise payable to the executive would be subject to the excise tax imposed by Section 4999 of the Internal Revenue Code, the benefits under the agreement will be either (i) delivered in full, or (ii) delivered to a lesser extent which would result in no portion of the benefits being subject to such excise tax, whichever is more beneficial to the executive.</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All such payments and benefits are subject to the executive officer's execution of both a release of claims and a restrictive covenant agreement in favor of the Company (including certain noncompete obligations) and generally shall be made or commence within 30 days after the release becomes irrevocable, subject to delay if required by Section 409A of the Internal Revenue Code.</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Retention Agreements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 connection with Mr. Clemmer’s retirement and transition, on January 30, 2026, the Board approved customary retention agreements (the “Retention Agreements”) with the Company’s executive leadership team, including all named executive officers (other than Mr. Clemmer). Under the Retention Agreements, each recipient that remains employed by the Company on the earlier of (i) 6 months from the date on which a successor Chief Executive Officer commences his or her employment with the Company and (ii) June 1, 2027, is entitled to a cash retention award of a portion of the individual’s base salary. In addition, each recipient shall be entitled to receive their retention award if their position is eliminated by the Company without “cause”.</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Under the Retention Agreements, Stephen A. Trowbridge, Executive Vice President and Chief Financial Officer; Laura Piccinini, Senior Vice President and General Manager, Cardiovascular and International; and Warren G. Nighan, Senior Vice President, Global Supply Chain, Quality and Regulatory Affairs and Chad T. Campbell, Senior Vice President and General Manager, Oncology and Interventional Devices will be entitled to a cash retention award equal to 150% of the individual’s base salary, and each other member of the executive leadership team will be eligible to receive a cash retention award equal to 50% of the individual’s base salary.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Equity Acceleration under the 2020 Plan</w:t>
      </w:r>
    </w:p>
    <w:p>
      <w:pPr>
        <w:pStyle w:val="TextBody"/>
        <w:bidi w:val="0"/>
        <w:spacing w:before="0" w:after="0"/>
        <w:jc w:val="left"/>
        <w:rPr/>
      </w:pPr>
      <w:r>
        <w:rPr/>
      </w:r>
    </w:p>
    <w:p>
      <w:pPr>
        <w:pStyle w:val="TextBody"/>
        <w:bidi w:val="0"/>
        <w:spacing w:before="0" w:after="0"/>
        <w:ind w:left="0" w:right="0" w:firstLine="446"/>
        <w:jc w:val="left"/>
        <w:rPr>
          <w:rFonts w:ascii="Times New Roman" w:hAnsi="Times New Roman"/>
          <w:color w:val="000000"/>
          <w:sz w:val="20"/>
          <w:shd w:fill="FFFFFF" w:val="clear"/>
        </w:rPr>
      </w:pPr>
      <w:r>
        <w:rPr>
          <w:rFonts w:ascii="Times New Roman" w:hAnsi="Times New Roman"/>
          <w:color w:val="000000"/>
          <w:sz w:val="20"/>
          <w:shd w:fill="FFFFFF" w:val="clear"/>
        </w:rPr>
        <w:t>Unless otherwise provided in a written agreement with a participant in the 2020 Plan, if such participant’s employment is terminated by us without “cause,” or if such participant resigns for “good reason,” in each case within 3 months preceding, or at any time following, a “change in control,” that participant’s outstanding equity awards will be subject to accelerated vesting upon such termination (with any applicable performance conditions deemed satisfied at the “target” level). However, if the committee determines that an award under the 2020 Plan has not been assumed or continued by the successor in a “change in control” transaction, then such award will vest upon such “change in control” (with any applicable performance conditions deemed satisfied at the “target” level).  Outside the change in control context, awards held by executives under the 2020 Plan are generally forfeited or expire upon a termination of employment, except that (i) upon a termination for death, disability or retirement before the end of the performance period, performance shares remain subject to actual performance over the duration of the performance period and then vest on a prorated basis based on the number of months (rounded to the nearest whole month) elapsed in the performance period before the death, disability or retirement, (ii) upon a termination for death or disability, restricted stock units vest on a prorated basis based on the number of full and partial months (rounded to the nearest half month) elapsed in the performance period before the death or disability and (iii) options fully vest upon, and remain exercisable for one year following, a termination for death or disability (but not beyond their original expiration date); if the termination is not for death or disability, any already vested options remain exercisable for three months thereafter, unless the termination is for “cause,” in which case the option terminates in full immediately regardless of whether previously vested to any extent.</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center"/>
        <w:rPr>
          <w:rFonts w:ascii="Times New Roman" w:hAnsi="Times New Roman"/>
          <w:b/>
          <w:color w:val="000000"/>
          <w:sz w:val="20"/>
          <w:shd w:fill="FFFFFF" w:val="clear"/>
        </w:rPr>
      </w:pPr>
      <w:r>
        <w:rPr>
          <w:rFonts w:ascii="Times New Roman" w:hAnsi="Times New Roman"/>
          <w:b/>
          <w:color w:val="000000"/>
          <w:sz w:val="20"/>
          <w:shd w:fill="FFFFFF" w:val="clear"/>
        </w:rPr>
        <w:t>Estimates of Potential Payments Upon Termination or Change in Control</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estimates the potential payments to Messrs. Clemmer, Trowbridge, Weiss, Nighan and Ms. Piccinini under existing agreements, plans or other arrangements, for various scenarios involving a change in control or termination of employment as described above under “Potential Payments Upon Termination or Change in Control,” in each case assuming the change in control and termination date was May 31, 2026, and where applicable, using the closing market price of our common stock of $11.48 per share on May 31, 2026 (the last trading day in fiscal year 2026 as reported on the Nasdaq).</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5" w:name="zf84d0641670b4686a17c180135c50f21"/>
      <w:bookmarkStart w:id="216" w:name="zf84d0641670b4686a17c180135c50f21"/>
      <w:bookmarkEnd w:id="216"/>
    </w:p>
    <w:tbl>
      <w:tblPr>
        <w:tblW w:w="10205" w:type="dxa"/>
        <w:jc w:val="left"/>
        <w:tblInd w:w="0" w:type="dxa"/>
        <w:tblLayout w:type="fixed"/>
        <w:tblCellMar>
          <w:top w:w="0" w:type="dxa"/>
          <w:left w:w="0" w:type="dxa"/>
          <w:bottom w:w="28" w:type="dxa"/>
          <w:right w:w="0" w:type="dxa"/>
        </w:tblCellMar>
      </w:tblPr>
      <w:tblGrid>
        <w:gridCol w:w="2407"/>
        <w:gridCol w:w="90"/>
        <w:gridCol w:w="155"/>
        <w:gridCol w:w="875"/>
        <w:gridCol w:w="90"/>
        <w:gridCol w:w="90"/>
        <w:gridCol w:w="155"/>
        <w:gridCol w:w="875"/>
        <w:gridCol w:w="90"/>
        <w:gridCol w:w="90"/>
        <w:gridCol w:w="224"/>
        <w:gridCol w:w="1056"/>
        <w:gridCol w:w="90"/>
        <w:gridCol w:w="90"/>
        <w:gridCol w:w="180"/>
        <w:gridCol w:w="1150"/>
        <w:gridCol w:w="90"/>
        <w:gridCol w:w="90"/>
        <w:gridCol w:w="155"/>
        <w:gridCol w:w="725"/>
        <w:gridCol w:w="90"/>
        <w:gridCol w:w="90"/>
        <w:gridCol w:w="155"/>
        <w:gridCol w:w="980"/>
        <w:gridCol w:w="123"/>
      </w:tblGrid>
      <w:tr>
        <w:trPr/>
        <w:tc>
          <w:tcPr>
            <w:tcW w:w="2407"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w:t>
            </w:r>
          </w:p>
        </w:tc>
        <w:tc>
          <w:tcPr>
            <w:tcW w:w="90" w:type="dxa"/>
            <w:tcBorders>
              <w:bottom w:val="single" w:sz="12" w:space="0" w:color="000000"/>
            </w:tcBorders>
            <w:vAlign w:val="bottom"/>
          </w:tcPr>
          <w:p>
            <w:pPr>
              <w:pStyle w:val="TableContents"/>
              <w:bidi w:val="0"/>
              <w:spacing w:before="0" w:after="283"/>
              <w:jc w:val="left"/>
              <w:rPr/>
            </w:pPr>
            <w:r>
              <w:rPr/>
              <w:t> </w:t>
            </w:r>
          </w:p>
        </w:tc>
        <w:tc>
          <w:tcPr>
            <w:tcW w:w="103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Severance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03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Prorated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Bonus</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8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Accelerated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Vesting of</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Stock Options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33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Restricted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Stock Unit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Performance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Share Vesting (2)</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Other (3)</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35" w:type="dxa"/>
            <w:gridSpan w:val="2"/>
            <w:tcBorders>
              <w:bottom w:val="single" w:sz="12" w:space="0" w:color="000000"/>
            </w:tcBorders>
            <w:vAlign w:val="bottom"/>
          </w:tcPr>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Total (4)</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3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3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8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33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8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135" w:type="dxa"/>
            <w:gridSpan w:val="2"/>
            <w:tcBorders/>
            <w:shd w:fill="CCEEFF" w:val="clear"/>
            <w:tcMar>
              <w:bottom w:w="0" w:type="dxa"/>
            </w:tcMar>
            <w:vAlign w:val="bottom"/>
          </w:tcPr>
          <w:p>
            <w:pPr>
              <w:pStyle w:val="TableContents"/>
              <w:bidi w:val="0"/>
              <w:spacing w:before="0" w:after="283"/>
              <w:jc w:val="lef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1,669,434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729,536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11,448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2,410,418</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Death</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903,807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5,586,534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6,490,341</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Disability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903,807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5,586,534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6,490,341</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Retirement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4,194,796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4,194,796</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903,807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7,001,296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7,905,103</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3,338,868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1,167,033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903,807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10,937,099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16,369,703</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8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8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283"/>
              <w:jc w:val="left"/>
              <w:rPr/>
            </w:pPr>
            <w:r>
              <w:rPr/>
              <w:t> </w:t>
            </w:r>
          </w:p>
        </w:tc>
        <w:tc>
          <w:tcPr>
            <w:tcW w:w="105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283"/>
              <w:jc w:val="left"/>
              <w:rPr/>
            </w:pPr>
            <w:r>
              <w:rPr/>
              <w:t> </w:t>
            </w:r>
          </w:p>
        </w:tc>
        <w:tc>
          <w:tcPr>
            <w:tcW w:w="115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980" w:type="dxa"/>
            <w:tcBorders/>
            <w:tcMar>
              <w:bottom w:w="0" w:type="dxa"/>
            </w:tcMar>
            <w:vAlign w:val="bottom"/>
          </w:tcPr>
          <w:p>
            <w:pPr>
              <w:pStyle w:val="TableContents"/>
              <w:bidi w:val="0"/>
              <w:spacing w:before="0" w:after="283"/>
              <w:jc w:val="right"/>
              <w:rPr/>
            </w:pPr>
            <w:r>
              <w:rPr/>
              <w:t> </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475,030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769,106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1,244,136</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Death</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1,946,457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2,256,418</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Disability</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1,946,457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2,256,418</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Retirement</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1,446,108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1,446,108</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2,551,809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2,861,770</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1,211,327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4,073,471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786,699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6,826,480</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8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8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283"/>
              <w:jc w:val="left"/>
              <w:rPr/>
            </w:pPr>
            <w:r>
              <w:rPr/>
              <w:t> </w:t>
            </w:r>
          </w:p>
        </w:tc>
        <w:tc>
          <w:tcPr>
            <w:tcW w:w="105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283"/>
              <w:jc w:val="left"/>
              <w:rPr/>
            </w:pPr>
            <w:r>
              <w:rPr/>
              <w:t> </w:t>
            </w:r>
          </w:p>
        </w:tc>
        <w:tc>
          <w:tcPr>
            <w:tcW w:w="115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980" w:type="dxa"/>
            <w:tcBorders/>
            <w:shd w:fill="CCEEFF" w:val="clear"/>
            <w:tcMar>
              <w:bottom w:w="0" w:type="dxa"/>
            </w:tcMar>
            <w:vAlign w:val="bottom"/>
          </w:tcPr>
          <w:p>
            <w:pPr>
              <w:pStyle w:val="TableContents"/>
              <w:bidi w:val="0"/>
              <w:spacing w:before="0" w:after="283"/>
              <w:jc w:val="righ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238,986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681,886</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Death</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333,133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670,512</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Disability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333,133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670,512</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Retirement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98,537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98,537</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354,732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692,111</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1,062,960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335,916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1,163,188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240,003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3,139,446</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Laura Piccinini</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8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8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283"/>
              <w:jc w:val="left"/>
              <w:rPr/>
            </w:pPr>
            <w:r>
              <w:rPr/>
              <w:t> </w:t>
            </w:r>
          </w:p>
        </w:tc>
        <w:tc>
          <w:tcPr>
            <w:tcW w:w="105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283"/>
              <w:jc w:val="left"/>
              <w:rPr/>
            </w:pPr>
            <w:r>
              <w:rPr/>
              <w:t> </w:t>
            </w:r>
          </w:p>
        </w:tc>
        <w:tc>
          <w:tcPr>
            <w:tcW w:w="115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980" w:type="dxa"/>
            <w:tcBorders/>
            <w:tcMar>
              <w:bottom w:w="0" w:type="dxa"/>
            </w:tcMar>
            <w:vAlign w:val="bottom"/>
          </w:tcPr>
          <w:p>
            <w:pPr>
              <w:pStyle w:val="TableContents"/>
              <w:bidi w:val="0"/>
              <w:spacing w:before="0" w:after="283"/>
              <w:jc w:val="right"/>
              <w:rPr/>
            </w:pPr>
            <w:r>
              <w:rPr/>
              <w:t> </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463,353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718,158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1,181,511</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Death</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858,057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986,966</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Disability</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858,057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986,966</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Retirement</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624,088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624,088</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1,046,827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1,175,736</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1,112,048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451,430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1,702,186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719,297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4,113,870</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8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8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283"/>
              <w:jc w:val="left"/>
              <w:rPr/>
            </w:pPr>
            <w:r>
              <w:rPr/>
              <w:t> </w:t>
            </w:r>
          </w:p>
        </w:tc>
        <w:tc>
          <w:tcPr>
            <w:tcW w:w="105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283"/>
              <w:jc w:val="left"/>
              <w:rPr/>
            </w:pPr>
            <w:r>
              <w:rPr/>
              <w:t> </w:t>
            </w:r>
          </w:p>
        </w:tc>
        <w:tc>
          <w:tcPr>
            <w:tcW w:w="115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980" w:type="dxa"/>
            <w:tcBorders/>
            <w:shd w:fill="CCEEFF" w:val="clear"/>
            <w:tcMar>
              <w:bottom w:w="0" w:type="dxa"/>
            </w:tcMar>
            <w:vAlign w:val="bottom"/>
          </w:tcPr>
          <w:p>
            <w:pPr>
              <w:pStyle w:val="TableContents"/>
              <w:bidi w:val="0"/>
              <w:spacing w:before="0" w:after="283"/>
              <w:jc w:val="righ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420,660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696,457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1,117,117</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Death</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673,356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771,844</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Disability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673,356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771,844</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Retirement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479,036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479,036</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842,092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940,580</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1,009,584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318,008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1,407,712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719,726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3,553,518</w:t>
            </w:r>
          </w:p>
        </w:tc>
        <w:tc>
          <w:tcPr>
            <w:tcW w:w="123"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17" w:name="zafd998b798204d7cab9bb2650cdaac5e"/>
      <w:bookmarkStart w:id="218" w:name="zafd998b798204d7cab9bb2650cdaac5e"/>
      <w:bookmarkEnd w:id="218"/>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in the “Accelerated Vesting of Stock Options” column represent the value of the number of each named executive officer’s in-the-money stock option awards that would have been eligible for accelerated vesting upon a termination and/or change in control occurring on May 31, 2026, calculated by multiplying the number of shares underlying such in-the-money unvested stock options held by each named executive officer by the difference between that option’s exercise price and $11.48 (the closing price of our common stock on the last trading day of the fiscal year, May 31, 2026, as reported on Nasdaq).  See the discussion above under “Potential Payments Upon Termination or Change in Control” for a description of the applicable vesting provisions.</w:t>
            </w:r>
          </w:p>
        </w:tc>
      </w:tr>
    </w:tbl>
    <w:p>
      <w:pPr>
        <w:pStyle w:val="Normal"/>
        <w:bidi w:val="0"/>
        <w:spacing w:before="0" w:after="0"/>
        <w:jc w:val="left"/>
        <w:rPr>
          <w:sz w:val="4"/>
          <w:szCs w:val="4"/>
        </w:rPr>
      </w:pPr>
      <w:r>
        <w:rPr>
          <w:sz w:val="4"/>
          <w:szCs w:val="4"/>
        </w:rPr>
      </w:r>
      <w:bookmarkStart w:id="219" w:name="zb19453f3db7340e6a5f1f56f1acc1bd2"/>
      <w:bookmarkStart w:id="220" w:name="zb19453f3db7340e6a5f1f56f1acc1bd2"/>
      <w:bookmarkEnd w:id="220"/>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in the “Restricted Stock Unit and Performance Share Vesting” column represent the value of the number of each named executive officer’s restricted stock units and performance share awards that would have been eligible for accelerated vesting upon a termination and/or change in control occurring on May 31, 2026, calculated by multiplying the number of such restricted stock units and target number of performance share awards by $11.48 (the closing price of our common stock on May 31, 2026, as reported on Nasdaq), with proration in the applicable circumstances.  See the discussion above under “Potential Payments Upon Termination or Change in Control" for a description of the applicable vesting provisions.</w:t>
            </w:r>
          </w:p>
        </w:tc>
      </w:tr>
    </w:tbl>
    <w:p>
      <w:pPr>
        <w:pStyle w:val="Normal"/>
        <w:bidi w:val="0"/>
        <w:spacing w:before="0" w:after="0"/>
        <w:jc w:val="left"/>
        <w:rPr>
          <w:sz w:val="4"/>
          <w:szCs w:val="4"/>
        </w:rPr>
      </w:pPr>
      <w:r>
        <w:rPr>
          <w:sz w:val="4"/>
          <w:szCs w:val="4"/>
        </w:rPr>
      </w:r>
      <w:bookmarkStart w:id="221" w:name="ze4e005ac32334b38a5d89d73d748e37a"/>
      <w:bookmarkStart w:id="222" w:name="ze4e005ac32334b38a5d89d73d748e37a"/>
      <w:bookmarkEnd w:id="222"/>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(i) the estimated future cost of providing continuing Company-paid coverage under the Company's group health insurance plans for 12 months upon an involuntary termination or, if in connection with a Change in Control, for 18 months (24 months in the case of the CEO) and (ii) the payment of the retention award under the Retention Agreement on a termination without cause. The Retention Agreement does not provide for acceleration or payment on a Change in Control.</w:t>
            </w:r>
          </w:p>
        </w:tc>
      </w:tr>
    </w:tbl>
    <w:p>
      <w:pPr>
        <w:pStyle w:val="Normal"/>
        <w:bidi w:val="0"/>
        <w:spacing w:before="0" w:after="0"/>
        <w:jc w:val="left"/>
        <w:rPr>
          <w:sz w:val="4"/>
          <w:szCs w:val="4"/>
        </w:rPr>
      </w:pPr>
      <w:r>
        <w:rPr>
          <w:sz w:val="4"/>
          <w:szCs w:val="4"/>
        </w:rPr>
      </w:r>
      <w:bookmarkStart w:id="223" w:name="z7d9336c00fd44a80afa6cfc9668fa1a2"/>
      <w:bookmarkStart w:id="224" w:name="z7d9336c00fd44a80afa6cfc9668fa1a2"/>
      <w:bookmarkEnd w:id="224"/>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totals shown here do not take into account the application of any “best-after-tax” cutback that may apply if an executive’s payments would otherwise be subject to the excise tax imposed by Section 4999 of the Internal Revenue Code.</w:t>
            </w:r>
          </w:p>
        </w:tc>
      </w:tr>
    </w:tbl>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Employees, including named executive officers, are not generally entitled to any benefits upon termination for cause. All unvested stock options, restricted stock units, and performance share awards, as well as all vested but unexercised stock options are forfeited as of the date of termination for cause.</w:t>
      </w:r>
    </w:p>
    <w:p>
      <w:pPr>
        <w:pStyle w:val="TextBody"/>
        <w:bidi w:val="0"/>
        <w:spacing w:before="0" w:after="0"/>
        <w:jc w:val="left"/>
        <w:rPr/>
      </w:pPr>
      <w:r>
        <w:rPr/>
      </w:r>
    </w:p>
    <w:p>
      <w:pPr>
        <w:pStyle w:val="TextBody"/>
        <w:bidi w:val="0"/>
        <w:spacing w:before="0" w:after="0"/>
        <w:ind w:left="0" w:right="0" w:firstLine="450"/>
        <w:jc w:val="center"/>
        <w:rPr>
          <w:rFonts w:ascii="Times New Roman" w:hAnsi="Times New Roman"/>
          <w:b/>
          <w:color w:val="000000"/>
          <w:sz w:val="20"/>
          <w:shd w:fill="FFFFFF" w:val="clear"/>
        </w:rPr>
      </w:pPr>
      <w:r>
        <w:rPr>
          <w:rFonts w:ascii="Times New Roman" w:hAnsi="Times New Roman"/>
          <w:b/>
          <w:color w:val="000000"/>
          <w:sz w:val="20"/>
          <w:shd w:fill="FFFFFF" w:val="clear"/>
        </w:rPr>
        <w:t>Pay Versus Performance</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pay-for-performance philosophy and how the Company aligns executive compensation with the Company’s performance, see “Compensation Discussion and Analysis.” The amounts set forth below in the required table are calculated pursuant to SEC rules but do not represent amounts that have been actually earned or realized by our NEOs.</w:t>
      </w:r>
    </w:p>
    <w:p>
      <w:pPr>
        <w:pStyle w:val="TextBody"/>
        <w:bidi w:val="0"/>
        <w:spacing w:before="0" w:after="0"/>
        <w:ind w:left="0" w:right="0" w:firstLine="54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25" w:name="z1b3ae5f35b8b440d8be90e6dcb118715"/>
      <w:bookmarkStart w:id="226" w:name="z1b3ae5f35b8b440d8be90e6dcb118715"/>
      <w:bookmarkEnd w:id="226"/>
    </w:p>
    <w:tbl>
      <w:tblPr>
        <w:tblW w:w="11270" w:type="dxa"/>
        <w:jc w:val="left"/>
        <w:tblInd w:w="0" w:type="dxa"/>
        <w:tblLayout w:type="fixed"/>
        <w:tblCellMar>
          <w:top w:w="0" w:type="dxa"/>
          <w:left w:w="0" w:type="dxa"/>
          <w:bottom w:w="28" w:type="dxa"/>
          <w:right w:w="0" w:type="dxa"/>
        </w:tblCellMar>
      </w:tblPr>
      <w:tblGrid>
        <w:gridCol w:w="560"/>
        <w:gridCol w:w="90"/>
        <w:gridCol w:w="190"/>
        <w:gridCol w:w="1075"/>
        <w:gridCol w:w="90"/>
        <w:gridCol w:w="90"/>
        <w:gridCol w:w="172"/>
        <w:gridCol w:w="1093"/>
        <w:gridCol w:w="110"/>
        <w:gridCol w:w="90"/>
        <w:gridCol w:w="190"/>
        <w:gridCol w:w="1075"/>
        <w:gridCol w:w="90"/>
        <w:gridCol w:w="90"/>
        <w:gridCol w:w="190"/>
        <w:gridCol w:w="1075"/>
        <w:gridCol w:w="110"/>
        <w:gridCol w:w="90"/>
        <w:gridCol w:w="220"/>
        <w:gridCol w:w="880"/>
        <w:gridCol w:w="90"/>
        <w:gridCol w:w="90"/>
        <w:gridCol w:w="220"/>
        <w:gridCol w:w="880"/>
        <w:gridCol w:w="90"/>
        <w:gridCol w:w="90"/>
        <w:gridCol w:w="156"/>
        <w:gridCol w:w="794"/>
        <w:gridCol w:w="110"/>
        <w:gridCol w:w="90"/>
        <w:gridCol w:w="156"/>
        <w:gridCol w:w="794"/>
        <w:gridCol w:w="140"/>
      </w:tblGrid>
      <w:tr>
        <w:trPr/>
        <w:tc>
          <w:tcPr>
            <w:tcW w:w="560" w:type="dxa"/>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Fiscal Year</w:t>
            </w:r>
          </w:p>
        </w:tc>
        <w:tc>
          <w:tcPr>
            <w:tcW w:w="90" w:type="dxa"/>
            <w:tcBorders>
              <w:bottom w:val="single" w:sz="12" w:space="0" w:color="000000"/>
            </w:tcBorders>
            <w:vAlign w:val="bottom"/>
          </w:tcPr>
          <w:p>
            <w:pPr>
              <w:pStyle w:val="TableContents"/>
              <w:bidi w:val="0"/>
              <w:spacing w:before="0" w:after="283"/>
              <w:jc w:val="left"/>
              <w:rPr/>
            </w:pPr>
            <w:r>
              <w:rPr/>
              <w:t> </w:t>
            </w:r>
          </w:p>
        </w:tc>
        <w:tc>
          <w:tcPr>
            <w:tcW w:w="126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Summary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Compensation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Table Total for</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the CEO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6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Compensation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Actually Paid</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to the CEO (3)(4)</w:t>
            </w:r>
          </w:p>
        </w:tc>
        <w:tc>
          <w:tcPr>
            <w:tcW w:w="11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6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Summary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Compensation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Table Total for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Non-CEO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NEOs (2)</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6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Compensation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Actually Paid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 the Non-</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CEO NEOs (3)(4)</w:t>
            </w:r>
          </w:p>
        </w:tc>
        <w:tc>
          <w:tcPr>
            <w:tcW w:w="11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Total Shareholder Return (5)</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Peer Group Total Shareholder Return (5)</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95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Net Income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(loss)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(in thousands) (6)</w:t>
            </w:r>
          </w:p>
        </w:tc>
        <w:tc>
          <w:tcPr>
            <w:tcW w:w="11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95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Revenue</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(in thousands) (7)</w:t>
            </w:r>
          </w:p>
        </w:tc>
        <w:tc>
          <w:tcPr>
            <w:tcW w:w="140" w:type="dxa"/>
            <w:tcBorders/>
            <w:tcMar>
              <w:bottom w:w="0" w:type="dxa"/>
            </w:tcMar>
            <w:vAlign w:val="bottom"/>
          </w:tcPr>
          <w:p>
            <w:pPr>
              <w:pStyle w:val="TableContents"/>
              <w:bidi w:val="0"/>
              <w:spacing w:before="0" w:after="283"/>
              <w:jc w:val="left"/>
              <w:rPr/>
            </w:pPr>
            <w:r>
              <w:rPr/>
              <w:t> </w:t>
            </w:r>
          </w:p>
        </w:tc>
      </w:tr>
      <w:tr>
        <w:trPr/>
        <w:tc>
          <w:tcPr>
            <w:tcW w:w="560" w:type="dxa"/>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6,060,145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2"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13,687,672</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1,799,117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7,350,570</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(36,742</w:t>
            </w:r>
          </w:p>
        </w:tc>
        <w:tc>
          <w:tcPr>
            <w:tcW w:w="11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(320,175</w:t>
            </w:r>
          </w:p>
        </w:tc>
        <w:tc>
          <w:tcPr>
            <w:tcW w:w="14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60" w:type="dxa"/>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5,494,284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2"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6,807,600</w:t>
            </w:r>
          </w:p>
        </w:tc>
        <w:tc>
          <w:tcPr>
            <w:tcW w:w="11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1,466,609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4,144,464</w:t>
            </w:r>
          </w:p>
        </w:tc>
        <w:tc>
          <w:tcPr>
            <w:tcW w:w="11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(33,993</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292,498</w:t>
            </w:r>
          </w:p>
        </w:tc>
        <w:tc>
          <w:tcPr>
            <w:tcW w:w="140" w:type="dxa"/>
            <w:tcBorders/>
            <w:tcMar>
              <w:bottom w:w="0" w:type="dxa"/>
            </w:tcMar>
            <w:vAlign w:val="bottom"/>
          </w:tcPr>
          <w:p>
            <w:pPr>
              <w:pStyle w:val="TableContents"/>
              <w:bidi w:val="0"/>
              <w:spacing w:before="0" w:after="283"/>
              <w:jc w:val="left"/>
              <w:rPr/>
            </w:pPr>
            <w:r>
              <w:rPr/>
              <w:t> </w:t>
            </w:r>
          </w:p>
        </w:tc>
      </w:tr>
      <w:tr>
        <w:trPr/>
        <w:tc>
          <w:tcPr>
            <w:tcW w:w="560" w:type="dxa"/>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5,005,971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2"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971,112</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1,264,817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656,573</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(184,350</w:t>
            </w:r>
          </w:p>
        </w:tc>
        <w:tc>
          <w:tcPr>
            <w:tcW w:w="11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303,914</w:t>
            </w:r>
          </w:p>
        </w:tc>
        <w:tc>
          <w:tcPr>
            <w:tcW w:w="140" w:type="dxa"/>
            <w:tcBorders/>
            <w:shd w:fill="CCEEFF" w:val="clear"/>
            <w:tcMar>
              <w:bottom w:w="0" w:type="dxa"/>
            </w:tcMar>
            <w:vAlign w:val="bottom"/>
          </w:tcPr>
          <w:p>
            <w:pPr>
              <w:pStyle w:val="TableContents"/>
              <w:bidi w:val="0"/>
              <w:spacing w:before="0" w:after="283"/>
              <w:jc w:val="left"/>
              <w:rPr/>
            </w:pPr>
            <w:r>
              <w:rPr/>
              <w:t> </w:t>
            </w:r>
          </w:p>
        </w:tc>
      </w:tr>
      <w:tr>
        <w:trPr/>
        <w:tc>
          <w:tcPr>
            <w:tcW w:w="560" w:type="dxa"/>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3,983,690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2"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(2,114,483</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914,244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(45,199</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(52,441</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338,752</w:t>
            </w:r>
          </w:p>
        </w:tc>
        <w:tc>
          <w:tcPr>
            <w:tcW w:w="140" w:type="dxa"/>
            <w:tcBorders/>
            <w:tcMar>
              <w:bottom w:w="0" w:type="dxa"/>
            </w:tcMar>
            <w:vAlign w:val="bottom"/>
          </w:tcPr>
          <w:p>
            <w:pPr>
              <w:pStyle w:val="TableContents"/>
              <w:bidi w:val="0"/>
              <w:spacing w:before="0" w:after="283"/>
              <w:jc w:val="left"/>
              <w:rPr/>
            </w:pPr>
            <w:r>
              <w:rPr/>
              <w:t> </w:t>
            </w:r>
          </w:p>
        </w:tc>
      </w:tr>
      <w:tr>
        <w:trPr/>
        <w:tc>
          <w:tcPr>
            <w:tcW w:w="560" w:type="dxa"/>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5,659,727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2"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4,953,581</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1,303,492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1,233,726</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84.90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(26,547</w:t>
            </w:r>
          </w:p>
        </w:tc>
        <w:tc>
          <w:tcPr>
            <w:tcW w:w="11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316,219</w:t>
            </w:r>
          </w:p>
        </w:tc>
        <w:tc>
          <w:tcPr>
            <w:tcW w:w="140" w:type="dxa"/>
            <w:tcBorders/>
            <w:shd w:fill="CCEEFF" w:val="clear"/>
            <w:tcMar>
              <w:bottom w:w="0" w:type="dxa"/>
            </w:tcMar>
            <w:vAlign w:val="bottom"/>
          </w:tcPr>
          <w:p>
            <w:pPr>
              <w:pStyle w:val="TableContents"/>
              <w:bidi w:val="0"/>
              <w:spacing w:before="0" w:after="283"/>
              <w:jc w:val="left"/>
              <w:rPr/>
            </w:pPr>
            <w:r>
              <w:rPr/>
              <w:t> </w:t>
            </w:r>
          </w:p>
        </w:tc>
      </w:tr>
      <w:tr>
        <w:trPr/>
        <w:tc>
          <w:tcPr>
            <w:tcW w:w="560" w:type="dxa"/>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2021</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4,045,913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2"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13,883,392</w:t>
            </w:r>
          </w:p>
        </w:tc>
        <w:tc>
          <w:tcPr>
            <w:tcW w:w="11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1,029,527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2,868,533</w:t>
            </w:r>
          </w:p>
        </w:tc>
        <w:tc>
          <w:tcPr>
            <w:tcW w:w="11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124.10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(31,547</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291,010</w:t>
            </w:r>
          </w:p>
        </w:tc>
        <w:tc>
          <w:tcPr>
            <w:tcW w:w="14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7" w:name="zed1ee8ab66124cdbac20bf452fa315ea"/>
      <w:bookmarkStart w:id="228" w:name="zed1ee8ab66124cdbac20bf452fa315ea"/>
      <w:bookmarkEnd w:id="228"/>
    </w:p>
    <w:tbl>
      <w:tblPr>
        <w:tblW w:w="5680" w:type="dxa"/>
        <w:jc w:val="left"/>
        <w:tblInd w:w="0" w:type="dxa"/>
        <w:tblLayout w:type="fixed"/>
        <w:tblCellMar>
          <w:top w:w="0" w:type="dxa"/>
          <w:left w:w="0" w:type="dxa"/>
          <w:bottom w:w="0" w:type="dxa"/>
          <w:right w:w="0" w:type="dxa"/>
        </w:tblCellMar>
      </w:tblPr>
      <w:tblGrid>
        <w:gridCol w:w="105"/>
        <w:gridCol w:w="275"/>
        <w:gridCol w:w="530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53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Mr. Clemmer  was the CEO for each of the fiscal years presented.</w:t>
            </w:r>
          </w:p>
        </w:tc>
      </w:tr>
    </w:tbl>
    <w:p>
      <w:pPr>
        <w:pStyle w:val="Normal"/>
        <w:bidi w:val="0"/>
        <w:spacing w:before="0" w:after="0"/>
        <w:jc w:val="left"/>
        <w:rPr>
          <w:sz w:val="4"/>
          <w:szCs w:val="4"/>
        </w:rPr>
      </w:pPr>
      <w:r>
        <w:rPr>
          <w:sz w:val="4"/>
          <w:szCs w:val="4"/>
        </w:rPr>
      </w:r>
      <w:bookmarkStart w:id="229" w:name="zbc87f7aa20314fb2ac45f6cb4e7102be"/>
      <w:bookmarkStart w:id="230" w:name="zbc87f7aa20314fb2ac45f6cb4e7102be"/>
      <w:bookmarkEnd w:id="230"/>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98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Non-CEO NEOs for fiscal year 2026 and 2025 were Messrs. Trowbridge, Weiss, and Nighan and Ms. Piccinini.  Non-CEO NEOs for fiscal year 2024 were Messrs. Trowbridge, Nighan, and Campbell  and Ms. Piccinini.   Non-CEO NEOs for fiscal years 2023 and 2022 were Messrs. Trowbridge, Helsel, and Campbell  and Ms. Piccinini.  Non-CEO NEOs for fiscal year 2021 were Messrs. Trowbridge, Helsel, Campbell  and Nighan.</w:t>
            </w:r>
          </w:p>
        </w:tc>
      </w:tr>
    </w:tbl>
    <w:p>
      <w:pPr>
        <w:pStyle w:val="Normal"/>
        <w:bidi w:val="0"/>
        <w:spacing w:before="0" w:after="0"/>
        <w:jc w:val="left"/>
        <w:rPr>
          <w:sz w:val="4"/>
          <w:szCs w:val="4"/>
        </w:rPr>
      </w:pPr>
      <w:r>
        <w:rPr>
          <w:sz w:val="4"/>
          <w:szCs w:val="4"/>
        </w:rPr>
      </w:r>
      <w:bookmarkStart w:id="231" w:name="z65ce24b77c2c414fa84dd2ffdefeb877"/>
      <w:bookmarkStart w:id="232" w:name="z65ce24b77c2c414fa84dd2ffdefeb877"/>
      <w:bookmarkEnd w:id="232"/>
    </w:p>
    <w:tbl>
      <w:tblPr>
        <w:tblW w:w="10205" w:type="dxa"/>
        <w:jc w:val="left"/>
        <w:tblInd w:w="0" w:type="dxa"/>
        <w:tblLayout w:type="fixed"/>
        <w:tblCellMar>
          <w:top w:w="0" w:type="dxa"/>
          <w:left w:w="0" w:type="dxa"/>
          <w:bottom w:w="0" w:type="dxa"/>
          <w:right w:w="0" w:type="dxa"/>
        </w:tblCellMar>
      </w:tblPr>
      <w:tblGrid>
        <w:gridCol w:w="105"/>
        <w:gridCol w:w="253"/>
        <w:gridCol w:w="9847"/>
      </w:tblGrid>
      <w:tr>
        <w:trPr/>
        <w:tc>
          <w:tcPr>
            <w:tcW w:w="10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984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Subtractions from, and additions to, total compensation in the Summary Compensation Table ("SCT") by fiscal year to calculate Compensation Actually Paid ("CAP") are as follows:</w:t>
            </w:r>
          </w:p>
        </w:tc>
      </w:tr>
    </w:tbl>
    <w:p>
      <w:pPr>
        <w:pStyle w:val="TextBody"/>
        <w:bidi w:val="0"/>
        <w:spacing w:before="0" w:after="0"/>
        <w:ind w:left="720" w:right="0" w:hanging="270"/>
        <w:jc w:val="left"/>
        <w:rPr>
          <w:color w:val="000000"/>
        </w:rPr>
      </w:pPr>
      <w:r>
        <w:rPr>
          <w:color w:val="000000"/>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34</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33" w:name="z52f8419fa38b4b95b47c75b0c067331f"/>
      <w:bookmarkStart w:id="234" w:name="z52f8419fa38b4b95b47c75b0c067331f"/>
      <w:bookmarkEnd w:id="234"/>
    </w:p>
    <w:tbl>
      <w:tblPr>
        <w:tblW w:w="11330" w:type="dxa"/>
        <w:jc w:val="left"/>
        <w:tblInd w:w="0" w:type="dxa"/>
        <w:tblLayout w:type="fixed"/>
        <w:tblCellMar>
          <w:top w:w="0" w:type="dxa"/>
          <w:left w:w="0" w:type="dxa"/>
          <w:bottom w:w="0" w:type="dxa"/>
          <w:right w:w="0" w:type="dxa"/>
        </w:tblCellMar>
      </w:tblPr>
      <w:tblGrid>
        <w:gridCol w:w="1265"/>
        <w:gridCol w:w="90"/>
        <w:gridCol w:w="155"/>
        <w:gridCol w:w="980"/>
        <w:gridCol w:w="110"/>
        <w:gridCol w:w="90"/>
        <w:gridCol w:w="155"/>
        <w:gridCol w:w="875"/>
        <w:gridCol w:w="110"/>
        <w:gridCol w:w="90"/>
        <w:gridCol w:w="155"/>
        <w:gridCol w:w="935"/>
        <w:gridCol w:w="110"/>
        <w:gridCol w:w="90"/>
        <w:gridCol w:w="155"/>
        <w:gridCol w:w="875"/>
        <w:gridCol w:w="110"/>
        <w:gridCol w:w="90"/>
        <w:gridCol w:w="155"/>
        <w:gridCol w:w="935"/>
        <w:gridCol w:w="110"/>
        <w:gridCol w:w="90"/>
        <w:gridCol w:w="155"/>
        <w:gridCol w:w="875"/>
        <w:gridCol w:w="110"/>
        <w:gridCol w:w="90"/>
        <w:gridCol w:w="155"/>
        <w:gridCol w:w="935"/>
        <w:gridCol w:w="110"/>
        <w:gridCol w:w="90"/>
        <w:gridCol w:w="155"/>
        <w:gridCol w:w="785"/>
        <w:gridCol w:w="140"/>
      </w:tblGrid>
      <w:tr>
        <w:trPr/>
        <w:tc>
          <w:tcPr>
            <w:tcW w:w="12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40" w:type="dxa"/>
            <w:tcBorders/>
            <w:vAlign w:val="bottom"/>
          </w:tcPr>
          <w:p>
            <w:pPr>
              <w:pStyle w:val="TableContents"/>
              <w:bidi w:val="0"/>
              <w:spacing w:before="0" w:after="283"/>
              <w:jc w:val="left"/>
              <w:rPr/>
            </w:pPr>
            <w:r>
              <w:rPr/>
              <w:t> </w:t>
            </w:r>
          </w:p>
        </w:tc>
      </w:tr>
      <w:tr>
        <w:trPr/>
        <w:tc>
          <w:tcPr>
            <w:tcW w:w="126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 Non-CEO NEOs</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 Non-CEO NEOs</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 Non-CEO NEOs</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 Non-CEO NEOs</w:t>
            </w:r>
          </w:p>
        </w:tc>
        <w:tc>
          <w:tcPr>
            <w:tcW w:w="140" w:type="dxa"/>
            <w:tcBorders/>
            <w:vAlign w:val="bottom"/>
          </w:tcPr>
          <w:p>
            <w:pPr>
              <w:pStyle w:val="TableContents"/>
              <w:bidi w:val="0"/>
              <w:spacing w:before="0" w:after="283"/>
              <w:jc w:val="left"/>
              <w:rPr/>
            </w:pPr>
            <w:r>
              <w:rPr/>
              <w:t> </w:t>
            </w:r>
          </w:p>
        </w:tc>
      </w:tr>
      <w:tr>
        <w:trPr/>
        <w:tc>
          <w:tcPr>
            <w:tcW w:w="126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Compensation from SCT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6,060,145</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1,799,117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5,494,284</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1,466,609</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5,005,971</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1,264,817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3,983,690</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914,244</w:t>
            </w:r>
          </w:p>
        </w:tc>
        <w:tc>
          <w:tcPr>
            <w:tcW w:w="140"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Subtractions:</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126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SCT Value of Stock and Option Awards</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(3,689,866</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(803,570</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(3,437,078</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(734,299</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(3,399,217</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(592,487</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(3,000,774</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(454,289</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Adjustments:</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126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Unvested value at year end of equity granted during the covered fiscal year</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6,479,094</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5,126,562</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3,736,553</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3,217,933</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817,462</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226,197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658,535</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99,697</w:t>
            </w:r>
          </w:p>
        </w:tc>
        <w:tc>
          <w:tcPr>
            <w:tcW w:w="140"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from prior year end in fair value of awards granted in any prior fiscal year that are outstanding and unvested at covered year end</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5,284,540</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1,231,890</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1,263,456</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243,529</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(313,264</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(42,700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(3,867,465</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(612,420</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6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as of the vesting date (from the end of the prior fiscal year) in fair value of awards granted in any prior fiscal years for which vesting conditions were satisfied at the end of or during the covered fiscal year</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(446,241</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(3,430</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(249,615</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(49,308</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(1,139,840</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(199,254</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111,531</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7,569</w:t>
            </w:r>
          </w:p>
        </w:tc>
        <w:tc>
          <w:tcPr>
            <w:tcW w:w="140"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Compensation Actually Paid</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13,687,672</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7,350,570</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6,807,600</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4,144,464</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971,112</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656,573</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(2,114,483</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(45,199</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35</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35" w:name="z5e2fcfcd3fae48c99c6a7dce5cc26a1f"/>
      <w:bookmarkStart w:id="236" w:name="z5e2fcfcd3fae48c99c6a7dce5cc26a1f"/>
      <w:bookmarkEnd w:id="236"/>
    </w:p>
    <w:tbl>
      <w:tblPr>
        <w:tblW w:w="10205" w:type="dxa"/>
        <w:jc w:val="left"/>
        <w:tblInd w:w="0" w:type="dxa"/>
        <w:tblLayout w:type="fixed"/>
        <w:tblCellMar>
          <w:top w:w="0" w:type="dxa"/>
          <w:left w:w="0" w:type="dxa"/>
          <w:bottom w:w="0" w:type="dxa"/>
          <w:right w:w="0" w:type="dxa"/>
        </w:tblCellMar>
      </w:tblPr>
      <w:tblGrid>
        <w:gridCol w:w="5090"/>
        <w:gridCol w:w="90"/>
        <w:gridCol w:w="155"/>
        <w:gridCol w:w="935"/>
        <w:gridCol w:w="110"/>
        <w:gridCol w:w="90"/>
        <w:gridCol w:w="155"/>
        <w:gridCol w:w="875"/>
        <w:gridCol w:w="110"/>
        <w:gridCol w:w="90"/>
        <w:gridCol w:w="155"/>
        <w:gridCol w:w="980"/>
        <w:gridCol w:w="110"/>
        <w:gridCol w:w="90"/>
        <w:gridCol w:w="155"/>
        <w:gridCol w:w="875"/>
        <w:gridCol w:w="140"/>
      </w:tblGrid>
      <w:tr>
        <w:trPr/>
        <w:tc>
          <w:tcPr>
            <w:tcW w:w="50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140" w:type="dxa"/>
            <w:tcBorders/>
            <w:vAlign w:val="bottom"/>
          </w:tcPr>
          <w:p>
            <w:pPr>
              <w:pStyle w:val="TableContents"/>
              <w:bidi w:val="0"/>
              <w:spacing w:before="0" w:after="283"/>
              <w:jc w:val="left"/>
              <w:rPr/>
            </w:pPr>
            <w:r>
              <w:rPr/>
              <w:t> </w:t>
            </w:r>
          </w:p>
        </w:tc>
      </w:tr>
      <w:tr>
        <w:trPr/>
        <w:tc>
          <w:tcPr>
            <w:tcW w:w="50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Non-CEO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NEOs</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Non-CEO</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NEOs</w:t>
            </w:r>
          </w:p>
        </w:tc>
        <w:tc>
          <w:tcPr>
            <w:tcW w:w="14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Total Compensation from SCT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5,659,727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1,303,492</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4,045,913</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1,029,527</w:t>
            </w:r>
          </w:p>
        </w:tc>
        <w:tc>
          <w:tcPr>
            <w:tcW w:w="14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80" w:right="0" w:hanging="180"/>
              <w:jc w:val="left"/>
              <w:rPr>
                <w:rFonts w:ascii="Times New Roman" w:hAnsi="Times New Roman"/>
                <w:i/>
                <w:color w:val="000000"/>
                <w:sz w:val="20"/>
              </w:rPr>
            </w:pPr>
            <w:r>
              <w:rPr>
                <w:rFonts w:ascii="Times New Roman" w:hAnsi="Times New Roman"/>
                <w:i/>
                <w:color w:val="000000"/>
                <w:sz w:val="20"/>
              </w:rPr>
              <w:t>Subtractions:</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SCT Value of Stock and Option Awards</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(4,147,712</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(687,958</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(2,137,451</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(357,244</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090" w:type="dxa"/>
            <w:tcBorders/>
            <w:vAlign w:val="bottom"/>
          </w:tcPr>
          <w:p>
            <w:pPr>
              <w:pStyle w:val="TableContents"/>
              <w:bidi w:val="0"/>
              <w:spacing w:before="0" w:after="0"/>
              <w:ind w:left="180" w:right="0" w:hanging="180"/>
              <w:jc w:val="left"/>
              <w:rPr>
                <w:rFonts w:ascii="Times New Roman" w:hAnsi="Times New Roman"/>
                <w:i/>
                <w:color w:val="000000"/>
                <w:sz w:val="20"/>
              </w:rPr>
            </w:pPr>
            <w:r>
              <w:rPr>
                <w:rFonts w:ascii="Times New Roman" w:hAnsi="Times New Roman"/>
                <w:i/>
                <w:color w:val="000000"/>
                <w:sz w:val="20"/>
              </w:rPr>
              <w:t>Adjustments:</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Unvested value at year end of equity granted during the covered fiscal year</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3,289,559</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518,057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9,414,998</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1,573,581</w:t>
            </w:r>
          </w:p>
        </w:tc>
        <w:tc>
          <w:tcPr>
            <w:tcW w:w="14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from prior year end in fair value of awards granted in any prior fiscal year that are outstanding and unvested at covered year end</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(1,051,502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(189,282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2,574,779</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561,569</w:t>
            </w:r>
          </w:p>
        </w:tc>
        <w:tc>
          <w:tcPr>
            <w:tcW w:w="14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as of the vesting date (from the end of the prior fiscal year) in fair value of awards granted in any prior fiscal years for which vesting conditions were satisfied at the end of or during the covered fiscal year</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1,203,509</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289,417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(14,847</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61,100</w:t>
            </w:r>
          </w:p>
        </w:tc>
        <w:tc>
          <w:tcPr>
            <w:tcW w:w="14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Compensation Actually Paid</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4,953,581</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1,233,726</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13,883,392</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2,868,533</w:t>
            </w:r>
          </w:p>
        </w:tc>
        <w:tc>
          <w:tcPr>
            <w:tcW w:w="14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7" w:name="za832cdc1954d40f98f003e2abe42042d"/>
      <w:bookmarkStart w:id="238" w:name="za832cdc1954d40f98f003e2abe42042d"/>
      <w:bookmarkEnd w:id="238"/>
    </w:p>
    <w:tbl>
      <w:tblPr>
        <w:tblW w:w="10205" w:type="dxa"/>
        <w:jc w:val="left"/>
        <w:tblInd w:w="0" w:type="dxa"/>
        <w:tblLayout w:type="fixed"/>
        <w:tblCellMar>
          <w:top w:w="0" w:type="dxa"/>
          <w:left w:w="0" w:type="dxa"/>
          <w:bottom w:w="0" w:type="dxa"/>
          <w:right w:w="0" w:type="dxa"/>
        </w:tblCellMar>
      </w:tblPr>
      <w:tblGrid>
        <w:gridCol w:w="105"/>
        <w:gridCol w:w="240"/>
        <w:gridCol w:w="9860"/>
      </w:tblGrid>
      <w:tr>
        <w:trPr/>
        <w:tc>
          <w:tcPr>
            <w:tcW w:w="10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98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fair value of each equity award was re-measured on each vesting date and/or year end, as applicable, in accordance with Accounting Standards Codification (ASC) Topic 718.  The assumptions used in the valuation of each type of award are summarized below:</w:t>
            </w:r>
          </w:p>
        </w:tc>
      </w:tr>
    </w:tbl>
    <w:p>
      <w:pPr>
        <w:pStyle w:val="Normal"/>
        <w:bidi w:val="0"/>
        <w:spacing w:before="0" w:after="0"/>
        <w:jc w:val="left"/>
        <w:rPr>
          <w:sz w:val="4"/>
          <w:szCs w:val="4"/>
        </w:rPr>
      </w:pPr>
      <w:r>
        <w:rPr>
          <w:sz w:val="4"/>
          <w:szCs w:val="4"/>
        </w:rPr>
      </w:r>
      <w:bookmarkStart w:id="239" w:name="zb70fdf9b22b3412a93260c066ab69a64"/>
      <w:bookmarkStart w:id="240" w:name="zb70fdf9b22b3412a93260c066ab69a64"/>
      <w:bookmarkEnd w:id="24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Restricted stock units: The fair value of restricted stock units was based on the Company's closing stock price on each measurement date.</w:t>
            </w:r>
          </w:p>
        </w:tc>
      </w:tr>
    </w:tbl>
    <w:p>
      <w:pPr>
        <w:pStyle w:val="Normal"/>
        <w:bidi w:val="0"/>
        <w:spacing w:before="0" w:after="0"/>
        <w:jc w:val="left"/>
        <w:rPr>
          <w:sz w:val="4"/>
          <w:szCs w:val="4"/>
        </w:rPr>
      </w:pPr>
      <w:r>
        <w:rPr>
          <w:sz w:val="4"/>
          <w:szCs w:val="4"/>
        </w:rPr>
      </w:r>
      <w:bookmarkStart w:id="241" w:name="z689c17406b95435da24d71cde90d9543"/>
      <w:bookmarkStart w:id="242" w:name="z689c17406b95435da24d71cde90d9543"/>
      <w:bookmarkEnd w:id="24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Non-qualified stock options:  The fair value of non-qualified stock options was determined using a Black-Scholes option pricing model.</w:t>
            </w:r>
          </w:p>
        </w:tc>
      </w:tr>
    </w:tbl>
    <w:p>
      <w:pPr>
        <w:pStyle w:val="Normal"/>
        <w:bidi w:val="0"/>
        <w:spacing w:before="0" w:after="0"/>
        <w:jc w:val="left"/>
        <w:rPr>
          <w:sz w:val="4"/>
          <w:szCs w:val="4"/>
        </w:rPr>
      </w:pPr>
      <w:r>
        <w:rPr>
          <w:sz w:val="4"/>
          <w:szCs w:val="4"/>
        </w:rPr>
      </w:r>
      <w:bookmarkStart w:id="243" w:name="z04ea4f784c4e47c2a7e980e728dabd12"/>
      <w:bookmarkStart w:id="244" w:name="z04ea4f784c4e47c2a7e980e728dabd12"/>
      <w:bookmarkEnd w:id="24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Performance unit awards:  Performance unit awards are subject to vesting based on the Company's level of attainment of performance targets, as well as a TSR modifier at the end of each performance period that can adjust the aggregate number of shares eligible to vest at the end of the three-year performance period.  The fair value for performance unit awards was determined using a Monte Carlo simulation.</w:t>
            </w:r>
          </w:p>
        </w:tc>
      </w:tr>
    </w:tbl>
    <w:p>
      <w:pPr>
        <w:pStyle w:val="Normal"/>
        <w:bidi w:val="0"/>
        <w:spacing w:before="0" w:after="0"/>
        <w:jc w:val="left"/>
        <w:rPr>
          <w:sz w:val="4"/>
          <w:szCs w:val="4"/>
        </w:rPr>
      </w:pPr>
      <w:r>
        <w:rPr>
          <w:sz w:val="4"/>
          <w:szCs w:val="4"/>
        </w:rPr>
      </w:r>
      <w:bookmarkStart w:id="245" w:name="z935368587264478cac89e42cc9966548"/>
      <w:bookmarkStart w:id="246" w:name="z935368587264478cac89e42cc9966548"/>
      <w:bookmarkEnd w:id="246"/>
    </w:p>
    <w:tbl>
      <w:tblPr>
        <w:tblW w:w="10205" w:type="dxa"/>
        <w:jc w:val="left"/>
        <w:tblInd w:w="0" w:type="dxa"/>
        <w:tblLayout w:type="fixed"/>
        <w:tblCellMar>
          <w:top w:w="0" w:type="dxa"/>
          <w:left w:w="0" w:type="dxa"/>
          <w:bottom w:w="0" w:type="dxa"/>
          <w:right w:w="0" w:type="dxa"/>
        </w:tblCellMar>
      </w:tblPr>
      <w:tblGrid>
        <w:gridCol w:w="105"/>
        <w:gridCol w:w="241"/>
        <w:gridCol w:w="9859"/>
      </w:tblGrid>
      <w:tr>
        <w:trPr/>
        <w:tc>
          <w:tcPr>
            <w:tcW w:w="10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985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shareholder return (TSR) is determined based on the value of an initial fixed investment of $100 in common stock on May 31, 2020, assuming the reinvestment of the dividends.  The TSR peer group comprises the RDG SmallCap Medical Devices Index.</w:t>
            </w:r>
          </w:p>
        </w:tc>
      </w:tr>
    </w:tbl>
    <w:p>
      <w:pPr>
        <w:pStyle w:val="Normal"/>
        <w:bidi w:val="0"/>
        <w:spacing w:before="0" w:after="0"/>
        <w:jc w:val="left"/>
        <w:rPr>
          <w:sz w:val="4"/>
          <w:szCs w:val="4"/>
        </w:rPr>
      </w:pPr>
      <w:r>
        <w:rPr>
          <w:sz w:val="4"/>
          <w:szCs w:val="4"/>
        </w:rPr>
      </w:r>
      <w:bookmarkStart w:id="247" w:name="zb374b312525843b7b3d5eeab8833e4d3"/>
      <w:bookmarkStart w:id="248" w:name="zb374b312525843b7b3d5eeab8833e4d3"/>
      <w:bookmarkEnd w:id="248"/>
    </w:p>
    <w:tbl>
      <w:tblPr>
        <w:tblW w:w="9730" w:type="dxa"/>
        <w:jc w:val="left"/>
        <w:tblInd w:w="0" w:type="dxa"/>
        <w:tblLayout w:type="fixed"/>
        <w:tblCellMar>
          <w:top w:w="0" w:type="dxa"/>
          <w:left w:w="0" w:type="dxa"/>
          <w:bottom w:w="0" w:type="dxa"/>
          <w:right w:w="0" w:type="dxa"/>
        </w:tblCellMar>
      </w:tblPr>
      <w:tblGrid>
        <w:gridCol w:w="105"/>
        <w:gridCol w:w="275"/>
        <w:gridCol w:w="935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93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Reflects the dollar amount of net income reported in our audited financial statements for the applicable fiscal year.</w:t>
            </w:r>
          </w:p>
        </w:tc>
      </w:tr>
    </w:tbl>
    <w:p>
      <w:pPr>
        <w:pStyle w:val="Normal"/>
        <w:bidi w:val="0"/>
        <w:spacing w:before="0" w:after="0"/>
        <w:jc w:val="left"/>
        <w:rPr>
          <w:sz w:val="4"/>
          <w:szCs w:val="4"/>
        </w:rPr>
      </w:pPr>
      <w:r>
        <w:rPr>
          <w:sz w:val="4"/>
          <w:szCs w:val="4"/>
        </w:rPr>
      </w:r>
      <w:bookmarkStart w:id="249" w:name="z2aa631b30aec47098ac0a56662b5577c"/>
      <w:bookmarkStart w:id="250" w:name="z2aa631b30aec47098ac0a56662b5577c"/>
      <w:bookmarkEnd w:id="250"/>
    </w:p>
    <w:tbl>
      <w:tblPr>
        <w:tblW w:w="10205" w:type="dxa"/>
        <w:jc w:val="left"/>
        <w:tblInd w:w="0" w:type="dxa"/>
        <w:tblLayout w:type="fixed"/>
        <w:tblCellMar>
          <w:top w:w="0" w:type="dxa"/>
          <w:left w:w="0" w:type="dxa"/>
          <w:bottom w:w="0" w:type="dxa"/>
          <w:right w:w="0" w:type="dxa"/>
        </w:tblCellMar>
      </w:tblPr>
      <w:tblGrid>
        <w:gridCol w:w="105"/>
        <w:gridCol w:w="248"/>
        <w:gridCol w:w="9852"/>
      </w:tblGrid>
      <w:tr>
        <w:trPr/>
        <w:tc>
          <w:tcPr>
            <w:tcW w:w="10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w:t>
            </w:r>
          </w:p>
        </w:tc>
        <w:tc>
          <w:tcPr>
            <w:tcW w:w="985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GAAP Revenue equals Net Revenue, so no reconciliations are required for fiscal years 2026, 2025, 2024, 2023, 2022 or 2021.  See our 2026 Annual Report on Form 10-K for the year ended May 31, 2026.</w:t>
            </w:r>
          </w:p>
        </w:tc>
      </w:tr>
    </w:tbl>
    <w:p>
      <w:pPr>
        <w:pStyle w:val="TextBody"/>
        <w:bidi w:val="0"/>
        <w:spacing w:before="0" w:after="0"/>
        <w:jc w:val="left"/>
        <w:rPr>
          <w:color w:val="000000"/>
        </w:rPr>
      </w:pPr>
      <w:r>
        <w:rPr>
          <w:color w:val="000000"/>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36</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Tabular List of Financial Performance Measures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In our assessment, the three most important financial performance measures used to link CAP (as calculated in accordance with the SEC rules) to our NEOs in fiscal year 2026 to the Company's performance were: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1" w:name="z38e59c3ecfa14ef4b45bf95e4122d97a"/>
      <w:bookmarkStart w:id="252" w:name="z38e59c3ecfa14ef4b45bf95e4122d97a"/>
      <w:bookmarkEnd w:id="252"/>
    </w:p>
    <w:tbl>
      <w:tblPr>
        <w:tblW w:w="6093" w:type="dxa"/>
        <w:jc w:val="left"/>
        <w:tblInd w:w="0" w:type="dxa"/>
        <w:tblLayout w:type="fixed"/>
        <w:tblCellMar>
          <w:top w:w="0" w:type="dxa"/>
          <w:left w:w="0" w:type="dxa"/>
          <w:bottom w:w="0" w:type="dxa"/>
          <w:right w:w="0" w:type="dxa"/>
        </w:tblCellMar>
      </w:tblPr>
      <w:tblGrid>
        <w:gridCol w:w="68"/>
        <w:gridCol w:w="140"/>
        <w:gridCol w:w="588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Relative TSR values versus the RDG SmallCap Medical Devices Index;</w:t>
            </w:r>
          </w:p>
        </w:tc>
      </w:tr>
    </w:tbl>
    <w:p>
      <w:pPr>
        <w:pStyle w:val="Normal"/>
        <w:bidi w:val="0"/>
        <w:spacing w:before="0" w:after="0"/>
        <w:jc w:val="left"/>
        <w:rPr>
          <w:sz w:val="4"/>
          <w:szCs w:val="4"/>
        </w:rPr>
      </w:pPr>
      <w:r>
        <w:rPr>
          <w:sz w:val="4"/>
          <w:szCs w:val="4"/>
        </w:rPr>
      </w:r>
      <w:bookmarkStart w:id="253" w:name="z6c9c567ac2a54ecd8b30c83c636db2e9"/>
      <w:bookmarkStart w:id="254" w:name="z6c9c567ac2a54ecd8b30c83c636db2e9"/>
      <w:bookmarkEnd w:id="254"/>
    </w:p>
    <w:tbl>
      <w:tblPr>
        <w:tblW w:w="2133" w:type="dxa"/>
        <w:jc w:val="left"/>
        <w:tblInd w:w="0" w:type="dxa"/>
        <w:tblLayout w:type="fixed"/>
        <w:tblCellMar>
          <w:top w:w="0" w:type="dxa"/>
          <w:left w:w="0" w:type="dxa"/>
          <w:bottom w:w="0" w:type="dxa"/>
          <w:right w:w="0" w:type="dxa"/>
        </w:tblCellMar>
      </w:tblPr>
      <w:tblGrid>
        <w:gridCol w:w="68"/>
        <w:gridCol w:w="140"/>
        <w:gridCol w:w="19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19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EBITDA and EPS; and</w:t>
            </w:r>
          </w:p>
        </w:tc>
      </w:tr>
    </w:tbl>
    <w:p>
      <w:pPr>
        <w:pStyle w:val="Normal"/>
        <w:bidi w:val="0"/>
        <w:spacing w:before="0" w:after="0"/>
        <w:jc w:val="left"/>
        <w:rPr>
          <w:sz w:val="4"/>
          <w:szCs w:val="4"/>
        </w:rPr>
      </w:pPr>
      <w:r>
        <w:rPr>
          <w:sz w:val="4"/>
          <w:szCs w:val="4"/>
        </w:rPr>
      </w:r>
      <w:bookmarkStart w:id="255" w:name="z8384e8f14f4f493982a40742fe798307"/>
      <w:bookmarkStart w:id="256" w:name="z8384e8f14f4f493982a40742fe798307"/>
      <w:bookmarkEnd w:id="256"/>
    </w:p>
    <w:tbl>
      <w:tblPr>
        <w:tblW w:w="3918" w:type="dxa"/>
        <w:jc w:val="left"/>
        <w:tblInd w:w="0" w:type="dxa"/>
        <w:tblLayout w:type="fixed"/>
        <w:tblCellMar>
          <w:top w:w="0" w:type="dxa"/>
          <w:left w:w="0" w:type="dxa"/>
          <w:bottom w:w="0" w:type="dxa"/>
          <w:right w:w="0" w:type="dxa"/>
        </w:tblCellMar>
      </w:tblPr>
      <w:tblGrid>
        <w:gridCol w:w="68"/>
        <w:gridCol w:w="140"/>
        <w:gridCol w:w="37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37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Company Selected Measure is Revenue.</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Pay Versus Performance:  Graphical Description</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The charts below describe the relationship between compensation actually paid to our CEO and other NEOs (as calculated in accordance with the SEC rules) in fiscal year 2021, 2022, 2023, 2024, 2025 and 2026 and (1) TSR of both the Company and the Company's peer group, (2) our net income and (3) our revenue.</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5772150" cy="3257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72150" cy="325755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7" w:name="ze19c13d772144a239a174081eb8706ab"/>
      <w:bookmarkStart w:id="258" w:name="ze19c13d772144a239a174081eb8706ab"/>
      <w:bookmarkEnd w:id="258"/>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TSR represents the value of a $100 investment in common stock, assuming reinvestment of dividends, as measured at each fiscal year end.</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37</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540"/>
        <w:jc w:val="center"/>
        <w:rPr>
          <w:color w:val="000000"/>
          <w:shd w:fill="FFFFFF" w:val="clear"/>
        </w:rPr>
      </w:pPr>
      <w:r>
        <w:rPr>
          <w:color w:val="000000"/>
          <w:shd w:fill="FFFFFF" w:val="clear"/>
        </w:rPr>
        <w:drawing>
          <wp:inline distT="0" distB="0" distL="0" distR="0">
            <wp:extent cx="5953125" cy="3800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53125" cy="3800475"/>
                    </a:xfrm>
                    <a:prstGeom prst="rect">
                      <a:avLst/>
                    </a:prstGeom>
                  </pic:spPr>
                </pic:pic>
              </a:graphicData>
            </a:graphic>
          </wp:inline>
        </w:drawing>
      </w:r>
      <w:r>
        <w:rPr>
          <w:color w:val="000000"/>
          <w:shd w:fill="FFFFFF" w:val="clear"/>
        </w:rPr>
        <w:t xml:space="preserve">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5800725" cy="3695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800725" cy="3695700"/>
                    </a:xfrm>
                    <a:prstGeom prst="rect">
                      <a:avLst/>
                    </a:prstGeom>
                  </pic:spPr>
                </pic:pic>
              </a:graphicData>
            </a:graphic>
          </wp:inline>
        </w:drawing>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38</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CEO Pay Ratio</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Information about the relationship of the annual total compensation of our median employee and the annual total compensation of our CEO, Mr. Clemmer, for the fiscal year ended May 31, 2026 is set forth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9" w:name="z9266a83e43c9402d8528599cbf56871f"/>
      <w:bookmarkStart w:id="260" w:name="z9266a83e43c9402d8528599cbf56871f"/>
      <w:bookmarkEnd w:id="260"/>
    </w:p>
    <w:tbl>
      <w:tblPr>
        <w:tblW w:w="6348" w:type="dxa"/>
        <w:jc w:val="left"/>
        <w:tblInd w:w="0" w:type="dxa"/>
        <w:tblLayout w:type="fixed"/>
        <w:tblCellMar>
          <w:top w:w="0" w:type="dxa"/>
          <w:left w:w="0" w:type="dxa"/>
          <w:bottom w:w="0" w:type="dxa"/>
          <w:right w:w="0" w:type="dxa"/>
        </w:tblCellMar>
      </w:tblPr>
      <w:tblGrid>
        <w:gridCol w:w="68"/>
        <w:gridCol w:w="140"/>
        <w:gridCol w:w="61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annual total compensation of our median employee was $135,741; and</w:t>
            </w:r>
          </w:p>
        </w:tc>
      </w:tr>
    </w:tbl>
    <w:p>
      <w:pPr>
        <w:pStyle w:val="Normal"/>
        <w:bidi w:val="0"/>
        <w:spacing w:before="0" w:after="0"/>
        <w:jc w:val="left"/>
        <w:rPr>
          <w:sz w:val="4"/>
          <w:szCs w:val="4"/>
        </w:rPr>
      </w:pPr>
      <w:r>
        <w:rPr>
          <w:sz w:val="4"/>
          <w:szCs w:val="4"/>
        </w:rPr>
      </w:r>
      <w:bookmarkStart w:id="261" w:name="z92adcc580e714909b1f490a838574c94"/>
      <w:bookmarkStart w:id="262" w:name="z92adcc580e714909b1f490a838574c94"/>
      <w:bookmarkEnd w:id="26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annual total compensation of Mr. Clemmer as reported in the “Total” column of the Summary Compensation Table in this Proxy Statement was </w:t>
            </w:r>
            <w:r>
              <w:rPr>
                <w:rFonts w:ascii="Times New Roman" w:hAnsi="Times New Roman"/>
                <w:color w:val="000000"/>
                <w:sz w:val="20"/>
              </w:rPr>
              <w:t>$6,060,145</w:t>
            </w:r>
            <w:r>
              <w:rPr>
                <w:rFonts w:ascii="Times New Roman" w:hAnsi="Times New Roman"/>
                <w:sz w:val="20"/>
              </w:rPr>
              <w:t>.</w:t>
            </w:r>
          </w:p>
        </w:tc>
      </w:tr>
    </w:tbl>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Based on this information, the ratio of Mr. Clemmer’s annual total compensation for the fiscal year ended May 31, 2026 to the annual total compensation of our median employee, as of such date, is approximately 45 to 1.  The Company believes this ratio is a reasonable estimate based on AngioDynamics’ specific employee demographics and compensation and was calculated in accordance with applicable rules of the SEC.  The pay ratio reported by other companies may not be comparable to the pay ratio reported by us, as other companies may have different employment and compensation practices and may utilize different methodologies, exclusions, estimates and assumptions in calculating their pay ratios.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To identify our median employee, we calculated the annual taxable compensation for all employees of the Company (other than the CEO) for the fiscal year ended May 31, 2026.  We believe that annual taxable compensation is a consistently applied compensation measure and appropriate for determining the median-paid employee.  We annualized the compensation of all employees (excluding employees in temporary or seasonal positions) who were hired during our fiscal year ended May 31, 2026 but did not work for AngioDynamics for the entire fiscal year and converted any compensation paid to our international employees into U.S. Dollars.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Director Compensation Table</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sets forth the fees, awards and other compensation paid to or earned by our non-employee directors for the fiscal year ended May 31, 2026: </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63" w:name="z17e475b7ec964a0190760a4013bb9f7d"/>
      <w:bookmarkStart w:id="264" w:name="z17e475b7ec964a0190760a4013bb9f7d"/>
      <w:bookmarkEnd w:id="264"/>
    </w:p>
    <w:tbl>
      <w:tblPr>
        <w:tblW w:w="5149" w:type="dxa"/>
        <w:jc w:val="left"/>
        <w:tblInd w:w="0" w:type="dxa"/>
        <w:tblLayout w:type="fixed"/>
        <w:tblCellMar>
          <w:top w:w="0" w:type="dxa"/>
          <w:left w:w="0" w:type="dxa"/>
          <w:bottom w:w="28" w:type="dxa"/>
          <w:right w:w="0" w:type="dxa"/>
        </w:tblCellMar>
      </w:tblPr>
      <w:tblGrid>
        <w:gridCol w:w="1850"/>
        <w:gridCol w:w="90"/>
        <w:gridCol w:w="121"/>
        <w:gridCol w:w="978"/>
        <w:gridCol w:w="90"/>
        <w:gridCol w:w="90"/>
        <w:gridCol w:w="90"/>
        <w:gridCol w:w="725"/>
        <w:gridCol w:w="90"/>
        <w:gridCol w:w="90"/>
        <w:gridCol w:w="90"/>
        <w:gridCol w:w="725"/>
        <w:gridCol w:w="120"/>
      </w:tblGrid>
      <w:tr>
        <w:trPr/>
        <w:tc>
          <w:tcPr>
            <w:tcW w:w="1850"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w:t>
            </w:r>
          </w:p>
        </w:tc>
        <w:tc>
          <w:tcPr>
            <w:tcW w:w="90" w:type="dxa"/>
            <w:tcBorders>
              <w:bottom w:val="single" w:sz="12" w:space="0" w:color="000000"/>
            </w:tcBorders>
            <w:vAlign w:val="bottom"/>
          </w:tcPr>
          <w:p>
            <w:pPr>
              <w:pStyle w:val="TableContents"/>
              <w:bidi w:val="0"/>
              <w:spacing w:before="0" w:after="283"/>
              <w:jc w:val="left"/>
              <w:rPr/>
            </w:pPr>
            <w:r>
              <w:rPr/>
              <w:t> </w:t>
            </w:r>
          </w:p>
        </w:tc>
        <w:tc>
          <w:tcPr>
            <w:tcW w:w="1099"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Fees Earned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or Paid 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Cash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81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Stock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Awards</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81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120" w:type="dxa"/>
            <w:tcBorders>
              <w:bottom w:val="single" w:sz="12" w:space="0" w:color="000000"/>
            </w:tcBorders>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Howard W. Donnelly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978"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272,005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Wesley E. Johnson, Jr.</w:t>
            </w:r>
          </w:p>
        </w:tc>
        <w:tc>
          <w:tcPr>
            <w:tcW w:w="90" w:type="dxa"/>
            <w:tcBorders/>
            <w:tcMar>
              <w:bottom w:w="0" w:type="dxa"/>
            </w:tcMar>
            <w:vAlign w:val="bottom"/>
          </w:tcPr>
          <w:p>
            <w:pPr>
              <w:pStyle w:val="TableContents"/>
              <w:bidi w:val="0"/>
              <w:spacing w:before="0" w:after="283"/>
              <w:jc w:val="left"/>
              <w:rPr/>
            </w:pPr>
            <w:r>
              <w:rPr/>
              <w:t> </w:t>
            </w:r>
          </w:p>
        </w:tc>
        <w:tc>
          <w:tcPr>
            <w:tcW w:w="121" w:type="dxa"/>
            <w:tcBorders/>
            <w:tcMar>
              <w:bottom w:w="0" w:type="dxa"/>
            </w:tcMar>
            <w:vAlign w:val="bottom"/>
          </w:tcPr>
          <w:p>
            <w:pPr>
              <w:pStyle w:val="TableContents"/>
              <w:bidi w:val="0"/>
              <w:spacing w:before="0" w:after="283"/>
              <w:jc w:val="left"/>
              <w:rPr/>
            </w:pPr>
            <w:r>
              <w:rPr/>
              <w:t> </w:t>
            </w:r>
          </w:p>
        </w:tc>
        <w:tc>
          <w:tcPr>
            <w:tcW w:w="978"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97,500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249,505</w:t>
            </w:r>
          </w:p>
        </w:tc>
        <w:tc>
          <w:tcPr>
            <w:tcW w:w="12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Eileen Auen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978"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242,005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Jan Stern Reed</w:t>
            </w:r>
          </w:p>
        </w:tc>
        <w:tc>
          <w:tcPr>
            <w:tcW w:w="90" w:type="dxa"/>
            <w:tcBorders/>
            <w:tcMar>
              <w:bottom w:w="0" w:type="dxa"/>
            </w:tcMar>
            <w:vAlign w:val="bottom"/>
          </w:tcPr>
          <w:p>
            <w:pPr>
              <w:pStyle w:val="TableContents"/>
              <w:bidi w:val="0"/>
              <w:spacing w:before="0" w:after="283"/>
              <w:jc w:val="left"/>
              <w:rPr/>
            </w:pPr>
            <w:r>
              <w:rPr/>
              <w:t> </w:t>
            </w:r>
          </w:p>
        </w:tc>
        <w:tc>
          <w:tcPr>
            <w:tcW w:w="121" w:type="dxa"/>
            <w:tcBorders/>
            <w:tcMar>
              <w:bottom w:w="0" w:type="dxa"/>
            </w:tcMar>
            <w:vAlign w:val="bottom"/>
          </w:tcPr>
          <w:p>
            <w:pPr>
              <w:pStyle w:val="TableContents"/>
              <w:bidi w:val="0"/>
              <w:spacing w:before="0" w:after="283"/>
              <w:jc w:val="left"/>
              <w:rPr/>
            </w:pPr>
            <w:r>
              <w:rPr/>
              <w:t> </w:t>
            </w:r>
          </w:p>
        </w:tc>
        <w:tc>
          <w:tcPr>
            <w:tcW w:w="978"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92,500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244,505</w:t>
            </w:r>
          </w:p>
        </w:tc>
        <w:tc>
          <w:tcPr>
            <w:tcW w:w="12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Karen Licitra</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978"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82,500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234,505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Michael Tarnoff</w:t>
            </w:r>
          </w:p>
        </w:tc>
        <w:tc>
          <w:tcPr>
            <w:tcW w:w="90" w:type="dxa"/>
            <w:tcBorders/>
            <w:tcMar>
              <w:bottom w:w="0" w:type="dxa"/>
            </w:tcMar>
            <w:vAlign w:val="bottom"/>
          </w:tcPr>
          <w:p>
            <w:pPr>
              <w:pStyle w:val="TableContents"/>
              <w:bidi w:val="0"/>
              <w:spacing w:before="0" w:after="283"/>
              <w:jc w:val="left"/>
              <w:rPr/>
            </w:pPr>
            <w:r>
              <w:rPr/>
              <w:t> </w:t>
            </w:r>
          </w:p>
        </w:tc>
        <w:tc>
          <w:tcPr>
            <w:tcW w:w="121" w:type="dxa"/>
            <w:tcBorders/>
            <w:tcMar>
              <w:bottom w:w="0" w:type="dxa"/>
            </w:tcMar>
            <w:vAlign w:val="bottom"/>
          </w:tcPr>
          <w:p>
            <w:pPr>
              <w:pStyle w:val="TableContents"/>
              <w:bidi w:val="0"/>
              <w:spacing w:before="0" w:after="283"/>
              <w:jc w:val="left"/>
              <w:rPr/>
            </w:pPr>
            <w:r>
              <w:rPr/>
              <w:t> </w:t>
            </w:r>
          </w:p>
        </w:tc>
        <w:tc>
          <w:tcPr>
            <w:tcW w:w="978"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232,005</w:t>
            </w:r>
          </w:p>
        </w:tc>
        <w:tc>
          <w:tcPr>
            <w:tcW w:w="12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Lorinda Burgess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978"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82,500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234,505</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5" w:name="z82c3121cbec1481a9730b3a6ec52afce"/>
      <w:bookmarkStart w:id="266" w:name="z82c3121cbec1481a9730b3a6ec52afce"/>
      <w:bookmarkEnd w:id="266"/>
    </w:p>
    <w:tbl>
      <w:tblPr>
        <w:tblW w:w="10205" w:type="dxa"/>
        <w:jc w:val="left"/>
        <w:tblInd w:w="0" w:type="dxa"/>
        <w:tblLayout w:type="fixed"/>
        <w:tblCellMar>
          <w:top w:w="0" w:type="dxa"/>
          <w:left w:w="0" w:type="dxa"/>
          <w:bottom w:w="0" w:type="dxa"/>
          <w:right w:w="0" w:type="dxa"/>
        </w:tblCellMar>
      </w:tblPr>
      <w:tblGrid>
        <w:gridCol w:w="105"/>
        <w:gridCol w:w="233"/>
        <w:gridCol w:w="9867"/>
      </w:tblGrid>
      <w:tr>
        <w:trPr/>
        <w:tc>
          <w:tcPr>
            <w:tcW w:w="10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grant-date fair value based on FASB ASC 718.  The assumption used in the valuation of such awards are discussed in Note 13 to our Audited Consolidated Financial Statements included in our Annual Report on Form 10-K for the Fiscal Year ended May 31, 2026. As of May 31, 2026, each non-employee director did not have unvested restricted stock units.</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39</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Director Compensation Program During the Fiscal Year Ended May 31, 2026</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For fiscal year 2026, following consultation with Meridian, the Nominating, Compliance and Corporate Governance Committee’s independent compensation consultant, we generally maintained compensation at the same level as fiscal year 2022.  Directors (who are not our employees) received an annual retainer of $65,000. The Chair of the Board of Directors received an additional annual retainer of $55,000. The Chair of the Audit Committee received an additional annual retainer of $25,000, the Chair of the Compensation and Human Capital Committee received an additional annual retainer of $17,500, and the Chair of the Nominating, Compliance and Corporate Governance Committee received an additional annual retainer of $17,500. Members of the Audit Committee receive an additional annual retainer of $10,000, members of the Compensation and Human Capital Committee received an additional annual retainer of $7,500 and members of the Nominating, Compliance and Corporate Governance Committee received an additional retainer of $7,500.</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Directors who are not our employees also received an annual equity grant, wholly comprising restricted stock units, vesting one year from the grant date, with a grant-date fair value approximately equal to $152,000.  On July 16, 2025, the Board of Directors approved granting restricted shares to our Non-Employee Directors with immediate vesting.</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We also reimburse directors who are not our employees for reasonable travel and other related expenses incurred to attend Board and Committee meetings.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Directors who are our employees receive no additional compensation for their services as directors.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Stock Ownership Guidelines for Board of Directors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To further align the interests of our Board of Directors and shareholders, we maintain stock ownership guidelines for the Board of Directors. Under these guidelines, each member of our Board of Directors is required to hold shares equal in value to three times the director's base cash retainer. New members of the Board of Directors are allowed 36 months from the time they join the Board to acquire the required number of shares.  Each member of our Board of Directors is currently in compliance with the applicable holding requirement.</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40</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67" w:name="z100f11330a984758aa6a3b8ca962d411"/>
      <w:bookmarkStart w:id="268" w:name="Item12."/>
      <w:bookmarkStart w:id="269" w:name="z100f11330a984758aa6a3b8ca962d411"/>
      <w:bookmarkStart w:id="270" w:name="Item12."/>
      <w:bookmarkEnd w:id="269"/>
      <w:bookmarkEnd w:id="270"/>
    </w:p>
    <w:tbl>
      <w:tblPr>
        <w:tblW w:w="9235" w:type="dxa"/>
        <w:jc w:val="left"/>
        <w:tblInd w:w="0" w:type="dxa"/>
        <w:tblLayout w:type="fixed"/>
        <w:tblCellMar>
          <w:top w:w="0" w:type="dxa"/>
          <w:left w:w="0" w:type="dxa"/>
          <w:bottom w:w="0" w:type="dxa"/>
          <w:right w:w="0" w:type="dxa"/>
        </w:tblCellMar>
      </w:tblPr>
      <w:tblGrid>
        <w:gridCol w:w="755"/>
        <w:gridCol w:w="8480"/>
      </w:tblGrid>
      <w:tr>
        <w:trPr/>
        <w:tc>
          <w:tcPr>
            <w:tcW w:w="755"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12.</w:t>
            </w:r>
          </w:p>
        </w:tc>
        <w:tc>
          <w:tcPr>
            <w:tcW w:w="8480" w:type="dxa"/>
            <w:tcBorders/>
            <w:vAlign w:val="center"/>
          </w:tcPr>
          <w:p>
            <w:pPr>
              <w:pStyle w:val="TableContents"/>
              <w:bidi w:val="0"/>
              <w:spacing w:before="0" w:after="0"/>
              <w:ind w:left="720" w:right="0" w:hanging="720"/>
              <w:jc w:val="left"/>
              <w:rPr>
                <w:rFonts w:ascii="Times New Roman" w:hAnsi="Times New Roman"/>
                <w:b/>
                <w:i/>
                <w:color w:val="000000"/>
                <w:sz w:val="20"/>
              </w:rPr>
            </w:pPr>
            <w:r>
              <w:rPr>
                <w:rFonts w:ascii="Times New Roman" w:hAnsi="Times New Roman"/>
                <w:b/>
                <w:i/>
                <w:color w:val="000000"/>
                <w:sz w:val="20"/>
              </w:rPr>
              <w:t>Security Ownership of Certain Beneficial Owners and Management and Related Stockholder Matters.</w:t>
            </w:r>
          </w:p>
        </w:tc>
      </w:tr>
    </w:tbl>
    <w:p>
      <w:pPr>
        <w:pStyle w:val="TextBody"/>
        <w:bidi w:val="0"/>
        <w:spacing w:before="0" w:after="0"/>
        <w:jc w:val="center"/>
        <w:rPr>
          <w:rFonts w:ascii="Times New Roman" w:hAnsi="Times New Roman"/>
          <w:b/>
        </w:rPr>
      </w:pPr>
      <w:r>
        <w:rPr>
          <w:rFonts w:ascii="Times New Roman" w:hAnsi="Times New Roman"/>
          <w:b/>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OWNERSHIP OF SECURITIES</w:t>
      </w:r>
    </w:p>
    <w:p>
      <w:pPr>
        <w:pStyle w:val="TextBody"/>
        <w:bidi w:val="0"/>
        <w:spacing w:before="0" w:after="0"/>
        <w:jc w:val="left"/>
        <w:rPr/>
      </w:pPr>
      <w:r>
        <w:rPr/>
      </w:r>
    </w:p>
    <w:p>
      <w:pPr>
        <w:pStyle w:val="TextBody"/>
        <w:bidi w:val="0"/>
        <w:spacing w:before="0" w:after="18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AngioDynamics common stock beneficially owned by each of our current directors, each of our named executive officers, all of our current directors and executive officers as a group and each person known by us to beneficially own more than 5% of our common stock as of September 18, 2026. Except as otherwise noted, each individual director or named executive officer had sole voting and investment power with respect to the AngioDynamics common stock. As of September 18, 2026, there were 42,054,450 shares of our common stock outstanding. As of September 18, 2026, no director or executive officer beneficially owned more than 1% of the shares of our outstanding common stock. As of September 18, 2026, AngioDynamics’ current directors and executive officers as a group beneficially owned 6.0% of the shares of common stock outstanding.</w:t>
      </w:r>
    </w:p>
    <w:p>
      <w:pPr>
        <w:pStyle w:val="TextBody"/>
        <w:bidi w:val="0"/>
        <w:spacing w:before="0" w:after="18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41</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71" w:name="z8a100cf972d6467d91e74c1a3f2d68fa"/>
      <w:bookmarkStart w:id="272" w:name="z8a100cf972d6467d91e74c1a3f2d68fa"/>
      <w:bookmarkEnd w:id="272"/>
    </w:p>
    <w:tbl>
      <w:tblPr>
        <w:tblW w:w="10205" w:type="dxa"/>
        <w:jc w:val="left"/>
        <w:tblInd w:w="0" w:type="dxa"/>
        <w:tblLayout w:type="fixed"/>
        <w:tblCellMar>
          <w:top w:w="0" w:type="dxa"/>
          <w:left w:w="0" w:type="dxa"/>
          <w:bottom w:w="28" w:type="dxa"/>
          <w:right w:w="0" w:type="dxa"/>
        </w:tblCellMar>
      </w:tblPr>
      <w:tblGrid>
        <w:gridCol w:w="4055"/>
        <w:gridCol w:w="90"/>
        <w:gridCol w:w="156"/>
        <w:gridCol w:w="1530"/>
        <w:gridCol w:w="292"/>
        <w:gridCol w:w="90"/>
        <w:gridCol w:w="322"/>
        <w:gridCol w:w="1095"/>
        <w:gridCol w:w="215"/>
        <w:gridCol w:w="90"/>
        <w:gridCol w:w="198"/>
        <w:gridCol w:w="1949"/>
        <w:gridCol w:w="123"/>
      </w:tblGrid>
      <w:tr>
        <w:trPr/>
        <w:tc>
          <w:tcPr>
            <w:tcW w:w="4055"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Significant Shareholders</w:t>
            </w:r>
          </w:p>
        </w:tc>
        <w:tc>
          <w:tcPr>
            <w:tcW w:w="90" w:type="dxa"/>
            <w:tcBorders/>
            <w:tcMar>
              <w:bottom w:w="0" w:type="dxa"/>
            </w:tcMar>
            <w:vAlign w:val="bottom"/>
          </w:tcPr>
          <w:p>
            <w:pPr>
              <w:pStyle w:val="TableContents"/>
              <w:bidi w:val="0"/>
              <w:spacing w:before="0" w:after="283"/>
              <w:jc w:val="left"/>
              <w:rPr/>
            </w:pPr>
            <w:r>
              <w:rPr/>
              <w:t> </w:t>
            </w:r>
          </w:p>
        </w:tc>
        <w:tc>
          <w:tcPr>
            <w:tcW w:w="5937" w:type="dxa"/>
            <w:gridSpan w:val="10"/>
            <w:tcBorders/>
            <w:tcMar>
              <w:bottom w:w="0" w:type="dxa"/>
            </w:tcMar>
            <w:vAlign w:val="bottom"/>
          </w:tcPr>
          <w:p>
            <w:pPr>
              <w:pStyle w:val="TableContents"/>
              <w:bidi w:val="0"/>
              <w:spacing w:before="0" w:after="283"/>
              <w:jc w:val="left"/>
              <w:rPr/>
            </w:pPr>
            <w:r>
              <w:rPr/>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 of Beneficial Owner</w:t>
            </w:r>
          </w:p>
        </w:tc>
        <w:tc>
          <w:tcPr>
            <w:tcW w:w="90" w:type="dxa"/>
            <w:tcBorders>
              <w:bottom w:val="single" w:sz="12" w:space="0" w:color="000000"/>
            </w:tcBorders>
            <w:vAlign w:val="bottom"/>
          </w:tcPr>
          <w:p>
            <w:pPr>
              <w:pStyle w:val="TableContents"/>
              <w:bidi w:val="0"/>
              <w:spacing w:before="0" w:after="283"/>
              <w:jc w:val="left"/>
              <w:rPr/>
            </w:pPr>
            <w:r>
              <w:rPr/>
              <w:t> </w:t>
            </w:r>
          </w:p>
        </w:tc>
        <w:tc>
          <w:tcPr>
            <w:tcW w:w="1686"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Number of Shares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Stock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Owned as of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September 18, 2026(a)</w:t>
            </w:r>
          </w:p>
        </w:tc>
        <w:tc>
          <w:tcPr>
            <w:tcW w:w="292"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417"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of Outstanding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w:t>
            </w:r>
          </w:p>
        </w:tc>
        <w:tc>
          <w:tcPr>
            <w:tcW w:w="215"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147"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Number of Shares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Beneficially Owned, Number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that May be Acquired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Within 60 Days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18, 2026</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5% Owners</w:t>
            </w:r>
          </w:p>
        </w:tc>
        <w:tc>
          <w:tcPr>
            <w:tcW w:w="90" w:type="dxa"/>
            <w:tcBorders/>
            <w:tcMar>
              <w:bottom w:w="0" w:type="dxa"/>
            </w:tcMar>
            <w:vAlign w:val="bottom"/>
          </w:tcPr>
          <w:p>
            <w:pPr>
              <w:pStyle w:val="TableContents"/>
              <w:bidi w:val="0"/>
              <w:spacing w:before="0" w:after="283"/>
              <w:jc w:val="left"/>
              <w:rPr/>
            </w:pPr>
            <w:r>
              <w:rPr/>
              <w:t> </w:t>
            </w:r>
          </w:p>
        </w:tc>
        <w:tc>
          <w:tcPr>
            <w:tcW w:w="1686" w:type="dxa"/>
            <w:gridSpan w:val="2"/>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417" w:type="dxa"/>
            <w:gridSpan w:val="2"/>
            <w:tcBorders/>
            <w:tcMar>
              <w:bottom w:w="0" w:type="dxa"/>
            </w:tcMar>
            <w:vAlign w:val="bottom"/>
          </w:tcPr>
          <w:p>
            <w:pPr>
              <w:pStyle w:val="TableContents"/>
              <w:bidi w:val="0"/>
              <w:spacing w:before="0" w:after="283"/>
              <w:jc w:val="left"/>
              <w:rPr/>
            </w:pPr>
            <w:r>
              <w:rPr/>
              <w:t> </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47" w:type="dxa"/>
            <w:gridSpan w:val="2"/>
            <w:tcBorders/>
            <w:tcMar>
              <w:bottom w:w="0" w:type="dxa"/>
            </w:tcMar>
            <w:vAlign w:val="bottom"/>
          </w:tcPr>
          <w:p>
            <w:pPr>
              <w:pStyle w:val="TableContents"/>
              <w:bidi w:val="0"/>
              <w:spacing w:before="0" w:after="283"/>
              <w:jc w:val="left"/>
              <w:rPr/>
            </w:pPr>
            <w:r>
              <w:rPr/>
              <w:t> </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BlackRock, Inc.</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50 Hudson Yards</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New York, NY 10001</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2,198,422</w:t>
            </w:r>
          </w:p>
        </w:tc>
        <w:tc>
          <w:tcPr>
            <w:tcW w:w="292" w:type="dxa"/>
            <w:tcBorders/>
            <w:shd w:fill="CCEEFF" w:val="clear"/>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(b)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21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Systematic Financial Management LP</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300 Frank W. Burr Boulevard, 7th Floor</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Teaneck, NJ 07666</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2,508,295</w:t>
            </w:r>
          </w:p>
        </w:tc>
        <w:tc>
          <w:tcPr>
            <w:tcW w:w="292" w:type="dxa"/>
            <w:tcBorders/>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(c)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w:t>
            </w:r>
          </w:p>
        </w:tc>
        <w:tc>
          <w:tcPr>
            <w:tcW w:w="21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Millennium Management LLC</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399 Park Avenue</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New York, NY 10022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2,124,268</w:t>
            </w:r>
          </w:p>
        </w:tc>
        <w:tc>
          <w:tcPr>
            <w:tcW w:w="292" w:type="dxa"/>
            <w:tcBorders/>
            <w:shd w:fill="CCEEFF" w:val="clear"/>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(d)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w:t>
            </w:r>
          </w:p>
        </w:tc>
        <w:tc>
          <w:tcPr>
            <w:tcW w:w="21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Point72 Asset Management, L.P.</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72 Cummings Point Road</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Stamford, CT 06902</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3,181,829</w:t>
            </w:r>
          </w:p>
        </w:tc>
        <w:tc>
          <w:tcPr>
            <w:tcW w:w="292" w:type="dxa"/>
            <w:tcBorders/>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(e)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w:t>
            </w:r>
          </w:p>
        </w:tc>
        <w:tc>
          <w:tcPr>
            <w:tcW w:w="21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Kevin Kotler</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 Broadfin Holdings, LLC</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200 Broadhollow Road, Suite 207</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Melville, New York 11747</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2,421,526</w:t>
            </w:r>
          </w:p>
        </w:tc>
        <w:tc>
          <w:tcPr>
            <w:tcW w:w="292" w:type="dxa"/>
            <w:tcBorders/>
            <w:shd w:fill="CCEEFF" w:val="clear"/>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 xml:space="preserve">(f)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w:t>
            </w:r>
          </w:p>
        </w:tc>
        <w:tc>
          <w:tcPr>
            <w:tcW w:w="21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Beneficial Ownership of Management</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283"/>
              <w:jc w:val="right"/>
              <w:rPr/>
            </w:pPr>
            <w:r>
              <w:rPr/>
              <w:t> </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283"/>
              <w:jc w:val="right"/>
              <w:rPr/>
            </w:pPr>
            <w:r>
              <w:rPr/>
              <w:t> </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283"/>
              <w:jc w:val="right"/>
              <w:rPr/>
            </w:pPr>
            <w:r>
              <w:rPr/>
              <w:t> </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Non-Employee Directors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283"/>
              <w:jc w:val="righ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283"/>
              <w:jc w:val="righ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283"/>
              <w:jc w:val="righ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Eileen O. Auen</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141,605</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25,000</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Lorinda A. Burgess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67,144</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283"/>
              <w:jc w:val="righ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Howard W. Donnelly</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178,938</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Wesley E. Johnson, Jr.</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149,450</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Karen A. Licitra</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102,340</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Jan Stern Reed</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141,921</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25,000</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Michael E. Tarnoff</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95,265</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Named Executive Officers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283"/>
              <w:jc w:val="righ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283"/>
              <w:jc w:val="righ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283"/>
              <w:jc w:val="righ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James C. Clemmer</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1,310,206</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807,344</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A. Trowbridge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392,185</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226,281</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Lawrence T. Weiss</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57,366</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25,913</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Laura Piccinini</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131,468</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105,255</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Warren G. Nighan</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131,809</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104,173</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All directors and executive officers as a group (12 persons)(g)</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3,065,309</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21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1,423,202</w:t>
            </w:r>
          </w:p>
        </w:tc>
        <w:tc>
          <w:tcPr>
            <w:tcW w:w="123"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3" w:name="z7441981f787d445e8ae88de2dc7c3f47"/>
      <w:bookmarkStart w:id="274" w:name="z7441981f787d445e8ae88de2dc7c3f47"/>
      <w:bookmarkEnd w:id="274"/>
    </w:p>
    <w:tbl>
      <w:tblPr>
        <w:tblW w:w="7735" w:type="dxa"/>
        <w:jc w:val="left"/>
        <w:tblInd w:w="0" w:type="dxa"/>
        <w:tblLayout w:type="fixed"/>
        <w:tblCellMar>
          <w:top w:w="0" w:type="dxa"/>
          <w:left w:w="0" w:type="dxa"/>
          <w:bottom w:w="0" w:type="dxa"/>
          <w:right w:w="0" w:type="dxa"/>
        </w:tblCellMar>
      </w:tblPr>
      <w:tblGrid>
        <w:gridCol w:w="170"/>
        <w:gridCol w:w="7565"/>
      </w:tblGrid>
      <w:tr>
        <w:trPr/>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one percent of the number of shares outstanding at </w:t>
            </w:r>
            <w:r>
              <w:rPr>
                <w:rFonts w:ascii="Times New Roman" w:hAnsi="Times New Roman"/>
                <w:color w:val="000000"/>
                <w:sz w:val="20"/>
              </w:rPr>
              <w:t>September 18, 2026</w:t>
            </w:r>
            <w:r>
              <w:rPr>
                <w:rFonts w:ascii="Times New Roman" w:hAnsi="Times New Roman"/>
                <w:sz w:val="20"/>
              </w:rPr>
              <w:t>.</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42</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75" w:name="zd38162044eca4f3e96f6f76943a3775a"/>
      <w:bookmarkStart w:id="276" w:name="zd38162044eca4f3e96f6f76943a3775a"/>
      <w:bookmarkEnd w:id="276"/>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Beneficial ownership is determined in accordance with the rules of the SEC and generally includes voting or investment power with respect to securities. Under those rules, although not outstanding, shares of common stock subject to options that are exercisable or will become exercisable within 60 days of September 18, 2026 and restricted stock units that will vest within 60 days of September 18, 2026 are deemed to be outstanding and to be beneficially owned by the person holding the securities for the purpose of computing the percentage ownership of the person, but are not treated as outstanding for the purpose of computing the percentage ownership of any other person.</w:t>
            </w:r>
          </w:p>
        </w:tc>
      </w:tr>
    </w:tbl>
    <w:p>
      <w:pPr>
        <w:pStyle w:val="Normal"/>
        <w:bidi w:val="0"/>
        <w:spacing w:before="0" w:after="0"/>
        <w:jc w:val="left"/>
        <w:rPr>
          <w:sz w:val="4"/>
          <w:szCs w:val="4"/>
        </w:rPr>
      </w:pPr>
      <w:r>
        <w:rPr>
          <w:sz w:val="4"/>
          <w:szCs w:val="4"/>
        </w:rPr>
      </w:r>
      <w:bookmarkStart w:id="277" w:name="z8cd6db04576341029f2e3671e83d4896"/>
      <w:bookmarkStart w:id="278" w:name="z8cd6db04576341029f2e3671e83d4896"/>
      <w:bookmarkEnd w:id="278"/>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 filed by BlackRock, Inc. on April 17, 2025.  According to the Schedule 13G, Blackrock, Inc. has sole voting power with respect to 2,868,268 shares and sole dispositive power with respect to 2,918,422 shares.</w:t>
            </w:r>
          </w:p>
        </w:tc>
      </w:tr>
    </w:tbl>
    <w:p>
      <w:pPr>
        <w:pStyle w:val="Normal"/>
        <w:bidi w:val="0"/>
        <w:spacing w:before="0" w:after="0"/>
        <w:jc w:val="left"/>
        <w:rPr>
          <w:sz w:val="4"/>
          <w:szCs w:val="4"/>
        </w:rPr>
      </w:pPr>
      <w:r>
        <w:rPr>
          <w:sz w:val="4"/>
          <w:szCs w:val="4"/>
        </w:rPr>
      </w:r>
      <w:bookmarkStart w:id="279" w:name="z13e260a285ef4016889b1d82ed55aade"/>
      <w:bookmarkStart w:id="280" w:name="z13e260a285ef4016889b1d82ed55aade"/>
      <w:bookmarkEnd w:id="280"/>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 filed by Systematic Financial Management on February 10, 2026.  According to the Schedule 13G, Systematic Financial Management LP has sole voting power with respect to 1,478,345 shares and sole dispositive power with respect to 2,508,295 shares.</w:t>
            </w:r>
          </w:p>
        </w:tc>
      </w:tr>
    </w:tbl>
    <w:p>
      <w:pPr>
        <w:pStyle w:val="Normal"/>
        <w:bidi w:val="0"/>
        <w:spacing w:before="0" w:after="0"/>
        <w:jc w:val="left"/>
        <w:rPr>
          <w:sz w:val="4"/>
          <w:szCs w:val="4"/>
        </w:rPr>
      </w:pPr>
      <w:r>
        <w:rPr>
          <w:sz w:val="4"/>
          <w:szCs w:val="4"/>
        </w:rPr>
      </w:r>
      <w:bookmarkStart w:id="281" w:name="z4fde61c620c14d889e0b65c1fdf706d6"/>
      <w:bookmarkStart w:id="282" w:name="z4fde61c620c14d889e0b65c1fdf706d6"/>
      <w:bookmarkEnd w:id="282"/>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 filed by Integrated Core Strategies (US) LLC on July 22, 2025, 2025.  According to the Schedule 13G, the securities disclosed therein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tc>
      </w:tr>
    </w:tbl>
    <w:p>
      <w:pPr>
        <w:pStyle w:val="Normal"/>
        <w:bidi w:val="0"/>
        <w:spacing w:before="0" w:after="0"/>
        <w:jc w:val="left"/>
        <w:rPr>
          <w:sz w:val="4"/>
          <w:szCs w:val="4"/>
        </w:rPr>
      </w:pPr>
      <w:r>
        <w:rPr>
          <w:sz w:val="4"/>
          <w:szCs w:val="4"/>
        </w:rPr>
      </w:r>
      <w:bookmarkStart w:id="283" w:name="ze107b42dc1bd4b0694366d100f98da44"/>
      <w:bookmarkStart w:id="284" w:name="ze107b42dc1bd4b0694366d100f98da44"/>
      <w:bookmarkEnd w:id="284"/>
    </w:p>
    <w:tbl>
      <w:tblPr>
        <w:tblW w:w="10045" w:type="dxa"/>
        <w:jc w:val="left"/>
        <w:tblInd w:w="0" w:type="dxa"/>
        <w:tblLayout w:type="fixed"/>
        <w:tblCellMar>
          <w:top w:w="0" w:type="dxa"/>
          <w:left w:w="0" w:type="dxa"/>
          <w:bottom w:w="0" w:type="dxa"/>
          <w:right w:w="0" w:type="dxa"/>
        </w:tblCellMar>
      </w:tblPr>
      <w:tblGrid>
        <w:gridCol w:w="275"/>
        <w:gridCol w:w="9770"/>
      </w:tblGrid>
      <w:tr>
        <w:trPr/>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13G/A filed by Point72 Asset Management, L.P. on May 15, 2026.</w:t>
            </w:r>
          </w:p>
        </w:tc>
      </w:tr>
    </w:tbl>
    <w:p>
      <w:pPr>
        <w:pStyle w:val="Normal"/>
        <w:bidi w:val="0"/>
        <w:spacing w:before="0" w:after="0"/>
        <w:jc w:val="left"/>
        <w:rPr>
          <w:sz w:val="4"/>
          <w:szCs w:val="4"/>
        </w:rPr>
      </w:pPr>
      <w:r>
        <w:rPr>
          <w:sz w:val="4"/>
          <w:szCs w:val="4"/>
        </w:rPr>
      </w:r>
      <w:bookmarkStart w:id="285" w:name="zf4e8b5703dd34006bf1295f0c1f4eee8"/>
      <w:bookmarkStart w:id="286" w:name="zf4e8b5703dd34006bf1295f0c1f4eee8"/>
      <w:bookmarkEnd w:id="286"/>
    </w:p>
    <w:tbl>
      <w:tblPr>
        <w:tblW w:w="8470" w:type="dxa"/>
        <w:jc w:val="left"/>
        <w:tblInd w:w="0" w:type="dxa"/>
        <w:tblLayout w:type="fixed"/>
        <w:tblCellMar>
          <w:top w:w="0" w:type="dxa"/>
          <w:left w:w="0" w:type="dxa"/>
          <w:bottom w:w="0" w:type="dxa"/>
          <w:right w:w="0" w:type="dxa"/>
        </w:tblCellMar>
      </w:tblPr>
      <w:tblGrid>
        <w:gridCol w:w="245"/>
        <w:gridCol w:w="8225"/>
      </w:tblGrid>
      <w:tr>
        <w:trPr/>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 filed by Kevin Kotler on February 9, 2026.</w:t>
            </w:r>
          </w:p>
        </w:tc>
      </w:tr>
    </w:tbl>
    <w:p>
      <w:pPr>
        <w:pStyle w:val="Normal"/>
        <w:bidi w:val="0"/>
        <w:spacing w:before="0" w:after="0"/>
        <w:jc w:val="left"/>
        <w:rPr>
          <w:sz w:val="4"/>
          <w:szCs w:val="4"/>
        </w:rPr>
      </w:pPr>
      <w:r>
        <w:rPr>
          <w:sz w:val="4"/>
          <w:szCs w:val="4"/>
        </w:rPr>
      </w:r>
      <w:bookmarkStart w:id="287" w:name="z41e0611feaa34e7ead187722e7b19928"/>
      <w:bookmarkStart w:id="288" w:name="z41e0611feaa34e7ead187722e7b19928"/>
      <w:bookmarkEnd w:id="288"/>
    </w:p>
    <w:tbl>
      <w:tblPr>
        <w:tblW w:w="7975" w:type="dxa"/>
        <w:jc w:val="left"/>
        <w:tblInd w:w="0" w:type="dxa"/>
        <w:tblLayout w:type="fixed"/>
        <w:tblCellMar>
          <w:top w:w="0" w:type="dxa"/>
          <w:left w:w="0" w:type="dxa"/>
          <w:bottom w:w="0" w:type="dxa"/>
          <w:right w:w="0" w:type="dxa"/>
        </w:tblCellMar>
      </w:tblPr>
      <w:tblGrid>
        <w:gridCol w:w="290"/>
        <w:gridCol w:w="768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all of the persons identified as non-employee directors and named executive officers.</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43</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Equity Compensation Plan Information</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sets forth information, as of May 31, 2026, with respect to compensation plans under which our equity securities are authorized for issuance. </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89" w:name="zb645144bec004117959ffa6e5e0300f2"/>
      <w:bookmarkStart w:id="290" w:name="zb645144bec004117959ffa6e5e0300f2"/>
      <w:bookmarkEnd w:id="290"/>
    </w:p>
    <w:tbl>
      <w:tblPr>
        <w:tblW w:w="10205" w:type="dxa"/>
        <w:jc w:val="left"/>
        <w:tblInd w:w="0" w:type="dxa"/>
        <w:tblLayout w:type="fixed"/>
        <w:tblCellMar>
          <w:top w:w="0" w:type="dxa"/>
          <w:left w:w="0" w:type="dxa"/>
          <w:bottom w:w="0" w:type="dxa"/>
          <w:right w:w="0" w:type="dxa"/>
        </w:tblCellMar>
      </w:tblPr>
      <w:tblGrid>
        <w:gridCol w:w="3623"/>
        <w:gridCol w:w="90"/>
        <w:gridCol w:w="167"/>
        <w:gridCol w:w="1645"/>
        <w:gridCol w:w="281"/>
        <w:gridCol w:w="90"/>
        <w:gridCol w:w="426"/>
        <w:gridCol w:w="1419"/>
        <w:gridCol w:w="90"/>
        <w:gridCol w:w="90"/>
        <w:gridCol w:w="199"/>
        <w:gridCol w:w="1962"/>
        <w:gridCol w:w="123"/>
      </w:tblGrid>
      <w:tr>
        <w:trPr/>
        <w:tc>
          <w:tcPr>
            <w:tcW w:w="36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w:t>
            </w:r>
          </w:p>
        </w:tc>
        <w:tc>
          <w:tcPr>
            <w:tcW w:w="2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w:t>
            </w:r>
          </w:p>
        </w:tc>
        <w:tc>
          <w:tcPr>
            <w:tcW w:w="123" w:type="dxa"/>
            <w:tcBorders/>
            <w:vAlign w:val="bottom"/>
          </w:tcPr>
          <w:p>
            <w:pPr>
              <w:pStyle w:val="TableContents"/>
              <w:bidi w:val="0"/>
              <w:spacing w:before="0" w:after="283"/>
              <w:jc w:val="left"/>
              <w:rPr/>
            </w:pPr>
            <w:r>
              <w:rPr/>
              <w:t> </w:t>
            </w:r>
          </w:p>
        </w:tc>
      </w:tr>
      <w:tr>
        <w:trPr/>
        <w:tc>
          <w:tcPr>
            <w:tcW w:w="362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Plan Category</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 securities</w:t>
            </w:r>
          </w:p>
          <w:p>
            <w:pPr>
              <w:pStyle w:val="TableContents"/>
              <w:bidi w:val="0"/>
              <w:spacing w:before="0" w:after="0"/>
              <w:jc w:val="center"/>
              <w:rPr>
                <w:color w:val="000000"/>
              </w:rPr>
            </w:pPr>
            <w:r>
              <w:rPr>
                <w:color w:val="000000"/>
              </w:rPr>
              <w:t> </w:t>
            </w:r>
            <w:r>
              <w:rPr>
                <w:rFonts w:ascii="Times New Roman" w:hAnsi="Times New Roman"/>
                <w:b/>
                <w:color w:val="000000"/>
                <w:sz w:val="20"/>
              </w:rPr>
              <w:t>to be issued upon exercise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outstanding options,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warrants and rights</w:t>
            </w:r>
          </w:p>
        </w:tc>
        <w:tc>
          <w:tcPr>
            <w:tcW w:w="2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Weighted-average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exercise price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outstanding options,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warrants and rights (3)</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 securities remaining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available for future issuance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under equity compensation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plans (excluding securities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reflected in column (a) (4)</w:t>
            </w:r>
          </w:p>
        </w:tc>
        <w:tc>
          <w:tcPr>
            <w:tcW w:w="123" w:type="dxa"/>
            <w:tcBorders/>
            <w:vAlign w:val="bottom"/>
          </w:tcPr>
          <w:p>
            <w:pPr>
              <w:pStyle w:val="TableContents"/>
              <w:bidi w:val="0"/>
              <w:spacing w:before="0" w:after="283"/>
              <w:jc w:val="left"/>
              <w:rPr/>
            </w:pPr>
            <w:r>
              <w:rPr/>
              <w:t> </w:t>
            </w:r>
          </w:p>
        </w:tc>
      </w:tr>
      <w:tr>
        <w:trPr/>
        <w:tc>
          <w:tcPr>
            <w:tcW w:w="362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2004 Equity compensation plan approved by security holders</w:t>
            </w:r>
          </w:p>
        </w:tc>
        <w:tc>
          <w:tcPr>
            <w:tcW w:w="9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1,069,024</w:t>
            </w:r>
          </w:p>
        </w:tc>
        <w:tc>
          <w:tcPr>
            <w:tcW w:w="281"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(1) </w:t>
            </w:r>
          </w:p>
        </w:tc>
        <w:tc>
          <w:tcPr>
            <w:tcW w:w="9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62" w:type="dxa"/>
            <w:tcBorders/>
            <w:shd w:fill="CCEEFF" w:val="clear"/>
            <w:vAlign w:val="bottom"/>
          </w:tcPr>
          <w:p>
            <w:pPr>
              <w:pStyle w:val="TableContents"/>
              <w:bidi w:val="0"/>
              <w:spacing w:before="0" w:after="0"/>
              <w:jc w:val="right"/>
              <w:rPr>
                <w:color w:val="000000"/>
              </w:rPr>
            </w:pPr>
            <w:r>
              <w:rPr>
                <w:color w:val="000000"/>
              </w:rPr>
              <w:t>—</w:t>
            </w:r>
          </w:p>
        </w:tc>
        <w:tc>
          <w:tcPr>
            <w:tcW w:w="123" w:type="dxa"/>
            <w:tcBorders/>
            <w:shd w:fill="CCEEFF" w:val="clear"/>
            <w:vAlign w:val="bottom"/>
          </w:tcPr>
          <w:p>
            <w:pPr>
              <w:pStyle w:val="TableContents"/>
              <w:bidi w:val="0"/>
              <w:spacing w:before="0" w:after="283"/>
              <w:jc w:val="left"/>
              <w:rPr/>
            </w:pPr>
            <w:r>
              <w:rPr/>
              <w:t> </w:t>
            </w:r>
          </w:p>
        </w:tc>
      </w:tr>
      <w:tr>
        <w:trPr/>
        <w:tc>
          <w:tcPr>
            <w:tcW w:w="362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2020 Equity compensation plan approved by security holders</w:t>
            </w:r>
          </w:p>
        </w:tc>
        <w:tc>
          <w:tcPr>
            <w:tcW w:w="9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4,843,386</w:t>
            </w:r>
          </w:p>
        </w:tc>
        <w:tc>
          <w:tcPr>
            <w:tcW w:w="281"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(2) </w:t>
            </w:r>
          </w:p>
        </w:tc>
        <w:tc>
          <w:tcPr>
            <w:tcW w:w="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2,610,868</w:t>
            </w:r>
          </w:p>
        </w:tc>
        <w:tc>
          <w:tcPr>
            <w:tcW w:w="123" w:type="dxa"/>
            <w:tcBorders/>
            <w:vAlign w:val="bottom"/>
          </w:tcPr>
          <w:p>
            <w:pPr>
              <w:pStyle w:val="TableContents"/>
              <w:bidi w:val="0"/>
              <w:spacing w:before="0" w:after="283"/>
              <w:jc w:val="left"/>
              <w:rPr/>
            </w:pPr>
            <w:r>
              <w:rPr/>
              <w:t> </w:t>
            </w:r>
          </w:p>
        </w:tc>
      </w:tr>
      <w:tr>
        <w:trPr/>
        <w:tc>
          <w:tcPr>
            <w:tcW w:w="362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62"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r>
      <w:tr>
        <w:trPr/>
        <w:tc>
          <w:tcPr>
            <w:tcW w:w="362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9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5,912,410</w:t>
            </w:r>
          </w:p>
        </w:tc>
        <w:tc>
          <w:tcPr>
            <w:tcW w:w="2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2,610,868</w:t>
            </w:r>
          </w:p>
        </w:tc>
        <w:tc>
          <w:tcPr>
            <w:tcW w:w="12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1" w:name="zcdbe28cf57aa46bea85dc3c898f1b481"/>
      <w:bookmarkStart w:id="292" w:name="zcdbe28cf57aa46bea85dc3c898f1b481"/>
      <w:bookmarkEnd w:id="292"/>
    </w:p>
    <w:tbl>
      <w:tblPr>
        <w:tblW w:w="7360" w:type="dxa"/>
        <w:jc w:val="left"/>
        <w:tblInd w:w="0" w:type="dxa"/>
        <w:tblLayout w:type="fixed"/>
        <w:tblCellMar>
          <w:top w:w="0" w:type="dxa"/>
          <w:left w:w="0" w:type="dxa"/>
          <w:bottom w:w="0" w:type="dxa"/>
          <w:right w:w="0" w:type="dxa"/>
        </w:tblCellMar>
      </w:tblPr>
      <w:tblGrid>
        <w:gridCol w:w="290"/>
        <w:gridCol w:w="707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(i) 1,069,024 stock options with a weighted-average exercise price of $15.62.</w:t>
            </w:r>
          </w:p>
        </w:tc>
      </w:tr>
    </w:tbl>
    <w:p>
      <w:pPr>
        <w:pStyle w:val="Normal"/>
        <w:bidi w:val="0"/>
        <w:spacing w:before="0" w:after="0"/>
        <w:jc w:val="left"/>
        <w:rPr>
          <w:sz w:val="4"/>
          <w:szCs w:val="4"/>
        </w:rPr>
      </w:pPr>
      <w:r>
        <w:rPr>
          <w:sz w:val="4"/>
          <w:szCs w:val="4"/>
        </w:rPr>
      </w:r>
      <w:bookmarkStart w:id="293" w:name="zc5fe07f3624f4e9d93f3e5c0cd933b78"/>
      <w:bookmarkStart w:id="294" w:name="zc5fe07f3624f4e9d93f3e5c0cd933b78"/>
      <w:bookmarkEnd w:id="294"/>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(i) 1,435,596 stock options with a weighted-average exercise price of $13.26, (ii) 1,947,894 restricted stock units and (iii) 1,459,896 performance share units.</w:t>
            </w:r>
          </w:p>
        </w:tc>
      </w:tr>
    </w:tbl>
    <w:p>
      <w:pPr>
        <w:pStyle w:val="Normal"/>
        <w:bidi w:val="0"/>
        <w:spacing w:before="0" w:after="0"/>
        <w:jc w:val="left"/>
        <w:rPr>
          <w:sz w:val="4"/>
          <w:szCs w:val="4"/>
        </w:rPr>
      </w:pPr>
      <w:r>
        <w:rPr>
          <w:sz w:val="4"/>
          <w:szCs w:val="4"/>
        </w:rPr>
      </w:r>
      <w:bookmarkStart w:id="295" w:name="zd32722fadc534b7e850185f4a431718a"/>
      <w:bookmarkStart w:id="296" w:name="zd32722fadc534b7e850185f4a431718a"/>
      <w:bookmarkEnd w:id="296"/>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Because there is no exercise price associated with restricted stock units and performance share units, such equity awards are not included in the calculation of the weighted-average exercise price shown here.</w:t>
            </w:r>
          </w:p>
        </w:tc>
      </w:tr>
    </w:tbl>
    <w:p>
      <w:pPr>
        <w:pStyle w:val="Normal"/>
        <w:bidi w:val="0"/>
        <w:spacing w:before="0" w:after="0"/>
        <w:jc w:val="left"/>
        <w:rPr>
          <w:sz w:val="4"/>
          <w:szCs w:val="4"/>
        </w:rPr>
      </w:pPr>
      <w:r>
        <w:rPr>
          <w:sz w:val="4"/>
          <w:szCs w:val="4"/>
        </w:rPr>
      </w:r>
      <w:bookmarkStart w:id="297" w:name="z3d7afe178b6844ffad381fbb0bf49e04"/>
      <w:bookmarkStart w:id="298" w:name="z3d7afe178b6844ffad381fbb0bf49e04"/>
      <w:bookmarkEnd w:id="298"/>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Reflects the number of securities remaining available for future issuance under the AngioDynamics, Inc. 2020 Equity Incentive Plan.</w:t>
            </w:r>
          </w:p>
        </w:tc>
      </w:tr>
    </w:tbl>
    <w:p>
      <w:pPr>
        <w:pStyle w:val="TextBody"/>
        <w:bidi w:val="0"/>
        <w:spacing w:before="0" w:after="18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44</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99" w:name="zaf09461e9d8846f292c9c2352a377746"/>
      <w:bookmarkStart w:id="300" w:name="Item13."/>
      <w:bookmarkStart w:id="301" w:name="zaf09461e9d8846f292c9c2352a377746"/>
      <w:bookmarkStart w:id="302" w:name="Item13."/>
      <w:bookmarkEnd w:id="301"/>
      <w:bookmarkEnd w:id="302"/>
    </w:p>
    <w:tbl>
      <w:tblPr>
        <w:tblW w:w="7225" w:type="dxa"/>
        <w:jc w:val="left"/>
        <w:tblInd w:w="0" w:type="dxa"/>
        <w:tblLayout w:type="fixed"/>
        <w:tblCellMar>
          <w:top w:w="0" w:type="dxa"/>
          <w:left w:w="0" w:type="dxa"/>
          <w:bottom w:w="0" w:type="dxa"/>
          <w:right w:w="0" w:type="dxa"/>
        </w:tblCellMar>
      </w:tblPr>
      <w:tblGrid>
        <w:gridCol w:w="755"/>
        <w:gridCol w:w="6470"/>
      </w:tblGrid>
      <w:tr>
        <w:trPr/>
        <w:tc>
          <w:tcPr>
            <w:tcW w:w="755"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13.</w:t>
            </w:r>
          </w:p>
        </w:tc>
        <w:tc>
          <w:tcPr>
            <w:tcW w:w="6470" w:type="dxa"/>
            <w:tcBorders/>
            <w:vAlign w:val="center"/>
          </w:tcPr>
          <w:p>
            <w:pPr>
              <w:pStyle w:val="TableContents"/>
              <w:bidi w:val="0"/>
              <w:spacing w:before="0" w:after="0"/>
              <w:ind w:left="720" w:right="0" w:hanging="720"/>
              <w:jc w:val="left"/>
              <w:rPr>
                <w:rFonts w:ascii="Times New Roman" w:hAnsi="Times New Roman"/>
                <w:b/>
                <w:i/>
                <w:color w:val="000000"/>
                <w:sz w:val="20"/>
              </w:rPr>
            </w:pPr>
            <w:r>
              <w:rPr>
                <w:rFonts w:ascii="Times New Roman" w:hAnsi="Times New Roman"/>
                <w:b/>
                <w:i/>
                <w:color w:val="000000"/>
                <w:sz w:val="20"/>
              </w:rPr>
              <w:t>Certain Relationships and Related Transactions, and Director Independence.</w:t>
            </w:r>
          </w:p>
        </w:tc>
      </w:tr>
    </w:tbl>
    <w:p>
      <w:pPr>
        <w:pStyle w:val="TextBody"/>
        <w:bidi w:val="0"/>
        <w:spacing w:before="0" w:after="0"/>
        <w:jc w:val="left"/>
        <w:rPr>
          <w:rFonts w:ascii="Times New Roman" w:hAnsi="Times New Roman"/>
          <w:b/>
        </w:rPr>
      </w:pPr>
      <w:r>
        <w:rPr>
          <w:rFonts w:ascii="Times New Roman" w:hAnsi="Times New Roman"/>
          <w:b/>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Related Party Transactions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There were no related party transactions pursuant to Item 404 of Regulation S-K during our fiscal year ended May 31,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Policy on Related Party Transactions</w:t>
      </w:r>
    </w:p>
    <w:p>
      <w:pPr>
        <w:pStyle w:val="TextBody"/>
        <w:bidi w:val="0"/>
        <w:spacing w:before="0" w:after="0"/>
        <w:jc w:val="left"/>
        <w:rPr/>
      </w:pPr>
      <w:r>
        <w:rPr/>
      </w:r>
    </w:p>
    <w:p>
      <w:pPr>
        <w:pStyle w:val="TextBody"/>
        <w:bidi w:val="0"/>
        <w:spacing w:before="0" w:after="0"/>
        <w:ind w:left="0" w:right="0" w:firstLine="432"/>
        <w:jc w:val="left"/>
        <w:rPr>
          <w:rFonts w:ascii="Times New Roman" w:hAnsi="Times New Roman"/>
          <w:color w:val="000000"/>
          <w:sz w:val="20"/>
          <w:shd w:fill="FFFFFF" w:val="clear"/>
        </w:rPr>
      </w:pPr>
      <w:r>
        <w:rPr>
          <w:rFonts w:ascii="Times New Roman" w:hAnsi="Times New Roman"/>
          <w:color w:val="000000"/>
          <w:sz w:val="20"/>
          <w:shd w:fill="FFFFFF" w:val="clear"/>
        </w:rPr>
        <w:t>On July 27, 2007, the Board of Directors approved a Related Person Transaction Policy. The policy defines “Related Person Transaction” as certain transactions, arrangements or relationships in which the Company participates, the amount exceeds $50,000 and certain related persons have a material interest. Under the policy, any potential Related Person Transaction, including for example the purchase of goods or services, guarantees of indebtedness or employment, must be pre-approved by the Audit Committee unless circumstances make pre-approval impracticable. In the latter case, management is allowed to enter into the transaction, but the transaction remains subject to ratification by the Audit Committee at a subsequent Audit Committee meeting. In determining whether to approve or ratify a Related Person Transaction, the Audit Committee will take into account a number of factors, including the related person’s interest and approximate dollar amount of the transaction, as well as, whether the transaction occurred in the ordinary course of business or through a competitive bid process. On an annual basis, the Audit Committee will review and assess ongoing Related Person Transactions to determine whether the relationships remain appropriate.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Director Independence</w:t>
      </w:r>
    </w:p>
    <w:p>
      <w:pPr>
        <w:pStyle w:val="TextBody"/>
        <w:bidi w:val="0"/>
        <w:spacing w:before="0" w:after="0"/>
        <w:jc w:val="left"/>
        <w:rPr/>
      </w:pPr>
      <w:r>
        <w:rPr/>
      </w:r>
    </w:p>
    <w:p>
      <w:pPr>
        <w:pStyle w:val="TextBody"/>
        <w:bidi w:val="0"/>
        <w:spacing w:before="0" w:after="0"/>
        <w:ind w:left="0" w:right="0" w:firstLine="432"/>
        <w:jc w:val="left"/>
        <w:rPr>
          <w:rFonts w:ascii="Times New Roman" w:hAnsi="Times New Roman"/>
          <w:color w:val="000000"/>
          <w:sz w:val="20"/>
          <w:shd w:fill="FFFFFF" w:val="clear"/>
        </w:rPr>
      </w:pPr>
      <w:r>
        <w:rPr>
          <w:rFonts w:ascii="Times New Roman" w:hAnsi="Times New Roman"/>
          <w:color w:val="000000"/>
          <w:sz w:val="20"/>
          <w:shd w:fill="FFFFFF" w:val="clear"/>
        </w:rPr>
        <w:t>The listing standards of Nasdaq require that a majority of a listed company’s directors qualify as independent.  Our Board of Directors has determined that seven of our eight directors - Mses. Auen, Burgess, Licitra and Reed, and Messrs. Donnelly, Johnson and Tarnoff - are independent under the Nasdaq listing standards.  Under the Nasdaq listing standards, an “independent director” is a director who is not an officer or employee of AngioDynamics or any subsidiary and who does not have any relationship that the Board of Directors believes would interfere with the exercise of independent judgment in carrying out the responsibilities of a director.  Our Board of Directors reviews the relationships that each director has with our Company, including relationships with the Company and any family member of each such director, on an annual basis and only those directors having no direct or indirect material relationship with our Company and who qualify as independent under the Nasdaq listing standards will be considered independent directors of AngioDynamics.</w:t>
      </w:r>
    </w:p>
    <w:p>
      <w:pPr>
        <w:pStyle w:val="TextBody"/>
        <w:bidi w:val="0"/>
        <w:spacing w:before="0" w:after="0"/>
        <w:ind w:left="0" w:right="0" w:firstLine="432"/>
        <w:jc w:val="left"/>
        <w:rPr>
          <w:rFonts w:ascii="Times New Roman" w:hAnsi="Times New Roman"/>
        </w:rPr>
      </w:pPr>
      <w:r>
        <w:rPr>
          <w:rFonts w:ascii="Times New Roman" w:hAnsi="Times New Roman"/>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45</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03" w:name="z816e486c36e04446a5d17af0cd1f7181"/>
      <w:bookmarkStart w:id="304" w:name="Item14."/>
      <w:bookmarkStart w:id="305" w:name="z816e486c36e04446a5d17af0cd1f7181"/>
      <w:bookmarkStart w:id="306" w:name="Item14."/>
      <w:bookmarkEnd w:id="305"/>
      <w:bookmarkEnd w:id="306"/>
    </w:p>
    <w:tbl>
      <w:tblPr>
        <w:tblW w:w="4195" w:type="dxa"/>
        <w:jc w:val="left"/>
        <w:tblInd w:w="0" w:type="dxa"/>
        <w:tblLayout w:type="fixed"/>
        <w:tblCellMar>
          <w:top w:w="0" w:type="dxa"/>
          <w:left w:w="0" w:type="dxa"/>
          <w:bottom w:w="0" w:type="dxa"/>
          <w:right w:w="0" w:type="dxa"/>
        </w:tblCellMar>
      </w:tblPr>
      <w:tblGrid>
        <w:gridCol w:w="755"/>
        <w:gridCol w:w="3440"/>
      </w:tblGrid>
      <w:tr>
        <w:trPr/>
        <w:tc>
          <w:tcPr>
            <w:tcW w:w="755"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14.</w:t>
            </w:r>
          </w:p>
        </w:tc>
        <w:tc>
          <w:tcPr>
            <w:tcW w:w="3440" w:type="dxa"/>
            <w:tcBorders/>
            <w:vAlign w:val="center"/>
          </w:tcPr>
          <w:p>
            <w:pPr>
              <w:pStyle w:val="TableContents"/>
              <w:bidi w:val="0"/>
              <w:spacing w:before="0" w:after="0"/>
              <w:ind w:left="720" w:right="0" w:hanging="720"/>
              <w:jc w:val="left"/>
              <w:rPr>
                <w:rFonts w:ascii="Times New Roman" w:hAnsi="Times New Roman"/>
                <w:b/>
                <w:i/>
                <w:color w:val="000000"/>
                <w:sz w:val="20"/>
              </w:rPr>
            </w:pPr>
            <w:r>
              <w:rPr>
                <w:rFonts w:ascii="Times New Roman" w:hAnsi="Times New Roman"/>
                <w:b/>
                <w:i/>
                <w:color w:val="000000"/>
                <w:sz w:val="20"/>
              </w:rPr>
              <w:t>Principal Accounting Fees and Services.</w:t>
            </w:r>
          </w:p>
        </w:tc>
      </w:tr>
    </w:tbl>
    <w:p>
      <w:pPr>
        <w:pStyle w:val="TextBody"/>
        <w:bidi w:val="0"/>
        <w:spacing w:before="0" w:after="18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Principal Accounting Fees and Services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fees for professional audit services rendered by Deloitte &amp; Touche LLP for the audit of our financial statements for the fiscal years ended May 31, 2026 and May 31, 2025, for inclusion in our Annual Reports on Form 10-K, reviews of quarterly financial statements, and fees incurred and paid in those periods for other services rendered by Deloitte &amp; Touche LLP, in thousands:</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307" w:name="z049a832037d14b5a8faefca5f5d0a9e4"/>
      <w:bookmarkStart w:id="308" w:name="z049a832037d14b5a8faefca5f5d0a9e4"/>
      <w:bookmarkEnd w:id="308"/>
    </w:p>
    <w:tbl>
      <w:tblPr>
        <w:tblW w:w="5440" w:type="dxa"/>
        <w:jc w:val="left"/>
        <w:tblInd w:w="0" w:type="dxa"/>
        <w:tblLayout w:type="fixed"/>
        <w:tblCellMar>
          <w:top w:w="0" w:type="dxa"/>
          <w:left w:w="0" w:type="dxa"/>
          <w:bottom w:w="0" w:type="dxa"/>
          <w:right w:w="0" w:type="dxa"/>
        </w:tblCellMar>
      </w:tblPr>
      <w:tblGrid>
        <w:gridCol w:w="3710"/>
        <w:gridCol w:w="90"/>
        <w:gridCol w:w="155"/>
        <w:gridCol w:w="515"/>
        <w:gridCol w:w="90"/>
        <w:gridCol w:w="90"/>
        <w:gridCol w:w="155"/>
        <w:gridCol w:w="515"/>
        <w:gridCol w:w="120"/>
      </w:tblGrid>
      <w:tr>
        <w:trPr/>
        <w:tc>
          <w:tcPr>
            <w:tcW w:w="371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2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Audit Fees - Deloitte &amp; Touche LLP</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1,372</w:t>
            </w:r>
          </w:p>
        </w:tc>
        <w:tc>
          <w:tcPr>
            <w:tcW w:w="120"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Audit-Related Fees – Deloitte &amp; Touche LLP</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w:t>
            </w:r>
          </w:p>
        </w:tc>
        <w:tc>
          <w:tcPr>
            <w:tcW w:w="12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Tax Fees - Deloitte &amp; Touche LLP</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w:t>
            </w:r>
          </w:p>
        </w:tc>
        <w:tc>
          <w:tcPr>
            <w:tcW w:w="120"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All Other Fees - Deloitte &amp; Touche LLP</w:t>
            </w:r>
          </w:p>
        </w:tc>
        <w:tc>
          <w:tcPr>
            <w:tcW w:w="9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5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5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2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firstLine="495"/>
        <w:jc w:val="left"/>
        <w:rPr>
          <w:rFonts w:ascii="Times New Roman" w:hAnsi="Times New Roman"/>
        </w:rPr>
      </w:pPr>
      <w:r>
        <w:rPr>
          <w:rFonts w:ascii="Times New Roman" w:hAnsi="Times New Roman"/>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All fees shown in the table were related to services that were approved by the Audit Committee.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Policy on Audit Committee Pre-Approval of Audit and Permissible Non-Audit Services of Independent Registered Public Accounting Firm</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Consistent with SEC policies regarding auditor independence, the Audit Committee has responsibility for appointing, setting compensation and overseeing the work of the independent registered public accounting firm.</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 recognition of this responsibility, the Audit Committee has established a policy to pre-approve all audit and permissible non-audit services provided by the independent registered public accounting firm.</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Prior to engagement of the independent registered public accounting firm for the next year’s audit, management submits a list of services and related fees expected to be rendered during that year within each of four categories of services to the Audit Committee for approval.</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309" w:name="z45e6bef76c474ae990b8f5f21e54e60a"/>
      <w:bookmarkStart w:id="310" w:name="z45e6bef76c474ae990b8f5f21e54e60a"/>
      <w:bookmarkEnd w:id="310"/>
    </w:p>
    <w:tbl>
      <w:tblPr>
        <w:tblW w:w="10205" w:type="dxa"/>
        <w:jc w:val="left"/>
        <w:tblInd w:w="0" w:type="dxa"/>
        <w:tblLayout w:type="fixed"/>
        <w:tblCellMar>
          <w:top w:w="0" w:type="dxa"/>
          <w:left w:w="0" w:type="dxa"/>
          <w:bottom w:w="0" w:type="dxa"/>
          <w:right w:w="0" w:type="dxa"/>
        </w:tblCellMar>
      </w:tblPr>
      <w:tblGrid>
        <w:gridCol w:w="68"/>
        <w:gridCol w:w="168"/>
        <w:gridCol w:w="9969"/>
      </w:tblGrid>
      <w:tr>
        <w:trPr/>
        <w:tc>
          <w:tcPr>
            <w:tcW w:w="68"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69"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b/>
                <w:i/>
                <w:sz w:val="20"/>
              </w:rPr>
              <w:t>Audit</w:t>
            </w:r>
            <w:r>
              <w:rPr>
                <w:rFonts w:ascii="Times New Roman;serif" w:hAnsi="Times New Roman;serif"/>
                <w:sz w:val="20"/>
              </w:rPr>
              <w:t xml:space="preserve"> </w:t>
            </w:r>
            <w:r>
              <w:rPr>
                <w:rFonts w:ascii="Times New Roman" w:hAnsi="Times New Roman"/>
                <w:sz w:val="20"/>
              </w:rPr>
              <w:t>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tc>
      </w:tr>
    </w:tbl>
    <w:p>
      <w:pPr>
        <w:pStyle w:val="Normal"/>
        <w:bidi w:val="0"/>
        <w:spacing w:before="0" w:after="0"/>
        <w:jc w:val="left"/>
        <w:rPr>
          <w:sz w:val="4"/>
          <w:szCs w:val="4"/>
        </w:rPr>
      </w:pPr>
      <w:r>
        <w:rPr>
          <w:sz w:val="4"/>
          <w:szCs w:val="4"/>
        </w:rPr>
      </w:r>
      <w:bookmarkStart w:id="311" w:name="zcfec6cb0a1c44636be5ef481a46a8f3b"/>
      <w:bookmarkStart w:id="312" w:name="zcfec6cb0a1c44636be5ef481a46a8f3b"/>
      <w:bookmarkEnd w:id="312"/>
    </w:p>
    <w:tbl>
      <w:tblPr>
        <w:tblW w:w="10205" w:type="dxa"/>
        <w:jc w:val="left"/>
        <w:tblInd w:w="0" w:type="dxa"/>
        <w:tblLayout w:type="fixed"/>
        <w:tblCellMar>
          <w:top w:w="0" w:type="dxa"/>
          <w:left w:w="0" w:type="dxa"/>
          <w:bottom w:w="0" w:type="dxa"/>
          <w:right w:w="0" w:type="dxa"/>
        </w:tblCellMar>
      </w:tblPr>
      <w:tblGrid>
        <w:gridCol w:w="68"/>
        <w:gridCol w:w="173"/>
        <w:gridCol w:w="9964"/>
      </w:tblGrid>
      <w:tr>
        <w:trPr/>
        <w:tc>
          <w:tcPr>
            <w:tcW w:w="68" w:type="dxa"/>
            <w:tcBorders/>
            <w:vAlign w:val="center"/>
          </w:tcPr>
          <w:p>
            <w:pPr>
              <w:pStyle w:val="TableContents"/>
              <w:bidi w:val="0"/>
              <w:spacing w:before="0" w:after="283"/>
              <w:jc w:val="left"/>
              <w:rPr/>
            </w:pPr>
            <w:r>
              <w:rPr/>
            </w:r>
          </w:p>
        </w:tc>
        <w:tc>
          <w:tcPr>
            <w:tcW w:w="1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64"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b/>
                <w:i/>
                <w:sz w:val="20"/>
              </w:rPr>
              <w:t>Audit-Related</w:t>
            </w:r>
            <w:r>
              <w:rPr>
                <w:rFonts w:ascii="Times New Roman;serif" w:hAnsi="Times New Roman;serif"/>
                <w:sz w:val="20"/>
              </w:rPr>
              <w:t xml:space="preserve"> </w:t>
            </w:r>
            <w:r>
              <w:rPr>
                <w:rFonts w:ascii="Times New Roman" w:hAnsi="Times New Roman"/>
                <w:sz w:val="20"/>
              </w:rPr>
              <w:t>services are for assurance and related services that are traditionally performed by the independent registered public accounting firm, including due diligence related to mergers and acquisitions and special procedures required to meet certain regulatory requirements.</w:t>
            </w:r>
          </w:p>
        </w:tc>
      </w:tr>
    </w:tbl>
    <w:p>
      <w:pPr>
        <w:pStyle w:val="Normal"/>
        <w:bidi w:val="0"/>
        <w:spacing w:before="0" w:after="0"/>
        <w:jc w:val="left"/>
        <w:rPr>
          <w:sz w:val="4"/>
          <w:szCs w:val="4"/>
        </w:rPr>
      </w:pPr>
      <w:r>
        <w:rPr>
          <w:sz w:val="4"/>
          <w:szCs w:val="4"/>
        </w:rPr>
      </w:r>
      <w:bookmarkStart w:id="313" w:name="z660fc67dbc684237950ea4f4ea7d4878"/>
      <w:bookmarkStart w:id="314" w:name="z660fc67dbc684237950ea4f4ea7d4878"/>
      <w:bookmarkEnd w:id="314"/>
    </w:p>
    <w:tbl>
      <w:tblPr>
        <w:tblW w:w="10205" w:type="dxa"/>
        <w:jc w:val="left"/>
        <w:tblInd w:w="0" w:type="dxa"/>
        <w:tblLayout w:type="fixed"/>
        <w:tblCellMar>
          <w:top w:w="0" w:type="dxa"/>
          <w:left w:w="0" w:type="dxa"/>
          <w:bottom w:w="0" w:type="dxa"/>
          <w:right w:w="0" w:type="dxa"/>
        </w:tblCellMar>
      </w:tblPr>
      <w:tblGrid>
        <w:gridCol w:w="68"/>
        <w:gridCol w:w="167"/>
        <w:gridCol w:w="9970"/>
      </w:tblGrid>
      <w:tr>
        <w:trPr/>
        <w:tc>
          <w:tcPr>
            <w:tcW w:w="68" w:type="dxa"/>
            <w:tcBorders/>
            <w:vAlign w:val="center"/>
          </w:tcPr>
          <w:p>
            <w:pPr>
              <w:pStyle w:val="TableContents"/>
              <w:bidi w:val="0"/>
              <w:spacing w:before="0" w:after="283"/>
              <w:jc w:val="left"/>
              <w:rPr/>
            </w:pPr>
            <w:r>
              <w:rPr/>
            </w:r>
          </w:p>
        </w:tc>
        <w:tc>
          <w:tcPr>
            <w:tcW w:w="1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70"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b/>
                <w:i/>
                <w:sz w:val="20"/>
              </w:rPr>
              <w:t>Tax</w:t>
            </w:r>
            <w:r>
              <w:rPr>
                <w:rFonts w:ascii="Times New Roman;serif" w:hAnsi="Times New Roman;serif"/>
                <w:sz w:val="20"/>
              </w:rPr>
              <w:t xml:space="preserve"> </w:t>
            </w:r>
            <w:r>
              <w:rPr>
                <w:rFonts w:ascii="Times New Roman" w:hAnsi="Times New Roman"/>
                <w:sz w:val="20"/>
              </w:rPr>
              <w:t>services include all services, except those services specifically related to the audit of the financial statements, performed by the independent registered public accounting firm’s tax personnel, including tax analysis, assisting with coordination of execution of tax related activities, primarily in the area of corporate tax planning, supporting other tax-related regulatory requirements and tax compliance and reporting.</w:t>
            </w:r>
          </w:p>
        </w:tc>
      </w:tr>
    </w:tbl>
    <w:p>
      <w:pPr>
        <w:pStyle w:val="Normal"/>
        <w:bidi w:val="0"/>
        <w:spacing w:before="0" w:after="0"/>
        <w:jc w:val="left"/>
        <w:rPr>
          <w:sz w:val="4"/>
          <w:szCs w:val="4"/>
        </w:rPr>
      </w:pPr>
      <w:r>
        <w:rPr>
          <w:sz w:val="4"/>
          <w:szCs w:val="4"/>
        </w:rPr>
      </w:r>
      <w:bookmarkStart w:id="315" w:name="za373fc1f0efb48c4801c8c81cafa3aa6"/>
      <w:bookmarkStart w:id="316" w:name="za373fc1f0efb48c4801c8c81cafa3aa6"/>
      <w:bookmarkEnd w:id="316"/>
    </w:p>
    <w:tbl>
      <w:tblPr>
        <w:tblW w:w="10205" w:type="dxa"/>
        <w:jc w:val="left"/>
        <w:tblInd w:w="0" w:type="dxa"/>
        <w:tblLayout w:type="fixed"/>
        <w:tblCellMar>
          <w:top w:w="0" w:type="dxa"/>
          <w:left w:w="0" w:type="dxa"/>
          <w:bottom w:w="0" w:type="dxa"/>
          <w:right w:w="0" w:type="dxa"/>
        </w:tblCellMar>
      </w:tblPr>
      <w:tblGrid>
        <w:gridCol w:w="68"/>
        <w:gridCol w:w="183"/>
        <w:gridCol w:w="9954"/>
      </w:tblGrid>
      <w:tr>
        <w:trPr/>
        <w:tc>
          <w:tcPr>
            <w:tcW w:w="68"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54"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b/>
                <w:i/>
                <w:sz w:val="20"/>
              </w:rPr>
              <w:t>All Other Fees</w:t>
            </w:r>
            <w:r>
              <w:rPr>
                <w:rFonts w:ascii="Times New Roman;serif" w:hAnsi="Times New Roman;serif"/>
                <w:sz w:val="20"/>
              </w:rPr>
              <w:t xml:space="preserve"> </w:t>
            </w:r>
            <w:r>
              <w:rPr>
                <w:rFonts w:ascii="Times New Roman" w:hAnsi="Times New Roman"/>
                <w:sz w:val="20"/>
              </w:rPr>
              <w:t>are those associated with services not captured in the other categories. We generally do not request such services from the independent registered public accounting firm.</w:t>
            </w:r>
          </w:p>
        </w:tc>
      </w:tr>
    </w:tbl>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Prior to engagement, the Audit Committee pre-approves the independent registered public accounting firm services within each category. The fees are budgeted in the Company’s annual operating budget.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46</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47</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7" w:name="z2a6210f01d0e40ceabe02f28f657e084"/>
      <w:bookmarkStart w:id="318" w:name="Item15."/>
      <w:bookmarkStart w:id="319" w:name="z2a6210f01d0e40ceabe02f28f657e084"/>
      <w:bookmarkStart w:id="320" w:name="Item15."/>
      <w:bookmarkEnd w:id="319"/>
      <w:bookmarkEnd w:id="320"/>
    </w:p>
    <w:tbl>
      <w:tblPr>
        <w:tblW w:w="4255" w:type="dxa"/>
        <w:jc w:val="left"/>
        <w:tblInd w:w="0" w:type="dxa"/>
        <w:tblLayout w:type="fixed"/>
        <w:tblCellMar>
          <w:top w:w="0" w:type="dxa"/>
          <w:left w:w="0" w:type="dxa"/>
          <w:bottom w:w="0" w:type="dxa"/>
          <w:right w:w="0" w:type="dxa"/>
        </w:tblCellMar>
      </w:tblPr>
      <w:tblGrid>
        <w:gridCol w:w="755"/>
        <w:gridCol w:w="3500"/>
      </w:tblGrid>
      <w:tr>
        <w:trPr/>
        <w:tc>
          <w:tcPr>
            <w:tcW w:w="755"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15.</w:t>
            </w:r>
          </w:p>
        </w:tc>
        <w:tc>
          <w:tcPr>
            <w:tcW w:w="3500" w:type="dxa"/>
            <w:tcBorders/>
            <w:vAlign w:val="center"/>
          </w:tcPr>
          <w:p>
            <w:pPr>
              <w:pStyle w:val="TableContents"/>
              <w:bidi w:val="0"/>
              <w:spacing w:before="0" w:after="0"/>
              <w:ind w:left="720" w:right="0" w:hanging="720"/>
              <w:jc w:val="left"/>
              <w:rPr>
                <w:rFonts w:ascii="Times New Roman" w:hAnsi="Times New Roman"/>
                <w:b/>
                <w:i/>
                <w:color w:val="000000"/>
                <w:sz w:val="20"/>
              </w:rPr>
            </w:pPr>
            <w:r>
              <w:rPr>
                <w:rFonts w:ascii="Times New Roman" w:hAnsi="Times New Roman"/>
                <w:b/>
                <w:i/>
                <w:color w:val="000000"/>
                <w:sz w:val="20"/>
              </w:rPr>
              <w:t>Exhibits, Financial Statement Schedules.</w:t>
            </w:r>
          </w:p>
        </w:tc>
      </w:tr>
    </w:tbl>
    <w:p>
      <w:pPr>
        <w:pStyle w:val="TextBody"/>
        <w:bidi w:val="0"/>
        <w:spacing w:before="0" w:after="0"/>
        <w:jc w:val="left"/>
        <w:rPr/>
      </w:pPr>
      <w:r>
        <w:rPr/>
      </w:r>
    </w:p>
    <w:p>
      <w:pPr>
        <w:pStyle w:val="TextBody"/>
        <w:bidi w:val="0"/>
        <w:spacing w:before="0" w:after="0"/>
        <w:ind w:left="0" w:right="0" w:firstLine="288"/>
        <w:jc w:val="left"/>
        <w:rPr>
          <w:rFonts w:ascii="Times New Roman" w:hAnsi="Times New Roman"/>
          <w:color w:val="000000"/>
          <w:sz w:val="20"/>
          <w:shd w:fill="FFFFFF" w:val="clear"/>
        </w:rPr>
      </w:pPr>
      <w:r>
        <w:rPr>
          <w:rFonts w:ascii="Times New Roman" w:hAnsi="Times New Roman"/>
          <w:color w:val="000000"/>
          <w:sz w:val="20"/>
          <w:shd w:fill="FFFFFF" w:val="clear"/>
        </w:rPr>
        <w:t>This Amendment to the Original Form 10-K is being filed solely to include the information required by Part III of Form 10-K.</w:t>
      </w:r>
    </w:p>
    <w:p>
      <w:pPr>
        <w:pStyle w:val="TextBody"/>
        <w:bidi w:val="0"/>
        <w:spacing w:before="0" w:after="0"/>
        <w:jc w:val="left"/>
        <w:rPr/>
      </w:pPr>
      <w:r>
        <w:rPr/>
      </w:r>
    </w:p>
    <w:p>
      <w:pPr>
        <w:pStyle w:val="TextBody"/>
        <w:bidi w:val="0"/>
        <w:spacing w:before="0" w:after="180"/>
        <w:jc w:val="left"/>
        <w:rPr>
          <w:rFonts w:ascii="Times New Roman" w:hAnsi="Times New Roman"/>
          <w:color w:val="000000"/>
          <w:sz w:val="20"/>
          <w:shd w:fill="FFFFFF" w:val="clear"/>
        </w:rPr>
      </w:pPr>
      <w:r>
        <w:rPr>
          <w:rFonts w:ascii="Times New Roman" w:hAnsi="Times New Roman"/>
          <w:color w:val="000000"/>
          <w:sz w:val="20"/>
          <w:shd w:fill="FFFFFF" w:val="clear"/>
        </w:rPr>
        <w:t>Except as expressly set forth in this Amendment, the Company’s Original Form 10-K, filed with the SEC on July 14, 2026, remains unchanged and continues to speak as of the date of the original filing.  This Amendment does not modify or update the financial statements, exhibits, or any other disclosures contained in the Original Form 10-K.</w:t>
      </w:r>
    </w:p>
    <w:p>
      <w:pPr>
        <w:pStyle w:val="TextBody"/>
        <w:bidi w:val="0"/>
        <w:spacing w:before="0" w:after="0"/>
        <w:ind w:left="0" w:right="0" w:firstLine="432"/>
        <w:jc w:val="left"/>
        <w:rPr>
          <w:color w:val="000000"/>
          <w:shd w:fill="FFFFFF" w:val="clear"/>
        </w:rPr>
      </w:pPr>
      <w:r>
        <w:rPr>
          <w:color w:val="000000"/>
          <w:shd w:fill="FFFFFF" w:val="clear"/>
        </w:rPr>
        <w:t> </w:t>
      </w:r>
      <w:r>
        <w:rPr>
          <w:rFonts w:ascii="Times New Roman" w:hAnsi="Times New Roman"/>
          <w:b/>
          <w:i/>
          <w:color w:val="000000"/>
          <w:sz w:val="20"/>
          <w:shd w:fill="FFFFFF" w:val="clear"/>
        </w:rPr>
        <w:t>(b) Exhibits.</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48</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EXHIBITS</w:t>
      </w:r>
    </w:p>
    <w:p>
      <w:pPr>
        <w:pStyle w:val="Normal"/>
        <w:bidi w:val="0"/>
        <w:spacing w:before="0" w:after="0"/>
        <w:jc w:val="left"/>
        <w:rPr>
          <w:sz w:val="4"/>
          <w:szCs w:val="4"/>
        </w:rPr>
      </w:pPr>
      <w:r>
        <w:rPr>
          <w:sz w:val="4"/>
          <w:szCs w:val="4"/>
        </w:rPr>
      </w:r>
      <w:bookmarkStart w:id="321" w:name="z3a39956019b74aa9931f98c195b8be8e"/>
      <w:bookmarkStart w:id="322" w:name="z3a39956019b74aa9931f98c195b8be8e"/>
      <w:bookmarkEnd w:id="322"/>
    </w:p>
    <w:tbl>
      <w:tblPr>
        <w:tblW w:w="10205" w:type="dxa"/>
        <w:jc w:val="left"/>
        <w:tblInd w:w="0" w:type="dxa"/>
        <w:tblLayout w:type="fixed"/>
        <w:tblCellMar>
          <w:top w:w="0" w:type="dxa"/>
          <w:left w:w="0" w:type="dxa"/>
          <w:bottom w:w="0" w:type="dxa"/>
          <w:right w:w="0" w:type="dxa"/>
        </w:tblCellMar>
      </w:tblPr>
      <w:tblGrid>
        <w:gridCol w:w="892"/>
        <w:gridCol w:w="6914"/>
        <w:gridCol w:w="568"/>
        <w:gridCol w:w="665"/>
        <w:gridCol w:w="1166"/>
      </w:tblGrid>
      <w:tr>
        <w:trPr/>
        <w:tc>
          <w:tcPr>
            <w:tcW w:w="892" w:type="dxa"/>
            <w:tcBorders/>
            <w:vAlign w:val="center"/>
          </w:tcPr>
          <w:p>
            <w:pPr>
              <w:pStyle w:val="TableContents"/>
              <w:bidi w:val="0"/>
              <w:spacing w:before="0" w:after="283"/>
              <w:jc w:val="left"/>
              <w:rPr/>
            </w:pPr>
            <w:r>
              <w:rPr/>
              <w:t> </w:t>
            </w:r>
          </w:p>
        </w:tc>
        <w:tc>
          <w:tcPr>
            <w:tcW w:w="6914" w:type="dxa"/>
            <w:tcBorders/>
            <w:vAlign w:val="center"/>
          </w:tcPr>
          <w:p>
            <w:pPr>
              <w:pStyle w:val="TableContents"/>
              <w:bidi w:val="0"/>
              <w:spacing w:before="0" w:after="283"/>
              <w:jc w:val="left"/>
              <w:rPr/>
            </w:pPr>
            <w:r>
              <w:rPr/>
              <w:t> </w:t>
            </w:r>
          </w:p>
        </w:tc>
        <w:tc>
          <w:tcPr>
            <w:tcW w:w="2399" w:type="dxa"/>
            <w:gridSpan w:val="3"/>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Incorporated by Reference</w:t>
            </w:r>
          </w:p>
        </w:tc>
      </w:tr>
      <w:tr>
        <w:trPr/>
        <w:tc>
          <w:tcPr>
            <w:tcW w:w="892"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Exhibit Number</w:t>
            </w:r>
          </w:p>
        </w:tc>
        <w:tc>
          <w:tcPr>
            <w:tcW w:w="6914"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Description of Exhibits</w:t>
            </w:r>
          </w:p>
        </w:tc>
        <w:tc>
          <w:tcPr>
            <w:tcW w:w="568"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w:t>
            </w:r>
          </w:p>
        </w:tc>
        <w:tc>
          <w:tcPr>
            <w:tcW w:w="66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Exhibit</w:t>
            </w:r>
          </w:p>
        </w:tc>
        <w:tc>
          <w:tcPr>
            <w:tcW w:w="1166"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Filing Date</w:t>
            </w:r>
          </w:p>
        </w:tc>
      </w:tr>
      <w:tr>
        <w:trPr/>
        <w:tc>
          <w:tcPr>
            <w:tcW w:w="892"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2.2</w:t>
            </w:r>
          </w:p>
        </w:tc>
        <w:tc>
          <w:tcPr>
            <w:tcW w:w="6914" w:type="dxa"/>
            <w:tcBorders>
              <w:top w:val="single" w:sz="12" w:space="0" w:color="000000"/>
            </w:tcBorders>
            <w:shd w:fill="CCEEFF" w:val="clear"/>
            <w:tcMar>
              <w:top w:w="28" w:type="dxa"/>
            </w:tcMar>
            <w:vAlign w:val="center"/>
          </w:tcPr>
          <w:p>
            <w:pPr>
              <w:pStyle w:val="TableContents"/>
              <w:bidi w:val="0"/>
              <w:spacing w:before="0" w:after="0"/>
              <w:jc w:val="left"/>
              <w:rPr/>
            </w:pPr>
            <w:hyperlink r:id="rId12">
              <w:r>
                <w:rPr>
                  <w:rStyle w:val="InternetLink"/>
                  <w:rFonts w:ascii="Times New Roman" w:hAnsi="Times New Roman"/>
                  <w:color w:val="000000"/>
                  <w:sz w:val="20"/>
                </w:rPr>
                <w:t>Asset Purchase Agreement dated as of June 8, 2023 by and between AngioDynamics, Inc. and Merit Medical Systems, Inc.</w:t>
              </w:r>
            </w:hyperlink>
          </w:p>
        </w:tc>
        <w:tc>
          <w:tcPr>
            <w:tcW w:w="568"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w:t>
            </w:r>
          </w:p>
        </w:tc>
        <w:tc>
          <w:tcPr>
            <w:tcW w:w="1166"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14, 2023</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3.1.1</w:t>
            </w:r>
          </w:p>
        </w:tc>
        <w:tc>
          <w:tcPr>
            <w:tcW w:w="6914" w:type="dxa"/>
            <w:tcBorders/>
            <w:vAlign w:val="center"/>
          </w:tcPr>
          <w:p>
            <w:pPr>
              <w:pStyle w:val="TableContents"/>
              <w:bidi w:val="0"/>
              <w:spacing w:before="0" w:after="0"/>
              <w:jc w:val="left"/>
              <w:rPr/>
            </w:pPr>
            <w:hyperlink r:id="rId13">
              <w:r>
                <w:rPr>
                  <w:rStyle w:val="InternetLink"/>
                  <w:rFonts w:ascii="Times New Roman" w:hAnsi="Times New Roman"/>
                  <w:color w:val="000000"/>
                  <w:sz w:val="20"/>
                </w:rPr>
                <w:t>Amended and Restated Certificate of Incorporation.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October 7, 2005</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3.1.2</w:t>
            </w:r>
          </w:p>
        </w:tc>
        <w:tc>
          <w:tcPr>
            <w:tcW w:w="6914" w:type="dxa"/>
            <w:tcBorders/>
            <w:shd w:fill="CCEEFF" w:val="clear"/>
            <w:vAlign w:val="center"/>
          </w:tcPr>
          <w:p>
            <w:pPr>
              <w:pStyle w:val="TableContents"/>
              <w:bidi w:val="0"/>
              <w:spacing w:before="0" w:after="0"/>
              <w:jc w:val="left"/>
              <w:rPr/>
            </w:pPr>
            <w:hyperlink r:id="rId14">
              <w:r>
                <w:rPr>
                  <w:rStyle w:val="InternetLink"/>
                  <w:rFonts w:ascii="Times New Roman" w:hAnsi="Times New Roman"/>
                  <w:color w:val="000000"/>
                  <w:sz w:val="20"/>
                </w:rPr>
                <w:t>Certificate of Amendment to the Amended and Restated Certificate of Incorporation of AngioDynamics, Inc.</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3.1.2</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August 10, 2015</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w:t>
            </w:r>
          </w:p>
        </w:tc>
        <w:tc>
          <w:tcPr>
            <w:tcW w:w="6914" w:type="dxa"/>
            <w:tcBorders/>
            <w:vAlign w:val="center"/>
          </w:tcPr>
          <w:p>
            <w:pPr>
              <w:pStyle w:val="TableContents"/>
              <w:bidi w:val="0"/>
              <w:spacing w:before="0" w:after="0"/>
              <w:jc w:val="left"/>
              <w:rPr/>
            </w:pPr>
            <w:hyperlink r:id="rId15">
              <w:r>
                <w:rPr>
                  <w:rStyle w:val="InternetLink"/>
                  <w:rFonts w:ascii="Times New Roman" w:hAnsi="Times New Roman"/>
                  <w:color w:val="000000"/>
                  <w:sz w:val="20"/>
                </w:rPr>
                <w:t>Second Amended and Restated By-Laws, effective October 16, 2015.</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October 21, 2015</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6914" w:type="dxa"/>
            <w:tcBorders/>
            <w:shd w:fill="CCEEFF" w:val="clear"/>
            <w:vAlign w:val="center"/>
          </w:tcPr>
          <w:p>
            <w:pPr>
              <w:pStyle w:val="TableContents"/>
              <w:bidi w:val="0"/>
              <w:spacing w:before="0" w:after="0"/>
              <w:jc w:val="left"/>
              <w:rPr/>
            </w:pPr>
            <w:hyperlink r:id="rId16">
              <w:r>
                <w:rPr>
                  <w:rStyle w:val="InternetLink"/>
                  <w:rFonts w:ascii="Times New Roman" w:hAnsi="Times New Roman"/>
                  <w:color w:val="000000"/>
                  <w:sz w:val="20"/>
                </w:rPr>
                <w:t>Credit Agreement, dated as of May 28, 2025, by and among AngioDynamics, Inc., RITA Medical Systems, LLC, the lenders party thereto, JPMorgan Chase Bank, N.A., individually and as administrative agent, issuing bank and swingline lender.</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10.1</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28, 2025</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10.1.2</w:t>
            </w:r>
          </w:p>
        </w:tc>
        <w:tc>
          <w:tcPr>
            <w:tcW w:w="6914" w:type="dxa"/>
            <w:tcBorders/>
            <w:vAlign w:val="center"/>
          </w:tcPr>
          <w:p>
            <w:pPr>
              <w:pStyle w:val="TableContents"/>
              <w:bidi w:val="0"/>
              <w:spacing w:before="0" w:after="0"/>
              <w:jc w:val="left"/>
              <w:rPr/>
            </w:pPr>
            <w:hyperlink r:id="rId17">
              <w:r>
                <w:rPr>
                  <w:rStyle w:val="InternetLink"/>
                  <w:rFonts w:ascii="Times New Roman" w:hAnsi="Times New Roman"/>
                  <w:color w:val="000000"/>
                  <w:sz w:val="20"/>
                </w:rPr>
                <w:t>Transition and Retirement Agreement, dated as of February 3, 2026, by and between AngioDynamics, Inc. and James C. Clemmer</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3, 2026</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10.1.3</w:t>
            </w:r>
          </w:p>
        </w:tc>
        <w:tc>
          <w:tcPr>
            <w:tcW w:w="6914" w:type="dxa"/>
            <w:tcBorders/>
            <w:shd w:fill="CCEEFF" w:val="clear"/>
            <w:vAlign w:val="center"/>
          </w:tcPr>
          <w:p>
            <w:pPr>
              <w:pStyle w:val="TableContents"/>
              <w:bidi w:val="0"/>
              <w:spacing w:before="0" w:after="0"/>
              <w:jc w:val="left"/>
              <w:rPr/>
            </w:pPr>
            <w:hyperlink r:id="rId18">
              <w:r>
                <w:rPr>
                  <w:rStyle w:val="InternetLink"/>
                  <w:rFonts w:ascii="Times New Roman" w:hAnsi="Times New Roman"/>
                  <w:color w:val="000000"/>
                  <w:sz w:val="20"/>
                </w:rPr>
                <w:t>AngioDynamics, Inc. 2004 Stock and Incentive Award Plan (as amended).</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DEF 14A</w:t>
            </w:r>
          </w:p>
        </w:tc>
        <w:tc>
          <w:tcPr>
            <w:tcW w:w="665"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August 30, 2018</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10.1.6</w:t>
            </w:r>
          </w:p>
        </w:tc>
        <w:tc>
          <w:tcPr>
            <w:tcW w:w="6914" w:type="dxa"/>
            <w:tcBorders/>
            <w:vAlign w:val="center"/>
          </w:tcPr>
          <w:p>
            <w:pPr>
              <w:pStyle w:val="TableContents"/>
              <w:bidi w:val="0"/>
              <w:spacing w:before="0" w:after="0"/>
              <w:jc w:val="left"/>
              <w:rPr/>
            </w:pPr>
            <w:hyperlink r:id="rId19">
              <w:r>
                <w:rPr>
                  <w:rStyle w:val="InternetLink"/>
                  <w:rFonts w:ascii="Times New Roman" w:hAnsi="Times New Roman"/>
                  <w:color w:val="000000"/>
                  <w:sz w:val="20"/>
                </w:rPr>
                <w:t>AngioDynamics 2017 Total Shareholder Return Performance Unit Agreement Program.</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29, 2017</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10.1.7</w:t>
            </w:r>
          </w:p>
        </w:tc>
        <w:tc>
          <w:tcPr>
            <w:tcW w:w="6914" w:type="dxa"/>
            <w:tcBorders/>
            <w:shd w:fill="CCEEFF" w:val="clear"/>
            <w:vAlign w:val="center"/>
          </w:tcPr>
          <w:p>
            <w:pPr>
              <w:pStyle w:val="TableContents"/>
              <w:bidi w:val="0"/>
              <w:spacing w:before="0" w:after="0"/>
              <w:jc w:val="left"/>
              <w:rPr/>
            </w:pPr>
            <w:hyperlink r:id="rId20">
              <w:r>
                <w:rPr>
                  <w:rStyle w:val="InternetLink"/>
                  <w:rFonts w:ascii="Times New Roman" w:hAnsi="Times New Roman"/>
                  <w:color w:val="000000"/>
                  <w:sz w:val="20"/>
                </w:rPr>
                <w:t>AngioDynamics 2018 Total Shareholder Return Performance Unit Agreement Program.</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10.1.7</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23, 2018</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10.1.8</w:t>
            </w:r>
          </w:p>
        </w:tc>
        <w:tc>
          <w:tcPr>
            <w:tcW w:w="6914" w:type="dxa"/>
            <w:tcBorders/>
            <w:vAlign w:val="center"/>
          </w:tcPr>
          <w:p>
            <w:pPr>
              <w:pStyle w:val="TableContents"/>
              <w:bidi w:val="0"/>
              <w:spacing w:before="0" w:after="0"/>
              <w:jc w:val="left"/>
              <w:rPr/>
            </w:pPr>
            <w:hyperlink r:id="rId21">
              <w:r>
                <w:rPr>
                  <w:rStyle w:val="InternetLink"/>
                  <w:rFonts w:ascii="Times New Roman" w:hAnsi="Times New Roman"/>
                  <w:color w:val="000000"/>
                  <w:sz w:val="20"/>
                </w:rPr>
                <w:t>AngioDynamics 2019 Total Shareholder Return Performance Unit Agreement Program.</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10.1.8</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January 8, 2020</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10.1.9</w:t>
            </w:r>
          </w:p>
        </w:tc>
        <w:tc>
          <w:tcPr>
            <w:tcW w:w="6914" w:type="dxa"/>
            <w:tcBorders/>
            <w:shd w:fill="CCEEFF" w:val="clear"/>
            <w:vAlign w:val="center"/>
          </w:tcPr>
          <w:p>
            <w:pPr>
              <w:pStyle w:val="TableContents"/>
              <w:bidi w:val="0"/>
              <w:spacing w:before="0" w:after="0"/>
              <w:jc w:val="left"/>
              <w:rPr/>
            </w:pPr>
            <w:hyperlink r:id="rId22">
              <w:r>
                <w:rPr>
                  <w:rStyle w:val="InternetLink"/>
                  <w:rFonts w:ascii="Times New Roman" w:hAnsi="Times New Roman"/>
                  <w:color w:val="000000"/>
                  <w:sz w:val="20"/>
                </w:rPr>
                <w:t>AngioDynamics, Inc. 2020 Stock and Incentive Award Plan (as amended)</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DEF 14A</w:t>
            </w:r>
          </w:p>
        </w:tc>
        <w:tc>
          <w:tcPr>
            <w:tcW w:w="665"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26, 2024</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6914" w:type="dxa"/>
            <w:tcBorders/>
            <w:vAlign w:val="center"/>
          </w:tcPr>
          <w:p>
            <w:pPr>
              <w:pStyle w:val="TableContents"/>
              <w:bidi w:val="0"/>
              <w:spacing w:before="0" w:after="0"/>
              <w:jc w:val="left"/>
              <w:rPr/>
            </w:pPr>
            <w:hyperlink r:id="rId23">
              <w:r>
                <w:rPr>
                  <w:rStyle w:val="InternetLink"/>
                  <w:rFonts w:ascii="Times New Roman" w:hAnsi="Times New Roman"/>
                  <w:color w:val="000000"/>
                  <w:sz w:val="20"/>
                </w:rPr>
                <w:t>AngioDynamics, Inc. Employee Stock Purchase Plan (as amended).</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DEF 14A</w:t>
            </w:r>
          </w:p>
        </w:tc>
        <w:tc>
          <w:tcPr>
            <w:tcW w:w="66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3, 2020</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10.2.1</w:t>
            </w:r>
          </w:p>
        </w:tc>
        <w:tc>
          <w:tcPr>
            <w:tcW w:w="6914" w:type="dxa"/>
            <w:tcBorders/>
            <w:shd w:fill="CCEEFF" w:val="clear"/>
            <w:vAlign w:val="center"/>
          </w:tcPr>
          <w:p>
            <w:pPr>
              <w:pStyle w:val="TableContents"/>
              <w:bidi w:val="0"/>
              <w:spacing w:before="0" w:after="0"/>
              <w:jc w:val="left"/>
              <w:rPr/>
            </w:pPr>
            <w:hyperlink r:id="rId24">
              <w:r>
                <w:rPr>
                  <w:rStyle w:val="InternetLink"/>
                  <w:rFonts w:ascii="Times New Roman" w:hAnsi="Times New Roman"/>
                  <w:color w:val="000000"/>
                  <w:sz w:val="20"/>
                </w:rPr>
                <w:t>Form of AngioDynamics Retention Incentive Letter Agreement</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3, 2026</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w:t>
            </w:r>
          </w:p>
        </w:tc>
        <w:tc>
          <w:tcPr>
            <w:tcW w:w="6914" w:type="dxa"/>
            <w:tcBorders/>
            <w:vAlign w:val="center"/>
          </w:tcPr>
          <w:p>
            <w:pPr>
              <w:pStyle w:val="TableContents"/>
              <w:bidi w:val="0"/>
              <w:spacing w:before="0" w:after="0"/>
              <w:jc w:val="left"/>
              <w:rPr/>
            </w:pPr>
            <w:hyperlink r:id="rId25">
              <w:r>
                <w:rPr>
                  <w:rStyle w:val="InternetLink"/>
                  <w:rFonts w:ascii="Times New Roman" w:hAnsi="Times New Roman"/>
                  <w:color w:val="000000"/>
                  <w:sz w:val="20"/>
                </w:rPr>
                <w:t>Form of Non-Statutory Stock Option Agreement pursuant to the AngioDynamics, Inc. Stock and Incentive Award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October 12, 2004</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10.3.1</w:t>
            </w:r>
          </w:p>
        </w:tc>
        <w:tc>
          <w:tcPr>
            <w:tcW w:w="6914" w:type="dxa"/>
            <w:tcBorders/>
            <w:shd w:fill="CCEEFF" w:val="clear"/>
            <w:vAlign w:val="center"/>
          </w:tcPr>
          <w:p>
            <w:pPr>
              <w:pStyle w:val="TableContents"/>
              <w:bidi w:val="0"/>
              <w:spacing w:before="0" w:after="0"/>
              <w:jc w:val="left"/>
              <w:rPr/>
            </w:pPr>
            <w:hyperlink r:id="rId26">
              <w:r>
                <w:rPr>
                  <w:rStyle w:val="InternetLink"/>
                  <w:rFonts w:ascii="Times New Roman" w:hAnsi="Times New Roman"/>
                  <w:color w:val="000000"/>
                  <w:sz w:val="20"/>
                </w:rPr>
                <w:t>Form of Non-Statutory Stock Option Agreement pursuant to the AngioDynamics, Inc. Stock and Incentive Award Plan.</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10.3.1</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23, 2018</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10.4.3</w:t>
            </w:r>
          </w:p>
        </w:tc>
        <w:tc>
          <w:tcPr>
            <w:tcW w:w="6914" w:type="dxa"/>
            <w:tcBorders/>
            <w:vAlign w:val="center"/>
          </w:tcPr>
          <w:p>
            <w:pPr>
              <w:pStyle w:val="TableContents"/>
              <w:bidi w:val="0"/>
              <w:spacing w:before="0" w:after="0"/>
              <w:jc w:val="left"/>
              <w:rPr/>
            </w:pPr>
            <w:hyperlink r:id="rId27">
              <w:r>
                <w:rPr>
                  <w:rStyle w:val="InternetLink"/>
                  <w:rFonts w:ascii="Times New Roman" w:hAnsi="Times New Roman"/>
                  <w:color w:val="000000"/>
                  <w:sz w:val="20"/>
                </w:rPr>
                <w:t>Form of 2016 Performance Share Award Agreement pursuant to the AngioDynamics, Inc. 2004 Stock and Incentive Award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October 5, 2016</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10.4.4</w:t>
            </w:r>
          </w:p>
        </w:tc>
        <w:tc>
          <w:tcPr>
            <w:tcW w:w="6914" w:type="dxa"/>
            <w:tcBorders/>
            <w:shd w:fill="CCEEFF" w:val="clear"/>
            <w:vAlign w:val="center"/>
          </w:tcPr>
          <w:p>
            <w:pPr>
              <w:pStyle w:val="TableContents"/>
              <w:bidi w:val="0"/>
              <w:spacing w:before="0" w:after="0"/>
              <w:jc w:val="left"/>
              <w:rPr/>
            </w:pPr>
            <w:hyperlink r:id="rId28">
              <w:r>
                <w:rPr>
                  <w:rStyle w:val="InternetLink"/>
                  <w:rFonts w:ascii="Times New Roman" w:hAnsi="Times New Roman"/>
                  <w:color w:val="000000"/>
                  <w:sz w:val="20"/>
                </w:rPr>
                <w:t>Form of 2017 Performance Share Award Agreement pursuant to the AngioDynamics, Inc. 2004 Stock and Incentive Award Plan.</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29, 2017</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10.4.5</w:t>
            </w:r>
          </w:p>
        </w:tc>
        <w:tc>
          <w:tcPr>
            <w:tcW w:w="6914" w:type="dxa"/>
            <w:tcBorders/>
            <w:vAlign w:val="center"/>
          </w:tcPr>
          <w:p>
            <w:pPr>
              <w:pStyle w:val="TableContents"/>
              <w:bidi w:val="0"/>
              <w:spacing w:before="0" w:after="0"/>
              <w:jc w:val="left"/>
              <w:rPr/>
            </w:pPr>
            <w:hyperlink r:id="rId29">
              <w:r>
                <w:rPr>
                  <w:rStyle w:val="InternetLink"/>
                  <w:rFonts w:ascii="Times New Roman" w:hAnsi="Times New Roman"/>
                  <w:color w:val="000000"/>
                  <w:sz w:val="20"/>
                </w:rPr>
                <w:t>Form of 2018 Performance Share Award Agreement pursuant to the AngioDynamics, Inc. 2004 Stock and Incentive Award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10.4.5</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23, 2018</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10.4.6</w:t>
            </w:r>
          </w:p>
        </w:tc>
        <w:tc>
          <w:tcPr>
            <w:tcW w:w="6914" w:type="dxa"/>
            <w:tcBorders/>
            <w:shd w:fill="CCEEFF" w:val="clear"/>
            <w:vAlign w:val="center"/>
          </w:tcPr>
          <w:p>
            <w:pPr>
              <w:pStyle w:val="TableContents"/>
              <w:bidi w:val="0"/>
              <w:spacing w:before="0" w:after="0"/>
              <w:jc w:val="left"/>
              <w:rPr/>
            </w:pPr>
            <w:hyperlink r:id="rId30">
              <w:r>
                <w:rPr>
                  <w:rStyle w:val="InternetLink"/>
                  <w:rFonts w:ascii="Times New Roman" w:hAnsi="Times New Roman"/>
                  <w:color w:val="000000"/>
                  <w:sz w:val="20"/>
                </w:rPr>
                <w:t>Form of 2020 Performance Share Award Agreement pursuant to the AngioDynamics, Inc. 2004 Stock and Incentive Award Plan</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10.4.6</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January 8, 2021</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10.4.7</w:t>
            </w:r>
          </w:p>
        </w:tc>
        <w:tc>
          <w:tcPr>
            <w:tcW w:w="6914" w:type="dxa"/>
            <w:tcBorders/>
            <w:vAlign w:val="center"/>
          </w:tcPr>
          <w:p>
            <w:pPr>
              <w:pStyle w:val="TableContents"/>
              <w:bidi w:val="0"/>
              <w:spacing w:before="0" w:after="0"/>
              <w:jc w:val="left"/>
              <w:rPr/>
            </w:pPr>
            <w:hyperlink r:id="rId31">
              <w:r>
                <w:rPr>
                  <w:rStyle w:val="InternetLink"/>
                  <w:rFonts w:ascii="Times New Roman" w:hAnsi="Times New Roman"/>
                  <w:color w:val="000000"/>
                  <w:sz w:val="20"/>
                </w:rPr>
                <w:t>Form of Performance Share Award Agreement pursuant to the 2020 Stock and Incentive Award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30, 2021</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10.5</w:t>
            </w:r>
          </w:p>
        </w:tc>
        <w:tc>
          <w:tcPr>
            <w:tcW w:w="6914" w:type="dxa"/>
            <w:tcBorders/>
            <w:shd w:fill="CCEEFF" w:val="clear"/>
            <w:vAlign w:val="center"/>
          </w:tcPr>
          <w:p>
            <w:pPr>
              <w:pStyle w:val="TableContents"/>
              <w:bidi w:val="0"/>
              <w:spacing w:before="0" w:after="0"/>
              <w:jc w:val="left"/>
              <w:rPr/>
            </w:pPr>
            <w:hyperlink r:id="rId32">
              <w:r>
                <w:rPr>
                  <w:rStyle w:val="InternetLink"/>
                  <w:rFonts w:ascii="Times New Roman" w:hAnsi="Times New Roman"/>
                  <w:color w:val="000000"/>
                  <w:sz w:val="20"/>
                </w:rPr>
                <w:t>Form of Restricted Stock Award Agreement pursuant to the AngioDynamics, Inc. 2004 Stock and Incentive Award Plan.</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12, 2005</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10.6</w:t>
            </w:r>
          </w:p>
        </w:tc>
        <w:tc>
          <w:tcPr>
            <w:tcW w:w="6914" w:type="dxa"/>
            <w:tcBorders/>
            <w:vAlign w:val="center"/>
          </w:tcPr>
          <w:p>
            <w:pPr>
              <w:pStyle w:val="TableContents"/>
              <w:bidi w:val="0"/>
              <w:spacing w:before="0" w:after="0"/>
              <w:jc w:val="left"/>
              <w:rPr/>
            </w:pPr>
            <w:hyperlink r:id="rId33">
              <w:r>
                <w:rPr>
                  <w:rStyle w:val="InternetLink"/>
                  <w:rFonts w:ascii="Times New Roman" w:hAnsi="Times New Roman"/>
                  <w:color w:val="000000"/>
                  <w:sz w:val="20"/>
                </w:rPr>
                <w:t>Rita Medical Systems, Inc. 1994 Incentive Stock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S-1</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 2000</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10.7</w:t>
            </w:r>
          </w:p>
        </w:tc>
        <w:tc>
          <w:tcPr>
            <w:tcW w:w="6914"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Horizon Medical Products, Inc. 1998 Stock Incentive Plan.</w:t>
            </w:r>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S-1</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10.11</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13, 1998</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10.8</w:t>
            </w:r>
          </w:p>
        </w:tc>
        <w:tc>
          <w:tcPr>
            <w:tcW w:w="6914" w:type="dxa"/>
            <w:tcBorders/>
            <w:vAlign w:val="center"/>
          </w:tcPr>
          <w:p>
            <w:pPr>
              <w:pStyle w:val="TableContents"/>
              <w:bidi w:val="0"/>
              <w:spacing w:before="0" w:after="0"/>
              <w:jc w:val="left"/>
              <w:rPr/>
            </w:pPr>
            <w:hyperlink r:id="rId34">
              <w:r>
                <w:rPr>
                  <w:rStyle w:val="InternetLink"/>
                  <w:rFonts w:ascii="Times New Roman" w:hAnsi="Times New Roman"/>
                  <w:color w:val="000000"/>
                  <w:sz w:val="20"/>
                </w:rPr>
                <w:t>Rita Medical Systems, Inc. 2000 Stock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S-1/A</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14, 2000</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10.9</w:t>
            </w:r>
          </w:p>
        </w:tc>
        <w:tc>
          <w:tcPr>
            <w:tcW w:w="6914" w:type="dxa"/>
            <w:tcBorders/>
            <w:shd w:fill="CCEEFF" w:val="clear"/>
            <w:vAlign w:val="center"/>
          </w:tcPr>
          <w:p>
            <w:pPr>
              <w:pStyle w:val="TableContents"/>
              <w:bidi w:val="0"/>
              <w:spacing w:before="0" w:after="0"/>
              <w:jc w:val="left"/>
              <w:rPr/>
            </w:pPr>
            <w:hyperlink r:id="rId35">
              <w:r>
                <w:rPr>
                  <w:rStyle w:val="InternetLink"/>
                  <w:rFonts w:ascii="Times New Roman" w:hAnsi="Times New Roman"/>
                  <w:color w:val="000000"/>
                  <w:sz w:val="20"/>
                </w:rPr>
                <w:t>Rita Medical Systems, Inc. 2000 Directors’ Stock Plan, as amended on June 8, 2005.</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S-8</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99.2</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8, 2005</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10.10</w:t>
            </w:r>
          </w:p>
        </w:tc>
        <w:tc>
          <w:tcPr>
            <w:tcW w:w="6914" w:type="dxa"/>
            <w:tcBorders/>
            <w:vAlign w:val="center"/>
          </w:tcPr>
          <w:p>
            <w:pPr>
              <w:pStyle w:val="TableContents"/>
              <w:bidi w:val="0"/>
              <w:spacing w:before="0" w:after="0"/>
              <w:jc w:val="left"/>
              <w:rPr/>
            </w:pPr>
            <w:hyperlink r:id="rId36">
              <w:r>
                <w:rPr>
                  <w:rStyle w:val="InternetLink"/>
                  <w:rFonts w:ascii="Times New Roman" w:hAnsi="Times New Roman"/>
                  <w:color w:val="000000"/>
                  <w:sz w:val="20"/>
                </w:rPr>
                <w:t>Rita Medical Systems, Inc. 2005 Stock and Incentive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S-8</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99.1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8, 2005</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49</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23" w:name="zd59eeec0cfb5430e825093f3e0ee7b1d"/>
      <w:bookmarkStart w:id="324" w:name="zd59eeec0cfb5430e825093f3e0ee7b1d"/>
      <w:bookmarkEnd w:id="324"/>
    </w:p>
    <w:tbl>
      <w:tblPr>
        <w:tblW w:w="10205" w:type="dxa"/>
        <w:jc w:val="left"/>
        <w:tblInd w:w="0" w:type="dxa"/>
        <w:tblLayout w:type="fixed"/>
        <w:tblCellMar>
          <w:top w:w="0" w:type="dxa"/>
          <w:left w:w="0" w:type="dxa"/>
          <w:bottom w:w="0" w:type="dxa"/>
          <w:right w:w="0" w:type="dxa"/>
        </w:tblCellMar>
      </w:tblPr>
      <w:tblGrid>
        <w:gridCol w:w="724"/>
        <w:gridCol w:w="7248"/>
        <w:gridCol w:w="466"/>
        <w:gridCol w:w="665"/>
        <w:gridCol w:w="1102"/>
      </w:tblGrid>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10.11</w:t>
            </w:r>
          </w:p>
        </w:tc>
        <w:tc>
          <w:tcPr>
            <w:tcW w:w="7248" w:type="dxa"/>
            <w:tcBorders/>
            <w:shd w:fill="CCEEFF" w:val="clear"/>
            <w:vAlign w:val="center"/>
          </w:tcPr>
          <w:p>
            <w:pPr>
              <w:pStyle w:val="TableContents"/>
              <w:bidi w:val="0"/>
              <w:spacing w:before="0" w:after="0"/>
              <w:jc w:val="left"/>
              <w:rPr/>
            </w:pPr>
            <w:hyperlink r:id="rId37">
              <w:r>
                <w:rPr>
                  <w:rStyle w:val="InternetLink"/>
                  <w:rFonts w:ascii="Times New Roman" w:hAnsi="Times New Roman"/>
                  <w:color w:val="000000"/>
                  <w:sz w:val="20"/>
                </w:rPr>
                <w:t>Form of Indemnification Agreement of AngioDynamics, Inc.</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12, 2006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10.11.1</w:t>
            </w:r>
          </w:p>
        </w:tc>
        <w:tc>
          <w:tcPr>
            <w:tcW w:w="7248" w:type="dxa"/>
            <w:tcBorders/>
            <w:vAlign w:val="center"/>
          </w:tcPr>
          <w:p>
            <w:pPr>
              <w:pStyle w:val="TableContents"/>
              <w:bidi w:val="0"/>
              <w:spacing w:before="0" w:after="0"/>
              <w:jc w:val="left"/>
              <w:rPr/>
            </w:pPr>
            <w:hyperlink r:id="rId38">
              <w:r>
                <w:rPr>
                  <w:rStyle w:val="InternetLink"/>
                  <w:rFonts w:ascii="Times New Roman" w:hAnsi="Times New Roman"/>
                  <w:color w:val="000000"/>
                  <w:sz w:val="20"/>
                </w:rPr>
                <w:t>Employment Agreement, dated April 1, 2016, between AngioDynamics, Inc. and James C. Clemmer.</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10.12</w:t>
            </w:r>
          </w:p>
        </w:tc>
        <w:tc>
          <w:tcPr>
            <w:tcW w:w="7248" w:type="dxa"/>
            <w:tcBorders/>
            <w:shd w:fill="CCEEFF" w:val="clear"/>
            <w:vAlign w:val="center"/>
          </w:tcPr>
          <w:p>
            <w:pPr>
              <w:pStyle w:val="TableContents"/>
              <w:bidi w:val="0"/>
              <w:spacing w:before="0" w:after="0"/>
              <w:jc w:val="left"/>
              <w:rPr/>
            </w:pPr>
            <w:hyperlink r:id="rId39">
              <w:r>
                <w:rPr>
                  <w:rStyle w:val="InternetLink"/>
                  <w:rFonts w:ascii="Times New Roman" w:hAnsi="Times New Roman"/>
                  <w:color w:val="000000"/>
                  <w:sz w:val="20"/>
                </w:rPr>
                <w:t>Change in Control Agreement, dated April 1, 2016, between AngioDynamics, Inc. and James C. Clemmer.</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10.12.2</w:t>
            </w:r>
          </w:p>
        </w:tc>
        <w:tc>
          <w:tcPr>
            <w:tcW w:w="7248" w:type="dxa"/>
            <w:tcBorders/>
            <w:vAlign w:val="center"/>
          </w:tcPr>
          <w:p>
            <w:pPr>
              <w:pStyle w:val="TableContents"/>
              <w:bidi w:val="0"/>
              <w:spacing w:before="0" w:after="0"/>
              <w:jc w:val="left"/>
              <w:rPr/>
            </w:pPr>
            <w:hyperlink r:id="rId40">
              <w:r>
                <w:rPr>
                  <w:rStyle w:val="InternetLink"/>
                  <w:rFonts w:ascii="Times New Roman" w:hAnsi="Times New Roman"/>
                  <w:color w:val="000000"/>
                  <w:sz w:val="20"/>
                </w:rPr>
                <w:t>Form of Severance Agreement of AngioDynamics, Inc.</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10.12.2</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August 10, 2020</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10.13</w:t>
            </w:r>
          </w:p>
        </w:tc>
        <w:tc>
          <w:tcPr>
            <w:tcW w:w="7248" w:type="dxa"/>
            <w:tcBorders/>
            <w:shd w:fill="CCEEFF" w:val="clear"/>
            <w:vAlign w:val="center"/>
          </w:tcPr>
          <w:p>
            <w:pPr>
              <w:pStyle w:val="TableContents"/>
              <w:bidi w:val="0"/>
              <w:spacing w:before="0" w:after="0"/>
              <w:jc w:val="left"/>
              <w:rPr/>
            </w:pPr>
            <w:hyperlink r:id="rId41">
              <w:r>
                <w:rPr>
                  <w:rStyle w:val="InternetLink"/>
                  <w:rFonts w:ascii="Times New Roman" w:hAnsi="Times New Roman"/>
                  <w:color w:val="000000"/>
                  <w:sz w:val="20"/>
                </w:rPr>
                <w:t>Form of Change in Control Agreement.</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10-K/A</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10.13</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January 12, 2015</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10.14</w:t>
            </w:r>
          </w:p>
        </w:tc>
        <w:tc>
          <w:tcPr>
            <w:tcW w:w="7248" w:type="dxa"/>
            <w:tcBorders/>
            <w:vAlign w:val="center"/>
          </w:tcPr>
          <w:p>
            <w:pPr>
              <w:pStyle w:val="TableContents"/>
              <w:bidi w:val="0"/>
              <w:spacing w:before="0" w:after="0"/>
              <w:jc w:val="left"/>
              <w:rPr/>
            </w:pPr>
            <w:hyperlink r:id="rId42">
              <w:r>
                <w:rPr>
                  <w:rStyle w:val="InternetLink"/>
                  <w:rFonts w:ascii="Times New Roman" w:hAnsi="Times New Roman"/>
                  <w:color w:val="000000"/>
                  <w:sz w:val="20"/>
                </w:rPr>
                <w:t>Performance Share Award Agreement, with a grant date of April 4, 2016, between AngioDynamics, Inc. and James C. Clemmer.</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10.15</w:t>
            </w:r>
          </w:p>
        </w:tc>
        <w:tc>
          <w:tcPr>
            <w:tcW w:w="7248" w:type="dxa"/>
            <w:tcBorders/>
            <w:shd w:fill="CCEEFF" w:val="clear"/>
            <w:vAlign w:val="center"/>
          </w:tcPr>
          <w:p>
            <w:pPr>
              <w:pStyle w:val="TableContents"/>
              <w:bidi w:val="0"/>
              <w:spacing w:before="0" w:after="0"/>
              <w:jc w:val="left"/>
              <w:rPr/>
            </w:pPr>
            <w:hyperlink r:id="rId43">
              <w:r>
                <w:rPr>
                  <w:rStyle w:val="InternetLink"/>
                  <w:rFonts w:ascii="Times New Roman" w:hAnsi="Times New Roman"/>
                  <w:color w:val="000000"/>
                  <w:sz w:val="20"/>
                </w:rPr>
                <w:t>AngioDynamics, Inc. Total Shareholder Return Performance Share Award Program - Performance Period Ending July 2019.</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10.16</w:t>
            </w:r>
          </w:p>
        </w:tc>
        <w:tc>
          <w:tcPr>
            <w:tcW w:w="7248" w:type="dxa"/>
            <w:tcBorders/>
            <w:vAlign w:val="center"/>
          </w:tcPr>
          <w:p>
            <w:pPr>
              <w:pStyle w:val="TableContents"/>
              <w:bidi w:val="0"/>
              <w:spacing w:before="0" w:after="0"/>
              <w:jc w:val="left"/>
              <w:rPr/>
            </w:pPr>
            <w:hyperlink r:id="rId44">
              <w:r>
                <w:rPr>
                  <w:rStyle w:val="InternetLink"/>
                  <w:rFonts w:ascii="Times New Roman" w:hAnsi="Times New Roman"/>
                  <w:color w:val="000000"/>
                  <w:sz w:val="20"/>
                </w:rPr>
                <w:t>Stock Option Award Agreement, with a grant date of April 4, 2016, between AngioDynamics, Inc. and James C. Clemmer.</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10.5</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10.17</w:t>
            </w:r>
          </w:p>
        </w:tc>
        <w:tc>
          <w:tcPr>
            <w:tcW w:w="7248" w:type="dxa"/>
            <w:tcBorders/>
            <w:shd w:fill="CCEEFF" w:val="clear"/>
            <w:vAlign w:val="center"/>
          </w:tcPr>
          <w:p>
            <w:pPr>
              <w:pStyle w:val="TableContents"/>
              <w:bidi w:val="0"/>
              <w:spacing w:before="0" w:after="0"/>
              <w:jc w:val="left"/>
              <w:rPr/>
            </w:pPr>
            <w:hyperlink r:id="rId45">
              <w:r>
                <w:rPr>
                  <w:rStyle w:val="InternetLink"/>
                  <w:rFonts w:ascii="Times New Roman" w:hAnsi="Times New Roman"/>
                  <w:color w:val="000000"/>
                  <w:sz w:val="20"/>
                </w:rPr>
                <w:t>Restricted Stock Unit Award Agreement, with a grant date of April 4, 2016, between AngioDynamics, Inc. and James C. Clemmer.</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10.6</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10.18</w:t>
            </w:r>
          </w:p>
        </w:tc>
        <w:tc>
          <w:tcPr>
            <w:tcW w:w="7248" w:type="dxa"/>
            <w:tcBorders/>
            <w:vAlign w:val="center"/>
          </w:tcPr>
          <w:p>
            <w:pPr>
              <w:pStyle w:val="TableContents"/>
              <w:bidi w:val="0"/>
              <w:spacing w:before="0" w:after="0"/>
              <w:jc w:val="left"/>
              <w:rPr/>
            </w:pPr>
            <w:hyperlink r:id="rId46">
              <w:r>
                <w:rPr>
                  <w:rStyle w:val="InternetLink"/>
                  <w:rFonts w:ascii="Times New Roman" w:hAnsi="Times New Roman"/>
                  <w:color w:val="000000"/>
                  <w:sz w:val="20"/>
                </w:rPr>
                <w:t>Separation Agreement and General Release, dated April 22, 2016, between AngioDynamics, Inc. and Joseph M. DeVivo.</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27, 2016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10.19</w:t>
            </w:r>
          </w:p>
        </w:tc>
        <w:tc>
          <w:tcPr>
            <w:tcW w:w="7248" w:type="dxa"/>
            <w:tcBorders/>
            <w:shd w:fill="CCEEFF" w:val="clear"/>
            <w:vAlign w:val="center"/>
          </w:tcPr>
          <w:p>
            <w:pPr>
              <w:pStyle w:val="TableContents"/>
              <w:bidi w:val="0"/>
              <w:spacing w:before="0" w:after="0"/>
              <w:jc w:val="left"/>
              <w:rPr/>
            </w:pPr>
            <w:hyperlink r:id="rId47">
              <w:r>
                <w:rPr>
                  <w:rStyle w:val="InternetLink"/>
                  <w:rFonts w:ascii="Times New Roman" w:hAnsi="Times New Roman"/>
                  <w:color w:val="000000"/>
                  <w:sz w:val="20"/>
                </w:rPr>
                <w:t>Amended and Restated Change in Control Agreement, by and between AngioDynamics, Inc. and James C. Clemmer.</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3, 2021</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7248" w:type="dxa"/>
            <w:tcBorders/>
            <w:vAlign w:val="center"/>
          </w:tcPr>
          <w:p>
            <w:pPr>
              <w:pStyle w:val="TableContents"/>
              <w:bidi w:val="0"/>
              <w:spacing w:before="0" w:after="0"/>
              <w:jc w:val="left"/>
              <w:rPr/>
            </w:pPr>
            <w:hyperlink r:id="rId48">
              <w:r>
                <w:rPr>
                  <w:rStyle w:val="InternetLink"/>
                  <w:rFonts w:ascii="Times New Roman" w:hAnsi="Times New Roman"/>
                  <w:color w:val="000000"/>
                  <w:sz w:val="20"/>
                </w:rPr>
                <w:t>Form of Amended and Restated Change in Control Agreement with AngioDynamics, Inc.</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3, 2021</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10.21*</w:t>
            </w:r>
          </w:p>
        </w:tc>
        <w:tc>
          <w:tcPr>
            <w:tcW w:w="7248" w:type="dxa"/>
            <w:tcBorders/>
            <w:shd w:fill="CCEEFF" w:val="clear"/>
            <w:vAlign w:val="center"/>
          </w:tcPr>
          <w:p>
            <w:pPr>
              <w:pStyle w:val="TableContents"/>
              <w:bidi w:val="0"/>
              <w:spacing w:before="0" w:after="0"/>
              <w:jc w:val="left"/>
              <w:rPr/>
            </w:pPr>
            <w:hyperlink r:id="rId49">
              <w:r>
                <w:rPr>
                  <w:rStyle w:val="InternetLink"/>
                  <w:rFonts w:ascii="Times New Roman" w:hAnsi="Times New Roman"/>
                  <w:color w:val="000000"/>
                  <w:sz w:val="20"/>
                </w:rPr>
                <w:t>Settlement and License Agreement, dated March 31, 2024, by and among Becton, Dickinson and Company, C.R. Bard, Inc., Bard Peripheral Vascular, Inc. and AngioDynamics Inc.</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10.21</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25, 2024</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14</w:t>
            </w:r>
          </w:p>
        </w:tc>
        <w:tc>
          <w:tcPr>
            <w:tcW w:w="7248" w:type="dxa"/>
            <w:tcBorders/>
            <w:vAlign w:val="center"/>
          </w:tcPr>
          <w:p>
            <w:pPr>
              <w:pStyle w:val="TableContents"/>
              <w:bidi w:val="0"/>
              <w:spacing w:before="0" w:after="0"/>
              <w:jc w:val="left"/>
              <w:rPr/>
            </w:pPr>
            <w:hyperlink r:id="rId50">
              <w:r>
                <w:rPr>
                  <w:rStyle w:val="InternetLink"/>
                  <w:rFonts w:ascii="Times New Roman" w:hAnsi="Times New Roman"/>
                  <w:color w:val="000000"/>
                  <w:sz w:val="20"/>
                </w:rPr>
                <w:t>Code of Conduct</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14</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19</w:t>
            </w:r>
          </w:p>
        </w:tc>
        <w:tc>
          <w:tcPr>
            <w:tcW w:w="7248" w:type="dxa"/>
            <w:tcBorders/>
            <w:shd w:fill="CCEEFF" w:val="clear"/>
            <w:vAlign w:val="center"/>
          </w:tcPr>
          <w:p>
            <w:pPr>
              <w:pStyle w:val="TableContents"/>
              <w:bidi w:val="0"/>
              <w:spacing w:before="0" w:after="0"/>
              <w:jc w:val="left"/>
              <w:rPr/>
            </w:pPr>
            <w:hyperlink r:id="rId51">
              <w:r>
                <w:rPr>
                  <w:rStyle w:val="InternetLink"/>
                  <w:rFonts w:ascii="Times New Roman" w:hAnsi="Times New Roman"/>
                  <w:color w:val="000000"/>
                  <w:sz w:val="20"/>
                </w:rPr>
                <w:t>Insider Trading Policy</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19</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18, 2025</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w:t>
            </w:r>
          </w:p>
        </w:tc>
        <w:tc>
          <w:tcPr>
            <w:tcW w:w="7248" w:type="dxa"/>
            <w:tcBorders/>
            <w:vAlign w:val="center"/>
          </w:tcPr>
          <w:p>
            <w:pPr>
              <w:pStyle w:val="TableContents"/>
              <w:bidi w:val="0"/>
              <w:spacing w:before="0" w:after="0"/>
              <w:jc w:val="left"/>
              <w:rPr/>
            </w:pPr>
            <w:hyperlink r:id="rId52">
              <w:r>
                <w:rPr>
                  <w:rStyle w:val="InternetLink"/>
                  <w:rFonts w:ascii="Times New Roman" w:hAnsi="Times New Roman"/>
                  <w:color w:val="000000"/>
                  <w:sz w:val="20"/>
                </w:rPr>
                <w:t>Subsidiaries</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23</w:t>
            </w:r>
          </w:p>
        </w:tc>
        <w:tc>
          <w:tcPr>
            <w:tcW w:w="7248" w:type="dxa"/>
            <w:tcBorders/>
            <w:shd w:fill="CCEEFF" w:val="clear"/>
            <w:vAlign w:val="center"/>
          </w:tcPr>
          <w:p>
            <w:pPr>
              <w:pStyle w:val="TableContents"/>
              <w:bidi w:val="0"/>
              <w:spacing w:before="0" w:after="0"/>
              <w:jc w:val="left"/>
              <w:rPr/>
            </w:pPr>
            <w:hyperlink r:id="rId53">
              <w:r>
                <w:rPr>
                  <w:rStyle w:val="InternetLink"/>
                  <w:rFonts w:ascii="Times New Roman" w:hAnsi="Times New Roman"/>
                  <w:color w:val="000000"/>
                  <w:sz w:val="20"/>
                </w:rPr>
                <w:t>Consent of Deloitte &amp; Touche LLP, an independent registered public accounting firm.</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23</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31.1</w:t>
            </w:r>
          </w:p>
        </w:tc>
        <w:tc>
          <w:tcPr>
            <w:tcW w:w="7248" w:type="dxa"/>
            <w:tcBorders/>
            <w:vAlign w:val="center"/>
          </w:tcPr>
          <w:p>
            <w:pPr>
              <w:pStyle w:val="TableContents"/>
              <w:bidi w:val="0"/>
              <w:spacing w:before="0" w:after="0"/>
              <w:jc w:val="left"/>
              <w:rPr/>
            </w:pPr>
            <w:hyperlink r:id="rId54">
              <w:r>
                <w:rPr>
                  <w:rStyle w:val="InternetLink"/>
                  <w:rFonts w:ascii="Times New Roman" w:hAnsi="Times New Roman"/>
                  <w:color w:val="000000"/>
                  <w:sz w:val="20"/>
                </w:rPr>
                <w:t>Certification by the Chief Executive Officer Pursuant to Section 302 of the Sarbanes-Oxley Act of 2002.</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31.1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31.2</w:t>
            </w:r>
          </w:p>
        </w:tc>
        <w:tc>
          <w:tcPr>
            <w:tcW w:w="7248" w:type="dxa"/>
            <w:tcBorders/>
            <w:shd w:fill="CCEEFF" w:val="clear"/>
            <w:vAlign w:val="center"/>
          </w:tcPr>
          <w:p>
            <w:pPr>
              <w:pStyle w:val="TableContents"/>
              <w:bidi w:val="0"/>
              <w:spacing w:before="0" w:after="0"/>
              <w:jc w:val="left"/>
              <w:rPr/>
            </w:pPr>
            <w:hyperlink r:id="rId55">
              <w:r>
                <w:rPr>
                  <w:rStyle w:val="InternetLink"/>
                  <w:rFonts w:ascii="Times New Roman" w:hAnsi="Times New Roman"/>
                  <w:color w:val="000000"/>
                  <w:sz w:val="20"/>
                </w:rPr>
                <w:t>Certification by the Chief Financial Officer Pursuant to Section 302 of the Sarbanes-Oxley Act of 2002.</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31.2</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31.3</w:t>
            </w:r>
          </w:p>
        </w:tc>
        <w:tc>
          <w:tcPr>
            <w:tcW w:w="7248" w:type="dxa"/>
            <w:tcBorders/>
            <w:vAlign w:val="center"/>
          </w:tcPr>
          <w:p>
            <w:pPr>
              <w:pStyle w:val="TableContents"/>
              <w:bidi w:val="0"/>
              <w:spacing w:before="0" w:after="0"/>
              <w:jc w:val="left"/>
              <w:rPr/>
            </w:pPr>
            <w:hyperlink w:anchor="ef20082884_ex31-3.htm">
              <w:r>
                <w:rPr>
                  <w:rStyle w:val="InternetLink"/>
                  <w:rFonts w:ascii="Times New Roman" w:hAnsi="Times New Roman"/>
                  <w:color w:val="000000"/>
                  <w:sz w:val="20"/>
                </w:rPr>
                <w:t>Certification by the Chief Executive Officer Pursuant to Section 302 of the Sarbanes-Oxley Act of 2002.</w:t>
              </w:r>
            </w:hyperlink>
          </w:p>
        </w:tc>
        <w:tc>
          <w:tcPr>
            <w:tcW w:w="46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31.4</w:t>
            </w:r>
          </w:p>
        </w:tc>
        <w:tc>
          <w:tcPr>
            <w:tcW w:w="7248" w:type="dxa"/>
            <w:tcBorders/>
            <w:shd w:fill="CCEEFF" w:val="clear"/>
            <w:vAlign w:val="center"/>
          </w:tcPr>
          <w:p>
            <w:pPr>
              <w:pStyle w:val="TableContents"/>
              <w:bidi w:val="0"/>
              <w:spacing w:before="0" w:after="0"/>
              <w:jc w:val="left"/>
              <w:rPr/>
            </w:pPr>
            <w:hyperlink w:anchor="ef20082884_ex31-4.htm">
              <w:r>
                <w:rPr>
                  <w:rStyle w:val="InternetLink"/>
                  <w:rFonts w:ascii="Times New Roman" w:hAnsi="Times New Roman"/>
                  <w:color w:val="000000"/>
                  <w:sz w:val="20"/>
                </w:rPr>
                <w:t>Certification by the Chief Financial Officer Pursuant to Section 302 of the Sarbanes-Oxley Act of 2002.</w:t>
              </w:r>
            </w:hyperlink>
          </w:p>
        </w:tc>
        <w:tc>
          <w:tcPr>
            <w:tcW w:w="466"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32.1</w:t>
            </w:r>
          </w:p>
        </w:tc>
        <w:tc>
          <w:tcPr>
            <w:tcW w:w="7248" w:type="dxa"/>
            <w:tcBorders/>
            <w:vAlign w:val="center"/>
          </w:tcPr>
          <w:p>
            <w:pPr>
              <w:pStyle w:val="TableContents"/>
              <w:bidi w:val="0"/>
              <w:spacing w:before="0" w:after="0"/>
              <w:jc w:val="left"/>
              <w:rPr/>
            </w:pPr>
            <w:hyperlink r:id="rId56">
              <w:r>
                <w:rPr>
                  <w:rStyle w:val="InternetLink"/>
                  <w:rFonts w:ascii="Times New Roman" w:hAnsi="Times New Roman"/>
                  <w:color w:val="000000"/>
                  <w:sz w:val="20"/>
                </w:rPr>
                <w:t>Certification by the Chief Executive Officer Pursuant to 18 U.S.C. Section 1350, as Adopted Pursuant to Section 906 of the Sarbanes-Oxley Act of 2002.</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32.1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32.2</w:t>
            </w:r>
          </w:p>
        </w:tc>
        <w:tc>
          <w:tcPr>
            <w:tcW w:w="7248" w:type="dxa"/>
            <w:tcBorders/>
            <w:shd w:fill="CCEEFF" w:val="clear"/>
            <w:vAlign w:val="center"/>
          </w:tcPr>
          <w:p>
            <w:pPr>
              <w:pStyle w:val="TableContents"/>
              <w:bidi w:val="0"/>
              <w:spacing w:before="0" w:after="0"/>
              <w:jc w:val="left"/>
              <w:rPr/>
            </w:pPr>
            <w:hyperlink r:id="rId57">
              <w:r>
                <w:rPr>
                  <w:rStyle w:val="InternetLink"/>
                  <w:rFonts w:ascii="Times New Roman" w:hAnsi="Times New Roman"/>
                  <w:color w:val="000000"/>
                  <w:sz w:val="20"/>
                </w:rPr>
                <w:t>Certification by the Chief Financial Officer Pursuant to 18 U.S.C. Section 1350, as Adopted Pursuant to Section 906 of the Sarbanes-Oxley Act of 2002.</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32.2</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97</w:t>
            </w:r>
          </w:p>
        </w:tc>
        <w:tc>
          <w:tcPr>
            <w:tcW w:w="7248" w:type="dxa"/>
            <w:tcBorders/>
            <w:vAlign w:val="center"/>
          </w:tcPr>
          <w:p>
            <w:pPr>
              <w:pStyle w:val="TableContents"/>
              <w:bidi w:val="0"/>
              <w:spacing w:before="0" w:after="0"/>
              <w:jc w:val="left"/>
              <w:rPr/>
            </w:pPr>
            <w:hyperlink r:id="rId58">
              <w:r>
                <w:rPr>
                  <w:rStyle w:val="InternetLink"/>
                  <w:rFonts w:ascii="Times New Roman" w:hAnsi="Times New Roman"/>
                  <w:color w:val="000000"/>
                  <w:sz w:val="20"/>
                </w:rPr>
                <w:t>Clawback Policy</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97</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18, 2025</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101.INS</w:t>
            </w:r>
          </w:p>
        </w:tc>
        <w:tc>
          <w:tcPr>
            <w:tcW w:w="7248"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Instance Document</w:t>
            </w:r>
          </w:p>
        </w:tc>
        <w:tc>
          <w:tcPr>
            <w:tcW w:w="466"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101.SCH</w:t>
            </w:r>
          </w:p>
        </w:tc>
        <w:tc>
          <w:tcPr>
            <w:tcW w:w="724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Schema Document</w:t>
            </w:r>
          </w:p>
        </w:tc>
        <w:tc>
          <w:tcPr>
            <w:tcW w:w="46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101.CAL</w:t>
            </w:r>
          </w:p>
        </w:tc>
        <w:tc>
          <w:tcPr>
            <w:tcW w:w="7248"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Calculation Linkbase Documents</w:t>
            </w:r>
          </w:p>
        </w:tc>
        <w:tc>
          <w:tcPr>
            <w:tcW w:w="466"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101.DEF</w:t>
            </w:r>
          </w:p>
        </w:tc>
        <w:tc>
          <w:tcPr>
            <w:tcW w:w="724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Taxonomy Extension Definition Linkbase Document</w:t>
            </w:r>
          </w:p>
        </w:tc>
        <w:tc>
          <w:tcPr>
            <w:tcW w:w="46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101.LAB</w:t>
            </w:r>
          </w:p>
        </w:tc>
        <w:tc>
          <w:tcPr>
            <w:tcW w:w="7248"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Labels Linkbase Documents</w:t>
            </w:r>
          </w:p>
        </w:tc>
        <w:tc>
          <w:tcPr>
            <w:tcW w:w="466"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101.PRE</w:t>
            </w:r>
          </w:p>
        </w:tc>
        <w:tc>
          <w:tcPr>
            <w:tcW w:w="724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Presentation Linkbase Documents</w:t>
            </w:r>
          </w:p>
        </w:tc>
        <w:tc>
          <w:tcPr>
            <w:tcW w:w="46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*Certain exhibits and schedules have been omitted pursuant to Item 601(a)(5) of Regulation S-K. The registrant undertakes to furnish supplementally a copy of any omitted exhibit or schedule upon request by the SEC.</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50</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center"/>
        <w:rPr>
          <w:rFonts w:ascii="Times New Roman" w:hAnsi="Times New Roman"/>
          <w:b/>
          <w:color w:val="000000"/>
        </w:rPr>
      </w:pPr>
      <w:r>
        <w:rPr>
          <w:rFonts w:ascii="Times New Roman" w:hAnsi="Times New Roman"/>
          <w:b/>
          <w:color w:val="000000"/>
        </w:rPr>
      </w:r>
    </w:p>
    <w:p>
      <w:pPr>
        <w:pStyle w:val="TextBody"/>
        <w:bidi w:val="0"/>
        <w:spacing w:before="160" w:after="283"/>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color w:val="000000"/>
        </w:rPr>
      </w:pPr>
      <w:r>
        <w:rPr>
          <w:rFonts w:ascii="Times New Roman" w:hAnsi="Times New Roman"/>
          <w:color w:val="000000"/>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5" w:name="z6fbf0ccf524b44d288b572123912265c"/>
      <w:bookmarkStart w:id="326" w:name="z6fbf0ccf524b44d288b572123912265c"/>
      <w:bookmarkEnd w:id="326"/>
    </w:p>
    <w:tbl>
      <w:tblPr>
        <w:tblW w:w="5540" w:type="dxa"/>
        <w:jc w:val="left"/>
        <w:tblInd w:w="0" w:type="dxa"/>
        <w:tblLayout w:type="fixed"/>
        <w:tblCellMar>
          <w:top w:w="0" w:type="dxa"/>
          <w:left w:w="0" w:type="dxa"/>
          <w:bottom w:w="0" w:type="dxa"/>
          <w:right w:w="0" w:type="dxa"/>
        </w:tblCellMar>
      </w:tblPr>
      <w:tblGrid>
        <w:gridCol w:w="485"/>
        <w:gridCol w:w="90"/>
        <w:gridCol w:w="1670"/>
        <w:gridCol w:w="350"/>
        <w:gridCol w:w="90"/>
        <w:gridCol w:w="2855"/>
      </w:tblGrid>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3295"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ANGIODYNAMICS, INC.</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3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9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HOWARD W. DONNELLY</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Howard W. Donnelly,</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Chairman of the Board, Director</w:t>
            </w:r>
          </w:p>
        </w:tc>
      </w:tr>
    </w:tbl>
    <w:p>
      <w:pPr>
        <w:pStyle w:val="TextBody"/>
        <w:bidi w:val="0"/>
        <w:spacing w:before="0" w:after="0"/>
        <w:ind w:left="0" w:right="0" w:firstLine="495"/>
        <w:jc w:val="left"/>
        <w:rPr>
          <w:rFonts w:ascii="Times New Roman" w:hAnsi="Times New Roman"/>
          <w:color w:val="000000"/>
        </w:rPr>
      </w:pPr>
      <w:r>
        <w:rPr>
          <w:rFonts w:ascii="Times New Roman" w:hAnsi="Times New Roman"/>
          <w:color w:val="000000"/>
        </w:rPr>
      </w:r>
    </w:p>
    <w:p>
      <w:pPr>
        <w:pStyle w:val="TextBody"/>
        <w:bidi w:val="0"/>
        <w:spacing w:before="60" w:after="283"/>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7" w:name="zf80b8021f78745758bc98158dcb3a141"/>
      <w:bookmarkStart w:id="328" w:name="zf80b8021f78745758bc98158dcb3a141"/>
      <w:bookmarkEnd w:id="328"/>
    </w:p>
    <w:tbl>
      <w:tblPr>
        <w:tblW w:w="6600" w:type="dxa"/>
        <w:jc w:val="left"/>
        <w:tblInd w:w="0" w:type="dxa"/>
        <w:tblLayout w:type="fixed"/>
        <w:tblCellMar>
          <w:top w:w="0" w:type="dxa"/>
          <w:left w:w="0" w:type="dxa"/>
          <w:bottom w:w="0" w:type="dxa"/>
          <w:right w:w="0" w:type="dxa"/>
        </w:tblCellMar>
      </w:tblPr>
      <w:tblGrid>
        <w:gridCol w:w="485"/>
        <w:gridCol w:w="90"/>
        <w:gridCol w:w="1670"/>
        <w:gridCol w:w="90"/>
        <w:gridCol w:w="4265"/>
      </w:tblGrid>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r>
          </w:p>
        </w:tc>
        <w:tc>
          <w:tcPr>
            <w:tcW w:w="16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center"/>
              <w:rPr/>
            </w:pPr>
            <w:r>
              <w:rPr/>
              <w:t> </w:t>
            </w:r>
            <w:r>
              <w:rPr>
                <w:rFonts w:ascii="Times New Roman" w:hAnsi="Times New Roman"/>
                <w:sz w:val="20"/>
              </w:rPr>
              <w:t>/S/ HOWARD W. DONNELLY</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Howard W. Donnelly,</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Chairman of the Board, 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JAMES C. CLEMMER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James C. Clemmer,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President, Chief Executive Officer</w:t>
            </w:r>
          </w:p>
          <w:p>
            <w:pPr>
              <w:pStyle w:val="TableContents"/>
              <w:bidi w:val="0"/>
              <w:spacing w:before="0" w:after="0"/>
              <w:jc w:val="left"/>
              <w:rPr/>
            </w:pPr>
            <w:r>
              <w:rPr/>
              <w: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STEPHEN A. TROWBRIDGE</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Stephen A. Trowbridge,</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Executive Vice President, Chief Financial Officer,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(Principal Financial and Accounting Officer)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WESLEY E. JOHNSON, JR.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Wesley E. Johnson, Jr.,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JAN S. REED</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Jan S. Reed,</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EILEEN O. AUEN</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Eileen O. Auen,</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KAREN A. LICITRA</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Karen A. Licitra,</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MICHAEL E. TARNOFF</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Michael E. Tarnoff,</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LORINDA A. BURGESS</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Lorinda A. Burgess,</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51</w:t>
      </w:r>
    </w:p>
    <w:p>
      <w:pPr>
        <w:pStyle w:val="HorizontalLine"/>
        <w:bidi w:val="0"/>
        <w:jc w:val="center"/>
        <w:rPr/>
      </w:pPr>
      <w:r>
        <w:rPr/>
      </w:r>
    </w:p>
    <w:p>
      <w:pPr>
        <w:pStyle w:val="HorizontalLine"/>
        <w:bidi w:val="0"/>
        <w:jc w:val="left"/>
        <w:rPr/>
      </w:pPr>
      <w:r>
        <w:rPr/>
      </w:r>
      <w:bookmarkStart w:id="329" w:name="ef20082884_ex31-3.htm"/>
      <w:bookmarkStart w:id="330" w:name="ksef20082884_ex313"/>
      <w:bookmarkStart w:id="331" w:name="ef20082884_ex31-3.htm"/>
      <w:bookmarkStart w:id="332" w:name="ksef20082884_ex313"/>
      <w:bookmarkEnd w:id="331"/>
      <w:bookmarkEnd w:id="332"/>
      <w:r>
        <w:br w:type="page"/>
      </w:r>
    </w:p>
    <w:p>
      <w:pPr>
        <w:pStyle w:val="TextBody"/>
        <w:bidi w:val="0"/>
        <w:spacing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before="0" w:after="0"/>
        <w:jc w:val="left"/>
        <w:rPr/>
      </w:pPr>
      <w:r>
        <w:rPr/>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CERTIFICATION</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I, James C. Clemmer,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3" w:name="z2e862b73aa2d4ca7ac2ef2870bfaf640"/>
      <w:bookmarkStart w:id="334" w:name="z2e862b73aa2d4ca7ac2ef2870bfaf640"/>
      <w:bookmarkEnd w:id="334"/>
    </w:p>
    <w:tbl>
      <w:tblPr>
        <w:tblW w:w="8740" w:type="dxa"/>
        <w:jc w:val="left"/>
        <w:tblInd w:w="0" w:type="dxa"/>
        <w:tblLayout w:type="fixed"/>
        <w:tblCellMar>
          <w:top w:w="0" w:type="dxa"/>
          <w:left w:w="0" w:type="dxa"/>
          <w:bottom w:w="0" w:type="dxa"/>
          <w:right w:w="0" w:type="dxa"/>
        </w:tblCellMar>
      </w:tblPr>
      <w:tblGrid>
        <w:gridCol w:w="215"/>
        <w:gridCol w:w="8525"/>
      </w:tblGrid>
      <w:tr>
        <w:trPr/>
        <w:tc>
          <w:tcPr>
            <w:tcW w:w="215"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1.</w:t>
            </w:r>
          </w:p>
        </w:tc>
        <w:tc>
          <w:tcPr>
            <w:tcW w:w="852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 have reviewed this Amendment No. 1 to the Annual Report on Form 10-K of AngioDynamics, Inc.;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5" w:name="z7953519093914c328b2ee54115db1d6c"/>
      <w:bookmarkStart w:id="336" w:name="z7953519093914c328b2ee54115db1d6c"/>
      <w:bookmarkEnd w:id="336"/>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2.</w:t>
            </w:r>
          </w:p>
        </w:tc>
        <w:tc>
          <w:tcPr>
            <w:tcW w:w="10018"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Date: September 28,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7" w:name="z311d152da6f24d02a710b82e43e46a82"/>
      <w:bookmarkStart w:id="338" w:name="z311d152da6f24d02a710b82e43e46a82"/>
      <w:bookmarkEnd w:id="338"/>
    </w:p>
    <w:tbl>
      <w:tblPr>
        <w:tblW w:w="2450" w:type="dxa"/>
        <w:jc w:val="left"/>
        <w:tblInd w:w="0" w:type="dxa"/>
        <w:tblLayout w:type="fixed"/>
        <w:tblCellMar>
          <w:top w:w="0" w:type="dxa"/>
          <w:left w:w="0" w:type="dxa"/>
          <w:bottom w:w="0" w:type="dxa"/>
          <w:right w:w="0" w:type="dxa"/>
        </w:tblCellMar>
      </w:tblPr>
      <w:tblGrid>
        <w:gridCol w:w="2450"/>
      </w:tblGrid>
      <w:tr>
        <w:trPr/>
        <w:tc>
          <w:tcPr>
            <w:tcW w:w="2450" w:type="dxa"/>
            <w:tcBorders/>
            <w:vAlign w:val="center"/>
          </w:tcPr>
          <w:p>
            <w:pPr>
              <w:pStyle w:val="TableContents"/>
              <w:bidi w:val="0"/>
              <w:spacing w:before="0" w:after="20"/>
              <w:jc w:val="left"/>
              <w:rPr>
                <w:rFonts w:ascii="Times New Roman;serif" w:hAnsi="Times New Roman;serif"/>
                <w:color w:val="000000"/>
                <w:sz w:val="20"/>
              </w:rPr>
            </w:pPr>
            <w:r>
              <w:rPr>
                <w:rFonts w:ascii="Times New Roman;serif" w:hAnsi="Times New Roman;serif"/>
                <w:color w:val="000000"/>
                <w:sz w:val="20"/>
              </w:rPr>
              <w:t>/ S / JAMES C. CLEMMER</w:t>
            </w:r>
          </w:p>
        </w:tc>
      </w:tr>
      <w:tr>
        <w:trPr/>
        <w:tc>
          <w:tcPr>
            <w:tcW w:w="2450" w:type="dxa"/>
            <w:tcBorders>
              <w:top w:val="single" w:sz="12" w:space="0" w:color="000000"/>
            </w:tcBorders>
            <w:tcMar>
              <w:top w:w="28" w:type="dxa"/>
            </w:tcM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James C. Clemmer, President,</w:t>
            </w:r>
          </w:p>
        </w:tc>
      </w:tr>
      <w:tr>
        <w:trPr/>
        <w:tc>
          <w:tcPr>
            <w:tcW w:w="2450"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339" w:name="ef20082884_ex31-4.htm"/>
      <w:bookmarkStart w:id="340" w:name="ksef20082884_ex314"/>
      <w:bookmarkStart w:id="341" w:name="ef20082884_ex31-4.htm"/>
      <w:bookmarkStart w:id="342" w:name="ksef20082884_ex314"/>
      <w:bookmarkEnd w:id="341"/>
      <w:bookmarkEnd w:id="342"/>
      <w:r>
        <w:br w:type="page"/>
      </w:r>
    </w:p>
    <w:p>
      <w:pPr>
        <w:pStyle w:val="TextBody"/>
        <w:bidi w:val="0"/>
        <w:spacing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before="0" w:after="0"/>
        <w:jc w:val="left"/>
        <w:rPr/>
      </w:pPr>
      <w:r>
        <w:rPr/>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CERTIFICATION</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I, Stephen A. Trowbridge,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3" w:name="z8407b799022440c59d5d64a9e72adeaf"/>
      <w:bookmarkStart w:id="344" w:name="z8407b799022440c59d5d64a9e72adeaf"/>
      <w:bookmarkEnd w:id="344"/>
    </w:p>
    <w:tbl>
      <w:tblPr>
        <w:tblW w:w="8740" w:type="dxa"/>
        <w:jc w:val="left"/>
        <w:tblInd w:w="0" w:type="dxa"/>
        <w:tblLayout w:type="fixed"/>
        <w:tblCellMar>
          <w:top w:w="0" w:type="dxa"/>
          <w:left w:w="0" w:type="dxa"/>
          <w:bottom w:w="0" w:type="dxa"/>
          <w:right w:w="0" w:type="dxa"/>
        </w:tblCellMar>
      </w:tblPr>
      <w:tblGrid>
        <w:gridCol w:w="215"/>
        <w:gridCol w:w="8525"/>
      </w:tblGrid>
      <w:tr>
        <w:trPr/>
        <w:tc>
          <w:tcPr>
            <w:tcW w:w="215"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1.</w:t>
            </w:r>
          </w:p>
        </w:tc>
        <w:tc>
          <w:tcPr>
            <w:tcW w:w="852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 have reviewed this Amendment No. 1 to the Annual Report on Form 10-K of AngioDynamics, Inc.;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5" w:name="zecc3393fc9964fe8b43452eac31a6a35"/>
      <w:bookmarkStart w:id="346" w:name="zecc3393fc9964fe8b43452eac31a6a35"/>
      <w:bookmarkEnd w:id="346"/>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2.</w:t>
            </w:r>
          </w:p>
        </w:tc>
        <w:tc>
          <w:tcPr>
            <w:tcW w:w="10018"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Date: September 28,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7" w:name="z6917ac9c68b649e09f5bb9a1d00f4550"/>
      <w:bookmarkStart w:id="348" w:name="z6917ac9c68b649e09f5bb9a1d00f4550"/>
      <w:bookmarkEnd w:id="348"/>
    </w:p>
    <w:tbl>
      <w:tblPr>
        <w:tblW w:w="4160" w:type="dxa"/>
        <w:jc w:val="left"/>
        <w:tblInd w:w="0" w:type="dxa"/>
        <w:tblLayout w:type="fixed"/>
        <w:tblCellMar>
          <w:top w:w="0" w:type="dxa"/>
          <w:left w:w="0" w:type="dxa"/>
          <w:bottom w:w="0" w:type="dxa"/>
          <w:right w:w="0" w:type="dxa"/>
        </w:tblCellMar>
      </w:tblPr>
      <w:tblGrid>
        <w:gridCol w:w="4160"/>
      </w:tblGrid>
      <w:tr>
        <w:trPr/>
        <w:tc>
          <w:tcPr>
            <w:tcW w:w="4160" w:type="dxa"/>
            <w:tcBorders/>
            <w:vAlign w:val="center"/>
          </w:tcPr>
          <w:p>
            <w:pPr>
              <w:pStyle w:val="TableContents"/>
              <w:bidi w:val="0"/>
              <w:spacing w:before="0" w:after="20"/>
              <w:jc w:val="left"/>
              <w:rPr>
                <w:rFonts w:ascii="Times New Roman;serif" w:hAnsi="Times New Roman;serif"/>
                <w:color w:val="000000"/>
                <w:sz w:val="20"/>
              </w:rPr>
            </w:pPr>
            <w:r>
              <w:rPr>
                <w:rFonts w:ascii="Times New Roman;serif" w:hAnsi="Times New Roman;serif"/>
                <w:color w:val="000000"/>
                <w:sz w:val="20"/>
              </w:rPr>
              <w:t>/ S /  STEPHEN A. TROWBRIDGE</w:t>
            </w:r>
          </w:p>
        </w:tc>
      </w:tr>
      <w:tr>
        <w:trPr/>
        <w:tc>
          <w:tcPr>
            <w:tcW w:w="4160" w:type="dxa"/>
            <w:tcBorders>
              <w:top w:val="single" w:sz="12" w:space="0" w:color="000000"/>
            </w:tcBorders>
            <w:tcMar>
              <w:top w:w="28" w:type="dxa"/>
            </w:tcM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Stephen A. Trowbridge, Executive Vice President,</w:t>
            </w:r>
          </w:p>
        </w:tc>
      </w:tr>
      <w:tr>
        <w:trPr/>
        <w:tc>
          <w:tcPr>
            <w:tcW w:w="4160"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275187/000114036123029854/brhc20054314_ex2-1.htm" TargetMode="External"/><Relationship Id="rId13" Type="http://schemas.openxmlformats.org/officeDocument/2006/relationships/hyperlink" Target="https://www.sec.gov/Archives/edgar/data/1275187/000119312505198180/dex31.htm" TargetMode="External"/><Relationship Id="rId14" Type="http://schemas.openxmlformats.org/officeDocument/2006/relationships/hyperlink" Target="https://www.sec.gov/Archives/edgar/data/1275187/000127518715000018/ex31253115.htm" TargetMode="External"/><Relationship Id="rId15" Type="http://schemas.openxmlformats.org/officeDocument/2006/relationships/hyperlink" Target="https://www.sec.gov/Archives/edgar/data/1275187/000091412115000548/an33460072-ex3_1.htm" TargetMode="External"/><Relationship Id="rId16" Type="http://schemas.openxmlformats.org/officeDocument/2006/relationships/hyperlink" Target="https://www.sec.gov/Archives/edgar/data/1275187/000114036125020621/ef20049727_ex10-1.htm" TargetMode="External"/><Relationship Id="rId17" Type="http://schemas.openxmlformats.org/officeDocument/2006/relationships/hyperlink" Target="https://www.sec.gov/Archives/edgar/data/1275187/000114036126003518/ef20064537_ex10-1.htm" TargetMode="External"/><Relationship Id="rId18" Type="http://schemas.openxmlformats.org/officeDocument/2006/relationships/hyperlink" Target="https://www.sec.gov/Archives/edgar/data/1275187/000127518718000016/angoproxy-53118.htm" TargetMode="External"/><Relationship Id="rId19" Type="http://schemas.openxmlformats.org/officeDocument/2006/relationships/hyperlink" Target="https://www.sec.gov/Archives/edgar/data/1275187/000127518717000034/a83117-exx101.htm" TargetMode="External"/><Relationship Id="rId20" Type="http://schemas.openxmlformats.org/officeDocument/2006/relationships/hyperlink" Target="https://www.sec.gov/Archives/edgar/data/1275187/000127518718000011/ex1017totalshareholderretu.htm" TargetMode="External"/><Relationship Id="rId21" Type="http://schemas.openxmlformats.org/officeDocument/2006/relationships/hyperlink" Target="https://www.sec.gov/Archives/edgar/data/1275187/000127518720000005/psuawardagreement.htm" TargetMode="External"/><Relationship Id="rId22" Type="http://schemas.openxmlformats.org/officeDocument/2006/relationships/hyperlink" Target="https://www.sec.gov/ix?doc=/Archives/edgar/data/0001275187/000162828024041344/ango-20240926.htm" TargetMode="External"/><Relationship Id="rId23" Type="http://schemas.openxmlformats.org/officeDocument/2006/relationships/hyperlink" Target="https://www.sec.gov/Archives/edgar/data/1275187/000127518720000028/angoproxy-53120.htm" TargetMode="External"/><Relationship Id="rId24" Type="http://schemas.openxmlformats.org/officeDocument/2006/relationships/hyperlink" Target="https://www.sec.gov/Archives/edgar/data/1275187/000114036126003518/ef20064537_ex10-2.htm" TargetMode="External"/><Relationship Id="rId25" Type="http://schemas.openxmlformats.org/officeDocument/2006/relationships/hyperlink" Target="https://www.sec.gov/Archives/edgar/data/1275187/000119312504169832/dex101.htm" TargetMode="External"/><Relationship Id="rId26" Type="http://schemas.openxmlformats.org/officeDocument/2006/relationships/hyperlink" Target="https://www.sec.gov/Archives/edgar/data/1275187/000127518718000011/ex1031stockoptionagreement.htm" TargetMode="External"/><Relationship Id="rId27" Type="http://schemas.openxmlformats.org/officeDocument/2006/relationships/hyperlink" Target="https://www.sec.gov/Archives/edgar/data/1275187/000127518716000037/ex102-2016psuagreement.htm" TargetMode="External"/><Relationship Id="rId28" Type="http://schemas.openxmlformats.org/officeDocument/2006/relationships/hyperlink" Target="https://www.sec.gov/Archives/edgar/data/1275187/000127518717000034/a83117-exx102.htm" TargetMode="External"/><Relationship Id="rId29" Type="http://schemas.openxmlformats.org/officeDocument/2006/relationships/hyperlink" Target="https://www.sec.gov/Archives/edgar/data/1275187/000127518718000011/ex1045performanceunitaward.htm" TargetMode="External"/><Relationship Id="rId30" Type="http://schemas.openxmlformats.org/officeDocument/2006/relationships/hyperlink" Target="https://www.sec.gov/Archives/edgar/data/1275187/000127518721000005/psu2020agreement.htm" TargetMode="External"/><Relationship Id="rId31" Type="http://schemas.openxmlformats.org/officeDocument/2006/relationships/hyperlink" Target="https://www.sec.gov/Archives/edgar/data/1275187/000127518721000023/formpsuawardagreement.htm" TargetMode="External"/><Relationship Id="rId32" Type="http://schemas.openxmlformats.org/officeDocument/2006/relationships/hyperlink" Target="https://www.sec.gov/Archives/edgar/data/1275187/000116923205002637/d63831_ex10-3.htm" TargetMode="External"/><Relationship Id="rId33" Type="http://schemas.openxmlformats.org/officeDocument/2006/relationships/hyperlink" Target="https://www.sec.gov/Archives/edgar/data/1056421/0001012870-00-002503-index.html" TargetMode="External"/><Relationship Id="rId34" Type="http://schemas.openxmlformats.org/officeDocument/2006/relationships/hyperlink" Target="https://www.sec.gov/Archives/edgar/data/1056421/000101287000003359/0001012870-00-003359-0009.txt" TargetMode="External"/><Relationship Id="rId35" Type="http://schemas.openxmlformats.org/officeDocument/2006/relationships/hyperlink" Target="https://www.sec.gov/Archives/edgar/data/1056421/000114420405021015/v021182_ex99-2.htm" TargetMode="External"/><Relationship Id="rId36" Type="http://schemas.openxmlformats.org/officeDocument/2006/relationships/hyperlink" Target="https://www.sec.gov/Archives/edgar/data/1056421/000114420405021015/v021182_ex99-1.htm" TargetMode="External"/><Relationship Id="rId37" Type="http://schemas.openxmlformats.org/officeDocument/2006/relationships/hyperlink" Target="https://www.sec.gov/Archives/edgar/data/1275187/000116923206002370/d68040_ex10-1.htm" TargetMode="External"/><Relationship Id="rId38" Type="http://schemas.openxmlformats.org/officeDocument/2006/relationships/hyperlink" Target="https://www.sec.gov/Archives/edgar/data/1275187/000091412116001069/an35192888-ex10_1.htm" TargetMode="External"/><Relationship Id="rId39" Type="http://schemas.openxmlformats.org/officeDocument/2006/relationships/hyperlink" Target="https://www.sec.gov/Archives/edgar/data/1275187/000091412116001069/an35192888-ex10_2.htm" TargetMode="External"/><Relationship Id="rId40" Type="http://schemas.openxmlformats.org/officeDocument/2006/relationships/hyperlink" Target="https://www.sec.gov/Archives/edgar/data/1275187/000127518720000024/formofseveranceagreeme.htm" TargetMode="External"/><Relationship Id="rId41" Type="http://schemas.openxmlformats.org/officeDocument/2006/relationships/hyperlink" Target="https://www.sec.gov/Archives/edgar/data/1275187/000127518715000011/ex101353114a.htm" TargetMode="External"/><Relationship Id="rId42" Type="http://schemas.openxmlformats.org/officeDocument/2006/relationships/hyperlink" Target="https://www.sec.gov/Archives/edgar/data/1275187/000091412116001069/an35192888-ex10_3.htm" TargetMode="External"/><Relationship Id="rId43" Type="http://schemas.openxmlformats.org/officeDocument/2006/relationships/hyperlink" Target="https://www.sec.gov/Archives/edgar/data/1275187/000091412116001069/an35192888-ex10_4.htm" TargetMode="External"/><Relationship Id="rId44" Type="http://schemas.openxmlformats.org/officeDocument/2006/relationships/hyperlink" Target="https://www.sec.gov/Archives/edgar/data/1275187/000091412116001069/an35192888-ex10_5.htm" TargetMode="External"/><Relationship Id="rId45" Type="http://schemas.openxmlformats.org/officeDocument/2006/relationships/hyperlink" Target="https://www.sec.gov/Archives/edgar/data/1275187/000091412116001069/an35192888-ex10_6.htm" TargetMode="External"/><Relationship Id="rId46" Type="http://schemas.openxmlformats.org/officeDocument/2006/relationships/hyperlink" Target="https://www.sec.gov/Archives/edgar/data/1275187/000091412116001150/an35296029-ex10_1.htm" TargetMode="External"/><Relationship Id="rId47" Type="http://schemas.openxmlformats.org/officeDocument/2006/relationships/hyperlink" Target="https://www.sec.gov/ix?doc=/Archives/edgar/data/1275187/000091412121000581/an55676910-8ki.htm" TargetMode="External"/><Relationship Id="rId48" Type="http://schemas.openxmlformats.org/officeDocument/2006/relationships/hyperlink" Target="https://www.sec.gov/Archives/edgar/data/1275187/000091412121000581/an55676910-ex10_2.htm" TargetMode="External"/><Relationship Id="rId49" Type="http://schemas.openxmlformats.org/officeDocument/2006/relationships/hyperlink" Target="https://www.sec.gov/Archives/edgar/data/1275187/000162828024032989/ex1021_bard-angiosettlemen.htm" TargetMode="External"/><Relationship Id="rId50" Type="http://schemas.openxmlformats.org/officeDocument/2006/relationships/hyperlink" Target="https://www.sec.gov/Archives/edgar/data/1275187/000162828026048138/angiodynamicscodeconduct.htm" TargetMode="External"/><Relationship Id="rId51" Type="http://schemas.openxmlformats.org/officeDocument/2006/relationships/hyperlink" Target="https://www.sec.gov/Archives/edgar/data/1275187/000127518725000014/ex19insidertradingpolicy53.htm" TargetMode="External"/><Relationship Id="rId52" Type="http://schemas.openxmlformats.org/officeDocument/2006/relationships/hyperlink" Target="https://www.sec.gov/Archives/edgar/data/1275187/000162828026048138/ex2105312026.htm" TargetMode="External"/><Relationship Id="rId53" Type="http://schemas.openxmlformats.org/officeDocument/2006/relationships/hyperlink" Target="https://www.sec.gov/Archives/edgar/data/1275187/000162828026048138/ex23angio2026consentofdelo.htm" TargetMode="External"/><Relationship Id="rId54" Type="http://schemas.openxmlformats.org/officeDocument/2006/relationships/hyperlink" Target="https://www.sec.gov/Archives/edgar/data/1275187/000162828026048138/ex3115312610-k.htm" TargetMode="External"/><Relationship Id="rId55" Type="http://schemas.openxmlformats.org/officeDocument/2006/relationships/hyperlink" Target="https://www.sec.gov/Archives/edgar/data/1275187/000162828026048138/ex3125312610-k.htm" TargetMode="External"/><Relationship Id="rId56" Type="http://schemas.openxmlformats.org/officeDocument/2006/relationships/hyperlink" Target="https://www.sec.gov/Archives/edgar/data/1275187/000162828026048138/ex3215312610-k.htm" TargetMode="External"/><Relationship Id="rId57" Type="http://schemas.openxmlformats.org/officeDocument/2006/relationships/hyperlink" Target="https://www.sec.gov/Archives/edgar/data/1275187/000162828026048138/ex3225312610-k.htm" TargetMode="External"/><Relationship Id="rId58" Type="http://schemas.openxmlformats.org/officeDocument/2006/relationships/hyperlink" Target="https://www.sec.gov/Archives/edgar/data/1275187/000127518725000014/ango-2025053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20546</Words>
  <Characters>113115</Characters>
  <CharactersWithSpaces>134876</CharactersWithSpaces>
  <Paragraphs>7228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