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August 31, 2026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4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color w:val="000000"/>
        </w:rPr>
        <w:t xml:space="preserve">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Commission file number 0-50761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AngioDynamics,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drawing>
          <wp:inline distT="0" distB="0" distL="0" distR="0">
            <wp:extent cx="40195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19550" cy="609600"/>
                    </a:xfrm>
                    <a:prstGeom prst="rect">
                      <a:avLst/>
                    </a:prstGeom>
                  </pic:spPr>
                </pic:pic>
              </a:graphicData>
            </a:graphic>
          </wp:inline>
        </w:drawing>
      </w:r>
      <w:bookmarkStart w:id="0" w:name="i-1"/>
      <w:bookmarkEnd w:id="0"/>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11-3146460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14 Plaza Drive, Latham, New York 12110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(518) 795-1400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076" w:type="dxa"/>
        <w:jc w:val="center"/>
        <w:tblInd w:w="0" w:type="dxa"/>
        <w:tblLayout w:type="fixed"/>
        <w:tblCellMar>
          <w:top w:w="28" w:type="dxa"/>
          <w:left w:w="28" w:type="dxa"/>
          <w:bottom w:w="28" w:type="dxa"/>
          <w:right w:w="28" w:type="dxa"/>
        </w:tblCellMar>
      </w:tblPr>
      <w:tblGrid>
        <w:gridCol w:w="1035"/>
        <w:gridCol w:w="909"/>
        <w:gridCol w:w="920"/>
        <w:gridCol w:w="109"/>
        <w:gridCol w:w="109"/>
        <w:gridCol w:w="109"/>
        <w:gridCol w:w="414"/>
        <w:gridCol w:w="414"/>
        <w:gridCol w:w="416"/>
        <w:gridCol w:w="109"/>
        <w:gridCol w:w="109"/>
        <w:gridCol w:w="109"/>
        <w:gridCol w:w="970"/>
        <w:gridCol w:w="970"/>
        <w:gridCol w:w="1374"/>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ind w:left="0" w:right="0" w:firstLine="495"/>
        <w:jc w:val="left"/>
        <w:rPr/>
      </w:pPr>
      <w:r>
        <w:rPr>
          <w:rFonts w:ascii="Times New Roman;serif" w:hAnsi="Times New Roman;serif"/>
          <w:b w:val="false"/>
          <w:color w:val="000000"/>
          <w:sz w:val="20"/>
        </w:rPr>
        <w:t>Indicate by check mark if the registrant is not required to file reports pursuant to Section 13 or 15(d)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6316"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Registrant’s classes of common stock, as of the latest practicable date.</w:t>
      </w:r>
    </w:p>
    <w:tbl>
      <w:tblPr>
        <w:tblW w:w="5712" w:type="dxa"/>
        <w:jc w:val="left"/>
        <w:tblInd w:w="0" w:type="dxa"/>
        <w:tblLayout w:type="fixed"/>
        <w:tblCellMar>
          <w:top w:w="28" w:type="dxa"/>
          <w:left w:w="28" w:type="dxa"/>
          <w:bottom w:w="28" w:type="dxa"/>
          <w:right w:w="28" w:type="dxa"/>
        </w:tblCellMar>
      </w:tblPr>
      <w:tblGrid>
        <w:gridCol w:w="979"/>
        <w:gridCol w:w="865"/>
        <w:gridCol w:w="871"/>
        <w:gridCol w:w="109"/>
        <w:gridCol w:w="109"/>
        <w:gridCol w:w="109"/>
        <w:gridCol w:w="780"/>
        <w:gridCol w:w="780"/>
        <w:gridCol w:w="1110"/>
      </w:tblGrid>
      <w:tr>
        <w:trPr/>
        <w:tc>
          <w:tcPr>
            <w:tcW w:w="97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Outstanding as of October 7, 2026</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42,054,450</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911" w:type="dxa"/>
        <w:jc w:val="left"/>
        <w:tblInd w:w="0" w:type="dxa"/>
        <w:tblLayout w:type="fixed"/>
        <w:tblCellMar>
          <w:top w:w="28" w:type="dxa"/>
          <w:left w:w="28" w:type="dxa"/>
          <w:bottom w:w="28" w:type="dxa"/>
          <w:right w:w="28" w:type="dxa"/>
        </w:tblCellMar>
      </w:tblPr>
      <w:tblGrid>
        <w:gridCol w:w="304"/>
        <w:gridCol w:w="267"/>
        <w:gridCol w:w="270"/>
        <w:gridCol w:w="2518"/>
        <w:gridCol w:w="2518"/>
        <w:gridCol w:w="2523"/>
        <w:gridCol w:w="149"/>
        <w:gridCol w:w="149"/>
        <w:gridCol w:w="21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eb757e389f4732a10515f987d9d04f_10">
              <w:r>
                <w:rPr>
                  <w:rStyle w:val="InternetLink"/>
                  <w:rFonts w:ascii="Times New Roman;serif" w:hAnsi="Times New Roman;serif"/>
                  <w:b/>
                  <w:color w:val="0000FF"/>
                  <w:sz w:val="20"/>
                  <w:u w:val="single"/>
                </w:rPr>
                <w:t>Part I: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13">
              <w:r>
                <w:rPr>
                  <w:rStyle w:val="InternetLink"/>
                  <w:rFonts w:ascii="Times New Roman;serif" w:hAnsi="Times New Roman;serif"/>
                  <w:b/>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16">
              <w:r>
                <w:rPr>
                  <w:rStyle w:val="InternetLink"/>
                  <w:rFonts w:ascii="Times New Roman;serif" w:hAnsi="Times New Roman;serif"/>
                  <w:b w:val="false"/>
                  <w:color w:val="0000FF"/>
                  <w:sz w:val="20"/>
                  <w:u w:val="single"/>
                </w:rPr>
                <w:t>Consolidated Statements of Operations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16">
              <w:r>
                <w:rPr>
                  <w:rStyle w:val="InternetLink"/>
                  <w:rFonts w:ascii="Times New Roman;serif" w:hAnsi="Times New Roman;serif"/>
                  <w:b w:val="false"/>
                  <w:color w:val="0000FF"/>
                  <w:sz w:val="20"/>
                  <w:u w:val="singl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19">
              <w:r>
                <w:rPr>
                  <w:rStyle w:val="InternetLink"/>
                  <w:rFonts w:ascii="Times New Roman;serif" w:hAnsi="Times New Roman;serif"/>
                  <w:b w:val="false"/>
                  <w:color w:val="0000FF"/>
                  <w:sz w:val="20"/>
                  <w:u w:val="single"/>
                </w:rPr>
                <w:t>Consolidated Statements of Comprehensive Loss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19">
              <w:r>
                <w:rPr>
                  <w:rStyle w:val="InternetLink"/>
                  <w:rFonts w:ascii="Times New Roman;serif" w:hAnsi="Times New Roman;serif"/>
                  <w:b w:val="false"/>
                  <w:color w:val="0000FF"/>
                  <w:sz w:val="20"/>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22">
              <w:r>
                <w:rPr>
                  <w:rStyle w:val="InternetLink"/>
                  <w:rFonts w:ascii="Times New Roman;serif" w:hAnsi="Times New Roman;serif"/>
                  <w:b w:val="false"/>
                  <w:color w:val="0000FF"/>
                  <w:sz w:val="20"/>
                  <w:u w:val="single"/>
                </w:rPr>
                <w:t>Consolidated Balance Sheets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22">
              <w:r>
                <w:rPr>
                  <w:rStyle w:val="InternetLink"/>
                  <w:rFonts w:ascii="Times New Roman;serif" w:hAnsi="Times New Roman;serif"/>
                  <w:b w:val="false"/>
                  <w:color w:val="0000FF"/>
                  <w:sz w:val="20"/>
                  <w:u w:val="singl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25">
              <w:r>
                <w:rPr>
                  <w:rStyle w:val="InternetLink"/>
                  <w:rFonts w:ascii="Times New Roman;serif" w:hAnsi="Times New Roman;serif"/>
                  <w:b w:val="false"/>
                  <w:color w:val="0000FF"/>
                  <w:sz w:val="20"/>
                  <w:u w:val="single"/>
                </w:rPr>
                <w:t>Consolidated Statements of Cash Flows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25">
              <w:r>
                <w:rPr>
                  <w:rStyle w:val="InternetLink"/>
                  <w:rFonts w:ascii="Times New Roman;serif" w:hAnsi="Times New Roman;serif"/>
                  <w:b w:val="false"/>
                  <w:color w:val="0000FF"/>
                  <w:sz w:val="20"/>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28">
              <w:r>
                <w:rPr>
                  <w:rStyle w:val="InternetLink"/>
                  <w:rFonts w:ascii="Times New Roman;serif" w:hAnsi="Times New Roman;serif"/>
                  <w:b w:val="false"/>
                  <w:color w:val="0000FF"/>
                  <w:sz w:val="20"/>
                  <w:u w:val="single"/>
                </w:rPr>
                <w:t>Consolidated Statements of Stockholders’ Equity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28">
              <w:r>
                <w:rPr>
                  <w:rStyle w:val="InternetLink"/>
                  <w:rFonts w:ascii="Times New Roman;serif" w:hAnsi="Times New Roman;serif"/>
                  <w:b w:val="false"/>
                  <w:color w:val="0000FF"/>
                  <w:sz w:val="20"/>
                  <w:u w:val="single"/>
                </w:rPr>
                <w:t>7</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31">
              <w:r>
                <w:rPr>
                  <w:rStyle w:val="InternetLink"/>
                  <w:rFonts w:ascii="Times New Roman;serif" w:hAnsi="Times New Roman;serif"/>
                  <w:b w:val="false"/>
                  <w:color w:val="0000FF"/>
                  <w:sz w:val="20"/>
                  <w:u w:val="single"/>
                </w:rPr>
                <w:t>Notes to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31">
              <w:r>
                <w:rPr>
                  <w:rStyle w:val="InternetLink"/>
                  <w:rFonts w:ascii="Times New Roman;serif" w:hAnsi="Times New Roman;serif"/>
                  <w:b w:val="false"/>
                  <w:color w:val="0000FF"/>
                  <w:sz w:val="20"/>
                  <w:u w:val="single"/>
                </w:rPr>
                <w:t>8</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82">
              <w:r>
                <w:rPr>
                  <w:rStyle w:val="InternetLink"/>
                  <w:rFonts w:ascii="Times New Roman;serif" w:hAnsi="Times New Roman;serif"/>
                  <w:b/>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82">
              <w:r>
                <w:rPr>
                  <w:rStyle w:val="InternetLink"/>
                  <w:rFonts w:ascii="Times New Roman;serif" w:hAnsi="Times New Roman;serif"/>
                  <w:b w:val="false"/>
                  <w:color w:val="0000FF"/>
                  <w:sz w:val="20"/>
                  <w:u w:val="single"/>
                </w:rPr>
                <w:t>21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85">
              <w:r>
                <w:rPr>
                  <w:rStyle w:val="InternetLink"/>
                  <w:rFonts w:ascii="Times New Roman;serif" w:hAnsi="Times New Roman;serif"/>
                  <w:b/>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85">
              <w:r>
                <w:rPr>
                  <w:rStyle w:val="InternetLink"/>
                  <w:rFonts w:ascii="Times New Roman;serif" w:hAnsi="Times New Roman;serif"/>
                  <w:b w:val="false"/>
                  <w:color w:val="0000FF"/>
                  <w:sz w:val="20"/>
                  <w:u w:val="single"/>
                </w:rPr>
                <w:t>27</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88">
              <w:r>
                <w:rPr>
                  <w:rStyle w:val="InternetLink"/>
                  <w:rFonts w:ascii="Times New Roman;serif" w:hAnsi="Times New Roman;serif"/>
                  <w:b/>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88">
              <w:r>
                <w:rPr>
                  <w:rStyle w:val="InternetLink"/>
                  <w:rFonts w:ascii="Times New Roman;serif" w:hAnsi="Times New Roman;serif"/>
                  <w:b w:val="false"/>
                  <w:color w:val="0000FF"/>
                  <w:sz w:val="20"/>
                  <w:u w:val="single"/>
                </w:rPr>
                <w:t>28</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eeb757e389f4732a10515f987d9d04f_91">
              <w:r>
                <w:rPr>
                  <w:rStyle w:val="InternetLink"/>
                  <w:rFonts w:ascii="Times New Roman;serif" w:hAnsi="Times New Roman;serif"/>
                  <w:b/>
                  <w:color w:val="0000FF"/>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94">
              <w:r>
                <w:rPr>
                  <w:rStyle w:val="InternetLink"/>
                  <w:rFonts w:ascii="Times New Roman;serif" w:hAnsi="Times New Roman;serif"/>
                  <w:b/>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94">
              <w:r>
                <w:rPr>
                  <w:rStyle w:val="InternetLink"/>
                  <w:rFonts w:ascii="Times New Roman;serif" w:hAnsi="Times New Roman;serif"/>
                  <w:b w:val="false"/>
                  <w:color w:val="0000FF"/>
                  <w:sz w:val="20"/>
                  <w:u w:val="single"/>
                </w:rPr>
                <w:t>29</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97">
              <w:r>
                <w:rPr>
                  <w:rStyle w:val="InternetLink"/>
                  <w:rFonts w:ascii="Times New Roman;serif" w:hAnsi="Times New Roman;serif"/>
                  <w:b/>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97">
              <w:r>
                <w:rPr>
                  <w:rStyle w:val="InternetLink"/>
                  <w:rFonts w:ascii="Times New Roman;serif" w:hAnsi="Times New Roman;serif"/>
                  <w:b w:val="false"/>
                  <w:color w:val="0000FF"/>
                  <w:sz w:val="20"/>
                  <w:u w:val="single"/>
                </w:rPr>
                <w:t>29</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100">
              <w:r>
                <w:rPr>
                  <w:rStyle w:val="InternetLink"/>
                  <w:rFonts w:ascii="Times New Roman;serif" w:hAnsi="Times New Roman;serif"/>
                  <w:b/>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100">
              <w:r>
                <w:rPr>
                  <w:rStyle w:val="InternetLink"/>
                  <w:rFonts w:ascii="Times New Roman;serif" w:hAnsi="Times New Roman;serif"/>
                  <w:b w:val="false"/>
                  <w:color w:val="0000FF"/>
                  <w:sz w:val="20"/>
                  <w:u w:val="single"/>
                </w:rPr>
                <w:t>29</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103">
              <w:r>
                <w:rPr>
                  <w:rStyle w:val="InternetLink"/>
                  <w:rFonts w:ascii="Times New Roman;serif" w:hAnsi="Times New Roman;serif"/>
                  <w:b/>
                  <w:color w:val="0000FF"/>
                  <w:sz w:val="20"/>
                  <w:u w:val="single"/>
                </w:rPr>
                <w:t>Defaults 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103">
              <w:r>
                <w:rPr>
                  <w:rStyle w:val="InternetLink"/>
                  <w:rFonts w:ascii="Times New Roman;serif" w:hAnsi="Times New Roman;serif"/>
                  <w:b w:val="false"/>
                  <w:color w:val="0000FF"/>
                  <w:sz w:val="20"/>
                  <w:u w:val="single"/>
                </w:rPr>
                <w:t>29</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106">
              <w:r>
                <w:rPr>
                  <w:rStyle w:val="InternetLink"/>
                  <w:rFonts w:ascii="Times New Roman;serif" w:hAnsi="Times New Roman;serif"/>
                  <w:b/>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106">
              <w:r>
                <w:rPr>
                  <w:rStyle w:val="InternetLink"/>
                  <w:rFonts w:ascii="Times New Roman;serif" w:hAnsi="Times New Roman;serif"/>
                  <w:b w:val="false"/>
                  <w:color w:val="0000FF"/>
                  <w:sz w:val="20"/>
                  <w:u w:val="single"/>
                </w:rPr>
                <w:t>29</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109">
              <w:r>
                <w:rPr>
                  <w:rStyle w:val="InternetLink"/>
                  <w:rFonts w:ascii="Times New Roman;serif" w:hAnsi="Times New Roman;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109">
              <w:r>
                <w:rPr>
                  <w:rStyle w:val="InternetLink"/>
                  <w:rFonts w:ascii="Times New Roman;serif" w:hAnsi="Times New Roman;serif"/>
                  <w:b w:val="false"/>
                  <w:color w:val="0000FF"/>
                  <w:sz w:val="20"/>
                  <w:u w:val="single"/>
                </w:rPr>
                <w:t>29</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eeb757e389f4732a10515f987d9d04f_112">
              <w:r>
                <w:rPr>
                  <w:rStyle w:val="InternetLink"/>
                  <w:rFonts w:ascii="Times New Roman;serif" w:hAnsi="Times New Roman;serif"/>
                  <w:b/>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eb757e389f4732a10515f987d9d04f_112">
              <w:r>
                <w:rPr>
                  <w:rStyle w:val="InternetLink"/>
                  <w:rFonts w:ascii="Times New Roman;serif" w:hAnsi="Times New Roman;serif"/>
                  <w:b w:val="false"/>
                  <w:color w:val="0000FF"/>
                  <w:sz w:val="20"/>
                  <w:u w:val="single"/>
                </w:rPr>
                <w:t>30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1.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per share data)</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7696" w:type="dxa"/>
        <w:jc w:val="left"/>
        <w:tblInd w:w="0" w:type="dxa"/>
        <w:tblLayout w:type="fixed"/>
        <w:tblCellMar>
          <w:top w:w="28" w:type="dxa"/>
          <w:left w:w="28" w:type="dxa"/>
          <w:bottom w:w="28" w:type="dxa"/>
          <w:right w:w="28" w:type="dxa"/>
        </w:tblCellMar>
      </w:tblPr>
      <w:tblGrid>
        <w:gridCol w:w="1574"/>
        <w:gridCol w:w="1383"/>
        <w:gridCol w:w="1408"/>
        <w:gridCol w:w="109"/>
        <w:gridCol w:w="109"/>
        <w:gridCol w:w="109"/>
        <w:gridCol w:w="219"/>
        <w:gridCol w:w="748"/>
        <w:gridCol w:w="113"/>
        <w:gridCol w:w="109"/>
        <w:gridCol w:w="109"/>
        <w:gridCol w:w="109"/>
        <w:gridCol w:w="211"/>
        <w:gridCol w:w="796"/>
        <w:gridCol w:w="109"/>
        <w:gridCol w:w="109"/>
        <w:gridCol w:w="109"/>
        <w:gridCol w:w="109"/>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 (exclusive of intangible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restructuring and other items,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Income tax (benefit)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w:t>
      </w:r>
    </w:p>
    <w:p>
      <w:pPr>
        <w:pStyle w:val="TextBody"/>
        <w:bidi w:val="0"/>
        <w:spacing w:lineRule="auto" w:line="288" w:before="0" w:after="0"/>
        <w:jc w:val="left"/>
        <w:rPr>
          <w:color w:val="000000"/>
        </w:rPr>
      </w:pPr>
      <w:r>
        <w:rPr>
          <w:color w:val="000000"/>
        </w:rPr>
        <w:t> </w:t>
      </w:r>
    </w:p>
    <w:tbl>
      <w:tblPr>
        <w:tblW w:w="8691" w:type="dxa"/>
        <w:jc w:val="left"/>
        <w:tblInd w:w="0" w:type="dxa"/>
        <w:tblLayout w:type="fixed"/>
        <w:tblCellMar>
          <w:top w:w="28" w:type="dxa"/>
          <w:left w:w="28" w:type="dxa"/>
          <w:bottom w:w="28" w:type="dxa"/>
          <w:right w:w="28" w:type="dxa"/>
        </w:tblCellMar>
      </w:tblPr>
      <w:tblGrid>
        <w:gridCol w:w="1927"/>
        <w:gridCol w:w="1683"/>
        <w:gridCol w:w="1714"/>
        <w:gridCol w:w="109"/>
        <w:gridCol w:w="109"/>
        <w:gridCol w:w="109"/>
        <w:gridCol w:w="211"/>
        <w:gridCol w:w="796"/>
        <w:gridCol w:w="109"/>
        <w:gridCol w:w="109"/>
        <w:gridCol w:w="109"/>
        <w:gridCol w:w="109"/>
        <w:gridCol w:w="211"/>
        <w:gridCol w:w="796"/>
        <w:gridCol w:w="109"/>
        <w:gridCol w:w="109"/>
        <w:gridCol w:w="109"/>
        <w:gridCol w:w="109"/>
        <w:gridCol w:w="154"/>
      </w:tblGrid>
      <w:tr>
        <w:trPr/>
        <w:tc>
          <w:tcPr>
            <w:tcW w:w="192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items of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share data)</w:t>
      </w:r>
    </w:p>
    <w:tbl>
      <w:tblPr>
        <w:tblW w:w="10205" w:type="dxa"/>
        <w:jc w:val="center"/>
        <w:tblInd w:w="0" w:type="dxa"/>
        <w:tblLayout w:type="fixed"/>
        <w:tblCellMar>
          <w:top w:w="28" w:type="dxa"/>
          <w:left w:w="28" w:type="dxa"/>
          <w:bottom w:w="28" w:type="dxa"/>
          <w:right w:w="28" w:type="dxa"/>
        </w:tblCellMar>
      </w:tblPr>
      <w:tblGrid>
        <w:gridCol w:w="2839"/>
        <w:gridCol w:w="2377"/>
        <w:gridCol w:w="2323"/>
        <w:gridCol w:w="211"/>
        <w:gridCol w:w="826"/>
        <w:gridCol w:w="109"/>
        <w:gridCol w:w="109"/>
        <w:gridCol w:w="109"/>
        <w:gridCol w:w="109"/>
        <w:gridCol w:w="211"/>
        <w:gridCol w:w="826"/>
        <w:gridCol w:w="156"/>
      </w:tblGrid>
      <w:tr>
        <w:trPr/>
        <w:tc>
          <w:tcPr>
            <w:tcW w:w="283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$1,739 and $1,851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5,000,000 shares authorized; no shares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75,000,000 shares authorized; 43,038,297 and 42,314,266 shares issued and 42,424,450 and 41,700,419 shares outstanding at August 31, 2026 and May 31, 2026,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deficit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613,847 shares, at cost at August 31, 2026 and May 31, 2026,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170,825 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267,163 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w:t>
      </w:r>
    </w:p>
    <w:tbl>
      <w:tblPr>
        <w:tblW w:w="8628" w:type="dxa"/>
        <w:jc w:val="center"/>
        <w:tblInd w:w="0" w:type="dxa"/>
        <w:tblLayout w:type="fixed"/>
        <w:tblCellMar>
          <w:top w:w="28" w:type="dxa"/>
          <w:left w:w="28" w:type="dxa"/>
          <w:bottom w:w="28" w:type="dxa"/>
          <w:right w:w="28" w:type="dxa"/>
        </w:tblCellMar>
      </w:tblPr>
      <w:tblGrid>
        <w:gridCol w:w="2191"/>
        <w:gridCol w:w="1928"/>
        <w:gridCol w:w="1941"/>
        <w:gridCol w:w="219"/>
        <w:gridCol w:w="748"/>
        <w:gridCol w:w="113"/>
        <w:gridCol w:w="109"/>
        <w:gridCol w:w="109"/>
        <w:gridCol w:w="109"/>
        <w:gridCol w:w="211"/>
        <w:gridCol w:w="796"/>
        <w:gridCol w:w="154"/>
      </w:tblGrid>
      <w:tr>
        <w:trPr/>
        <w:tc>
          <w:tcPr>
            <w:tcW w:w="219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receivable allowances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and intangible asset disposals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and other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(15,330)</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placement and evaluation units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financing arrangement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(outlays) from issuances of shares of common stock </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exchange rate changes on cash </w:t>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w:t>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for capital expenditures incurred during the period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share data)</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1500" w:type="dxa"/>
        <w:jc w:val="left"/>
        <w:tblInd w:w="0" w:type="dxa"/>
        <w:tblLayout w:type="fixed"/>
        <w:tblCellMar>
          <w:top w:w="28" w:type="dxa"/>
          <w:left w:w="28" w:type="dxa"/>
          <w:bottom w:w="28" w:type="dxa"/>
          <w:right w:w="28" w:type="dxa"/>
        </w:tblCellMar>
      </w:tblPr>
      <w:tblGrid>
        <w:gridCol w:w="726"/>
        <w:gridCol w:w="229"/>
        <w:gridCol w:w="231"/>
        <w:gridCol w:w="480"/>
        <w:gridCol w:w="481"/>
        <w:gridCol w:w="18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63"/>
        <w:gridCol w:w="746"/>
        <w:gridCol w:w="147"/>
        <w:gridCol w:w="109"/>
        <w:gridCol w:w="109"/>
        <w:gridCol w:w="109"/>
        <w:gridCol w:w="375"/>
        <w:gridCol w:w="376"/>
        <w:gridCol w:w="186"/>
        <w:gridCol w:w="109"/>
        <w:gridCol w:w="109"/>
        <w:gridCol w:w="109"/>
        <w:gridCol w:w="196"/>
        <w:gridCol w:w="571"/>
        <w:gridCol w:w="109"/>
        <w:gridCol w:w="109"/>
        <w:gridCol w:w="109"/>
        <w:gridCol w:w="109"/>
        <w:gridCol w:w="196"/>
        <w:gridCol w:w="73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 xml:space="preserve">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May 31,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42,314,266 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636,083 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(613,847)</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Issuance/Cancellation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Issuance/Cancellation of performance share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common stock under 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August 31, 2026</w:t>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43,038,297 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639,308 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(613,847)</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163,963 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500" w:type="dxa"/>
        <w:jc w:val="left"/>
        <w:tblInd w:w="0" w:type="dxa"/>
        <w:tblLayout w:type="fixed"/>
        <w:tblCellMar>
          <w:top w:w="28" w:type="dxa"/>
          <w:left w:w="28" w:type="dxa"/>
          <w:bottom w:w="28" w:type="dxa"/>
          <w:right w:w="28" w:type="dxa"/>
        </w:tblCellMar>
      </w:tblPr>
      <w:tblGrid>
        <w:gridCol w:w="726"/>
        <w:gridCol w:w="229"/>
        <w:gridCol w:w="231"/>
        <w:gridCol w:w="480"/>
        <w:gridCol w:w="481"/>
        <w:gridCol w:w="18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58"/>
        <w:gridCol w:w="753"/>
        <w:gridCol w:w="145"/>
        <w:gridCol w:w="109"/>
        <w:gridCol w:w="109"/>
        <w:gridCol w:w="109"/>
        <w:gridCol w:w="375"/>
        <w:gridCol w:w="376"/>
        <w:gridCol w:w="186"/>
        <w:gridCol w:w="109"/>
        <w:gridCol w:w="109"/>
        <w:gridCol w:w="109"/>
        <w:gridCol w:w="196"/>
        <w:gridCol w:w="571"/>
        <w:gridCol w:w="109"/>
        <w:gridCol w:w="109"/>
        <w:gridCol w:w="109"/>
        <w:gridCol w:w="109"/>
        <w:gridCol w:w="196"/>
        <w:gridCol w:w="73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May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41,607,877 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(613,847)</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Issuance/Cancellation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common stock under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August 31,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42,060,629 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625,889 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(613,847)</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CONSOLIDATED FINANCIAL STATEMENTS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Consolidated Statements of Operations and the Consolidated Statements of Comprehensive Loss for the three months ended August 31, 2026 and 2025, the Consolidated Balance Sheet as of August 31, 2026, the Consolidated Statements of Cash Flows for the three months ended August 31, 2026 and 2025, and the Consolidated Statements of Stockholders’ Equity for the three months ended August 31, 2026 and 2025 have been prepared by the Company and are unaudited. The Consolidated Balance Sheet as of May 31, 2026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2026 (and for all periods presented) have been made.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unaudited interim consolidated financial statements for the three months ended August 31, 2026 and 2025 include the accounts of AngioDynamics, Inc. and its wholly owned subsidiaries (collectively, the "Company", "we", "our" or "us"). All intercompany balances and transactions have been eliminated.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2. REVENUE FROM CONTRACTS WITH CUSTOMERS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180"/>
        <w:ind w:left="0" w:right="0" w:firstLine="450"/>
        <w:jc w:val="left"/>
        <w:rPr/>
      </w:pPr>
      <w:r>
        <w:rPr>
          <w:rFonts w:ascii="Times New Roman;serif" w:hAnsi="Times New Roman;serif"/>
          <w:b w:val="false"/>
          <w:color w:val="000000"/>
          <w:sz w:val="20"/>
        </w:rPr>
        <w:t xml:space="preserve">Under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revenue is recognized when a customer obtains control of promised goods or services, in an amount that reflects the consideration which the Company expects to receive in exchange for those goods or services. To determine revenue recognition for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one primary revenue stream which is the sales of its products.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net sales by Med Tech, Med Device and by geography:</w:t>
      </w:r>
    </w:p>
    <w:tbl>
      <w:tblPr>
        <w:tblW w:w="8935" w:type="dxa"/>
        <w:jc w:val="left"/>
        <w:tblInd w:w="0" w:type="dxa"/>
        <w:tblLayout w:type="fixed"/>
        <w:tblCellMar>
          <w:top w:w="28" w:type="dxa"/>
          <w:left w:w="28" w:type="dxa"/>
          <w:bottom w:w="28" w:type="dxa"/>
          <w:right w:w="28" w:type="dxa"/>
        </w:tblCellMar>
      </w:tblPr>
      <w:tblGrid>
        <w:gridCol w:w="402"/>
        <w:gridCol w:w="353"/>
        <w:gridCol w:w="354"/>
        <w:gridCol w:w="211"/>
        <w:gridCol w:w="721"/>
        <w:gridCol w:w="109"/>
        <w:gridCol w:w="109"/>
        <w:gridCol w:w="109"/>
        <w:gridCol w:w="109"/>
        <w:gridCol w:w="223"/>
        <w:gridCol w:w="652"/>
        <w:gridCol w:w="116"/>
        <w:gridCol w:w="109"/>
        <w:gridCol w:w="109"/>
        <w:gridCol w:w="109"/>
        <w:gridCol w:w="211"/>
        <w:gridCol w:w="721"/>
        <w:gridCol w:w="109"/>
        <w:gridCol w:w="109"/>
        <w:gridCol w:w="109"/>
        <w:gridCol w:w="109"/>
        <w:gridCol w:w="211"/>
        <w:gridCol w:w="721"/>
        <w:gridCol w:w="109"/>
        <w:gridCol w:w="109"/>
        <w:gridCol w:w="109"/>
        <w:gridCol w:w="109"/>
        <w:gridCol w:w="223"/>
        <w:gridCol w:w="652"/>
        <w:gridCol w:w="116"/>
        <w:gridCol w:w="109"/>
        <w:gridCol w:w="109"/>
        <w:gridCol w:w="109"/>
        <w:gridCol w:w="211"/>
        <w:gridCol w:w="72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 2025</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Med Tech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Device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Net Product Revenue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products consist of medical technology products focused on restoring healthy blood flow in the body's vascular system, expanding cancer treatment options and improving quality of life for patients.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Contracts and Performance Obligations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Transaction Price and Allocation to Performance Obligations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determining whether control has transferred, the Company considers if there is a present right to payment from the customer and when physical possession, legal title and risks and rewards of ownership have transferred to the customer.</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typically invoices customers upon satisfaction of identified performance obligations. As the Company’s standard payment terms are 30 to 90 days from invoicing, the Company does not provide any significant financing to its customers.</w:t>
      </w:r>
    </w:p>
    <w:p>
      <w:pPr>
        <w:pStyle w:val="TextBody"/>
        <w:bidi w:val="0"/>
        <w:spacing w:lineRule="auto" w:line="26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disposable revenue and lease revenue due to the insignificant value of the units in relation to the total agreement value.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value add, and other taxes collected on behalf of third parties are excluded from revenue.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product sales are recorded at the net sales price (transaction price), which includes estimates of variable consideration for which reserves are established for discounts, product returns, rebates and allowances that are offered within contracts between the Company and its customers.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Discounts and product returns are based on amounts earned or to be claimed on the related sales and are classified as a contra asset. During the three months ended August 31, 2026 and 2025, such product returns were not material.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liabilities"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 Balances with Customers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"Accrued liabilities" in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the Company’s receivables, contract assets and contract liabilities with customers:</w:t>
      </w:r>
    </w:p>
    <w:tbl>
      <w:tblPr>
        <w:tblW w:w="4196" w:type="dxa"/>
        <w:jc w:val="left"/>
        <w:tblInd w:w="0" w:type="dxa"/>
        <w:tblLayout w:type="fixed"/>
        <w:tblCellMar>
          <w:top w:w="28" w:type="dxa"/>
          <w:left w:w="28" w:type="dxa"/>
          <w:bottom w:w="28" w:type="dxa"/>
          <w:right w:w="28" w:type="dxa"/>
        </w:tblCellMar>
      </w:tblPr>
      <w:tblGrid>
        <w:gridCol w:w="597"/>
        <w:gridCol w:w="524"/>
        <w:gridCol w:w="529"/>
        <w:gridCol w:w="219"/>
        <w:gridCol w:w="748"/>
        <w:gridCol w:w="113"/>
        <w:gridCol w:w="109"/>
        <w:gridCol w:w="109"/>
        <w:gridCol w:w="109"/>
        <w:gridCol w:w="221"/>
        <w:gridCol w:w="757"/>
        <w:gridCol w:w="161"/>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August 31, 2026, the Company had additions to contract liabilities of $0.1 million. This was offset by $0.1 million in revenue that was recognized during the three months ended August 31, 2026.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Costs to Obtain or Fulfill a Customer Contract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INVENTORIES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Inventories are stated at lower of cost and net realizable value (using the first-in, first-out method). Inventories consisted of the following:</w:t>
      </w:r>
    </w:p>
    <w:tbl>
      <w:tblPr>
        <w:tblW w:w="3970" w:type="dxa"/>
        <w:jc w:val="left"/>
        <w:tblInd w:w="0" w:type="dxa"/>
        <w:tblLayout w:type="fixed"/>
        <w:tblCellMar>
          <w:top w:w="28" w:type="dxa"/>
          <w:left w:w="28" w:type="dxa"/>
          <w:bottom w:w="28" w:type="dxa"/>
          <w:right w:w="28" w:type="dxa"/>
        </w:tblCellMar>
      </w:tblPr>
      <w:tblGrid>
        <w:gridCol w:w="517"/>
        <w:gridCol w:w="453"/>
        <w:gridCol w:w="454"/>
        <w:gridCol w:w="219"/>
        <w:gridCol w:w="748"/>
        <w:gridCol w:w="113"/>
        <w:gridCol w:w="109"/>
        <w:gridCol w:w="109"/>
        <w:gridCol w:w="109"/>
        <w:gridCol w:w="221"/>
        <w:gridCol w:w="757"/>
        <w:gridCol w:w="161"/>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52,436 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August 31, 2026 and May 31, 2026 was $6.4 million and $5.7 million, respectively.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INTANGIBLE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Definite Lived Intangible Assets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Intangible assets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pStyle w:val="TextBody"/>
        <w:bidi w:val="0"/>
        <w:spacing w:before="0" w:after="18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7784" w:type="dxa"/>
        <w:jc w:val="left"/>
        <w:tblInd w:w="0" w:type="dxa"/>
        <w:tblLayout w:type="fixed"/>
        <w:tblCellMar>
          <w:top w:w="28" w:type="dxa"/>
          <w:left w:w="28" w:type="dxa"/>
          <w:bottom w:w="28" w:type="dxa"/>
          <w:right w:w="28" w:type="dxa"/>
        </w:tblCellMar>
      </w:tblPr>
      <w:tblGrid>
        <w:gridCol w:w="722"/>
        <w:gridCol w:w="633"/>
        <w:gridCol w:w="639"/>
        <w:gridCol w:w="284"/>
        <w:gridCol w:w="1114"/>
        <w:gridCol w:w="147"/>
        <w:gridCol w:w="109"/>
        <w:gridCol w:w="109"/>
        <w:gridCol w:w="109"/>
        <w:gridCol w:w="334"/>
        <w:gridCol w:w="1428"/>
        <w:gridCol w:w="172"/>
        <w:gridCol w:w="109"/>
        <w:gridCol w:w="109"/>
        <w:gridCol w:w="109"/>
        <w:gridCol w:w="282"/>
        <w:gridCol w:w="966"/>
        <w:gridCol w:w="146"/>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technologies</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189,127 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(129,729)</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202,813 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(140,919)</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61,894 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784" w:type="dxa"/>
        <w:jc w:val="left"/>
        <w:tblInd w:w="0" w:type="dxa"/>
        <w:tblLayout w:type="fixed"/>
        <w:tblCellMar>
          <w:top w:w="28" w:type="dxa"/>
          <w:left w:w="28" w:type="dxa"/>
          <w:bottom w:w="28" w:type="dxa"/>
          <w:right w:w="28" w:type="dxa"/>
        </w:tblCellMar>
      </w:tblPr>
      <w:tblGrid>
        <w:gridCol w:w="722"/>
        <w:gridCol w:w="633"/>
        <w:gridCol w:w="639"/>
        <w:gridCol w:w="284"/>
        <w:gridCol w:w="1114"/>
        <w:gridCol w:w="147"/>
        <w:gridCol w:w="109"/>
        <w:gridCol w:w="109"/>
        <w:gridCol w:w="109"/>
        <w:gridCol w:w="334"/>
        <w:gridCol w:w="1428"/>
        <w:gridCol w:w="172"/>
        <w:gridCol w:w="109"/>
        <w:gridCol w:w="109"/>
        <w:gridCol w:w="109"/>
        <w:gridCol w:w="282"/>
        <w:gridCol w:w="966"/>
        <w:gridCol w:w="146"/>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technologies</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193,784 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(129,188)</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207,470 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(140,261)</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67,209 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the three months ended August 31, 2026 and 2025 was $2.7 million and $2.7 million, respectively.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Expected future amortization expense related to the intangible assets for each of the following fiscal years is as follows:</w:t>
      </w:r>
    </w:p>
    <w:tbl>
      <w:tblPr>
        <w:tblW w:w="2781" w:type="dxa"/>
        <w:jc w:val="left"/>
        <w:tblInd w:w="0" w:type="dxa"/>
        <w:tblLayout w:type="fixed"/>
        <w:tblCellMar>
          <w:top w:w="28" w:type="dxa"/>
          <w:left w:w="28" w:type="dxa"/>
          <w:bottom w:w="28" w:type="dxa"/>
          <w:right w:w="28" w:type="dxa"/>
        </w:tblCellMar>
      </w:tblPr>
      <w:tblGrid>
        <w:gridCol w:w="614"/>
        <w:gridCol w:w="540"/>
        <w:gridCol w:w="541"/>
        <w:gridCol w:w="211"/>
        <w:gridCol w:w="721"/>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and 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ACCRUED LIABILITIES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consisted of the following: </w:t>
      </w:r>
    </w:p>
    <w:tbl>
      <w:tblPr>
        <w:tblW w:w="4975" w:type="dxa"/>
        <w:jc w:val="left"/>
        <w:tblInd w:w="0" w:type="dxa"/>
        <w:tblLayout w:type="fixed"/>
        <w:tblCellMar>
          <w:top w:w="28" w:type="dxa"/>
          <w:left w:w="28" w:type="dxa"/>
          <w:bottom w:w="28" w:type="dxa"/>
          <w:right w:w="28" w:type="dxa"/>
        </w:tblCellMar>
      </w:tblPr>
      <w:tblGrid>
        <w:gridCol w:w="881"/>
        <w:gridCol w:w="773"/>
        <w:gridCol w:w="775"/>
        <w:gridCol w:w="219"/>
        <w:gridCol w:w="748"/>
        <w:gridCol w:w="113"/>
        <w:gridCol w:w="109"/>
        <w:gridCol w:w="109"/>
        <w:gridCol w:w="109"/>
        <w:gridCol w:w="221"/>
        <w:gridCol w:w="757"/>
        <w:gridCol w:w="161"/>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expenses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services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franchise taxes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warranties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freight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28,811 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38,909 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LONG-TERM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28, 2025, the Company entered into a new Credit Agreement (the “Credit Agreement”) with its subsidiary RITA Medical Systems, LLC (“RITA” and, together with the Company, the “Loan Parties”), the lenders party thereto and JPMorgan Chase Bank, N.A., individually and as administrative agent, issuing bank and swingline lender.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Agreement provides for a $25.0 million secured revolving credit facility (the "Revolving Facility"), which is subject to a borrowing base comprised of certain working capital assets of the Company. Additionally, until such time as the Company has demonstrated a fixed charge coverage ratio greater than 1.10 to 1.00, the Revolving Facility will be further reduced by $5,000,000 (such period, the “Availability Block Period”). To the extent requested by the Company, and subject to certain customary limitations, the lenders will make revolving loan advances to the Company and the issuing bank will issue letters of credit for the account of the Company, in each case in an aggregate amount not exceeding the availability under the Revolving Facility. Issuances of letters of credit under the Revolving Facility shall further be limited by an issuance cap, which at the closing date was set at $2,000,000. The proceeds of the Revolving Facility may be used for working capital and for general corporate needs of AngioDynamics and its subsidiaries.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has a two-year maturity. Interest on the Revolving Facility will be based, at the Company's option, on a rate equal to (i) the Secured Overnight Financing Rate ("SOFR") plus 0.1% (subject to a floor of 0%) ("Adjusted Term SOFR"), or (ii) the alternate base rate (subject to a floor of 0%) ("ABR"), and in each case with a margin for Adjusted Term SOFR loans of 2.0% and for ABR loans of 1.0%. The Revolving Facility will also carry a commitment fee of 0.2% per annum on the unused portion. The Revolving Facility contains customary benchmark replacement and rate fallback provisions.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Credit Agreement are unconditionally guaranteed, jointly and severally, by the Company's material direct and indirect domestic subsidiaries (the “Guarantors”). The sole Guarantor as at the closing date is RITA. All obligations of the Company and the Guarantors under the Revolving Facility are secured by first priority security interests in substantially all of the assets of the Loan Parties and the Guarantors.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Credit Agreement includes customary representations, warranties and covenants, and acceleration, indemnity and events of default provisions, including, among other things, a financial covenant which requires the Company to maintain, as of the end of each calendar month commencing after the end of the Availability Block Period, a fixed charge coverage ratio of EBITDA* minus unfinanced capital expenditures to consolidated interest expense paid or payable in cash plus scheduled principal payments in respect of indebtedness under the Credit Agreement of not less than 1.05 to 1.00.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The definitions of total indebtedness, EBITDA, capital expenditures and interest expense are specifically defined in the Credit Agreement included as an exhibit to Form 8-K filed on May 28, 2025.</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31, 2026 there were no amounts outstanding on the Revolving Facility. As of August 31, 2026, the carrying value of long-term debt approximated its fair market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2.7% as of the first quarter of fiscal year 2027, as compared to (0.6)% for the same period in fiscal year 2026. In fiscal year 2027,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Research and Development ("R&amp;D") credit carryforwards and other net deferred tax assets as of August 31, 2026.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making permanent certain provisions of the Tax Cuts and Jobs Act, including 100% bonus depreciation, domestic research cost expensing, and the business interest expense limitation. In accordance with ASC 740, the Company has recognized the effects of the new tax law in the period of enactment. As the Company maintains a full valuation allowance on its U.S. deferred tax assets, the legislation does not have a material impact on our consolidated financial statements for the quarter ended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SHARE-BASED COMPENSATION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As of August 31, 2026, there was a maximum of 2.1 million shares of common stock available for future grant under the 2020 Plan.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also has an employee stock purchase plan. As of August 31, 2026, there was a maximum of 2.4 million shares of common stock available for future grant under the employee stock purchase plan.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August 31, 2026 and 2025, share-based compensation expense was $4.5 million and $4.5 million, respectively.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August 31, 2026 and 2025,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Generally, restricted stock unit awards are valued based on the closing trading value of the Company’s common stock on the date of grant and then amortized on a straight-line basis over the requisite service period of the award. In July 2023, the Board of Directors approved a change in terms of restricted stock units granted to non-employee directors to provide for immediate vesting upon grant of the award.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August 31, 2026 and 2025,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31, 2026, there was $28.2 million of unrecognized compensation expense related to share-based payment arrangements. These costs are expected to be recognized over a weighted-average period of approximately three years. The Company has sufficient shares to satisfy expected share-based payment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9. EQUITY</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There were no shares repurchased during the first quarter of fiscal year 2027. There were no shares repurchased during fiscal year 2026. As of August 31, 2026, $13.3 million remained available for repurchase under the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10. EARNINGS PER SHARE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basic to diluted weighted-average shares outstanding: </w:t>
      </w:r>
    </w:p>
    <w:tbl>
      <w:tblPr>
        <w:tblW w:w="8179" w:type="dxa"/>
        <w:jc w:val="left"/>
        <w:tblInd w:w="0" w:type="dxa"/>
        <w:tblLayout w:type="fixed"/>
        <w:tblCellMar>
          <w:top w:w="28" w:type="dxa"/>
          <w:left w:w="28" w:type="dxa"/>
          <w:bottom w:w="28" w:type="dxa"/>
          <w:right w:w="28" w:type="dxa"/>
        </w:tblCellMar>
      </w:tblPr>
      <w:tblGrid>
        <w:gridCol w:w="1816"/>
        <w:gridCol w:w="1595"/>
        <w:gridCol w:w="1599"/>
        <w:gridCol w:w="360"/>
        <w:gridCol w:w="361"/>
        <w:gridCol w:w="360"/>
        <w:gridCol w:w="175"/>
        <w:gridCol w:w="175"/>
        <w:gridCol w:w="175"/>
        <w:gridCol w:w="360"/>
        <w:gridCol w:w="361"/>
        <w:gridCol w:w="361"/>
        <w:gridCol w:w="109"/>
        <w:gridCol w:w="109"/>
        <w:gridCol w:w="109"/>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42,022 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41,174 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42,022 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41,174 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excluded as their inclusion would be anti-dilutive</w:t>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5,623 </w:t>
            </w:r>
          </w:p>
        </w:tc>
        <w:tc>
          <w:tcPr>
            <w:tcW w:w="3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6,183 </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SEGMENT AND GEOGRAPHIC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its segments and the approach used by the chief operating decision maker, the President and Chief Executive Officer ("CEO"), to evaluate performance and allocate resources. The Company manages its operations through two operating segments, Med Tech and Med Device. The CEO evaluates these two operating segments based on gross margin to, among other items, allocate resources and assess performance. The CEO uses gross margin in the budgeting and forecasting process to assess profitability and enable decision making regarding strategic initiatives, investments and personnel across the two operating segments. Executives reporting to the CEO include those responsible for commercial operations, manufacturing operations, regulatory and quality and certain corporate functions.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Med Tech segment is comprised of our technology portfolio including Auryon, the thrombus management platform and NanoKnife. The Med Device segment is comprised of our Core, Venous, Ports and other Oncology products.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assets on a total company basis, not by operating segment; therefore, the CEO does not review any asset information by operating segment and, accordingly, asset information is not reported or evaluated by operating segment.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net sales, cost of sales and gross margin by Med Tech and Med Device:</w:t>
      </w:r>
    </w:p>
    <w:tbl>
      <w:tblPr>
        <w:tblW w:w="8538" w:type="dxa"/>
        <w:jc w:val="left"/>
        <w:tblInd w:w="0" w:type="dxa"/>
        <w:tblLayout w:type="fixed"/>
        <w:tblCellMar>
          <w:top w:w="28" w:type="dxa"/>
          <w:left w:w="28" w:type="dxa"/>
          <w:bottom w:w="28" w:type="dxa"/>
          <w:right w:w="28" w:type="dxa"/>
        </w:tblCellMar>
      </w:tblPr>
      <w:tblGrid>
        <w:gridCol w:w="1931"/>
        <w:gridCol w:w="1695"/>
        <w:gridCol w:w="1698"/>
        <w:gridCol w:w="211"/>
        <w:gridCol w:w="721"/>
        <w:gridCol w:w="271"/>
        <w:gridCol w:w="109"/>
        <w:gridCol w:w="109"/>
        <w:gridCol w:w="109"/>
        <w:gridCol w:w="211"/>
        <w:gridCol w:w="721"/>
        <w:gridCol w:w="271"/>
        <w:gridCol w:w="109"/>
        <w:gridCol w:w="109"/>
        <w:gridCol w:w="109"/>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Tech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Tech Cost of Sales (exclusive of intangible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Device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Device Cost of Sales (exclusive of intangible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 (exclusive of intangible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(expense), net</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Operating expenses include Research and development, Sales and marketing, General and administrative, Amortization of intangibles and Acquisition, restructuring and other items, net.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(2) Other income (expense), net includes interest income, interest expense, foreign currency impacts and bank fees.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table below summarizes net sales by geographic area based on external customer location:</w:t>
      </w:r>
    </w:p>
    <w:tbl>
      <w:tblPr>
        <w:tblW w:w="4168" w:type="dxa"/>
        <w:jc w:val="left"/>
        <w:tblInd w:w="0" w:type="dxa"/>
        <w:tblLayout w:type="fixed"/>
        <w:tblCellMar>
          <w:top w:w="28" w:type="dxa"/>
          <w:left w:w="28" w:type="dxa"/>
          <w:bottom w:w="28" w:type="dxa"/>
          <w:right w:w="28" w:type="dxa"/>
        </w:tblCellMar>
      </w:tblPr>
      <w:tblGrid>
        <w:gridCol w:w="435"/>
        <w:gridCol w:w="382"/>
        <w:gridCol w:w="383"/>
        <w:gridCol w:w="219"/>
        <w:gridCol w:w="748"/>
        <w:gridCol w:w="113"/>
        <w:gridCol w:w="109"/>
        <w:gridCol w:w="109"/>
        <w:gridCol w:w="109"/>
        <w:gridCol w:w="219"/>
        <w:gridCol w:w="748"/>
        <w:gridCol w:w="113"/>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80,915 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75,711 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August 31, 2026 and 2025, international sales as a percentage of total net sales were 12.2% and 12.2%, respectively. Sales to any one country outside the U.S., as determined by shipment destination, did not comprise a material portion of net sales in any of the last three fiscal years. In addition, no one customer represents more than 10% of consolidated net sales. 60% of long-lived assets are located within the United States and 40% are located within Israel.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FAIR VALUE</w:t>
      </w:r>
    </w:p>
    <w:p>
      <w:pPr>
        <w:pStyle w:val="TextBody"/>
        <w:bidi w:val="0"/>
        <w:spacing w:lineRule="auto" w:line="288" w:before="0" w:after="180"/>
        <w:ind w:left="0" w:right="0" w:firstLine="450"/>
        <w:jc w:val="left"/>
        <w:rPr/>
      </w:pPr>
      <w:r>
        <w:rPr>
          <w:rFonts w:ascii="Times New Roman;serif" w:hAnsi="Times New Roman;serif"/>
          <w:b w:val="false"/>
          <w:color w:val="000000"/>
          <w:sz w:val="20"/>
        </w:rPr>
        <w:t>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serif" w:hAnsi="Times New Roman;serif"/>
          <w:b w:val="false"/>
          <w:i/>
          <w:color w:val="000000"/>
          <w:sz w:val="20"/>
        </w:rPr>
        <w:t xml:space="preserve">Fair Value Measurements and Disclosures, </w:t>
      </w:r>
      <w:r>
        <w:rPr>
          <w:rFonts w:ascii="Times New Roman;serif" w:hAnsi="Times New Roman;serif"/>
          <w:b w:val="false"/>
          <w:color w:val="000000"/>
          <w:sz w:val="20"/>
        </w:rPr>
        <w:t>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1 - Inputs to the valuation methodology are quoted market prices for identical assets or liabilities.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Level 3 - Inputs to the valuation methodology are significant unobservable inputs based on management’s best estimate of inputs market participants would use in pricing the asset or liability at the measurement date, including assumptions about risk.</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and cash equivalents, accounts receivable and accounts payable. The carrying amount of cash and cash equivalents, accounts receivable, and accounts payable approximates fair value due to their immediate or short-term maturities. The Company does not have assets or liabilities that require recurring fair value measurement using significant unobservable inputs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inception of the contract. The Company has operating leases for buildings, primarily for office space, R&amp;D, manufacturing and warehousing. The Company has financing arrangement for manufacturing and distribution.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Financing Arrangement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24, 2024, the Company entered into an agreement to sell the manufacturing facilities in Queensbury, NY and Glens Falls, NY for a purchase price of $5.5 million and $1.2 million, respectively, and net proceeds of $5.2 million and $1.1 million, respectively. The Company simultaneously entered into lease agreements with future lease payments of $4.6 million over seven years for the Queensbury, NY facility and $0.4 million over three years for the Glens Falls, NY facility.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Based on certain criteria, the transaction was accounted for as a financing arrangement, as it did not meet the criteria for a sale-leaseback. As a result, the assets remain in "Property, plant and equipment, net" on the Consolidated Balance Sheets at their historical book value and are depreciated over the term of the lease agreements. A financing arrangement was recorded in the amount of the net proceeds received. The Company will recognize monthly rent as a reduction of the finance arrangement and interest expense, using the effective interest rate method. No gain or loss was recognized related to the financing arrangement for the three months ended August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31, 2026, the carrying value of the financing arrangement was $5.7 million, of which $0.4 million was classified as "Other current liabilities" and $5.3 million was classified as "Other long-term liabilities" on the Consolidated Balance Sheets. Interest expense associated with the financing arrangement was $0.1 million for the three months ending August 31, 2026.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Remaining future cash payments related to the financing arrangement as of August 31, 2026 for each of the following fiscal years is:</w:t>
      </w:r>
    </w:p>
    <w:tbl>
      <w:tblPr>
        <w:tblW w:w="4035" w:type="dxa"/>
        <w:jc w:val="left"/>
        <w:tblInd w:w="0" w:type="dxa"/>
        <w:tblLayout w:type="fixed"/>
        <w:tblCellMar>
          <w:top w:w="28" w:type="dxa"/>
          <w:left w:w="28" w:type="dxa"/>
          <w:bottom w:w="28" w:type="dxa"/>
          <w:right w:w="28" w:type="dxa"/>
        </w:tblCellMar>
      </w:tblPr>
      <w:tblGrid>
        <w:gridCol w:w="1054"/>
        <w:gridCol w:w="927"/>
        <w:gridCol w:w="929"/>
        <w:gridCol w:w="242"/>
        <w:gridCol w:w="707"/>
        <w:gridCol w:w="176"/>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2027</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liability payments</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2025, the Company extended the lease for the corporate headquarters in Latham, NY through June 2031 and in August 2025, the Company increased its footprint for its research and development facility in Marlborough, MA through September 2030.</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balance sheet information related to leases:</w:t>
      </w:r>
    </w:p>
    <w:tbl>
      <w:tblPr>
        <w:tblW w:w="8287" w:type="dxa"/>
        <w:jc w:val="left"/>
        <w:tblInd w:w="0" w:type="dxa"/>
        <w:tblLayout w:type="fixed"/>
        <w:tblCellMar>
          <w:top w:w="28" w:type="dxa"/>
          <w:left w:w="28" w:type="dxa"/>
          <w:bottom w:w="28" w:type="dxa"/>
          <w:right w:w="28" w:type="dxa"/>
        </w:tblCellMar>
      </w:tblPr>
      <w:tblGrid>
        <w:gridCol w:w="1158"/>
        <w:gridCol w:w="1017"/>
        <w:gridCol w:w="1020"/>
        <w:gridCol w:w="739"/>
        <w:gridCol w:w="739"/>
        <w:gridCol w:w="741"/>
        <w:gridCol w:w="109"/>
        <w:gridCol w:w="109"/>
        <w:gridCol w:w="109"/>
        <w:gridCol w:w="243"/>
        <w:gridCol w:w="711"/>
        <w:gridCol w:w="125"/>
        <w:gridCol w:w="109"/>
        <w:gridCol w:w="109"/>
        <w:gridCol w:w="109"/>
        <w:gridCol w:w="245"/>
        <w:gridCol w:w="716"/>
        <w:gridCol w:w="179"/>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tbl>
      <w:tblPr>
        <w:tblW w:w="4783" w:type="dxa"/>
        <w:jc w:val="left"/>
        <w:tblInd w:w="0" w:type="dxa"/>
        <w:tblLayout w:type="fixed"/>
        <w:tblCellMar>
          <w:top w:w="28" w:type="dxa"/>
          <w:left w:w="28" w:type="dxa"/>
          <w:bottom w:w="28" w:type="dxa"/>
          <w:right w:w="28" w:type="dxa"/>
        </w:tblCellMar>
      </w:tblPr>
      <w:tblGrid>
        <w:gridCol w:w="1323"/>
        <w:gridCol w:w="1164"/>
        <w:gridCol w:w="1172"/>
        <w:gridCol w:w="229"/>
        <w:gridCol w:w="229"/>
        <w:gridCol w:w="666"/>
      </w:tblGrid>
      <w:tr>
        <w:trPr/>
        <w:tc>
          <w:tcPr>
            <w:tcW w:w="132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 (in years)</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maturities of the lease liabilities for each of the following fiscal years is:</w:t>
      </w:r>
    </w:p>
    <w:tbl>
      <w:tblPr>
        <w:tblW w:w="4605" w:type="dxa"/>
        <w:jc w:val="left"/>
        <w:tblInd w:w="0" w:type="dxa"/>
        <w:tblLayout w:type="fixed"/>
        <w:tblCellMar>
          <w:top w:w="28" w:type="dxa"/>
          <w:left w:w="28" w:type="dxa"/>
          <w:bottom w:w="28" w:type="dxa"/>
          <w:right w:w="28" w:type="dxa"/>
        </w:tblCellMar>
      </w:tblPr>
      <w:tblGrid>
        <w:gridCol w:w="1260"/>
        <w:gridCol w:w="1109"/>
        <w:gridCol w:w="1111"/>
        <w:gridCol w:w="242"/>
        <w:gridCol w:w="707"/>
        <w:gridCol w:w="176"/>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2027</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obligations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August 31, 2026 and 2025, the Company recognized $0.6 million and $0.6 million of operating lease expense, respectively, which includes immaterial short-term leases. The expenses on the Consolidated Statement of Operations were classified as follows:</w:t>
      </w:r>
    </w:p>
    <w:tbl>
      <w:tblPr>
        <w:tblW w:w="6806" w:type="dxa"/>
        <w:jc w:val="left"/>
        <w:tblInd w:w="0" w:type="dxa"/>
        <w:tblLayout w:type="fixed"/>
        <w:tblCellMar>
          <w:top w:w="28" w:type="dxa"/>
          <w:left w:w="28" w:type="dxa"/>
          <w:bottom w:w="28" w:type="dxa"/>
          <w:right w:w="28" w:type="dxa"/>
        </w:tblCellMar>
      </w:tblPr>
      <w:tblGrid>
        <w:gridCol w:w="1389"/>
        <w:gridCol w:w="1221"/>
        <w:gridCol w:w="1230"/>
        <w:gridCol w:w="290"/>
        <w:gridCol w:w="640"/>
        <w:gridCol w:w="149"/>
        <w:gridCol w:w="109"/>
        <w:gridCol w:w="109"/>
        <w:gridCol w:w="109"/>
        <w:gridCol w:w="290"/>
        <w:gridCol w:w="640"/>
        <w:gridCol w:w="149"/>
        <w:gridCol w:w="109"/>
        <w:gridCol w:w="109"/>
        <w:gridCol w:w="109"/>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restructuring and other items, net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and other information related to leases:</w:t>
      </w:r>
    </w:p>
    <w:tbl>
      <w:tblPr>
        <w:tblW w:w="8335" w:type="dxa"/>
        <w:jc w:val="left"/>
        <w:tblInd w:w="0" w:type="dxa"/>
        <w:tblLayout w:type="fixed"/>
        <w:tblCellMar>
          <w:top w:w="28" w:type="dxa"/>
          <w:left w:w="28" w:type="dxa"/>
          <w:bottom w:w="28" w:type="dxa"/>
          <w:right w:w="28" w:type="dxa"/>
        </w:tblCellMar>
      </w:tblPr>
      <w:tblGrid>
        <w:gridCol w:w="2100"/>
        <w:gridCol w:w="1845"/>
        <w:gridCol w:w="1860"/>
        <w:gridCol w:w="290"/>
        <w:gridCol w:w="640"/>
        <w:gridCol w:w="149"/>
        <w:gridCol w:w="109"/>
        <w:gridCol w:w="109"/>
        <w:gridCol w:w="109"/>
        <w:gridCol w:w="285"/>
        <w:gridCol w:w="631"/>
        <w:gridCol w:w="208"/>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liabilities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before="0" w:after="18"/>
        <w:jc w:val="left"/>
        <w:rPr/>
      </w:pPr>
      <w:r>
        <w:rPr/>
      </w:r>
    </w:p>
    <w:p>
      <w:pPr>
        <w:pStyle w:val="TextBody"/>
        <w:bidi w:val="0"/>
        <w:spacing w:lineRule="auto" w:line="288" w:before="0" w:after="18"/>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pStyle w:val="TextBody"/>
        <w:bidi w:val="0"/>
        <w:spacing w:before="0" w:after="18"/>
        <w:ind w:left="0" w:right="0" w:firstLine="450"/>
        <w:jc w:val="left"/>
        <w:rPr/>
      </w:pPr>
      <w:r>
        <w:rPr/>
      </w:r>
    </w:p>
    <w:p>
      <w:pPr>
        <w:pStyle w:val="TextBody"/>
        <w:bidi w:val="0"/>
        <w:spacing w:lineRule="auto" w:line="288" w:before="0" w:after="18"/>
        <w:jc w:val="left"/>
        <w:rPr>
          <w:rFonts w:ascii="Times New Roman;serif" w:hAnsi="Times New Roman;serif"/>
          <w:b/>
          <w:color w:val="000000"/>
          <w:sz w:val="20"/>
        </w:rPr>
      </w:pPr>
      <w:r>
        <w:rPr>
          <w:rFonts w:ascii="Times New Roman;serif" w:hAnsi="Times New Roman;serif"/>
          <w:b/>
          <w:color w:val="000000"/>
          <w:sz w:val="20"/>
        </w:rPr>
        <w:t>C.R. Bard, Inc. v. AngioDynamics, Inc.</w:t>
      </w:r>
    </w:p>
    <w:p>
      <w:pPr>
        <w:pStyle w:val="TextBody"/>
        <w:bidi w:val="0"/>
        <w:spacing w:before="0" w:after="18"/>
        <w:jc w:val="left"/>
        <w:rPr/>
      </w:pPr>
      <w:r>
        <w:rPr/>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11, 2012, C.R. Bard, Inc. (“Bard”) filed a suit in the United States District Court of Utah claiming certain of the Company's implantable port products infringe on three U.S. patents held by Bard (US Patent Nos. 7,785,302 ("302"), 7,959,615 (“615”) and 7,947,022 ("022")).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2024, the Company and Bard’s parent company Becton, Dickinson and Company (collectively, “BD”) entered into a settlement agreement (the “Settlement Agreement”) to resolve the ongoing litigations. Neither party admitted any liability and the Settlement Agreement contains mutual covenants not to sue and releases. Under the terms of the Settlement Agreement, BD granted a license to the Company under certain of BD’s port patents and AngioDynamics granted BD a license under certain of the Company’s catheter patents. The Company made a one-time lump sum payment to BD in the amount of $7.0 million, $3.0 million which was paid within 5 business days of execution of the Settlement Agreement, and the remainder is payable in installments during 12 month period ending March 31, 2025. The Company will also make six minimum annual payments to BD of $2.5 million which started in fiscal year 2025, and potential additional payments if six percent (6%) of annual net sales of the Company’s port products exceed the minimum payment. The Company made payments of $2.5 million related to the minimum annual payments to BD during the quarter ended August 31, 2026. The parties participated in the appeal before the Federal Circuit of the case that was filed March 10, 2015 and on December 15, 2025, the Federal Circuit affirmed the District Court’s findings of invalidity and entered judgement in favor of AngioDynamics. While the Company will continue to make annual payments to BD pursuant to the Settlement Agreement, no additional contingent payments are due as a result of the Federal Circuit's affirmance. As of August 31, 2026, there was $2.4 million payable to BD recorded in other current liabilities and $4.5 million recorded in other long-term liabilities.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Patent Infringement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23, 2026, the Company filed a complaint commencing a patent infringement lawsuit in the United States District Court for the District of Delaware against Endovascular Engineering, Inc. (“E2”). The complaint alleges that E2’s Hēlo Thrombectomy System unlawfully incorporates several features protected by registered patents held by the Company, including relating to the Company’s proprietary self-expanding funnel technology and related features that improve the removal of thrombi and emboli from the body. The complaint seeks damages and equitable relief. The Company believes that vigorous protection of its intellectual property rights supports continued innovation and improved care for patients.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Port Product Claims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31, 2026, the Company is defending approximately 430 product liability claims involving the Company's port products (collectively, the “Port Product Claims”). The Port Product Claims are consolidated for pretrial proceedings in the United States District Court for the Southern District of California. The Port Product Claims generally seek damages for personal injury allegedly resulting from use of the products. The Company has limited information regarding the nature and quantity of certain of the Port Product Claims. The Company continues to receive claims and lawsuits and may in future periods learn additional information regarding other unfiled or unknown claims, or other lawsuits, which could materially impact the Company’s estimate of the number of claims or lawsuits against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15. ACQUISITION, RESTRUCTURING, AND OTHER ITEMS, NET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Acquisition, Restructuring and Other Items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Acquisition, restructuring and other items, net, consisted of:</w:t>
      </w:r>
    </w:p>
    <w:tbl>
      <w:tblPr>
        <w:tblW w:w="5636" w:type="dxa"/>
        <w:jc w:val="left"/>
        <w:tblInd w:w="0" w:type="dxa"/>
        <w:tblLayout w:type="fixed"/>
        <w:tblCellMar>
          <w:top w:w="28" w:type="dxa"/>
          <w:left w:w="28" w:type="dxa"/>
          <w:bottom w:w="28" w:type="dxa"/>
          <w:right w:w="28" w:type="dxa"/>
        </w:tblCellMar>
      </w:tblPr>
      <w:tblGrid>
        <w:gridCol w:w="968"/>
        <w:gridCol w:w="850"/>
        <w:gridCol w:w="852"/>
        <w:gridCol w:w="243"/>
        <w:gridCol w:w="711"/>
        <w:gridCol w:w="125"/>
        <w:gridCol w:w="109"/>
        <w:gridCol w:w="109"/>
        <w:gridCol w:w="109"/>
        <w:gridCol w:w="243"/>
        <w:gridCol w:w="711"/>
        <w:gridCol w:w="125"/>
        <w:gridCol w:w="109"/>
        <w:gridCol w:w="109"/>
        <w:gridCol w:w="109"/>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w:t>
            </w:r>
            <w:r>
              <w:rPr>
                <w:rFonts w:ascii="Times New Roman;serif" w:hAnsi="Times New Roman;serif"/>
                <w:b w:val="false"/>
                <w:color w:val="000000"/>
                <w:sz w:val="13"/>
              </w:rPr>
              <w:t>(1)</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Plant closure</w:t>
            </w:r>
            <w:r>
              <w:rPr>
                <w:color w:val="000000"/>
              </w:rPr>
              <w:t xml:space="preserve"> </w:t>
            </w:r>
            <w:r>
              <w:rPr>
                <w:rFonts w:ascii="Times New Roman;serif" w:hAnsi="Times New Roman;serif"/>
                <w:b w:val="false"/>
                <w:color w:val="000000"/>
                <w:sz w:val="13"/>
              </w:rPr>
              <w:t>(2)</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Transition service agreement </w:t>
            </w:r>
            <w:r>
              <w:rPr>
                <w:rFonts w:ascii="Times New Roman;serif" w:hAnsi="Times New Roman;serif"/>
                <w:b w:val="false"/>
                <w:color w:val="000000"/>
                <w:sz w:val="13"/>
              </w:rPr>
              <w:t>(3)</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 transition</w:t>
            </w:r>
            <w:r>
              <w:rPr>
                <w:rFonts w:ascii="Times New Roman;serif" w:hAnsi="Times New Roman;serif"/>
                <w:b w:val="false"/>
                <w:color w:val="000000"/>
                <w:sz w:val="13"/>
              </w:rPr>
              <w:t>(4)</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 xml:space="preserve">(1) Legal expenses related to litigation that is outside the normal course of business.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Plant closure expense, related to the restructuring of our manufacturing footprint which was announced on January 5, 2024.</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Transition services agreements that were entered into with Merit and Spectrum.</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CEO retirement and transition expenses related to the CEO search and retention agreements with the Company's executive leadership team.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to optimize its manufacturing efficiency, capabilities and footprint (the "Plan").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still expected to be completed in the second quarter of fiscal year 2027.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estimated costs associated with the plan:</w:t>
      </w:r>
    </w:p>
    <w:tbl>
      <w:tblPr>
        <w:tblW w:w="7886" w:type="dxa"/>
        <w:jc w:val="left"/>
        <w:tblInd w:w="0" w:type="dxa"/>
        <w:tblLayout w:type="fixed"/>
        <w:tblCellMar>
          <w:top w:w="28" w:type="dxa"/>
          <w:left w:w="28" w:type="dxa"/>
          <w:bottom w:w="28" w:type="dxa"/>
          <w:right w:w="28" w:type="dxa"/>
        </w:tblCellMar>
      </w:tblPr>
      <w:tblGrid>
        <w:gridCol w:w="788"/>
        <w:gridCol w:w="692"/>
        <w:gridCol w:w="695"/>
        <w:gridCol w:w="109"/>
        <w:gridCol w:w="109"/>
        <w:gridCol w:w="301"/>
        <w:gridCol w:w="301"/>
        <w:gridCol w:w="301"/>
        <w:gridCol w:w="301"/>
        <w:gridCol w:w="583"/>
        <w:gridCol w:w="1992"/>
        <w:gridCol w:w="301"/>
        <w:gridCol w:w="109"/>
        <w:gridCol w:w="109"/>
        <w:gridCol w:w="109"/>
        <w:gridCol w:w="211"/>
        <w:gridCol w:w="721"/>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Type of cost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modified estimated amount expected to be incurred</w:t>
            </w:r>
          </w:p>
        </w:tc>
        <w:tc>
          <w:tcPr>
            <w:tcW w:w="1413" w:type="dxa"/>
            <w:gridSpan w:val="6"/>
            <w:tcBorders/>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Facilities closeout fees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consultants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Validation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filings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33,400 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Included in the original and modified estimate is approximately $13.6 million and $13.3 million of non-cash charges for accelerated depreciation and building impairment.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Company recorded restructuring charges related to the plan during the three months ended </w:t>
      </w:r>
      <w:r>
        <w:rPr>
          <w:rFonts w:ascii="Times New Roman;serif" w:hAnsi="Times New Roman;serif"/>
          <w:b w:val="false"/>
          <w:color w:val="000000"/>
          <w:sz w:val="20"/>
          <w:shd w:fill="FFFFFF" w:val="clear"/>
        </w:rPr>
        <w:t>August 31, 2026</w:t>
      </w:r>
      <w:r>
        <w:rPr>
          <w:color w:val="000000"/>
        </w:rPr>
        <w:t xml:space="preserve"> </w:t>
      </w:r>
      <w:r>
        <w:rPr>
          <w:rFonts w:ascii="Times New Roman;serif" w:hAnsi="Times New Roman;serif"/>
          <w:b w:val="false"/>
          <w:color w:val="000000"/>
          <w:sz w:val="20"/>
        </w:rPr>
        <w:t xml:space="preserve">of </w:t>
      </w:r>
      <w:r>
        <w:rPr>
          <w:rFonts w:ascii="Times New Roman;serif" w:hAnsi="Times New Roman;serif"/>
          <w:b w:val="false"/>
          <w:color w:val="000000"/>
          <w:sz w:val="20"/>
          <w:shd w:fill="FFFFFF" w:val="clear"/>
        </w:rPr>
        <w:t>$0.6 million</w:t>
      </w:r>
      <w:r>
        <w:rPr>
          <w:rFonts w:ascii="Times New Roman;serif" w:hAnsi="Times New Roman;serif"/>
          <w:b w:val="false"/>
          <w:color w:val="000000"/>
          <w:sz w:val="20"/>
        </w:rPr>
        <w:t>. Total restructuring charges recorded to date are $37.0 million. Termination benefits are only earned if an employee stays until their termination date; therefore, the expenses related to termination benefits are being recorded ratably over the service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restructuring reserve: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6"/>
        <w:gridCol w:w="359"/>
        <w:gridCol w:w="360"/>
        <w:gridCol w:w="289"/>
        <w:gridCol w:w="641"/>
        <w:gridCol w:w="152"/>
        <w:gridCol w:w="109"/>
        <w:gridCol w:w="109"/>
        <w:gridCol w:w="109"/>
        <w:gridCol w:w="272"/>
        <w:gridCol w:w="603"/>
        <w:gridCol w:w="142"/>
        <w:gridCol w:w="109"/>
        <w:gridCol w:w="109"/>
        <w:gridCol w:w="109"/>
        <w:gridCol w:w="298"/>
        <w:gridCol w:w="511"/>
        <w:gridCol w:w="156"/>
        <w:gridCol w:w="109"/>
        <w:gridCol w:w="109"/>
        <w:gridCol w:w="109"/>
        <w:gridCol w:w="268"/>
        <w:gridCol w:w="517"/>
        <w:gridCol w:w="138"/>
        <w:gridCol w:w="109"/>
        <w:gridCol w:w="109"/>
        <w:gridCol w:w="109"/>
        <w:gridCol w:w="283"/>
        <w:gridCol w:w="545"/>
        <w:gridCol w:w="146"/>
        <w:gridCol w:w="109"/>
        <w:gridCol w:w="109"/>
        <w:gridCol w:w="109"/>
        <w:gridCol w:w="211"/>
        <w:gridCol w:w="616"/>
        <w:gridCol w:w="109"/>
        <w:gridCol w:w="109"/>
        <w:gridCol w:w="109"/>
        <w:gridCol w:w="109"/>
        <w:gridCol w:w="211"/>
        <w:gridCol w:w="616"/>
        <w:gridCol w:w="164"/>
      </w:tblGrid>
      <w:tr>
        <w:trPr/>
        <w:tc>
          <w:tcPr>
            <w:tcW w:w="63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Three Months Ended Aug 31, 2026</w:t>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Termination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Outside Consultants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Validation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Facilities Closeout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Regulatory Filings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May 31, 2026</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August 31, 2026</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16. RECENTLY ISSUED ACCOUNTING PRONOUNCEMENTS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Recently Issued Accounting Pronouncements - Adopted</w:t>
      </w:r>
    </w:p>
    <w:p>
      <w:pPr>
        <w:pStyle w:val="TextBody"/>
        <w:bidi w:val="0"/>
        <w:spacing w:before="0" w:after="18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1104"/>
        <w:gridCol w:w="969"/>
        <w:gridCol w:w="980"/>
        <w:gridCol w:w="1193"/>
        <w:gridCol w:w="1193"/>
        <w:gridCol w:w="1206"/>
        <w:gridCol w:w="268"/>
        <w:gridCol w:w="268"/>
        <w:gridCol w:w="269"/>
        <w:gridCol w:w="869"/>
        <w:gridCol w:w="779"/>
        <w:gridCol w:w="1107"/>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2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Consolidated Financial Statements</w:t>
            </w:r>
          </w:p>
        </w:tc>
      </w:tr>
      <w:tr>
        <w:trPr/>
        <w:tc>
          <w:tcPr>
            <w:tcW w:w="3053" w:type="dxa"/>
            <w:gridSpan w:val="3"/>
            <w:tcBorders/>
            <w:vAlign w:val="center"/>
          </w:tcPr>
          <w:p>
            <w:pPr>
              <w:pStyle w:val="TableContents"/>
              <w:bidi w:val="0"/>
              <w:spacing w:before="0" w:after="283"/>
              <w:jc w:val="left"/>
              <w:rPr>
                <w:sz w:val="4"/>
                <w:szCs w:val="4"/>
              </w:rPr>
            </w:pPr>
            <w:r>
              <w:rPr>
                <w:sz w:val="4"/>
                <w:szCs w:val="4"/>
              </w:rPr>
            </w:r>
          </w:p>
        </w:tc>
        <w:tc>
          <w:tcPr>
            <w:tcW w:w="3592"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2755" w:type="dxa"/>
            <w:gridSpan w:val="3"/>
            <w:tcBorders/>
            <w:vAlign w:val="center"/>
          </w:tcPr>
          <w:p>
            <w:pPr>
              <w:pStyle w:val="TableContents"/>
              <w:bidi w:val="0"/>
              <w:spacing w:before="0" w:after="283"/>
              <w:jc w:val="left"/>
              <w:rPr>
                <w:sz w:val="4"/>
                <w:szCs w:val="4"/>
              </w:rPr>
            </w:pPr>
            <w:r>
              <w:rPr>
                <w:sz w:val="4"/>
                <w:szCs w:val="4"/>
              </w:rPr>
            </w:r>
          </w:p>
        </w:tc>
      </w:tr>
      <w:tr>
        <w:trPr/>
        <w:tc>
          <w:tcPr>
            <w:tcW w:w="30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ASU 2025-05, </w:t>
            </w:r>
            <w:r>
              <w:rPr>
                <w:rFonts w:ascii="Times New Roman;serif" w:hAnsi="Times New Roman;serif"/>
                <w:b w:val="false"/>
                <w:i/>
                <w:color w:val="000000"/>
                <w:sz w:val="20"/>
              </w:rPr>
              <w:t>Financial Instruments-Credit Losses (Topic 326): Measurement of Credit Losses for Accounts Receivable and Contract Assets</w:t>
            </w:r>
          </w:p>
        </w:tc>
        <w:tc>
          <w:tcPr>
            <w:tcW w:w="359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This ASU addresses challenges encountered when applying the guidance to current account receivable and current contract assets arising from transactions accounted for under Topic 606, Revenue from Contracts with Customers.</w:t>
            </w:r>
          </w:p>
        </w:tc>
        <w:tc>
          <w:tcPr>
            <w:tcW w:w="80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2026</w:t>
            </w:r>
          </w:p>
        </w:tc>
        <w:tc>
          <w:tcPr>
            <w:tcW w:w="275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practical expedient for accounts receivable and there were no impacts to the consolidated financial statements as a result. </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Recently Issued Accounting Pronouncements - Not Yet Applicable or Adopted</w:t>
      </w:r>
    </w:p>
    <w:tbl>
      <w:tblPr>
        <w:tblW w:w="10205" w:type="dxa"/>
        <w:jc w:val="left"/>
        <w:tblInd w:w="0" w:type="dxa"/>
        <w:tblLayout w:type="fixed"/>
        <w:tblCellMar>
          <w:top w:w="28" w:type="dxa"/>
          <w:left w:w="28" w:type="dxa"/>
          <w:bottom w:w="28" w:type="dxa"/>
          <w:right w:w="28" w:type="dxa"/>
        </w:tblCellMar>
      </w:tblPr>
      <w:tblGrid>
        <w:gridCol w:w="1053"/>
        <w:gridCol w:w="924"/>
        <w:gridCol w:w="932"/>
        <w:gridCol w:w="1461"/>
        <w:gridCol w:w="1461"/>
        <w:gridCol w:w="1475"/>
        <w:gridCol w:w="261"/>
        <w:gridCol w:w="261"/>
        <w:gridCol w:w="262"/>
        <w:gridCol w:w="685"/>
        <w:gridCol w:w="589"/>
        <w:gridCol w:w="841"/>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4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Consolidated Financial Statements</w:t>
            </w:r>
          </w:p>
        </w:tc>
      </w:tr>
      <w:tr>
        <w:trPr/>
        <w:tc>
          <w:tcPr>
            <w:tcW w:w="2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ASU 2024-03, </w:t>
            </w:r>
            <w:r>
              <w:rPr>
                <w:rFonts w:ascii="Times New Roman;serif" w:hAnsi="Times New Roman;serif"/>
                <w:b w:val="false"/>
                <w:i/>
                <w:color w:val="000000"/>
                <w:sz w:val="20"/>
              </w:rPr>
              <w:t>Income Statement-Reporting Comprehensive Income-Expense Disaggregation Disclosures (Subtopic 220-04): Disaggregation of Income Statement Expenses</w:t>
            </w:r>
          </w:p>
        </w:tc>
        <w:tc>
          <w:tcPr>
            <w:tcW w:w="439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This ASU improves the disclosures about a public business entity's costs and expenses by requiring the Company to disclose more detailed information about the types of expenses (including purchases of inventory, employee compensation, depreciation, amortization and depletion) included in each relevant income statement caption.</w:t>
            </w:r>
          </w:p>
        </w:tc>
        <w:tc>
          <w:tcPr>
            <w:tcW w:w="78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2027</w:t>
            </w:r>
          </w:p>
        </w:tc>
        <w:tc>
          <w:tcPr>
            <w:tcW w:w="211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plans to adopt the new standard for the fiscal year 2028 and is assessing the impact to the consolidated financial statements.</w:t>
            </w:r>
          </w:p>
        </w:tc>
      </w:tr>
      <w:tr>
        <w:trPr/>
        <w:tc>
          <w:tcPr>
            <w:tcW w:w="29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ASU 2025-11, </w:t>
            </w:r>
            <w:r>
              <w:rPr>
                <w:rFonts w:ascii="Times New Roman;serif" w:hAnsi="Times New Roman;serif"/>
                <w:b w:val="false"/>
                <w:i/>
                <w:color w:val="000000"/>
                <w:sz w:val="20"/>
              </w:rPr>
              <w:t>Interim Reporting (Topic 270): Narrow-Scope Improvements</w:t>
            </w:r>
          </w:p>
        </w:tc>
        <w:tc>
          <w:tcPr>
            <w:tcW w:w="439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This ASU improves the guidance in Topic 270 by improving the navigability of the required interim disclosures and clarifying when that guidance is applicable. The amendments also provide additional guidance on what disclosures should be provided in interim reporting periods and adds to Topic 270 a principle that requires entities to disclose events since the end of the last annual reporting period that have a material impact on the entity.</w:t>
            </w:r>
          </w:p>
        </w:tc>
        <w:tc>
          <w:tcPr>
            <w:tcW w:w="78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2028</w:t>
            </w:r>
          </w:p>
        </w:tc>
        <w:tc>
          <w:tcPr>
            <w:tcW w:w="211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plans to adopt the new standard for the fiscal year 2029 and is assessing the impact to the consolidated financial statements.</w:t>
            </w:r>
          </w:p>
        </w:tc>
      </w:tr>
    </w:tbl>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since our Annual Report on Form 10-K for fiscal year ended May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October 8, 2026, the Company announced the appointment of Eric Honroth as President and Chief Executive Officer and a member of the Board of Directors, effective November 2, 2026. Mr. Honroth will succeed Jim Clemmer, who will depart the Board on November 2, 2026. In connection with Mr. Honroth’s appointment as President and Chief Executive Officer and in order to support continuity and a smooth transition, on October 5, 2026, Mr. Clemmer entered into a consulting agreement with the Company, pursuant to which Mr. Clemmer will retire and his employment with the Company will terminate as of November 2, 2026, and Mr. Clemmer will provide consulting services to the Company until the first anniversary of the effective date, unless earlier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information should be read together with the consolidated financial statements and the notes thereto and other information included elsewhere in this quarterly report on Form 10-Q. The following discussion should be read in conjunction with the Company's 2026 Annual Report on Form 10-K, and the consolidated financial statements and notes thereto included elsewhere in the Form 10-Q.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Disclosure Regarding Trademarks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Executive Overview</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AngioDynamics is a dynamic, diversified medical technology company committed to expanding treatment options and improving patient outcomes and quality of life by focusing on cardiovascular disease and cancer. Our execution strategy is built on innovative R&amp;D, clinical and regulatory pathway expansion and customer centric sales performance.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sell our products in the United States primarily through a direct sales force, and outside the U.S. mainly through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macroeconomic environment continues to impact our business and may continue to pose future risks. The Company's ability to manufacture products, the reliability of our supply chain, labor shortages, backlog, inflation (including the cost and availability of raw materials, direct labor and shipping) and tariffs have impacted our business, trends that may continue. Accordingly, management continues to evaluate the Company’s liquidity position, communicate with and monitor the actions of our customers and suppliers, and review our near-term financial performance. </w:t>
      </w:r>
    </w:p>
    <w:p>
      <w:pPr>
        <w:pStyle w:val="TextBody"/>
        <w:bidi w:val="0"/>
        <w:spacing w:lineRule="auto" w:line="288" w:before="24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evaluating the operating performance of our business, management focuses on company-wide and segment revenue and gross margin and company-wide operating income, earnings per share and cash flow from operations. A summary of these key financial metrics for the three months ended August 31, 2026 compared to the three months ended August 31, 2025 are as follows: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Three months ended August 31, 2026:</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Revenue increased by 6.9% to $80.9 million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Med Tech and Med Device growth of 13.2% and 1.4%, respectively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Gross margin increased 410 bps to 59.4%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 Tech gross margin increased 400 bps to 66.2% and Med Device gross margin increased 340 bps to 52.7%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loss decreased by $3.8 million to $7.1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Loss per share decreased by $0.09 to $0.17</w:t>
      </w:r>
    </w:p>
    <w:p>
      <w:pPr>
        <w:pStyle w:val="TextBody"/>
        <w:bidi w:val="0"/>
        <w:spacing w:before="0" w:after="0"/>
        <w:jc w:val="left"/>
        <w:rPr/>
      </w:pPr>
      <w:r>
        <w:rPr/>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Med Tech revenue, comprised of Auryon, NanoKnife and the thrombus management platform, grew 13.2% in the first quarter of fiscal year 2027 driven by increased sales in Auryon, NanoKnife and the thrombus management products. Our Med Device revenue grew by 1.4% in the first quarter of fiscal year 2027 driven by growth in the Core and Microwave product lines which was partially offset by softness in the Venous, Ports and other Oncology product lines.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August 31, 2026, the Company reported net loss of $7.1 million, or diluted loss per share of $0.17, on net sales of $80.9 million, compared with a net loss of $10.9 million, or diluted loss per share of $0.26, on net sales of $75.7 million during the same quarter of the prior year. </w:t>
      </w:r>
    </w:p>
    <w:p>
      <w:pPr>
        <w:pStyle w:val="TextBody"/>
        <w:bidi w:val="0"/>
        <w:spacing w:lineRule="auto" w:line="288" w:before="0" w:after="180"/>
        <w:jc w:val="left"/>
        <w:rPr/>
      </w:pPr>
      <w:r>
        <w:rPr>
          <w:rFonts w:ascii="Times New Roman;serif" w:hAnsi="Times New Roman;serif"/>
          <w:b w:val="false"/>
          <w:color w:val="000000"/>
          <w:sz w:val="20"/>
          <w:u w:val="single"/>
        </w:rPr>
        <w:t>Net sales</w:t>
      </w:r>
      <w:r>
        <w:rPr>
          <w:color w:val="000000"/>
        </w:rPr>
        <w:t xml:space="preserve"> </w:t>
      </w:r>
      <w:r>
        <w:rPr>
          <w:rFonts w:ascii="Times New Roman;serif" w:hAnsi="Times New Roman;serif"/>
          <w:b w:val="false"/>
          <w:color w:val="000000"/>
          <w:sz w:val="20"/>
        </w:rPr>
        <w:t xml:space="preserve">- Net sales are derived from the sale of products and related freight charges, less discounts, rebates and returns. </w:t>
      </w:r>
    </w:p>
    <w:tbl>
      <w:tblPr>
        <w:tblW w:w="5558" w:type="dxa"/>
        <w:jc w:val="left"/>
        <w:tblInd w:w="0" w:type="dxa"/>
        <w:tblLayout w:type="fixed"/>
        <w:tblCellMar>
          <w:top w:w="28" w:type="dxa"/>
          <w:left w:w="28" w:type="dxa"/>
          <w:bottom w:w="28" w:type="dxa"/>
          <w:right w:w="28" w:type="dxa"/>
        </w:tblCellMar>
      </w:tblPr>
      <w:tblGrid>
        <w:gridCol w:w="402"/>
        <w:gridCol w:w="353"/>
        <w:gridCol w:w="354"/>
        <w:gridCol w:w="219"/>
        <w:gridCol w:w="748"/>
        <w:gridCol w:w="113"/>
        <w:gridCol w:w="109"/>
        <w:gridCol w:w="109"/>
        <w:gridCol w:w="109"/>
        <w:gridCol w:w="219"/>
        <w:gridCol w:w="748"/>
        <w:gridCol w:w="113"/>
        <w:gridCol w:w="109"/>
        <w:gridCol w:w="109"/>
        <w:gridCol w:w="109"/>
        <w:gridCol w:w="211"/>
        <w:gridCol w:w="616"/>
        <w:gridCol w:w="109"/>
        <w:gridCol w:w="109"/>
        <w:gridCol w:w="109"/>
        <w:gridCol w:w="109"/>
        <w:gridCol w:w="109"/>
        <w:gridCol w:w="109"/>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Tech</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Device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80,915 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75,711 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tbl>
      <w:tblPr>
        <w:tblW w:w="6068" w:type="dxa"/>
        <w:jc w:val="center"/>
        <w:tblInd w:w="0" w:type="dxa"/>
        <w:tblLayout w:type="fixed"/>
        <w:tblCellMar>
          <w:top w:w="28" w:type="dxa"/>
          <w:left w:w="28" w:type="dxa"/>
          <w:bottom w:w="28" w:type="dxa"/>
          <w:right w:w="28" w:type="dxa"/>
        </w:tblCellMar>
      </w:tblPr>
      <w:tblGrid>
        <w:gridCol w:w="587"/>
        <w:gridCol w:w="515"/>
        <w:gridCol w:w="517"/>
        <w:gridCol w:w="219"/>
        <w:gridCol w:w="748"/>
        <w:gridCol w:w="113"/>
        <w:gridCol w:w="109"/>
        <w:gridCol w:w="109"/>
        <w:gridCol w:w="109"/>
        <w:gridCol w:w="219"/>
        <w:gridCol w:w="748"/>
        <w:gridCol w:w="113"/>
        <w:gridCol w:w="109"/>
        <w:gridCol w:w="109"/>
        <w:gridCol w:w="109"/>
        <w:gridCol w:w="211"/>
        <w:gridCol w:w="616"/>
        <w:gridCol w:w="109"/>
        <w:gridCol w:w="109"/>
        <w:gridCol w:w="109"/>
        <w:gridCol w:w="109"/>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United States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International</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80,915 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75,711 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August 31, 2026, net sales increased $5.2 million to $80.9 million compared to the same period in the prior year. At August 31, 2026, the Company had a backlog of $2.7 million.</w:t>
      </w:r>
    </w:p>
    <w:p>
      <w:pPr>
        <w:pStyle w:val="TextBody"/>
        <w:bidi w:val="0"/>
        <w:spacing w:lineRule="auto" w:line="288" w:before="0" w:after="180"/>
        <w:ind w:left="0" w:right="0" w:firstLine="450"/>
        <w:jc w:val="left"/>
        <w:rPr/>
      </w:pPr>
      <w:r>
        <w:rPr>
          <w:rFonts w:ascii="Times New Roman;serif" w:hAnsi="Times New Roman;serif"/>
          <w:b w:val="false"/>
          <w:color w:val="000000"/>
          <w:sz w:val="20"/>
          <w:shd w:fill="FFFFFF" w:val="clear"/>
        </w:rPr>
        <w:t>The Med Tec</w:t>
      </w:r>
      <w:r>
        <w:rPr>
          <w:rFonts w:ascii="Times New Roman;serif" w:hAnsi="Times New Roman;serif"/>
          <w:b w:val="false"/>
          <w:color w:val="000000"/>
          <w:sz w:val="20"/>
        </w:rPr>
        <w:t>h segment net sales increased $4.7 million fo</w:t>
      </w:r>
      <w:r>
        <w:rPr>
          <w:rFonts w:ascii="Times New Roman;serif" w:hAnsi="Times New Roman;serif"/>
          <w:b w:val="false"/>
          <w:color w:val="000000"/>
          <w:sz w:val="20"/>
          <w:shd w:fill="FFFFFF" w:val="clear"/>
        </w:rPr>
        <w:t>r the three months ended August 31, 2026</w:t>
      </w:r>
      <w:r>
        <w:rPr>
          <w:color w:val="000000"/>
        </w:rPr>
        <w:t xml:space="preserve"> </w:t>
      </w:r>
      <w:r>
        <w:rPr>
          <w:rFonts w:ascii="Times New Roman;serif" w:hAnsi="Times New Roman;serif"/>
          <w:b w:val="false"/>
          <w:color w:val="000000"/>
          <w:sz w:val="20"/>
        </w:rPr>
        <w:t>compared to the same period in the prior year. The change in sales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Increased Auryon sales of $2.4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sales of the thrombus management platform of $0.4 million, which was driven by an increase in AlphaVac sales of $1.2 million and was partially offset by a decrease in AngioVac and thrombolytic sales of $0.5 and $0.4 million, respectively; and</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rPr>
        <w:t>Increased NanoKnife sales of $1.9 million, which was driven by increased disposable and capital sales.</w:t>
      </w:r>
    </w:p>
    <w:p>
      <w:pPr>
        <w:pStyle w:val="TextBody"/>
        <w:bidi w:val="0"/>
        <w:spacing w:before="0" w:after="0"/>
        <w:jc w:val="left"/>
        <w:rPr/>
      </w:pPr>
      <w:r>
        <w:rPr/>
      </w:r>
    </w:p>
    <w:p>
      <w:pPr>
        <w:pStyle w:val="TextBody"/>
        <w:bidi w:val="0"/>
        <w:spacing w:lineRule="auto" w:line="288" w:before="0" w:after="180"/>
        <w:ind w:left="0" w:right="0" w:firstLine="450"/>
        <w:jc w:val="left"/>
        <w:rPr/>
      </w:pPr>
      <w:r>
        <w:rPr>
          <w:rFonts w:ascii="Times New Roman;serif" w:hAnsi="Times New Roman;serif"/>
          <w:b w:val="false"/>
          <w:color w:val="000000"/>
          <w:sz w:val="20"/>
          <w:shd w:fill="FFFFFF" w:val="clear"/>
        </w:rPr>
        <w:t>The Me</w:t>
      </w:r>
      <w:r>
        <w:rPr>
          <w:rFonts w:ascii="Times New Roman;serif" w:hAnsi="Times New Roman;serif"/>
          <w:b w:val="false"/>
          <w:color w:val="000000"/>
          <w:sz w:val="20"/>
        </w:rPr>
        <w:t>d Device segment net sales increased $0.5 million for</w:t>
      </w:r>
      <w:r>
        <w:rPr>
          <w:color w:val="000000"/>
          <w:shd w:fill="FFFFFF" w:val="clear"/>
        </w:rPr>
        <w:t xml:space="preserve"> </w:t>
      </w:r>
      <w:r>
        <w:rPr>
          <w:rFonts w:ascii="Times New Roman;serif" w:hAnsi="Times New Roman;serif"/>
          <w:b w:val="false"/>
          <w:color w:val="000000"/>
          <w:sz w:val="20"/>
          <w:shd w:fill="FFFFFF" w:val="clear"/>
        </w:rPr>
        <w:t xml:space="preserve">the three months ended August 31, 2026 </w:t>
      </w:r>
      <w:r>
        <w:rPr>
          <w:rFonts w:ascii="Times New Roman;serif" w:hAnsi="Times New Roman;serif"/>
          <w:b w:val="false"/>
          <w:color w:val="000000"/>
          <w:sz w:val="20"/>
        </w:rPr>
        <w:t>compared to the same period in the prior year.</w:t>
      </w:r>
      <w:r>
        <w:rPr>
          <w:color w:val="000000"/>
          <w:shd w:fill="FFFFFF" w:val="clear"/>
        </w:rPr>
        <w:t xml:space="preserve"> </w:t>
      </w:r>
      <w:r>
        <w:rPr>
          <w:rFonts w:ascii="Times New Roman;serif" w:hAnsi="Times New Roman;serif"/>
          <w:b w:val="false"/>
          <w:color w:val="000000"/>
          <w:sz w:val="20"/>
          <w:shd w:fill="FFFFFF" w:val="clear"/>
        </w:rPr>
        <w:t xml:space="preserve">The backlog, which primarily impacted sales of Core and Port products, was </w:t>
      </w:r>
      <w:r>
        <w:rPr>
          <w:rFonts w:ascii="Times New Roman;serif" w:hAnsi="Times New Roman;serif"/>
          <w:b w:val="false"/>
          <w:color w:val="000000"/>
          <w:sz w:val="20"/>
        </w:rPr>
        <w:t>$2.7 million. The change in sales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Increased sales of Core and Microwave products of $1.6 million and $0.5 million, respectively, which was partially offset by decreased sales of other Oncology products, Ports and Venous products of $0.7 million, $0.6 million and $0.3 million,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Gross Margin</w:t>
      </w:r>
    </w:p>
    <w:tbl>
      <w:tblPr>
        <w:tblW w:w="6734" w:type="dxa"/>
        <w:jc w:val="left"/>
        <w:tblInd w:w="0" w:type="dxa"/>
        <w:tblLayout w:type="fixed"/>
        <w:tblCellMar>
          <w:top w:w="28" w:type="dxa"/>
          <w:left w:w="28" w:type="dxa"/>
          <w:bottom w:w="28" w:type="dxa"/>
          <w:right w:w="28" w:type="dxa"/>
        </w:tblCellMar>
      </w:tblPr>
      <w:tblGrid>
        <w:gridCol w:w="739"/>
        <w:gridCol w:w="649"/>
        <w:gridCol w:w="651"/>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Med Tech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Device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180"/>
        <w:jc w:val="left"/>
        <w:rPr/>
      </w:pPr>
      <w:r>
        <w:rPr>
          <w:rFonts w:ascii="Times New Roman;serif" w:hAnsi="Times New Roman;serif"/>
          <w:b w:val="false"/>
          <w:color w:val="000000"/>
          <w:sz w:val="20"/>
          <w:u w:val="single"/>
        </w:rPr>
        <w:t>Gross margin</w:t>
      </w:r>
      <w:r>
        <w:rPr>
          <w:color w:val="000000"/>
        </w:rPr>
        <w:t xml:space="preserve"> </w:t>
      </w:r>
      <w:r>
        <w:rPr>
          <w:rFonts w:ascii="Times New Roman;serif" w:hAnsi="Times New Roman;serif"/>
          <w:b w:val="false"/>
          <w:color w:val="000000"/>
          <w:sz w:val="20"/>
        </w:rPr>
        <w:t xml:space="preserve">- Gross margin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Company gross margin increased by $6.2 million for the three months ended August 31, 2026 compared to the same period in the prior year. The change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volume, price and product mix, which positively impacted gross margin by $3.7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Tariffs, which positively impacted gross margin by $2.1 million as a result of refunds received of $1.2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Benefits from product lines transitioned to third-party manufacturing and other operational costs, which positively impacted gross margin by $2.9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Production volume and inflation, which negatively impacted gross margin by $2.5 million and $0.4 million, respectively;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decrease in incremental depreciation on placement units of $0.5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Med Tech segment gross margin increased by $4.5 million for the three months ended August 31, 2026 compared to the same period in the prior year. The change from the prior year was primarily driven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volume, price and product mix, which positively impacted gross margin by $3.7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Tariffs, which positively impacted gross margin by $0.8 million as a result of refunds received of $0.3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Benefits from product lines transitioned to third-party manufacturing, which positively impacted gross margin by $0.2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Production volume and other operational costs, which negatively impacted gross margin by $0.6 million;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decrease in incremental depreciation on placement units of $0.4 million.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Med Device segment gross margin increased by $1.7 million for the three months ended August 31, 2026 compared to the same period in the prior year. The change from the prior year was primarily driven by: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Benefits from product lines transitioned to third-party manufacturing and other operational costs, which positively impacted gross margin by $3.2 million;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Tariffs, which positively impacted gross margin by $1.3 million as a result of refunds received of $0.9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Price, which positively impacted gross margin by $0.7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Production volume and inflation, which negatively impacted gross margin by $2.4 million and $0.5 million, respectively;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volume and product mix, which negatively impacted gross margin by $0.7 million;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decrease in incremental depreciation on placement units of $0.1 million.</w:t>
      </w:r>
    </w:p>
    <w:p>
      <w:pPr>
        <w:pStyle w:val="TextBody"/>
        <w:bidi w:val="0"/>
        <w:spacing w:lineRule="auto" w:line="276" w:before="0" w:after="180"/>
        <w:jc w:val="left"/>
        <w:rPr>
          <w:rFonts w:ascii="Times New Roman;serif" w:hAnsi="Times New Roman;serif"/>
          <w:b/>
          <w:i/>
          <w:color w:val="000000"/>
          <w:sz w:val="20"/>
        </w:rPr>
      </w:pPr>
      <w:r>
        <w:rPr>
          <w:rFonts w:ascii="Times New Roman;serif" w:hAnsi="Times New Roman;serif"/>
          <w:b/>
          <w:i/>
          <w:color w:val="000000"/>
          <w:sz w:val="20"/>
        </w:rPr>
        <w:t>Operating Expenses and Other Income (Expense)</w:t>
      </w:r>
    </w:p>
    <w:tbl>
      <w:tblPr>
        <w:tblW w:w="7004" w:type="dxa"/>
        <w:jc w:val="left"/>
        <w:tblInd w:w="0" w:type="dxa"/>
        <w:tblLayout w:type="fixed"/>
        <w:tblCellMar>
          <w:top w:w="28" w:type="dxa"/>
          <w:left w:w="28" w:type="dxa"/>
          <w:bottom w:w="28" w:type="dxa"/>
          <w:right w:w="28" w:type="dxa"/>
        </w:tblCellMar>
      </w:tblPr>
      <w:tblGrid>
        <w:gridCol w:w="835"/>
        <w:gridCol w:w="734"/>
        <w:gridCol w:w="740"/>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jc w:val="left"/>
        <w:rPr/>
      </w:pPr>
      <w:r>
        <w:rPr>
          <w:rFonts w:ascii="Times New Roman;serif" w:hAnsi="Times New Roman;serif"/>
          <w:b w:val="false"/>
          <w:color w:val="000000"/>
          <w:sz w:val="20"/>
          <w:u w:val="single"/>
          <w:shd w:fill="FFFFFF" w:val="clear"/>
        </w:rPr>
        <w:t>Research and development expense</w:t>
      </w:r>
      <w:r>
        <w:rPr>
          <w:color w:val="000000"/>
          <w:shd w:fill="FFFFFF" w:val="clear"/>
        </w:rPr>
        <w:t xml:space="preserve"> </w:t>
      </w:r>
      <w:r>
        <w:rPr>
          <w:rFonts w:ascii="Times New Roman;serif" w:hAnsi="Times New Roman;serif"/>
          <w:b w:val="false"/>
          <w:color w:val="000000"/>
          <w:sz w:val="20"/>
          <w:shd w:fill="FFFFFF" w:val="clear"/>
        </w:rPr>
        <w:t xml:space="preserve">- R&amp;D expense includes internal and external costs to develop new products, enhance existing products, validate new and enhanced products, and manage clinical, regulatory and medical affairs. </w:t>
      </w:r>
    </w:p>
    <w:p>
      <w:pPr>
        <w:pStyle w:val="TextBody"/>
        <w:bidi w:val="0"/>
        <w:spacing w:lineRule="auto" w:line="288" w:before="0" w:after="180"/>
        <w:jc w:val="left"/>
        <w:rPr/>
      </w:pPr>
      <w:r>
        <w:rPr>
          <w:rFonts w:ascii="Times New Roman;serif" w:hAnsi="Times New Roman;serif"/>
          <w:b w:val="false"/>
          <w:color w:val="000000"/>
          <w:sz w:val="20"/>
          <w:shd w:fill="FFFFFF" w:val="clear"/>
        </w:rPr>
        <w:t>R&amp;</w:t>
      </w:r>
      <w:r>
        <w:rPr>
          <w:rFonts w:ascii="Times New Roman;serif" w:hAnsi="Times New Roman;serif"/>
          <w:b w:val="false"/>
          <w:color w:val="000000"/>
          <w:sz w:val="20"/>
        </w:rPr>
        <w:t xml:space="preserve">D expense increased $1.6 million for the </w:t>
      </w:r>
      <w:r>
        <w:rPr>
          <w:rFonts w:ascii="Times New Roman;serif" w:hAnsi="Times New Roman;serif"/>
          <w:b w:val="false"/>
          <w:color w:val="000000"/>
          <w:sz w:val="20"/>
          <w:shd w:fill="FFFFFF" w:val="clear"/>
        </w:rPr>
        <w:t xml:space="preserve">three months ended August 31, 2026 </w:t>
      </w:r>
      <w:r>
        <w:rPr>
          <w:rFonts w:ascii="Times New Roman;serif" w:hAnsi="Times New Roman;serif"/>
          <w:b w:val="false"/>
          <w:color w:val="000000"/>
          <w:sz w:val="20"/>
        </w:rPr>
        <w:t>compared to the same period in the prior year</w:t>
      </w:r>
      <w:r>
        <w:rPr>
          <w:rFonts w:ascii="Times New Roman;serif" w:hAnsi="Times New Roman;serif"/>
          <w:b w:val="false"/>
          <w:color w:val="000000"/>
          <w:sz w:val="20"/>
          <w:shd w:fill="FFFFFF" w:val="clear"/>
        </w:rPr>
        <w:t>. The change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certain projects and clinical spend associated with ongoing clinical trials, which increased R&amp;D expense by $1.2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Compensation and benefits expenses, which increased $0.3 million.</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u w:val="single"/>
        </w:rPr>
        <w:t>Sales and marketing expense</w:t>
      </w:r>
      <w:r>
        <w:rPr>
          <w:color w:val="000000"/>
        </w:rPr>
        <w:t xml:space="preserve"> </w:t>
      </w:r>
      <w:r>
        <w:rPr>
          <w:rFonts w:ascii="Times New Roman;serif" w:hAnsi="Times New Roman;serif"/>
          <w:b w:val="false"/>
          <w:color w:val="000000"/>
          <w:sz w:val="20"/>
        </w:rPr>
        <w:t xml:space="preserve">- Sales and marketing (“S&amp;M”) expense consists primarily of salaries, commissions, travel and related business expenses, attendance at medical society meetings, product promotions and marketing activities. </w:t>
      </w:r>
    </w:p>
    <w:p>
      <w:pPr>
        <w:pStyle w:val="TextBody"/>
        <w:bidi w:val="0"/>
        <w:spacing w:lineRule="auto" w:line="288" w:before="0" w:after="180"/>
        <w:jc w:val="left"/>
        <w:rPr/>
      </w:pPr>
      <w:r>
        <w:rPr>
          <w:rFonts w:ascii="Times New Roman;serif" w:hAnsi="Times New Roman;serif"/>
          <w:b w:val="false"/>
          <w:color w:val="000000"/>
          <w:sz w:val="20"/>
        </w:rPr>
        <w:t xml:space="preserve">S&amp;M expense increased $1.9 million for the three months ending </w:t>
      </w:r>
      <w:r>
        <w:rPr>
          <w:rFonts w:ascii="Times New Roman;serif" w:hAnsi="Times New Roman;serif"/>
          <w:b w:val="false"/>
          <w:color w:val="000000"/>
          <w:sz w:val="20"/>
          <w:shd w:fill="FFFFFF" w:val="clear"/>
        </w:rPr>
        <w:t xml:space="preserve">August 31, 2026 </w:t>
      </w:r>
      <w:r>
        <w:rPr>
          <w:rFonts w:ascii="Times New Roman;serif" w:hAnsi="Times New Roman;serif"/>
          <w:b w:val="false"/>
          <w:color w:val="000000"/>
          <w:sz w:val="20"/>
        </w:rPr>
        <w:t>compared to the same period in the prior year.</w:t>
      </w:r>
      <w:r>
        <w:rPr>
          <w:color w:val="000000"/>
          <w:shd w:fill="FFFFFF" w:val="clear"/>
        </w:rPr>
        <w:t xml:space="preserve"> </w:t>
      </w:r>
      <w:r>
        <w:rPr>
          <w:rFonts w:ascii="Times New Roman;serif" w:hAnsi="Times New Roman;serif"/>
          <w:b w:val="false"/>
          <w:color w:val="000000"/>
          <w:sz w:val="20"/>
          <w:shd w:fill="FFFFFF" w:val="clear"/>
        </w:rPr>
        <w:t>The change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Compensation and benefits expense, which increased by $1.0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Consulting, travel and other selling expenses, which increased $0.6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Trade shows, subscriptions and other marketing expenses, which increased $0.3 million.</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u w:val="single"/>
        </w:rPr>
        <w:t>General and administrative expense</w:t>
      </w:r>
      <w:r>
        <w:rPr>
          <w:color w:val="000000"/>
        </w:rPr>
        <w:t xml:space="preserve"> </w:t>
      </w:r>
      <w:r>
        <w:rPr>
          <w:rFonts w:ascii="Times New Roman;serif" w:hAnsi="Times New Roman;serif"/>
          <w:b w:val="false"/>
          <w:color w:val="000000"/>
          <w:sz w:val="20"/>
        </w:rPr>
        <w:t xml:space="preserve">- General and administrative (“G&amp;A”) expense includes executive management, finance, information technology, human resources, business development, legal, and the administrative and professional costs associated with those activities. </w:t>
      </w:r>
    </w:p>
    <w:p>
      <w:pPr>
        <w:pStyle w:val="TextBody"/>
        <w:bidi w:val="0"/>
        <w:spacing w:lineRule="auto" w:line="288" w:before="0" w:after="180"/>
        <w:jc w:val="left"/>
        <w:rPr/>
      </w:pPr>
      <w:r>
        <w:rPr>
          <w:rFonts w:ascii="Times New Roman;serif" w:hAnsi="Times New Roman;serif"/>
          <w:b w:val="false"/>
          <w:color w:val="000000"/>
          <w:sz w:val="20"/>
          <w:shd w:fill="FFFFFF" w:val="clear"/>
        </w:rPr>
        <w:t>G&amp;A e</w:t>
      </w:r>
      <w:r>
        <w:rPr>
          <w:rFonts w:ascii="Times New Roman;serif" w:hAnsi="Times New Roman;serif"/>
          <w:b w:val="false"/>
          <w:color w:val="000000"/>
          <w:sz w:val="20"/>
        </w:rPr>
        <w:t>xpense decreased $0.1 million for th</w:t>
      </w:r>
      <w:r>
        <w:rPr>
          <w:rFonts w:ascii="Times New Roman;serif" w:hAnsi="Times New Roman;serif"/>
          <w:b w:val="false"/>
          <w:color w:val="000000"/>
          <w:sz w:val="20"/>
          <w:shd w:fill="FFFFFF" w:val="clear"/>
        </w:rPr>
        <w:t xml:space="preserve">e three months ended August 31, 2026 </w:t>
      </w:r>
      <w:r>
        <w:rPr>
          <w:rFonts w:ascii="Times New Roman;serif" w:hAnsi="Times New Roman;serif"/>
          <w:b w:val="false"/>
          <w:color w:val="000000"/>
          <w:sz w:val="20"/>
        </w:rPr>
        <w:t>compared to the same period in the prior year.</w:t>
      </w:r>
      <w:r>
        <w:rPr>
          <w:color w:val="000000"/>
          <w:shd w:fill="FFFFFF" w:val="clear"/>
        </w:rPr>
        <w:t xml:space="preserve"> </w:t>
      </w:r>
      <w:r>
        <w:rPr>
          <w:rFonts w:ascii="Times New Roman;serif" w:hAnsi="Times New Roman;serif"/>
          <w:b w:val="false"/>
          <w:color w:val="000000"/>
          <w:sz w:val="20"/>
          <w:shd w:fill="FFFFFF" w:val="clear"/>
        </w:rPr>
        <w:t>The change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outside consultant spend, which increased $0.6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Compensation and benefits expenses, which decreased $0.7 million;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Depreciation and other corporate expenses, which decreased $0.2 million.</w:t>
      </w:r>
    </w:p>
    <w:p>
      <w:pPr>
        <w:pStyle w:val="TextBody"/>
        <w:bidi w:val="0"/>
        <w:spacing w:before="0" w:after="0"/>
        <w:jc w:val="left"/>
        <w:rPr/>
      </w:pPr>
      <w:r>
        <w:rPr/>
      </w:r>
    </w:p>
    <w:tbl>
      <w:tblPr>
        <w:tblW w:w="8211" w:type="dxa"/>
        <w:jc w:val="left"/>
        <w:tblInd w:w="0" w:type="dxa"/>
        <w:tblLayout w:type="fixed"/>
        <w:tblCellMar>
          <w:top w:w="28" w:type="dxa"/>
          <w:left w:w="28" w:type="dxa"/>
          <w:bottom w:w="28" w:type="dxa"/>
          <w:right w:w="28" w:type="dxa"/>
        </w:tblCellMar>
      </w:tblPr>
      <w:tblGrid>
        <w:gridCol w:w="1390"/>
        <w:gridCol w:w="1221"/>
        <w:gridCol w:w="1228"/>
        <w:gridCol w:w="243"/>
        <w:gridCol w:w="711"/>
        <w:gridCol w:w="125"/>
        <w:gridCol w:w="109"/>
        <w:gridCol w:w="109"/>
        <w:gridCol w:w="109"/>
        <w:gridCol w:w="243"/>
        <w:gridCol w:w="711"/>
        <w:gridCol w:w="125"/>
        <w:gridCol w:w="109"/>
        <w:gridCol w:w="109"/>
        <w:gridCol w:w="109"/>
        <w:gridCol w:w="211"/>
        <w:gridCol w:w="541"/>
        <w:gridCol w:w="109"/>
        <w:gridCol w:w="109"/>
        <w:gridCol w:w="109"/>
        <w:gridCol w:w="109"/>
        <w:gridCol w:w="109"/>
        <w:gridCol w:w="109"/>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restructuring and other items, net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u w:val="single"/>
        </w:rPr>
        <w:t>Amortization of intangibles</w:t>
      </w:r>
      <w:r>
        <w:rPr>
          <w:color w:val="000000"/>
        </w:rPr>
        <w:t xml:space="preserve"> </w:t>
      </w:r>
      <w:r>
        <w:rPr>
          <w:rFonts w:ascii="Times New Roman;serif" w:hAnsi="Times New Roman;serif"/>
          <w:b w:val="false"/>
          <w:color w:val="000000"/>
          <w:sz w:val="20"/>
        </w:rPr>
        <w:t>- Represents the amount of amortization expense that was taken on intangibles assets held by the Company.</w:t>
      </w:r>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20"/>
        </w:rPr>
        <w:t>Amortization expense remained consistent with the same period in the prior year.</w:t>
      </w:r>
    </w:p>
    <w:p>
      <w:pPr>
        <w:pStyle w:val="TextBody"/>
        <w:bidi w:val="0"/>
        <w:spacing w:lineRule="auto" w:line="288" w:before="0" w:after="180"/>
        <w:jc w:val="left"/>
        <w:rPr/>
      </w:pPr>
      <w:r>
        <w:rPr>
          <w:rFonts w:ascii="Times New Roman;serif" w:hAnsi="Times New Roman;serif"/>
          <w:b w:val="false"/>
          <w:color w:val="000000"/>
          <w:sz w:val="20"/>
          <w:u w:val="single"/>
          <w:shd w:fill="FFFFFF" w:val="clear"/>
        </w:rPr>
        <w:t>Acquisition, restructuring and other items, net</w:t>
      </w:r>
      <w:r>
        <w:rPr>
          <w:color w:val="000000"/>
          <w:shd w:fill="FFFFFF" w:val="clear"/>
        </w:rPr>
        <w:t xml:space="preserve"> </w:t>
      </w:r>
      <w:r>
        <w:rPr>
          <w:rFonts w:ascii="Times New Roman;serif" w:hAnsi="Times New Roman;serif"/>
          <w:b w:val="false"/>
          <w:color w:val="000000"/>
          <w:sz w:val="20"/>
          <w:shd w:fill="FFFFFF" w:val="clear"/>
        </w:rPr>
        <w:t>- Represents costs associated with mergers and acquisitions, restructuring expenses, legal costs that are related to litigation that is not in the ordinary course of business, legal settlements and other one-time items.</w:t>
      </w:r>
    </w:p>
    <w:p>
      <w:pPr>
        <w:pStyle w:val="TextBody"/>
        <w:bidi w:val="0"/>
        <w:spacing w:lineRule="auto" w:line="288" w:before="0" w:after="180"/>
        <w:jc w:val="left"/>
        <w:rPr/>
      </w:pPr>
      <w:r>
        <w:rPr>
          <w:rFonts w:ascii="Times New Roman;serif" w:hAnsi="Times New Roman;serif"/>
          <w:b w:val="false"/>
          <w:color w:val="000000"/>
          <w:sz w:val="20"/>
          <w:shd w:fill="FFFFFF" w:val="clear"/>
        </w:rPr>
        <w:t>Acquisition, restructuring and other item</w:t>
      </w:r>
      <w:r>
        <w:rPr>
          <w:rFonts w:ascii="Times New Roman;serif" w:hAnsi="Times New Roman;serif"/>
          <w:b w:val="false"/>
          <w:color w:val="000000"/>
          <w:sz w:val="20"/>
        </w:rPr>
        <w:t>s, net, decreased by $0.6 million for</w:t>
      </w:r>
      <w:r>
        <w:rPr>
          <w:color w:val="000000"/>
          <w:shd w:fill="FFFFFF" w:val="clear"/>
        </w:rPr>
        <w:t xml:space="preserve"> </w:t>
      </w:r>
      <w:r>
        <w:rPr>
          <w:rFonts w:ascii="Times New Roman;serif" w:hAnsi="Times New Roman;serif"/>
          <w:b w:val="false"/>
          <w:color w:val="000000"/>
          <w:sz w:val="20"/>
          <w:shd w:fill="FFFFFF" w:val="clear"/>
        </w:rPr>
        <w:t xml:space="preserve">the three months ended August 31, 2026, </w:t>
      </w:r>
      <w:r>
        <w:rPr>
          <w:rFonts w:ascii="Times New Roman;serif" w:hAnsi="Times New Roman;serif"/>
          <w:b w:val="false"/>
          <w:color w:val="000000"/>
          <w:sz w:val="20"/>
        </w:rPr>
        <w:t>compared to the same period in the prior year.</w:t>
      </w:r>
      <w:r>
        <w:rPr>
          <w:color w:val="000000"/>
          <w:shd w:fill="FFFFFF" w:val="clear"/>
        </w:rPr>
        <w:t xml:space="preserve"> </w:t>
      </w:r>
      <w:r>
        <w:rPr>
          <w:rFonts w:ascii="Times New Roman;serif" w:hAnsi="Times New Roman;serif"/>
          <w:b w:val="false"/>
          <w:color w:val="000000"/>
          <w:sz w:val="20"/>
          <w:shd w:fill="FFFFFF" w:val="clear"/>
        </w:rPr>
        <w:t>The change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Legal expense, related to litigation that is outside of the normal course of business, which increased $0.2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Transition expenses related to the upcoming retirement of our CEO which was announced on January 6, 2026, which increased $0.8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Plant closure expense, related to the restructuring of our manufacturing footprint which was announced on January 5, 2024, which decreased $1.7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Transaction services agreements that were entered into as a result of the divestiture of the PICCs, Midline, dialysis and BioSentry businesses. The decrease in the fees invoiced was $0.3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expenses, mainly severance associated with organizational changes, which decreased $0.1 million.</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u w:val="single"/>
          <w:shd w:fill="FFFFFF" w:val="clear"/>
        </w:rPr>
        <w:t>Other income (expense), net</w:t>
      </w:r>
      <w:r>
        <w:rPr>
          <w:color w:val="000000"/>
          <w:shd w:fill="FFFFFF" w:val="clear"/>
        </w:rPr>
        <w:t xml:space="preserve"> </w:t>
      </w:r>
      <w:r>
        <w:rPr>
          <w:rFonts w:ascii="Times New Roman;serif" w:hAnsi="Times New Roman;serif"/>
          <w:b w:val="false"/>
          <w:color w:val="000000"/>
          <w:sz w:val="20"/>
          <w:shd w:fill="FFFFFF" w:val="clear"/>
        </w:rPr>
        <w:t xml:space="preserve">- Other expenses include interest expense, foreign currency impacts and bank fees. </w:t>
      </w:r>
    </w:p>
    <w:p>
      <w:pPr>
        <w:pStyle w:val="TextBody"/>
        <w:bidi w:val="0"/>
        <w:spacing w:lineRule="auto" w:line="288" w:before="0" w:after="180"/>
        <w:jc w:val="left"/>
        <w:rPr/>
      </w:pPr>
      <w:r>
        <w:rPr>
          <w:rFonts w:ascii="Times New Roman;serif" w:hAnsi="Times New Roman;serif"/>
          <w:b w:val="false"/>
          <w:color w:val="000000"/>
          <w:sz w:val="20"/>
        </w:rPr>
        <w:t>Other income (expense), net decreased by $0.2 million compared to the same period in the prior year. The change from the prior year was</w:t>
      </w:r>
      <w:r>
        <w:rPr>
          <w:color w:val="000000"/>
          <w:shd w:fill="FFFFFF" w:val="clear"/>
        </w:rPr>
        <w:t xml:space="preserve"> </w:t>
      </w:r>
      <w:r>
        <w:rPr>
          <w:rFonts w:ascii="Times New Roman;serif" w:hAnsi="Times New Roman;serif"/>
          <w:b w:val="false"/>
          <w:color w:val="000000"/>
          <w:sz w:val="20"/>
          <w:shd w:fill="FFFFFF" w:val="clear"/>
        </w:rPr>
        <w:t>primarily driven by increased interest expense, net of $0.1 million partially offset by unrealized foreign currency fluctuations, which decreased by $0.3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(Benefit) Expense</w:t>
      </w:r>
    </w:p>
    <w:tbl>
      <w:tblPr>
        <w:tblW w:w="6460" w:type="dxa"/>
        <w:jc w:val="left"/>
        <w:tblInd w:w="0" w:type="dxa"/>
        <w:tblLayout w:type="fixed"/>
        <w:tblCellMar>
          <w:top w:w="28" w:type="dxa"/>
          <w:left w:w="28" w:type="dxa"/>
          <w:bottom w:w="28" w:type="dxa"/>
          <w:right w:w="28" w:type="dxa"/>
        </w:tblCellMar>
      </w:tblPr>
      <w:tblGrid>
        <w:gridCol w:w="1267"/>
        <w:gridCol w:w="1112"/>
        <w:gridCol w:w="1115"/>
        <w:gridCol w:w="236"/>
        <w:gridCol w:w="539"/>
        <w:gridCol w:w="304"/>
        <w:gridCol w:w="109"/>
        <w:gridCol w:w="109"/>
        <w:gridCol w:w="109"/>
        <w:gridCol w:w="256"/>
        <w:gridCol w:w="494"/>
        <w:gridCol w:w="329"/>
        <w:gridCol w:w="109"/>
        <w:gridCol w:w="109"/>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 including discrete items</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including discrete items for the three months ended August 31, 2026 and August 31, 2025 was 2.7% and (0.6)%, respectively. In fiscal year 2027, the Company’s effective tax rate differs from the U.S. statutory rate primarily due to the impact of the valuation allowance, foreign taxes, and other non-deductible permanent items (such as non-deductible meals and entertainment, Section 162(m) excess compensation and non-deductible stock-based compensation).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review our liquidity and anticipated capital requirements and we believe that our current cash on hand provides sufficient liquidity to meet our anticipated needs for capital for at least the next 12 months.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totaled $34.0 million as of August 31, 2026, compared with $53.9 million as of May 31, 2026. As of August 31, 2026 and May 31, 2026 the Company did not have any outstanding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cash flows:</w:t>
      </w:r>
    </w:p>
    <w:tbl>
      <w:tblPr>
        <w:tblW w:w="7689" w:type="dxa"/>
        <w:jc w:val="left"/>
        <w:tblInd w:w="0" w:type="dxa"/>
        <w:tblLayout w:type="fixed"/>
        <w:tblCellMar>
          <w:top w:w="28" w:type="dxa"/>
          <w:left w:w="28" w:type="dxa"/>
          <w:bottom w:w="28" w:type="dxa"/>
          <w:right w:w="28" w:type="dxa"/>
        </w:tblCellMar>
      </w:tblPr>
      <w:tblGrid>
        <w:gridCol w:w="1844"/>
        <w:gridCol w:w="1618"/>
        <w:gridCol w:w="1623"/>
        <w:gridCol w:w="211"/>
        <w:gridCol w:w="796"/>
        <w:gridCol w:w="109"/>
        <w:gridCol w:w="109"/>
        <w:gridCol w:w="109"/>
        <w:gridCol w:w="109"/>
        <w:gridCol w:w="211"/>
        <w:gridCol w:w="796"/>
        <w:gridCol w:w="154"/>
      </w:tblGrid>
      <w:tr>
        <w:trPr/>
        <w:tc>
          <w:tcPr>
            <w:tcW w:w="184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31, 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quarters ended August 31, 2026 and 2025, cash flows consisted of the following:</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used in operating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Three months ended August 31, 2026 and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Net loss of $7.1 million and $10.9 million, respectively, plus the non-cash items, primarily driven by depreciation and amortization and stock based compensation, along with the changes in working capital below, contributed to cash used in operations of $15.3 million and $15.9 million, respectively, for these periods.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the period ended August 31, 2026, working capital was unfavorably impacted by decreased accounts payable, accrued liabilities and other liabilities of $17.4 million, along with increased in</w:t>
      </w:r>
      <w:r>
        <w:rPr>
          <w:rFonts w:ascii="Times New Roman;serif" w:hAnsi="Times New Roman;serif"/>
          <w:b w:val="false"/>
          <w:color w:val="000000"/>
          <w:sz w:val="20"/>
          <w:shd w:fill="FFFFFF" w:val="clear"/>
        </w:rPr>
        <w:t xml:space="preserve">ventory and prepaid expenses of </w:t>
      </w:r>
      <w:r>
        <w:rPr>
          <w:rFonts w:ascii="Times New Roman;serif" w:hAnsi="Times New Roman;serif"/>
          <w:b w:val="false"/>
          <w:color w:val="000000"/>
          <w:sz w:val="20"/>
        </w:rPr>
        <w:t>$2.7 million and $1.0 million, respectively. This was partially offset by decreased accounts rec</w:t>
      </w:r>
      <w:r>
        <w:rPr>
          <w:rFonts w:ascii="Times New Roman;serif" w:hAnsi="Times New Roman;serif"/>
          <w:b w:val="false"/>
          <w:color w:val="000000"/>
          <w:sz w:val="20"/>
          <w:shd w:fill="FFFFFF" w:val="clear"/>
        </w:rPr>
        <w:t xml:space="preserve">eivable of </w:t>
      </w:r>
      <w:r>
        <w:rPr>
          <w:rFonts w:ascii="Times New Roman;serif" w:hAnsi="Times New Roman;serif"/>
          <w:b w:val="false"/>
          <w:color w:val="000000"/>
          <w:sz w:val="20"/>
        </w:rPr>
        <w:t>$3.5 million.</w:t>
      </w:r>
      <w:r>
        <w:rPr>
          <w:color w:val="000000"/>
          <w:shd w:fill="FFFFFF" w:val="clear"/>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 the period ended August 31, 2025, working capital was unfavorably impacted by decreased accounts payable, accrued liabilities and other liabilities of $10.7 million, along with increased inventory and prepaid expenses of $0.2 million and $5.5 million, respectively. This was partially offset by decreased accounts rec</w:t>
      </w:r>
      <w:r>
        <w:rPr>
          <w:rFonts w:ascii="Times New Roman;serif" w:hAnsi="Times New Roman;serif"/>
          <w:b w:val="false"/>
          <w:color w:val="000000"/>
          <w:sz w:val="20"/>
          <w:shd w:fill="FFFFFF" w:val="clear"/>
        </w:rPr>
        <w:t xml:space="preserve">eivable of </w:t>
      </w:r>
      <w:r>
        <w:rPr>
          <w:rFonts w:ascii="Times New Roman;serif" w:hAnsi="Times New Roman;serif"/>
          <w:b w:val="false"/>
          <w:color w:val="000000"/>
          <w:sz w:val="20"/>
        </w:rPr>
        <w:t>$0.1 million</w:t>
      </w:r>
      <w:r>
        <w:rPr>
          <w:rFonts w:ascii="Times New Roman;serif" w:hAnsi="Times New Roman;serif"/>
          <w:b w:val="false"/>
          <w:color w:val="000000"/>
          <w:sz w:val="20"/>
          <w:shd w:fill="FFFFFF" w:val="clear"/>
        </w:rPr>
        <w:t xml:space="preserve">.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used in investing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Three months ended August 31, 2026 and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$0.4 million and $0.7 million, respectively, of cash was used for fixed asset additions;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$2.8 million</w:t>
      </w:r>
      <w:r>
        <w:rPr>
          <w:color w:val="000000"/>
        </w:rPr>
        <w:t xml:space="preserve"> </w:t>
      </w:r>
      <w:r>
        <w:rPr>
          <w:rFonts w:ascii="Times New Roman;serif" w:hAnsi="Times New Roman;serif"/>
          <w:b w:val="false"/>
          <w:color w:val="000000"/>
          <w:sz w:val="20"/>
        </w:rPr>
        <w:t>and $0.8 million, respectively, of cash was used for Auryon placement and evaluation unit additions.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(used in) provided by financing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Three months ended August 31, 2026 and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$0.1 million of principal payments on the financing arrangements in the first quarter of fiscal year 2027 and 2026;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$1.3 million of outlays from issuances of shares of common stock in the first quarter of fiscal year 2027;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$0.2 million of proceeds from issuances of shares of common stock in the first quarter of fiscal year 2026.</w:t>
      </w:r>
    </w:p>
    <w:p>
      <w:pPr>
        <w:pStyle w:val="TextBody"/>
        <w:bidi w:val="0"/>
        <w:spacing w:before="0" w:after="0"/>
        <w:jc w:val="left"/>
        <w:rPr/>
      </w:pPr>
      <w:r>
        <w:rPr/>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current cash balance, together with cash generated from operations and the Revolving Facility will provide sufficient liquidity to meet our anticipated needs for capital for at least the next 12 months. If we seek to make acquisitions of other businesses or technologies in the future for cash, we may require external financing.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Information regarding new accounting pronouncements is included in Note 16 to our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changes in currency exchange rates and investments that could impact our results of operations and financial position.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transact sales in currencies other than the U.S. Dollar, particularly the Euro, British Pound and Canadian Dollar. For the three months ended August 31, 2026, approximately 2.3% of our sales were denominated in foreign currencies. We do not have expenses denominated in foreign currencies at the level of our sales and as a result, our profitability is exposed to currency fluctuations. When the U.S. Dollar strengthens, our sales and gross margin will be negatively impacted. In addition, we have assets and liabilities denominated in non-functional currencies which are remeasured at each reporting period, with the offset to changes presented as a component of Other Income (Expense). Significant non-functional balances include accounts receivable due from a sub-section of our international customers.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risk associated with fluctuating interest rates is primarily limited to indebtedness. As of August 31, 2026, the Company did not have any outstanding debt (see Note 6, "Long-Term Debt" set forth in the Notes in the consolidated financial statements included in this Annual Report on Form 10-K).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Agreement provides for a $25.0 million secured revolving credit facility. Interest on the Revolving Facility will be based, at the Company's option, on a rate equal to (i) the Secured Overnight Financing Rate ("SOFR") plus 0.1% (subject to a floor of 0%) ("Adjusted Term SOFR"), or (ii) the alternate base rate (subject to a floor of 0%) ("ABR"), and in each case with a margin for Adjusted Term SOFR loans of 2.0% and for ABR loans of 1.0%. The Revolving Facility will also carry a commitment fee of 0.2% per annum. As of August 31, 2026 there were no amounts outstanding on the Revolving Facility.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significant concentrations of credit risk, consist primarily of cash and cash equivalents and trade accounts receivable.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cash and cash equivalents at various institutions and performs periodic evaluations of the relative credit standings of these financial institutions to ensure their credit worthiness.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our internal control over financial reporting for the fiscal quarter ended August 31, 2026 that has materially affected, or is reasonably likely to materially affect, our internal control over financial reporting. </w:t>
      </w:r>
    </w:p>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See Note 14 "Commitments and Contingencies" set forth in the notes to our consolidated financial statements included in Part I, Item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information set forth in this report, you should carefully consider the factors discussed in “Part I, Item 1A. Risk Factors” of our annual report on Form 10-K for our fiscal year ended May 31, 2026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the shares of the Company’s common stock repurchased during the three months ended August 31, 2026:</w:t>
      </w:r>
    </w:p>
    <w:tbl>
      <w:tblPr>
        <w:tblW w:w="8243" w:type="dxa"/>
        <w:jc w:val="left"/>
        <w:tblInd w:w="0" w:type="dxa"/>
        <w:tblLayout w:type="fixed"/>
        <w:tblCellMar>
          <w:top w:w="28" w:type="dxa"/>
          <w:left w:w="28" w:type="dxa"/>
          <w:bottom w:w="28" w:type="dxa"/>
          <w:right w:w="28" w:type="dxa"/>
        </w:tblCellMar>
      </w:tblPr>
      <w:tblGrid>
        <w:gridCol w:w="1035"/>
        <w:gridCol w:w="910"/>
        <w:gridCol w:w="920"/>
        <w:gridCol w:w="413"/>
        <w:gridCol w:w="413"/>
        <w:gridCol w:w="356"/>
        <w:gridCol w:w="109"/>
        <w:gridCol w:w="109"/>
        <w:gridCol w:w="109"/>
        <w:gridCol w:w="211"/>
        <w:gridCol w:w="616"/>
        <w:gridCol w:w="109"/>
        <w:gridCol w:w="109"/>
        <w:gridCol w:w="109"/>
        <w:gridCol w:w="109"/>
        <w:gridCol w:w="339"/>
        <w:gridCol w:w="339"/>
        <w:gridCol w:w="341"/>
        <w:gridCol w:w="109"/>
        <w:gridCol w:w="109"/>
        <w:gridCol w:w="109"/>
        <w:gridCol w:w="344"/>
        <w:gridCol w:w="663"/>
        <w:gridCol w:w="253"/>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Issuer Purchases of Equity Securities</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Number of</w:t>
              <w:br/>
              <w:t>Shares</w:t>
              <w:br/>
              <w:t>Purchased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w:t>
              <w:br/>
              <w:t>Price Paid</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Number of</w:t>
              <w:br/>
              <w:t>Shares</w:t>
              <w:br/>
              <w:t>Purchased</w:t>
              <w:br/>
              <w:t>as Part of</w:t>
              <w:br/>
              <w:t>Publicly</w:t>
              <w:br/>
              <w:t>Announced</w:t>
              <w:br/>
              <w:t>Programs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Maximum</w:t>
              <w:br/>
              <w:t>Approximate</w:t>
              <w:br/>
              <w:t>Dollar Value</w:t>
              <w:br/>
              <w:t>of Shares</w:t>
              <w:br/>
              <w:t>that May Yet</w:t>
              <w:br/>
              <w:t>Be</w:t>
              <w:br/>
              <w:t>Purchased</w:t>
              <w:br/>
              <w:t>Under Plans</w:t>
              <w:br/>
              <w:t>or Programs (2)</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July 31, 2026</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 August 31, 2026</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149,135 </w:t>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(1)These shares were purchased from employees to satisfy tax withholding requirements on the vesting of restricted shares/units from equity-based awards.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(2)The Repurchase Program that was approved by the Board of Directors and announced on July 16, 2024 permits the Company to repurchase up to $15.0 million of its outstanding common stock. The timing and amount of any share repurchases under the authorization will be determined by management within certain parameters and based on market conditions and other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3. Defaults on Senior Securities.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pPr>
      <w:r>
        <w:rPr>
          <w:rFonts w:ascii="Times New Roman;serif" w:hAnsi="Times New Roman;serif"/>
          <w:b w:val="false"/>
          <w:color w:val="000000"/>
          <w:sz w:val="20"/>
          <w:u w:val="single"/>
        </w:rPr>
        <w:t>Insider Trading Arrangements</w:t>
      </w:r>
      <w:r>
        <w:rPr>
          <w:color w:val="000000"/>
        </w:rPr>
        <w:t xml:space="preserve">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quarter ended August 31, 2026, none of our directors or officers (as defined in Section 16 of the Securities Exchange Act of 1934, as amended) or the Company adopted or terminated a "Rule 10b5-1 trading arrangement" or a "non-Rule 10b5-1 trading arrangement" (each as defined in Item 408(a) and (c), respectively,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w:t>
      </w:r>
    </w:p>
    <w:tbl>
      <w:tblPr>
        <w:tblW w:w="10205" w:type="dxa"/>
        <w:jc w:val="left"/>
        <w:tblInd w:w="0" w:type="dxa"/>
        <w:tblLayout w:type="fixed"/>
        <w:tblCellMar>
          <w:top w:w="28" w:type="dxa"/>
          <w:left w:w="28" w:type="dxa"/>
          <w:bottom w:w="28" w:type="dxa"/>
          <w:right w:w="28" w:type="dxa"/>
        </w:tblCellMar>
      </w:tblPr>
      <w:tblGrid>
        <w:gridCol w:w="257"/>
        <w:gridCol w:w="211"/>
        <w:gridCol w:w="215"/>
        <w:gridCol w:w="2581"/>
        <w:gridCol w:w="2358"/>
        <w:gridCol w:w="2365"/>
        <w:gridCol w:w="241"/>
        <w:gridCol w:w="199"/>
        <w:gridCol w:w="181"/>
        <w:gridCol w:w="247"/>
        <w:gridCol w:w="247"/>
        <w:gridCol w:w="246"/>
        <w:gridCol w:w="272"/>
        <w:gridCol w:w="260"/>
        <w:gridCol w:w="325"/>
      </w:tblGrid>
      <w:tr>
        <w:trPr/>
        <w:tc>
          <w:tcPr>
            <w:tcW w:w="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Exhibit </w:t>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r>
      <w:tr>
        <w:trPr/>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8312026-exx311.htm">
              <w:r>
                <w:rPr>
                  <w:rStyle w:val="InternetLink"/>
                  <w:rFonts w:ascii="Times New Roman;serif" w:hAnsi="Times New Roman;serif"/>
                  <w:b w:val="false"/>
                  <w:color w:val="0000FF"/>
                  <w:sz w:val="20"/>
                  <w:u w:val="single"/>
                </w:rPr>
                <w:t>Certification pursuant to Rule 13a-14(a) or 15d-14 under the Securities Exchange Act of 1934</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8312026-exx312.htm">
              <w:r>
                <w:rPr>
                  <w:rStyle w:val="InternetLink"/>
                  <w:rFonts w:ascii="Times New Roman;serif" w:hAnsi="Times New Roman;serif"/>
                  <w:b w:val="false"/>
                  <w:color w:val="0000FF"/>
                  <w:sz w:val="20"/>
                  <w:u w:val="single"/>
                </w:rPr>
                <w:t>Certification pursuant to Rule 13a-14(a) or 15d-14 under the Securities Exchange Act of 1934</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8312026-exx321.htm">
              <w:r>
                <w:rPr>
                  <w:rStyle w:val="InternetLink"/>
                  <w:rFonts w:ascii="Times New Roman;serif" w:hAnsi="Times New Roman;serif"/>
                  <w:b w:val="false"/>
                  <w:color w:val="0000FF"/>
                  <w:sz w:val="20"/>
                  <w:u w:val="single"/>
                </w:rPr>
                <w:t>Certification of Chief Executive Officer pursuant to Title 18, United States Code, Section 1350, as adopted pursuant to Section 906 of the Sarbanes-Oxley Act of 2002</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8312026-exx322.htm">
              <w:r>
                <w:rPr>
                  <w:rStyle w:val="InternetLink"/>
                  <w:rFonts w:ascii="Times New Roman;serif" w:hAnsi="Times New Roman;serif"/>
                  <w:b w:val="false"/>
                  <w:color w:val="0000FF"/>
                  <w:sz w:val="20"/>
                  <w:u w:val="single"/>
                </w:rPr>
                <w:t>Certification of Chief Financial Officer pursuant to Title 18, United States Code, Section 1350, as adopted pursuant to Section 906 of the Sarbanes-Oxley Act of 2002</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Schema Document</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Calculation Linkbase Documents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Labels Linkbase Documents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Presentation Linkbase Documents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eeb757e389f4732a10515f987d9d04f_7">
        <w:r>
          <w:rPr>
            <w:rStyle w:val="InternetLink"/>
            <w:rFonts w:ascii="Times New Roman;serif" w:hAnsi="Times New Roman;serif"/>
            <w:b w:val="false"/>
            <w:color w:val="0000FF"/>
            <w:sz w:val="16"/>
            <w:u w:val="single"/>
          </w:rPr>
          <w:t>Table of Content</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95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69"/>
        <w:gridCol w:w="469"/>
        <w:gridCol w:w="471"/>
        <w:gridCol w:w="109"/>
        <w:gridCol w:w="109"/>
        <w:gridCol w:w="109"/>
        <w:gridCol w:w="1270"/>
        <w:gridCol w:w="1270"/>
        <w:gridCol w:w="179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ANGIODYNAMICS,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S /    JAMES C. CLEMMER</w:t>
            </w: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James C. Clemmer, President,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STEPHEN A. TROWBRIDGE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Stephen A. Trowbridge, Executive Vice President,</w:t>
              <w:br/>
              <w:t>Chief Financial Officer</w:t>
              <w:b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C. Clemmer, certify that: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AngioDynamics,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8,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 S / JAMES C. CLEMMER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C. Clemmer, President,</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Stephen A. Trowbridge,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AngioDynamics,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 S / STEPHEN A. TROWBRIDGE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Stephen A. Trowbridge, Executive Vice President,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TITLE 18,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 CODE, SECTION 1350, 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C. Clemmer, President, Chief Executive Officer and Director of ANGIODYNAMICS, Inc. (the "Company"), certify, pursuant to Section 906 of the Sarbanes-Oxley Act of 2002, 18 U.S.C. Section 1350, that, to the best of my knowledge: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quarterly report on Form 10-Q of the Company for the fiscal quarter ended August 31, 2026 (the "Report") fully complies with the requirements of Section 13(a) or 15(d) of the Securities Exchange Act of 1934 (15 U.S.C. 78m or 78o(d)); and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8, 2026 </w:t>
      </w:r>
    </w:p>
    <w:p>
      <w:pPr>
        <w:pStyle w:val="TextBody"/>
        <w:bidi w:val="0"/>
        <w:spacing w:before="0" w:after="0"/>
        <w:jc w:val="left"/>
        <w:rPr/>
      </w:pPr>
      <w:r>
        <w:rPr/>
      </w:r>
    </w:p>
    <w:tbl>
      <w:tblPr>
        <w:tblW w:w="2861" w:type="dxa"/>
        <w:jc w:val="center"/>
        <w:tblInd w:w="0" w:type="dxa"/>
        <w:tblLayout w:type="fixed"/>
        <w:tblCellMar>
          <w:top w:w="28" w:type="dxa"/>
          <w:left w:w="28" w:type="dxa"/>
          <w:bottom w:w="28" w:type="dxa"/>
          <w:right w:w="28" w:type="dxa"/>
        </w:tblCellMar>
      </w:tblPr>
      <w:tblGrid>
        <w:gridCol w:w="901"/>
        <w:gridCol w:w="793"/>
        <w:gridCol w:w="795"/>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JAMES C. CLEMMER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C. Clemmer, President,</w:t>
              <w:b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TITLE 18,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 CODE, SECTION 1350, 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Stephen A. Trowbridge, Executive Vice President and Chief Financial Officer of ANGIODYNAMICS, Inc. (the "Company"), certify, pursuant to Section 906 of the Sarbanes-Oxley Act of 2002, 18 U.S.C. Section 1350, that, to the best of my knowledge: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quarterly report on Form 10-Q of the Company for the fiscal quarter ended August 31, 2026 (the "Report") fully complies with the requirements of Section 13(a) or 15(d) of the Securities Exchange Act of 1934 (15 U.S.C. 78m or 78o(d)); and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8, 2026 </w:t>
      </w:r>
    </w:p>
    <w:p>
      <w:pPr>
        <w:pStyle w:val="TextBody"/>
        <w:bidi w:val="0"/>
        <w:spacing w:before="0" w:after="0"/>
        <w:jc w:val="left"/>
        <w:rPr/>
      </w:pPr>
      <w:r>
        <w:rPr/>
      </w:r>
    </w:p>
    <w:tbl>
      <w:tblPr>
        <w:tblW w:w="4542" w:type="dxa"/>
        <w:jc w:val="center"/>
        <w:tblInd w:w="0" w:type="dxa"/>
        <w:tblLayout w:type="fixed"/>
        <w:tblCellMar>
          <w:top w:w="28" w:type="dxa"/>
          <w:left w:w="28" w:type="dxa"/>
          <w:bottom w:w="28" w:type="dxa"/>
          <w:right w:w="28" w:type="dxa"/>
        </w:tblCellMar>
      </w:tblPr>
      <w:tblGrid>
        <w:gridCol w:w="1511"/>
        <w:gridCol w:w="1327"/>
        <w:gridCol w:w="1332"/>
        <w:gridCol w:w="109"/>
        <w:gridCol w:w="109"/>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STEPHEN A. TROWBRIDGE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Stephen A. Trowbridge, Executive Vice President,</w:t>
              <w:br/>
              <w:t xml:space="preserve">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14512</Words>
  <Characters>80718</Characters>
  <CharactersWithSpaces>94150</CharactersWithSpaces>
  <Paragraphs>1778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