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56515</wp:posOffset>
            </wp:positionV>
            <wp:extent cx="2499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6" w:lineRule="exact"/>
        <w:rPr>
          <w:sz w:val="24"/>
          <w:szCs w:val="24"/>
          <w:color w:val="auto"/>
        </w:rPr>
      </w:pPr>
    </w:p>
    <w:p>
      <w:pPr>
        <w:ind w:left="4135" w:right="2260" w:hanging="4135"/>
        <w:spacing w:after="0" w:line="225" w:lineRule="auto"/>
        <w:tabs>
          <w:tab w:leader="none" w:pos="664"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May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-448945</wp:posOffset>
            </wp:positionV>
            <wp:extent cx="2499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2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1" w:lineRule="exact"/>
        <w:rPr>
          <w:sz w:val="24"/>
          <w:szCs w:val="24"/>
          <w:color w:val="auto"/>
        </w:rPr>
      </w:pPr>
    </w:p>
    <w:p>
      <w:pPr>
        <w:ind w:left="675" w:hanging="662"/>
        <w:spacing w:after="0"/>
        <w:tabs>
          <w:tab w:leader="none" w:pos="675"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58" w:lineRule="exact"/>
        <w:rPr>
          <w:sz w:val="24"/>
          <w:szCs w:val="24"/>
          <w:color w:val="auto"/>
        </w:rPr>
      </w:pPr>
    </w:p>
    <w:p>
      <w:pPr>
        <w:ind w:left="3595"/>
        <w:spacing w:after="0"/>
        <w:tabs>
          <w:tab w:leader="none" w:pos="6675"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3773170</wp:posOffset>
            </wp:positionH>
            <wp:positionV relativeFrom="paragraph">
              <wp:posOffset>-6350</wp:posOffset>
            </wp:positionV>
            <wp:extent cx="1057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2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69850</wp:posOffset>
            </wp:positionV>
            <wp:extent cx="2499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7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156845</wp:posOffset>
            </wp:positionV>
            <wp:extent cx="3587750" cy="544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7750" cy="544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955"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11-3146460</w:t>
            </w:r>
          </w:p>
        </w:tc>
      </w:tr>
      <w:tr>
        <w:trPr>
          <w:trHeight w:val="147"/>
        </w:trPr>
        <w:tc>
          <w:tcPr>
            <w:tcW w:w="700" w:type="dxa"/>
            <w:vAlign w:val="bottom"/>
          </w:tcPr>
          <w:p>
            <w:pPr>
              <w:spacing w:after="0"/>
              <w:rPr>
                <w:sz w:val="12"/>
                <w:szCs w:val="12"/>
                <w:color w:val="auto"/>
              </w:rPr>
            </w:pPr>
          </w:p>
        </w:tc>
        <w:tc>
          <w:tcPr>
            <w:tcW w:w="22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2"/>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70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36"/>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14 Plaza Drive, Latham, New York 12110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2"/>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(518) 795-1400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3"/>
        </w:trPr>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355"/>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r>
      <w:tr>
        <w:trPr>
          <w:trHeight w:val="174"/>
        </w:trPr>
        <w:tc>
          <w:tcPr>
            <w:tcW w:w="7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2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9"/>
        </w:trPr>
        <w:tc>
          <w:tcPr>
            <w:tcW w:w="2900" w:type="dxa"/>
            <w:vAlign w:val="bottom"/>
            <w:gridSpan w:val="4"/>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Common Stock, par value $.01 per share</w:t>
            </w:r>
          </w:p>
        </w:tc>
        <w:tc>
          <w:tcPr>
            <w:tcW w:w="1260" w:type="dxa"/>
            <w:vAlign w:val="bottom"/>
          </w:tcPr>
          <w:p>
            <w:pPr>
              <w:spacing w:after="0"/>
              <w:rPr>
                <w:sz w:val="18"/>
                <w:szCs w:val="18"/>
                <w:color w:val="auto"/>
              </w:rPr>
            </w:pP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ANGO</w:t>
            </w:r>
          </w:p>
        </w:tc>
        <w:tc>
          <w:tcPr>
            <w:tcW w:w="240" w:type="dxa"/>
            <w:vAlign w:val="bottom"/>
          </w:tcPr>
          <w:p>
            <w:pPr>
              <w:spacing w:after="0"/>
              <w:rPr>
                <w:sz w:val="18"/>
                <w:szCs w:val="18"/>
                <w:color w:val="auto"/>
              </w:rPr>
            </w:pP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525"/>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r>
      <w:tr>
        <w:trPr>
          <w:trHeight w:val="212"/>
        </w:trPr>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160655</wp:posOffset>
            </wp:positionV>
            <wp:extent cx="2499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ectPr>
          <w:pgSz w:w="11900" w:h="16838" w:orient="portrait"/>
          <w:cols w:equalWidth="0" w:num="1">
            <w:col w:w="11195"/>
          </w:cols>
          <w:pgMar w:left="345" w:top="1016" w:right="35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95"/>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80" w:lineRule="exact"/>
        <w:rPr>
          <w:sz w:val="24"/>
          <w:szCs w:val="24"/>
          <w:color w:val="auto"/>
        </w:rPr>
      </w:pPr>
    </w:p>
    <w:p>
      <w:pPr>
        <w:sectPr>
          <w:pgSz w:w="11900" w:h="16838" w:orient="portrait"/>
          <w:cols w:equalWidth="0" w:num="4">
            <w:col w:w="6995" w:space="140"/>
            <w:col w:w="220" w:space="60"/>
            <w:col w:w="140" w:space="140"/>
            <w:col w:w="3500"/>
          </w:cols>
          <w:pgMar w:left="345" w:top="1016" w:right="359" w:bottom="1440" w:gutter="0" w:footer="0" w:header="0"/>
          <w:type w:val="continuous"/>
        </w:sectPr>
      </w:pPr>
    </w:p>
    <w:p>
      <w:pPr>
        <w:spacing w:after="0" w:line="23" w:lineRule="exact"/>
        <w:rPr>
          <w:sz w:val="24"/>
          <w:szCs w:val="24"/>
          <w:color w:val="auto"/>
        </w:rPr>
      </w:pPr>
    </w:p>
    <w:p>
      <w:pPr>
        <w:ind w:left="295"/>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sectPr>
          <w:pgSz w:w="11900" w:h="16838" w:orient="portrait"/>
          <w:cols w:equalWidth="0" w:num="4">
            <w:col w:w="6675" w:space="120"/>
            <w:col w:w="220" w:space="60"/>
            <w:col w:w="140" w:space="140"/>
            <w:col w:w="3840"/>
          </w:cols>
          <w:pgMar w:left="345" w:top="1016" w:right="359" w:bottom="1440" w:gutter="0" w:footer="0" w:header="0"/>
          <w:type w:val="continuous"/>
        </w:sectPr>
      </w:pPr>
    </w:p>
    <w:p>
      <w:pPr>
        <w:ind w:left="295" w:right="1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ind w:left="295"/>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ind w:left="295" w:right="2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4" w:lineRule="exact"/>
        <w:rPr>
          <w:sz w:val="24"/>
          <w:szCs w:val="24"/>
          <w:color w:val="auto"/>
        </w:rPr>
      </w:pPr>
    </w:p>
    <w:p>
      <w:pPr>
        <w:ind w:left="295" w:right="400"/>
        <w:spacing w:after="0" w:line="29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447675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95"/>
          </w:cols>
          <w:pgMar w:left="345" w:top="1016" w:right="359" w:bottom="1440" w:gutter="0" w:footer="0" w:header="0"/>
          <w:type w:val="continuous"/>
        </w:sectPr>
      </w:pPr>
    </w:p>
    <w:bookmarkStart w:id="1" w:name="page2"/>
    <w:bookmarkEnd w:id="1"/>
    <w:tbl>
      <w:tblPr>
        <w:tblLayout w:type="fixed"/>
        <w:tblInd w:w="1840" w:type="dxa"/>
        <w:tblCellMar>
          <w:top w:w="0" w:type="dxa"/>
          <w:left w:w="0" w:type="dxa"/>
          <w:bottom w:w="0" w:type="dxa"/>
          <w:right w:w="0" w:type="dxa"/>
        </w:tblCellMar>
      </w:tblPr>
      <w:tr>
        <w:trPr>
          <w:trHeight w:val="20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93" w:lineRule="exact"/>
        <w:rPr>
          <w:sz w:val="20"/>
          <w:szCs w:val="20"/>
          <w:color w:val="auto"/>
        </w:rPr>
      </w:pPr>
    </w:p>
    <w:p>
      <w:pPr>
        <w:ind w:right="14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 w:lineRule="exact"/>
        <w:rPr>
          <w:sz w:val="20"/>
          <w:szCs w:val="20"/>
          <w:color w:val="auto"/>
        </w:rPr>
      </w:pPr>
    </w:p>
    <w:p>
      <w:pPr>
        <w:spacing w:after="0" w:line="161" w:lineRule="exact"/>
        <w:tabs>
          <w:tab w:leader="none" w:pos="6600" w:val="left"/>
          <w:tab w:leader="none" w:pos="71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7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4"/>
          <w:szCs w:val="14"/>
          <w:color w:val="auto"/>
        </w:rPr>
        <w:t>As of November 30, 2021, the last business day of the registrant’s most recently completed second fiscal quarter, the aggregate market value of the registrant’s common stock held by non-affiliates was approximately $894,149,103 computed by reference to the last sale price of the common stock on that date as reported by The NASDAQ Global Select Market.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July 21, 2022 there were 38,970,094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information required for Part III of this Annual Report on Form 10-K is incorporated by reference to the registrant’s Proxy Statement for its 2022 Annual Meeting of Stockholders to be filed within 120 days of the registrant's fiscal year ended 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455930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80"/>
          </w:cols>
          <w:pgMar w:left="640" w:top="93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11"/>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AngioDynamics, Inc. and Subsidiaries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3" w:lineRule="exact"/>
              <w:rPr>
                <w:sz w:val="20"/>
                <w:szCs w:val="20"/>
                <w:color w:val="auto"/>
              </w:rPr>
            </w:pPr>
            <w:r>
              <w:rPr>
                <w:rFonts w:ascii="Times New Roman" w:cs="Times New Roman" w:eastAsia="Times New Roman" w:hAnsi="Times New Roman"/>
                <w:sz w:val="18"/>
                <w:szCs w:val="18"/>
                <w:color w:val="0000FF"/>
                <w:w w:val="96"/>
              </w:rPr>
              <w:t>Business</w:t>
            </w:r>
          </w:p>
        </w:tc>
        <w:tc>
          <w:tcPr>
            <w:tcW w:w="8540" w:type="dxa"/>
            <w:vAlign w:val="bottom"/>
            <w:gridSpan w:val="18"/>
          </w:tcPr>
          <w:p>
            <w:pPr>
              <w:spacing w:after="0"/>
              <w:rPr>
                <w:sz w:val="16"/>
                <w:szCs w:val="16"/>
                <w:color w:val="auto"/>
              </w:rPr>
            </w:pPr>
          </w:p>
        </w:tc>
        <w:tc>
          <w:tcPr>
            <w:tcW w:w="46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3" w:lineRule="exact"/>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80" w:type="dxa"/>
            <w:vAlign w:val="bottom"/>
            <w:gridSpan w:val="1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1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19"/>
          </w:tcPr>
          <w:p>
            <w:pPr>
              <w:spacing w:after="0" w:line="193"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Selected Financial Data</w:t>
            </w:r>
          </w:p>
        </w:tc>
        <w:tc>
          <w:tcPr>
            <w:tcW w:w="7480" w:type="dxa"/>
            <w:vAlign w:val="bottom"/>
            <w:gridSpan w:val="1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80" w:type="dxa"/>
            <w:vAlign w:val="bottom"/>
            <w:gridSpan w:val="2"/>
          </w:tcPr>
          <w:p>
            <w:pPr>
              <w:spacing w:after="0"/>
              <w:rPr>
                <w:sz w:val="18"/>
                <w:szCs w:val="18"/>
                <w:color w:val="auto"/>
              </w:rPr>
            </w:pPr>
          </w:p>
        </w:tc>
        <w:tc>
          <w:tcPr>
            <w:tcW w:w="2780" w:type="dxa"/>
            <w:vAlign w:val="bottom"/>
            <w:gridSpan w:val="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20" w:type="dxa"/>
            <w:vAlign w:val="bottom"/>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7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9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5460" w:type="dxa"/>
            <w:vAlign w:val="bottom"/>
            <w:gridSpan w:val="11"/>
          </w:tcPr>
          <w:p>
            <w:pPr>
              <w:spacing w:after="0"/>
              <w:rPr>
                <w:sz w:val="18"/>
                <w:szCs w:val="18"/>
                <w:color w:val="auto"/>
              </w:rPr>
            </w:pPr>
          </w:p>
        </w:tc>
        <w:tc>
          <w:tcPr>
            <w:tcW w:w="19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Foreign Jurisdictions that Prevent Inspections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2"/>
          </w:tcPr>
          <w:p>
            <w:pPr>
              <w:spacing w:after="0" w:line="193"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20" w:type="dxa"/>
            <w:vAlign w:val="bottom"/>
            <w:gridSpan w:val="7"/>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20" w:type="dxa"/>
            <w:vAlign w:val="bottom"/>
            <w:gridSpan w:val="7"/>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780" w:type="dxa"/>
            <w:vAlign w:val="bottom"/>
            <w:gridSpan w:val="5"/>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15.</w:t>
            </w:r>
          </w:p>
        </w:tc>
        <w:tc>
          <w:tcPr>
            <w:tcW w:w="2880" w:type="dxa"/>
            <w:vAlign w:val="bottom"/>
            <w:gridSpan w:val="10"/>
          </w:tcPr>
          <w:p>
            <w:pPr>
              <w:spacing w:after="0" w:line="193" w:lineRule="exact"/>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6300" w:type="dxa"/>
            <w:vAlign w:val="bottom"/>
            <w:gridSpan w:val="9"/>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1460" w:type="dxa"/>
            <w:vAlign w:val="bottom"/>
          </w:tcPr>
          <w:p>
            <w:pPr>
              <w:spacing w:after="0"/>
              <w:rPr>
                <w:sz w:val="24"/>
                <w:szCs w:val="24"/>
                <w:color w:val="auto"/>
              </w:rPr>
            </w:pPr>
          </w:p>
        </w:tc>
        <w:tc>
          <w:tcPr>
            <w:tcW w:w="2880" w:type="dxa"/>
            <w:vAlign w:val="bottom"/>
            <w:tcBorders>
              <w:top w:val="single" w:sz="8" w:color="0000FF"/>
            </w:tcBorders>
            <w:gridSpan w:val="10"/>
          </w:tcPr>
          <w:p>
            <w:pPr>
              <w:spacing w:after="0"/>
              <w:rPr>
                <w:sz w:val="24"/>
                <w:szCs w:val="24"/>
                <w:color w:val="auto"/>
              </w:rPr>
            </w:pPr>
          </w:p>
        </w:tc>
        <w:tc>
          <w:tcPr>
            <w:tcW w:w="1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88"/>
              </w:rPr>
              <w:t>1</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0"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i w:val="1"/>
          <w:iCs w:val="1"/>
          <w:color w:val="auto"/>
        </w:rPr>
        <w:t>Unless otherwise indicated in this report, "AngioDynamics," the "Company," "we," "our" or "us" refers to AngioDynamics, Inc and our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59" w:lineRule="exact"/>
        <w:rPr>
          <w:sz w:val="20"/>
          <w:szCs w:val="20"/>
          <w:color w:val="auto"/>
        </w:rPr>
      </w:pPr>
    </w:p>
    <w:p>
      <w:pPr>
        <w:ind w:firstLine="402"/>
        <w:spacing w:after="0" w:line="248" w:lineRule="auto"/>
        <w:rPr>
          <w:sz w:val="20"/>
          <w:szCs w:val="20"/>
          <w:color w:val="auto"/>
        </w:rPr>
      </w:pPr>
      <w:r>
        <w:rPr>
          <w:rFonts w:ascii="Times New Roman" w:cs="Times New Roman" w:eastAsia="Times New Roman" w:hAnsi="Times New Roman"/>
          <w:sz w:val="17"/>
          <w:szCs w:val="17"/>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220" w:lineRule="exact"/>
        <w:rPr>
          <w:sz w:val="20"/>
          <w:szCs w:val="20"/>
          <w:color w:val="auto"/>
        </w:rPr>
      </w:pPr>
    </w:p>
    <w:p>
      <w:pPr>
        <w:ind w:right="40" w:firstLine="402"/>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2"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72"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AngioDynamics was founded in Queensbury, N.Y., U.S., in 1988 and began manufacturing and shipping product in the early 1990s. The Company is headquartered in Latham, N.Y., with manufacturing primarily out of the Queensbury facility. Initially dedicated to the research and development of products used in interventional radiology, the Company soon became well established as a producer of diagnostic catheters for non-coronary angiography and thrombolytic delivery systems.</w:t>
      </w:r>
    </w:p>
    <w:p>
      <w:pPr>
        <w:spacing w:after="0" w:line="128" w:lineRule="exact"/>
        <w:rPr>
          <w:sz w:val="20"/>
          <w:szCs w:val="20"/>
          <w:color w:val="auto"/>
        </w:rPr>
      </w:pPr>
    </w:p>
    <w:p>
      <w:pPr>
        <w:jc w:val="both"/>
        <w:ind w:right="60" w:firstLine="385"/>
        <w:spacing w:after="0" w:line="263" w:lineRule="auto"/>
        <w:rPr>
          <w:sz w:val="20"/>
          <w:szCs w:val="20"/>
          <w:color w:val="auto"/>
        </w:rPr>
      </w:pPr>
      <w:r>
        <w:rPr>
          <w:rFonts w:ascii="Times New Roman" w:cs="Times New Roman" w:eastAsia="Times New Roman" w:hAnsi="Times New Roman"/>
          <w:sz w:val="18"/>
          <w:szCs w:val="18"/>
          <w:color w:val="auto"/>
        </w:rPr>
        <w:t>The Company grew over the following years as a result of acquisitions of companies including RITA Medical Systems in January 2007, Oncobionic in May 2008, Vortex Medical, Inc. in October 2012, Clinical Devices in August 2013, the assets of Diomed in June 2008 and the assets of Microsulis Medical Limited in January 2013. These acquisitions added product lines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4" w:name="page5"/>
    <w:bookmarkEnd w:id="4"/>
    <w:p>
      <w:pPr>
        <w:ind w:right="220"/>
        <w:spacing w:after="0" w:line="263" w:lineRule="auto"/>
        <w:rPr>
          <w:sz w:val="20"/>
          <w:szCs w:val="20"/>
          <w:color w:val="auto"/>
        </w:rPr>
      </w:pPr>
      <w:r>
        <w:rPr>
          <w:rFonts w:ascii="Times New Roman" w:cs="Times New Roman" w:eastAsia="Times New Roman" w:hAnsi="Times New Roman"/>
          <w:sz w:val="18"/>
          <w:szCs w:val="18"/>
          <w:color w:val="auto"/>
        </w:rPr>
        <w:t>including ablation and NanoKnife systems, vascular access products, angiographic products and accessories, dialysis products, drainage products, thrombolytic products, embolization products and venous products. In May 2012, the Company acquired Navilyst Medical's Fluid Management business, which the Company sold in May 2019 to Medline Industries, Inc. pursuant to an asset purchase agreement.</w:t>
      </w:r>
    </w:p>
    <w:p>
      <w:pPr>
        <w:spacing w:after="0" w:line="123"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In August 2018, the Company acquired the BioSentry product line from Surgical Specialties, LLC. In September 2018, the Company acquired RadiaDyne, which included endorectal and vaginal balloons. On October 2, 2019, the Company acquired Eximo Medical, Ltd., a pre-commercial stage medical device company and its proprietary 355nm laser atherectomy technology (now called Auryon), which treats Peripheral Artery Disease. On December 17, 2019, the Company acquired the C3 Wave tip location asset from Medical Components Inc. On July 27, 2021, AngioDynamics acquired the Camaro Support Catheter asset from QX Medical, LLC.</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AngioDynamics is publicly traded on the NASDAQ stock exchange under the symbol ANGO.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59" w:lineRule="exact"/>
        <w:rPr>
          <w:sz w:val="20"/>
          <w:szCs w:val="20"/>
          <w:color w:val="auto"/>
        </w:rPr>
      </w:pPr>
    </w:p>
    <w:p>
      <w:pPr>
        <w:ind w:firstLine="385"/>
        <w:spacing w:after="0" w:line="238" w:lineRule="auto"/>
        <w:rPr>
          <w:sz w:val="20"/>
          <w:szCs w:val="20"/>
          <w:color w:val="auto"/>
        </w:rPr>
      </w:pPr>
      <w:r>
        <w:rPr>
          <w:rFonts w:ascii="Times New Roman" w:cs="Times New Roman" w:eastAsia="Times New Roman" w:hAnsi="Times New Roman"/>
          <w:sz w:val="18"/>
          <w:szCs w:val="18"/>
          <w:color w:val="auto"/>
        </w:rPr>
        <w:t>Our product offerings fall within three Global Business Units (GBUs): Endovascular Therapies (“VIT”), Oncology/Surgery (“OS”) and Vascular Access (“VA). As the Company has previously announced, the Company is focused on its ongoing transformation from a company with a broad portfolio of largely undifferentiated products to a more focused medical technology company that delivers unique and innovative health care solutions. As such, we believe the growth in the near to mid-term will be driven by our high technology products including Auryon, the Thrombectomy platform (which includes AngioVac, AlphaVac and thrombolytics) and NanoKnife. We will refer to these high technology product lines as our Med Tech business and we will refer to the remainder of the portfolio as our Med Device business. All products discussed below have been cleared for sale in the United States by the Food and Drug Administration. International regulatory clearances vary by product and jurisdiction.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Auryon</w:t>
      </w:r>
    </w:p>
    <w:p>
      <w:pPr>
        <w:spacing w:after="0" w:line="170" w:lineRule="exact"/>
        <w:rPr>
          <w:sz w:val="20"/>
          <w:szCs w:val="20"/>
          <w:color w:val="auto"/>
        </w:rPr>
      </w:pPr>
    </w:p>
    <w:p>
      <w:pPr>
        <w:ind w:right="5780" w:firstLine="385"/>
        <w:spacing w:after="0" w:line="269" w:lineRule="auto"/>
        <w:rPr>
          <w:sz w:val="20"/>
          <w:szCs w:val="20"/>
          <w:color w:val="auto"/>
        </w:rPr>
      </w:pPr>
      <w:r>
        <w:rPr>
          <w:rFonts w:ascii="Times New Roman" w:cs="Times New Roman" w:eastAsia="Times New Roman" w:hAnsi="Times New Roman"/>
          <w:sz w:val="17"/>
          <w:szCs w:val="17"/>
          <w:color w:val="auto"/>
        </w:rPr>
        <w:t>The Auryon Atherectomy System is one of our latest advancements in peripheral arterial disease. The Auryon system is designed to deliver an optimized wavelength, pulse width, and amplitude to remove lesions while preserving vessel wall endothelium. Additionally, the Auryon system includes aspiration which enhances the safety of the procedure. Regardless of lesion type, the Auryon system provides safety and efficacy. The Auryon system is indicated for use in the treatment, including atherectomy, of infrainguinal stenoses and occlusions, including in-stent restenosis (ISR).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-1100455</wp:posOffset>
            </wp:positionV>
            <wp:extent cx="2414905" cy="1555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4905"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Thrombectomy</w:t>
      </w:r>
    </w:p>
    <w:p>
      <w:pPr>
        <w:spacing w:after="0" w:line="235" w:lineRule="exact"/>
        <w:rPr>
          <w:sz w:val="20"/>
          <w:szCs w:val="20"/>
          <w:color w:val="auto"/>
        </w:rPr>
      </w:pPr>
    </w:p>
    <w:p>
      <w:pPr>
        <w:ind w:right="200" w:firstLine="385"/>
        <w:spacing w:after="0" w:line="247" w:lineRule="auto"/>
        <w:rPr>
          <w:sz w:val="20"/>
          <w:szCs w:val="20"/>
          <w:color w:val="auto"/>
        </w:rPr>
      </w:pPr>
      <w:r>
        <w:rPr>
          <w:rFonts w:ascii="Times New Roman" w:cs="Times New Roman" w:eastAsia="Times New Roman" w:hAnsi="Times New Roman"/>
          <w:sz w:val="18"/>
          <w:szCs w:val="18"/>
          <w:color w:val="auto"/>
        </w:rPr>
        <w:t>Our Thrombus Management portfolio includes the AlphaVac Mechanical Thrombectomy System, AngioVac venous drainage cannula and circuit, as well as catheter directed thrombolytic devices, including the Uni-Fuse system, the Uni-Fuse+ system, the Pulse Spray system and SpeedLyser infusion catheters. AngioDynamics offers a range of options when treating thrombus and removing fresh, soft thrombi or emboli.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17780</wp:posOffset>
            </wp:positionV>
            <wp:extent cx="1776730" cy="153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6730" cy="1530350"/>
                    </a:xfrm>
                    <a:prstGeom prst="rect">
                      <a:avLst/>
                    </a:prstGeom>
                    <a:noFill/>
                  </pic:spPr>
                </pic:pic>
              </a:graphicData>
            </a:graphic>
          </wp:anchor>
        </w:drawing>
      </w:r>
    </w:p>
    <w:p>
      <w:pPr>
        <w:spacing w:after="0" w:line="8" w:lineRule="exact"/>
        <w:rPr>
          <w:sz w:val="20"/>
          <w:szCs w:val="20"/>
          <w:color w:val="auto"/>
        </w:rPr>
      </w:pPr>
    </w:p>
    <w:p>
      <w:pPr>
        <w:ind w:right="6100" w:firstLine="385"/>
        <w:spacing w:after="0" w:line="249" w:lineRule="auto"/>
        <w:rPr>
          <w:sz w:val="20"/>
          <w:szCs w:val="20"/>
          <w:color w:val="auto"/>
        </w:rPr>
      </w:pPr>
      <w:r>
        <w:rPr>
          <w:rFonts w:ascii="Times New Roman" w:cs="Times New Roman" w:eastAsia="Times New Roman" w:hAnsi="Times New Roman"/>
          <w:sz w:val="18"/>
          <w:szCs w:val="18"/>
          <w:color w:val="auto"/>
        </w:rPr>
        <w:t>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44" w:right="399" w:bottom="1440" w:gutter="0" w:footer="0" w:header="0"/>
        </w:sectPr>
      </w:pPr>
    </w:p>
    <w:bookmarkStart w:id="5" w:name="page6"/>
    <w:bookmarkEnd w:id="5"/>
    <w:p>
      <w:pPr>
        <w:jc w:val="both"/>
        <w:ind w:right="60" w:firstLine="385"/>
        <w:spacing w:after="0" w:line="263" w:lineRule="auto"/>
        <w:rPr>
          <w:sz w:val="20"/>
          <w:szCs w:val="20"/>
          <w:color w:val="auto"/>
        </w:rPr>
      </w:pPr>
      <w:r>
        <w:rPr>
          <w:rFonts w:ascii="Times New Roman" w:cs="Times New Roman" w:eastAsia="Times New Roman" w:hAnsi="Times New Roman"/>
          <w:sz w:val="18"/>
          <w:szCs w:val="18"/>
          <w:color w:val="auto"/>
        </w:rPr>
        <w:t>The AngioVac venous drainage cannula is a 22 French flat coil-reinforced cannula designed with a proprietary self-expanding nitinol reinforced funnel shaped distal tip. The funnel shaped tip enhances venous drainage flow when the distal tip is exposed by retracting the sheath, helps prevent clogging of the cannula with commonly encountered undesirable intravascular material, and facilitates embolic removal of such extraneous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AlphaVac</w:t>
      </w:r>
    </w:p>
    <w:p>
      <w:pPr>
        <w:spacing w:after="0" w:line="250" w:lineRule="exact"/>
        <w:rPr>
          <w:sz w:val="20"/>
          <w:szCs w:val="20"/>
          <w:color w:val="auto"/>
        </w:rPr>
      </w:pPr>
    </w:p>
    <w:p>
      <w:pPr>
        <w:ind w:right="5840" w:firstLine="385"/>
        <w:spacing w:after="0" w:line="252" w:lineRule="auto"/>
        <w:rPr>
          <w:sz w:val="20"/>
          <w:szCs w:val="20"/>
          <w:color w:val="auto"/>
        </w:rPr>
      </w:pPr>
      <w:r>
        <w:rPr>
          <w:rFonts w:ascii="Times New Roman" w:cs="Times New Roman" w:eastAsia="Times New Roman" w:hAnsi="Times New Roman"/>
          <w:sz w:val="18"/>
          <w:szCs w:val="18"/>
          <w:color w:val="auto"/>
        </w:rPr>
        <w:t>The AlphaVac System is an emergent mechanical aspiration device that eliminates the need for perfusionist support. AlphaVac is offered in both a 22 French flat coil-reinforced cannula and an 18 French braided reinforced cannula each designed with a proprietary self-expanding nitinol reinforced funnel shaped distal tip. AlphaVac is indicated for the non-surgical removal of thrombi or emboli from vasculature as well as aspiration of contrast media and other fluids from the vasculature. The cannula is intended for use in the venous system. The handle is indicated as a vacuum source for the AlphaVac MMA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-1127760</wp:posOffset>
            </wp:positionV>
            <wp:extent cx="1828165" cy="1828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165" cy="182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Thrombolytic Catheters</w:t>
      </w:r>
    </w:p>
    <w:p>
      <w:pPr>
        <w:spacing w:after="0" w:line="170"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Thrombolytic catheters are used to deliver thrombolytic agents, which are drugs that dissolve blood clots in hemodialysis access grafts, arteries, veins and surgical bypass grafts. AngioDynamics’ Uni-Fuse infusion catheter features pressure response outlets, a proprietary slit technology that provides a consistent, even distribution of fluid volume along the entire length of the infusion pattern, designed to provide an advantage over standard side-hole catheters.</w:t>
      </w:r>
    </w:p>
    <w:p>
      <w:pPr>
        <w:spacing w:after="0" w:line="128"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We also offer the Pulse-Spray infusion system for high pressure, pulsed delivery of lytic agents designed to shorten treatment time, and the SpeedLyser infusion system built for dialysis grafts and fistulas.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NanoKnife</w:t>
      </w:r>
    </w:p>
    <w:p>
      <w:pPr>
        <w:spacing w:after="0" w:line="170" w:lineRule="exact"/>
        <w:rPr>
          <w:sz w:val="20"/>
          <w:szCs w:val="20"/>
          <w:color w:val="auto"/>
        </w:rPr>
      </w:pPr>
    </w:p>
    <w:p>
      <w:pPr>
        <w:ind w:right="5920" w:firstLine="385"/>
        <w:spacing w:after="0" w:line="252" w:lineRule="auto"/>
        <w:rPr>
          <w:sz w:val="20"/>
          <w:szCs w:val="20"/>
          <w:color w:val="auto"/>
        </w:rPr>
      </w:pPr>
      <w:r>
        <w:rPr>
          <w:rFonts w:ascii="Times New Roman" w:cs="Times New Roman" w:eastAsia="Times New Roman" w:hAnsi="Times New Roman"/>
          <w:sz w:val="18"/>
          <w:szCs w:val="18"/>
          <w:color w:val="auto"/>
        </w:rPr>
        <w:t>The NanoKnife IRE Ablation System is an alternative to traditional thermal ablation that received 510(k) clearance from the Food and Drug Administration for the surgical ablation of soft tissue. The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the NanoKnife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-1127760</wp:posOffset>
            </wp:positionV>
            <wp:extent cx="2797175" cy="139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7175"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NanoKnife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Peripheral Products (Core)</w:t>
      </w:r>
    </w:p>
    <w:p>
      <w:pPr>
        <w:spacing w:after="0" w:line="168"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Angiographic Products and Accessories</w:t>
      </w:r>
    </w:p>
    <w:p>
      <w:pPr>
        <w:spacing w:after="0" w:line="170"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angiographic catheter line includes the following brands, all with radiopaque tips to assure excellent visibility under fluoroscopy:</w:t>
      </w:r>
    </w:p>
    <w:p>
      <w:pPr>
        <w:spacing w:after="0" w:line="168" w:lineRule="exact"/>
        <w:rPr>
          <w:sz w:val="20"/>
          <w:szCs w:val="20"/>
          <w:color w:val="auto"/>
        </w:rPr>
      </w:pPr>
    </w:p>
    <w:p>
      <w:pPr>
        <w:ind w:left="640" w:hanging="312"/>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spacing w:after="0" w:line="1" w:lineRule="exact"/>
        <w:rPr>
          <w:rFonts w:ascii="Times New Roman" w:cs="Times New Roman" w:eastAsia="Times New Roman" w:hAnsi="Times New Roman"/>
          <w:sz w:val="18"/>
          <w:szCs w:val="18"/>
          <w:color w:val="auto"/>
        </w:rPr>
      </w:pPr>
    </w:p>
    <w:p>
      <w:pPr>
        <w:ind w:left="640" w:right="400" w:hanging="312"/>
        <w:spacing w:after="0" w:line="24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Accu-Vu sizing catheters feature radiopaque marker bands at the distal portion of the catheter to provide a highly accurate measurement of the patient’s anatomy. This enables precise measurement for interventional devices such as stents.</w:t>
      </w:r>
    </w:p>
    <w:p>
      <w:pPr>
        <w:ind w:left="640" w:right="260" w:hanging="312"/>
        <w:spacing w:after="0" w:line="25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29"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AngioDynamics guidewires include Nit-Vu (featuring a kink-resistant NiTi alloy core facilitating smooth navigation through tortuous vasculature and accurate wire control) and Polytetrafluoroethylene (PTFE) Coated diagnostic guidewires (fixed core and movable core).</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AngioDynamics catheters and guidewires are available in more than 500 tip configurations and lengths.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Drainage Products</w:t>
      </w:r>
    </w:p>
    <w:p>
      <w:pPr>
        <w:spacing w:after="0" w:line="170" w:lineRule="exact"/>
        <w:rPr>
          <w:sz w:val="20"/>
          <w:szCs w:val="20"/>
          <w:color w:val="auto"/>
        </w:rPr>
      </w:pPr>
    </w:p>
    <w:p>
      <w:pPr>
        <w:ind w:right="280" w:firstLine="385"/>
        <w:spacing w:after="0" w:line="263" w:lineRule="auto"/>
        <w:rPr>
          <w:sz w:val="20"/>
          <w:szCs w:val="20"/>
          <w:color w:val="auto"/>
        </w:rPr>
      </w:pPr>
      <w:r>
        <w:rPr>
          <w:rFonts w:ascii="Times New Roman" w:cs="Times New Roman" w:eastAsia="Times New Roman" w:hAnsi="Times New Roman"/>
          <w:sz w:val="18"/>
          <w:szCs w:val="18"/>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 Access Kits</w:t>
      </w:r>
    </w:p>
    <w:p>
      <w:pPr>
        <w:spacing w:after="0" w:line="170" w:lineRule="exact"/>
        <w:rPr>
          <w:sz w:val="20"/>
          <w:szCs w:val="20"/>
          <w:color w:val="auto"/>
        </w:rPr>
      </w:pPr>
    </w:p>
    <w:p>
      <w:pPr>
        <w:ind w:right="120" w:firstLine="385"/>
        <w:spacing w:after="0" w:line="263" w:lineRule="auto"/>
        <w:rPr>
          <w:sz w:val="20"/>
          <w:szCs w:val="20"/>
          <w:color w:val="auto"/>
        </w:rPr>
      </w:pPr>
      <w:r>
        <w:rPr>
          <w:rFonts w:ascii="Times New Roman" w:cs="Times New Roman" w:eastAsia="Times New Roman" w:hAnsi="Times New Roman"/>
          <w:sz w:val="18"/>
          <w:szCs w:val="18"/>
          <w:color w:val="auto"/>
        </w:rPr>
        <w:t>Our Micro Access kits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BioFlo</w:t>
      </w:r>
    </w:p>
    <w:p>
      <w:pPr>
        <w:spacing w:after="0" w:line="277" w:lineRule="exact"/>
        <w:rPr>
          <w:sz w:val="20"/>
          <w:szCs w:val="20"/>
          <w:color w:val="auto"/>
        </w:rPr>
      </w:pPr>
    </w:p>
    <w:p>
      <w:pPr>
        <w:ind w:right="5780" w:firstLine="385"/>
        <w:spacing w:after="0" w:line="251" w:lineRule="auto"/>
        <w:rPr>
          <w:sz w:val="20"/>
          <w:szCs w:val="20"/>
          <w:color w:val="auto"/>
        </w:rPr>
      </w:pPr>
      <w:r>
        <w:rPr>
          <w:rFonts w:ascii="Times New Roman" w:cs="Times New Roman" w:eastAsia="Times New Roman" w:hAnsi="Times New Roman"/>
          <w:sz w:val="18"/>
          <w:szCs w:val="18"/>
          <w:color w:val="auto"/>
        </w:rPr>
        <w:t>AngioDynamics offers the BioFlo catheter,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The BioFlo catheter’s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-1535430</wp:posOffset>
            </wp:positionV>
            <wp:extent cx="2797175" cy="139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7175" cy="1394460"/>
                    </a:xfrm>
                    <a:prstGeom prst="rect">
                      <a:avLst/>
                    </a:prstGeom>
                    <a:noFill/>
                  </pic:spPr>
                </pic:pic>
              </a:graphicData>
            </a:graphic>
          </wp:anchor>
        </w:drawing>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Midlines</w:t>
      </w:r>
    </w:p>
    <w:p>
      <w:pPr>
        <w:spacing w:after="0" w:line="168" w:lineRule="exact"/>
        <w:rPr>
          <w:sz w:val="20"/>
          <w:szCs w:val="20"/>
          <w:color w:val="auto"/>
        </w:rPr>
      </w:pPr>
    </w:p>
    <w:p>
      <w:pPr>
        <w:ind w:right="540" w:firstLine="385"/>
        <w:spacing w:after="0" w:line="258" w:lineRule="auto"/>
        <w:rPr>
          <w:sz w:val="20"/>
          <w:szCs w:val="20"/>
          <w:color w:val="auto"/>
        </w:rPr>
      </w:pPr>
      <w:r>
        <w:rPr>
          <w:rFonts w:ascii="Times New Roman" w:cs="Times New Roman" w:eastAsia="Times New Roman" w:hAnsi="Times New Roman"/>
          <w:sz w:val="18"/>
          <w:szCs w:val="18"/>
          <w:color w:val="auto"/>
        </w:rPr>
        <w:t>Midline catheters are inserted via the same veins used for PICC placement in the middle third of the upper arm; however, the midline catheter is advanced and placed so that the catheter tip is level or near the level of the axilla and distal to the shoulder. Our Midline product is a BioFlo Midline Catheter which incorporates Endexo Technology and is an effective solution to preserving a patient’s peripheral access. It provides a cost-effective alternative to multiple IV site rotations for patients who need short-term venous access.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PICCs</w:t>
      </w:r>
    </w:p>
    <w:p>
      <w:pPr>
        <w:spacing w:after="0" w:line="168" w:lineRule="exact"/>
        <w:rPr>
          <w:sz w:val="20"/>
          <w:szCs w:val="20"/>
          <w:color w:val="auto"/>
        </w:rPr>
      </w:pPr>
    </w:p>
    <w:p>
      <w:pPr>
        <w:jc w:val="both"/>
        <w:ind w:right="100" w:firstLine="385"/>
        <w:spacing w:after="0" w:line="263" w:lineRule="auto"/>
        <w:rPr>
          <w:sz w:val="20"/>
          <w:szCs w:val="20"/>
          <w:color w:val="auto"/>
        </w:rPr>
      </w:pPr>
      <w:r>
        <w:rPr>
          <w:rFonts w:ascii="Times New Roman" w:cs="Times New Roman" w:eastAsia="Times New Roman" w:hAnsi="Times New Roman"/>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21" w:lineRule="exact"/>
        <w:rPr>
          <w:sz w:val="20"/>
          <w:szCs w:val="20"/>
          <w:color w:val="auto"/>
        </w:rPr>
      </w:pPr>
    </w:p>
    <w:p>
      <w:pPr>
        <w:ind w:left="640" w:right="120" w:hanging="312"/>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 PICC</w:t>
      </w:r>
      <w:r>
        <w:rPr>
          <w:rFonts w:ascii="Times New Roman" w:cs="Times New Roman" w:eastAsia="Times New Roman" w:hAnsi="Times New Roman"/>
          <w:sz w:val="18"/>
          <w:szCs w:val="18"/>
          <w:color w:val="auto"/>
        </w:rPr>
        <w:t>: Our BioFlo PICC line is the only power injectable PICC available that incorporates Endexo Technology into the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of the catheter. Advanced features such as large lumen diameters allow the BioFlo PICC to deliver the power injection flow rates required for contrast-enhanced Computed Tomography (CT) scans compatible with up to 325 psi CT injections.</w:t>
      </w:r>
    </w:p>
    <w:p>
      <w:pPr>
        <w:spacing w:after="0" w:line="1"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Xcela PICC</w:t>
      </w:r>
      <w:r>
        <w:rPr>
          <w:rFonts w:ascii="Times New Roman" w:cs="Times New Roman" w:eastAsia="Times New Roman" w:hAnsi="Times New Roman"/>
          <w:sz w:val="18"/>
          <w:szCs w:val="18"/>
          <w:color w:val="auto"/>
        </w:rPr>
        <w:t>: The Xcela PICC line is designed to provide a high degree of safety, ease and confidence in patient care. Advanced features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lumen diameters allow the Xcela PICC to deliver the power injection flow rates required for contrast-enhanced CTs compatible with up to 325 psi CT injections.</w:t>
      </w:r>
    </w:p>
    <w:p>
      <w:pPr>
        <w:spacing w:after="0" w:line="1" w:lineRule="exact"/>
        <w:rPr>
          <w:rFonts w:ascii="Times New Roman" w:cs="Times New Roman" w:eastAsia="Times New Roman" w:hAnsi="Times New Roman"/>
          <w:sz w:val="18"/>
          <w:szCs w:val="18"/>
          <w:color w:val="auto"/>
        </w:rPr>
      </w:pPr>
    </w:p>
    <w:p>
      <w:pPr>
        <w:ind w:left="640" w:right="140" w:hanging="312"/>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PASV Valve Technology: </w:t>
      </w:r>
      <w:r>
        <w:rPr>
          <w:rFonts w:ascii="Times New Roman" w:cs="Times New Roman" w:eastAsia="Times New Roman" w:hAnsi="Times New Roman"/>
          <w:sz w:val="18"/>
          <w:szCs w:val="18"/>
          <w:color w:val="auto"/>
        </w:rPr>
        <w:t>The PASV Valve Technology is available in both BioFlo and Xcela lines and is designed to automatically resist backflow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blood reflux that could lead to catheter-related complications.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Wave PICC tip location system</w:t>
      </w:r>
    </w:p>
    <w:p>
      <w:pPr>
        <w:spacing w:after="0" w:line="168" w:lineRule="exact"/>
        <w:rPr>
          <w:sz w:val="20"/>
          <w:szCs w:val="20"/>
          <w:color w:val="auto"/>
        </w:rPr>
      </w:pPr>
    </w:p>
    <w:p>
      <w:pPr>
        <w:ind w:right="680" w:firstLine="385"/>
        <w:spacing w:after="0" w:line="278" w:lineRule="auto"/>
        <w:rPr>
          <w:sz w:val="20"/>
          <w:szCs w:val="20"/>
          <w:color w:val="auto"/>
        </w:rPr>
      </w:pPr>
      <w:r>
        <w:rPr>
          <w:rFonts w:ascii="Times New Roman" w:cs="Times New Roman" w:eastAsia="Times New Roman" w:hAnsi="Times New Roman"/>
          <w:sz w:val="18"/>
          <w:szCs w:val="18"/>
          <w:color w:val="auto"/>
        </w:rPr>
        <w:t>The C3 Wave system is our innovative, wireless, app-based ECG system which eliminates the need for a confirmatory chest x-ray of PICC tip placement, allowing greater patient access to the Company’s proprietary BioFlo PICCs.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Ports</w:t>
      </w:r>
    </w:p>
    <w:p>
      <w:pPr>
        <w:spacing w:after="0" w:line="168" w:lineRule="exact"/>
        <w:rPr>
          <w:sz w:val="20"/>
          <w:szCs w:val="20"/>
          <w:color w:val="auto"/>
        </w:rPr>
      </w:pPr>
    </w:p>
    <w:p>
      <w:pPr>
        <w:ind w:right="120" w:firstLine="385"/>
        <w:spacing w:after="0" w:line="254" w:lineRule="auto"/>
        <w:rPr>
          <w:sz w:val="20"/>
          <w:szCs w:val="20"/>
          <w:color w:val="auto"/>
        </w:rPr>
      </w:pPr>
      <w:r>
        <w:rPr>
          <w:rFonts w:ascii="Times New Roman" w:cs="Times New Roman" w:eastAsia="Times New Roman" w:hAnsi="Times New Roman"/>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30" w:lineRule="exact"/>
        <w:rPr>
          <w:sz w:val="20"/>
          <w:szCs w:val="20"/>
          <w:color w:val="auto"/>
        </w:rPr>
      </w:pPr>
    </w:p>
    <w:p>
      <w:pPr>
        <w:ind w:left="640" w:right="60" w:hanging="312"/>
        <w:spacing w:after="0" w:line="25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 Port</w:t>
      </w:r>
      <w:r>
        <w:rPr>
          <w:rFonts w:ascii="Times New Roman" w:cs="Times New Roman" w:eastAsia="Times New Roman" w:hAnsi="Times New Roman"/>
          <w:sz w:val="18"/>
          <w:szCs w:val="18"/>
          <w:color w:val="auto"/>
        </w:rPr>
        <w:t>: Our BioFlo Port was the first port available featuring a catheter with Endexo Technology. Advanced features of the BioFlo 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multiple profile and catheter options, a large septum area for ease of access and the ability to administer contrast through a CT injection for purposes of imaging.</w:t>
      </w:r>
    </w:p>
    <w:p>
      <w:pPr>
        <w:spacing w:after="0" w:line="1" w:lineRule="exact"/>
        <w:rPr>
          <w:rFonts w:ascii="Times New Roman" w:cs="Times New Roman" w:eastAsia="Times New Roman" w:hAnsi="Times New Roman"/>
          <w:sz w:val="18"/>
          <w:szCs w:val="18"/>
          <w:color w:val="auto"/>
        </w:rPr>
      </w:pPr>
    </w:p>
    <w:p>
      <w:pPr>
        <w:ind w:left="640" w:right="20" w:hanging="312"/>
        <w:spacing w:after="0" w:line="24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SmartPort, SmartPort+, SmartPort Plastic</w:t>
      </w:r>
      <w:r>
        <w:rPr>
          <w:rFonts w:ascii="Times New Roman" w:cs="Times New Roman" w:eastAsia="Times New Roman" w:hAnsi="Times New Roman"/>
          <w:sz w:val="18"/>
          <w:szCs w:val="18"/>
          <w:color w:val="auto"/>
        </w:rPr>
        <w:t>: The SmartPort power-injectable port with Vortex technology offers the ability for a clinician to access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vein for both the delivery of 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SmartPort port line is available in standard, mini and low-profiles to accommodate more patient anatomies. The SmartPort+ port line combines Vortex technology with BioFlo catheters. In addition to the three titanium port body sizes, there is a plastic port body.</w:t>
      </w:r>
    </w:p>
    <w:p>
      <w:pPr>
        <w:spacing w:after="0" w:line="2" w:lineRule="exact"/>
        <w:rPr>
          <w:rFonts w:ascii="Times New Roman" w:cs="Times New Roman" w:eastAsia="Times New Roman" w:hAnsi="Times New Roman"/>
          <w:sz w:val="18"/>
          <w:szCs w:val="18"/>
          <w:color w:val="auto"/>
        </w:rPr>
      </w:pPr>
    </w:p>
    <w:p>
      <w:pPr>
        <w:ind w:left="640" w:right="60" w:hanging="312"/>
        <w:spacing w:after="0" w:line="24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Vortex: </w:t>
      </w:r>
      <w:r>
        <w:rPr>
          <w:rFonts w:ascii="Times New Roman" w:cs="Times New Roman" w:eastAsia="Times New Roman" w:hAnsi="Times New Roman"/>
          <w:sz w:val="18"/>
          <w:szCs w:val="18"/>
          <w:color w:val="auto"/>
        </w:rPr>
        <w:t>Our Vortex port technology line of ports features a clear-flow port technology that, we believe, revolutionized port design. With its rounded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chamber, the Vortex port is designed to have no sludge-harboring corners or dead spaces. This product line consists of titanium, plastic and dual-lumen offerings.</w:t>
      </w:r>
    </w:p>
    <w:p>
      <w:pPr>
        <w:spacing w:after="0" w:line="1" w:lineRule="exact"/>
        <w:rPr>
          <w:rFonts w:ascii="Times New Roman" w:cs="Times New Roman" w:eastAsia="Times New Roman" w:hAnsi="Times New Roman"/>
          <w:sz w:val="18"/>
          <w:szCs w:val="18"/>
          <w:color w:val="auto"/>
        </w:rPr>
      </w:pPr>
    </w:p>
    <w:p>
      <w:pPr>
        <w:ind w:left="640" w:right="500" w:hanging="312"/>
        <w:spacing w:after="0" w:line="24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PASV Valve Technology: </w:t>
      </w:r>
      <w:r>
        <w:rPr>
          <w:rFonts w:ascii="Times New Roman" w:cs="Times New Roman" w:eastAsia="Times New Roman" w:hAnsi="Times New Roman"/>
          <w:sz w:val="18"/>
          <w:szCs w:val="18"/>
          <w:color w:val="auto"/>
        </w:rPr>
        <w:t>The PASV Valve Technology is designed to automatically resist backflow and reduce blood reflux that could lead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catheter-related complications.</w:t>
      </w:r>
    </w:p>
    <w:p>
      <w:pPr>
        <w:ind w:left="640" w:right="60" w:hanging="312"/>
        <w:spacing w:after="0" w:line="25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LifeGuard: </w:t>
      </w:r>
      <w:r>
        <w:rPr>
          <w:rFonts w:ascii="Times New Roman" w:cs="Times New Roman" w:eastAsia="Times New Roman" w:hAnsi="Times New Roman"/>
          <w:sz w:val="18"/>
          <w:szCs w:val="18"/>
          <w:color w:val="auto"/>
        </w:rPr>
        <w:t>The LifeGuard Safety Infusion Set and The LifeGuard Vision are used to infuse our ports and complement our port and vascular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catheters. The needles’ low profile design is intended to allow clinicians to easily dress the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Dialysis Products</w:t>
      </w:r>
    </w:p>
    <w:p>
      <w:pPr>
        <w:spacing w:after="0" w:line="168"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We market an extensive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21" w:lineRule="exact"/>
        <w:rPr>
          <w:sz w:val="20"/>
          <w:szCs w:val="20"/>
          <w:color w:val="auto"/>
        </w:rPr>
      </w:pPr>
    </w:p>
    <w:p>
      <w:pPr>
        <w:ind w:left="640" w:right="100" w:hanging="312"/>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 DuraMax</w:t>
      </w:r>
      <w:r>
        <w:rPr>
          <w:rFonts w:ascii="Times New Roman" w:cs="Times New Roman" w:eastAsia="Times New Roman" w:hAnsi="Times New Roman"/>
          <w:sz w:val="18"/>
          <w:szCs w:val="18"/>
          <w:color w:val="auto"/>
        </w:rPr>
        <w:t>: Our BioFlo DuraMax dialysis catheter is the only dialysis catheter with Endexo Technology. Advanced features of the BioFlo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DuraMax dialysis catheter include large inner diameter lumens designed for long term patency, a proprietary guidewire lumen to facilitate catheter exchanges and Curved Tip Technology that allows the catheter to self-center in the Superior Vena Cava (SVC).</w:t>
      </w:r>
    </w:p>
    <w:p>
      <w:pPr>
        <w:spacing w:after="0" w:line="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DuraMax: </w:t>
      </w:r>
      <w:r>
        <w:rPr>
          <w:rFonts w:ascii="Times New Roman" w:cs="Times New Roman" w:eastAsia="Times New Roman" w:hAnsi="Times New Roman"/>
          <w:sz w:val="18"/>
          <w:szCs w:val="18"/>
          <w:color w:val="auto"/>
        </w:rPr>
        <w:t>The DuraMax catheter is a stepped-tip catheter designed to improve ease of use, dialysis efficiency and overall patient outcomes.</w:t>
      </w:r>
    </w:p>
    <w:p>
      <w:pPr>
        <w:spacing w:after="0" w:line="149" w:lineRule="exact"/>
        <w:rPr>
          <w:sz w:val="20"/>
          <w:szCs w:val="20"/>
          <w:color w:val="auto"/>
        </w:rPr>
      </w:pPr>
    </w:p>
    <w:p>
      <w:pPr>
        <w:ind w:right="560" w:firstLine="385"/>
        <w:spacing w:after="0" w:line="309" w:lineRule="auto"/>
        <w:rPr>
          <w:sz w:val="20"/>
          <w:szCs w:val="20"/>
          <w:color w:val="auto"/>
        </w:rPr>
      </w:pPr>
      <w:r>
        <w:rPr>
          <w:rFonts w:ascii="Times New Roman" w:cs="Times New Roman" w:eastAsia="Times New Roman" w:hAnsi="Times New Roman"/>
          <w:sz w:val="17"/>
          <w:szCs w:val="17"/>
          <w:color w:val="auto"/>
        </w:rPr>
        <w:t>In addition, AngioDynamics also offers other renal therapies, including our DuraFlow Chronic Hemodialysis Catheter, Acute Dialysis Catheter, EVENMORE Chronic Hemodialysis Catheter, EMBOSAFE Valved Splitable Sheath Dilator and Perchik Button Suture Retention Device.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Venous Insufficiency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VenaCure EVLT laser system</w:t>
      </w:r>
    </w:p>
    <w:p>
      <w:pPr>
        <w:spacing w:after="0" w:line="170" w:lineRule="exact"/>
        <w:rPr>
          <w:sz w:val="20"/>
          <w:szCs w:val="20"/>
          <w:color w:val="auto"/>
        </w:rPr>
      </w:pPr>
    </w:p>
    <w:p>
      <w:pPr>
        <w:ind w:right="5800" w:firstLine="385"/>
        <w:spacing w:after="0" w:line="252" w:lineRule="auto"/>
        <w:rPr>
          <w:sz w:val="20"/>
          <w:szCs w:val="20"/>
          <w:color w:val="auto"/>
        </w:rPr>
      </w:pPr>
      <w:r>
        <w:rPr>
          <w:rFonts w:ascii="Times New Roman" w:cs="Times New Roman" w:eastAsia="Times New Roman" w:hAnsi="Times New Roman"/>
          <w:sz w:val="18"/>
          <w:szCs w:val="18"/>
          <w:color w:val="auto"/>
        </w:rPr>
        <w:t>Our VenaCure EVLT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The VenaCure EVLT system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-1091565</wp:posOffset>
            </wp:positionV>
            <wp:extent cx="2737485" cy="1343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37485" cy="134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procedure is minimally invasive and generally takes less than an hour, typically allowing the patient to quickly return to normal activities.</w:t>
      </w:r>
    </w:p>
    <w:p>
      <w:pPr>
        <w:spacing w:after="0" w:line="168"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The VenaCure EVLT system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VenaCure EVLT system comes with a comprehensive physician training program and extensive marketing support.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Microwave Ablation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Solero Microwave Tissue Ablation (MTA) System</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Solero MTA System features the Solero Microwave (MW)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Generator and the specially designed Solero MW Applicators. The solid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Solero MW Generator with a 2.45 GHz operating frequency can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up to 140W for optimized power delivery and fast ablations.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Solero MW Applicator’s optimized ceramic tip diffuses MW energy nearly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spherically, and its patented cooling channel with thermocouple provides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real-time monitoring to help protect non-targeted tissue during the ablation.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Solero MTA System offers physicians scalability with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applicator designed for multiple, predictable ablation volumes by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varying time and wattage. Solero is a single applicator system able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up to a 5 cm ablation in six (6) minutes at maximum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9" w:name="page10"/>
    <w:bookmarkEnd w:id="9"/>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The Solero MTA System and Accessories are indicated for the ablation of soft tissue during open procedures. The Solero MTA System is not intended for cardiac use.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Radiofrequency Ablation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StarBurst Radiofrequency Ablation Devices</w:t>
      </w:r>
    </w:p>
    <w:p>
      <w:pPr>
        <w:spacing w:after="0" w:line="170" w:lineRule="exact"/>
        <w:rPr>
          <w:sz w:val="20"/>
          <w:szCs w:val="20"/>
          <w:color w:val="auto"/>
        </w:rPr>
      </w:pPr>
    </w:p>
    <w:p>
      <w:pPr>
        <w:ind w:right="200" w:firstLine="385"/>
        <w:spacing w:after="0" w:line="258" w:lineRule="auto"/>
        <w:rPr>
          <w:sz w:val="20"/>
          <w:szCs w:val="20"/>
          <w:color w:val="auto"/>
        </w:rPr>
      </w:pPr>
      <w:r>
        <w:rPr>
          <w:rFonts w:ascii="Times New Roman" w:cs="Times New Roman" w:eastAsia="Times New Roman" w:hAnsi="Times New Roman"/>
          <w:sz w:val="18"/>
          <w:szCs w:val="18"/>
          <w:color w:val="auto"/>
        </w:rPr>
        <w:t>Radiofrequency Ablation (RFA) products use radiofrequency energy to provide a minimally invasive approach to ablating solid cancerous or benign tumors. Our StarBurst Radiofrequency Ablation devices deliver radiofrequency energy to raise the temperature of cells above 45-50°C, causing cellular death. The physician inserts the disposable needle electrode device into the targeted body tissue, typically under ultrasound, CT or Magnetic Resonance Imaging (MRI) guidance.</w:t>
      </w:r>
    </w:p>
    <w:p>
      <w:pPr>
        <w:spacing w:after="0" w:line="128" w:lineRule="exact"/>
        <w:rPr>
          <w:sz w:val="20"/>
          <w:szCs w:val="20"/>
          <w:color w:val="auto"/>
        </w:rPr>
      </w:pPr>
    </w:p>
    <w:p>
      <w:pPr>
        <w:ind w:right="140" w:firstLine="385"/>
        <w:spacing w:after="0" w:line="263" w:lineRule="auto"/>
        <w:rPr>
          <w:sz w:val="20"/>
          <w:szCs w:val="20"/>
          <w:color w:val="auto"/>
        </w:rPr>
      </w:pPr>
      <w:r>
        <w:rPr>
          <w:rFonts w:ascii="Times New Roman" w:cs="Times New Roman" w:eastAsia="Times New Roman" w:hAnsi="Times New Roman"/>
          <w:sz w:val="18"/>
          <w:szCs w:val="18"/>
          <w:color w:val="auto"/>
        </w:rPr>
        <w:t>During the procedure, our system automatically adjusts the amount of energy delivered in order to maintain the temperature necessary to ablate the targeted tissue. For a typical 5 cm ablation using our StarBurst Xli-enhanced disposable device, the ablation process takes approximately ten (10) minutes. The RFA system consists of a radiofrequency generator and a family of disposable devices.</w:t>
      </w:r>
    </w:p>
    <w:p>
      <w:pPr>
        <w:spacing w:after="0" w:line="123" w:lineRule="exact"/>
        <w:rPr>
          <w:sz w:val="20"/>
          <w:szCs w:val="20"/>
          <w:color w:val="auto"/>
        </w:rPr>
      </w:pPr>
    </w:p>
    <w:p>
      <w:pPr>
        <w:ind w:right="40" w:firstLine="385"/>
        <w:spacing w:after="0" w:line="286" w:lineRule="auto"/>
        <w:rPr>
          <w:sz w:val="20"/>
          <w:szCs w:val="20"/>
          <w:color w:val="auto"/>
        </w:rPr>
      </w:pPr>
      <w:r>
        <w:rPr>
          <w:rFonts w:ascii="Times New Roman" w:cs="Times New Roman" w:eastAsia="Times New Roman" w:hAnsi="Times New Roman"/>
          <w:sz w:val="17"/>
          <w:szCs w:val="17"/>
          <w:color w:val="auto"/>
        </w:rPr>
        <w:t>In addition to thermal ablation systems and the NanoKnife Ablation System, AngioDynamics also offers Habib 4X Surgical Resection devices that are used in minimally invasive laparoscopic surgery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BioSentry Tract Sealant System</w:t>
      </w:r>
    </w:p>
    <w:p>
      <w:pPr>
        <w:spacing w:after="0" w:line="168"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The BioSentry Tract Sealant System deploys a self-expanding hydrogel plug into the pleural space following a percutaneous lung biopsy, creating an airtight seal that closes the pleural puncture. Depth markings provide accurate and consistent placement based on CT-guided measurements, while the depth adjustment wheel and locking mechanisms ensure proper plug deployment. The hydrogel plug is made from a synthetic tissue-friendly polymer that fully reabsorbs into the body and the coaxial adapter mates with a coaxial needle to ensure a proper fit and delivery of the plug. The BioSentry Tract Sealant System is indicated for sealing pleural punctures to significantly reduce the risk of pneumothoraxes (air leaks) associated with percutaneous, transthoracic needle lung biopsies and to provide accuracy in marking a biopsy location for visualization during surgical resection.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IsoLoc Endorectal Balloon</w:t>
      </w:r>
    </w:p>
    <w:p>
      <w:pPr>
        <w:spacing w:after="0" w:line="168"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IsoLoc Endorectal Balloon's unique, customer-driven design is the result of collaborations with Radiation Oncologists, Therapists and Physicists with one goal in mind, to create a new standard for endorectal balloons (ERB) in the oncology space.</w:t>
      </w:r>
    </w:p>
    <w:p>
      <w:pPr>
        <w:spacing w:after="0" w:line="110"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design of the IsoLoc device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the IsoLoc device repositions and lifts the bowel in patients that have a low-lying bowel.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Alatus Vaginal Balloon Packing System</w:t>
      </w:r>
    </w:p>
    <w:p>
      <w:pPr>
        <w:spacing w:after="0" w:line="168" w:lineRule="exact"/>
        <w:rPr>
          <w:sz w:val="20"/>
          <w:szCs w:val="20"/>
          <w:color w:val="auto"/>
        </w:rPr>
      </w:pPr>
    </w:p>
    <w:p>
      <w:pPr>
        <w:ind w:right="80" w:firstLine="385"/>
        <w:spacing w:after="0" w:line="286" w:lineRule="auto"/>
        <w:rPr>
          <w:sz w:val="20"/>
          <w:szCs w:val="20"/>
          <w:color w:val="auto"/>
        </w:rPr>
      </w:pPr>
      <w:r>
        <w:rPr>
          <w:rFonts w:ascii="Times New Roman" w:cs="Times New Roman" w:eastAsia="Times New Roman" w:hAnsi="Times New Roman"/>
          <w:sz w:val="17"/>
          <w:szCs w:val="17"/>
          <w:color w:val="auto"/>
        </w:rPr>
        <w:t>The Alatus device was developed with the patient's comfort in mind and to assist the physician to move healthy tissue away from the radiation treatment field. Prior to the Alatus device,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72" w:lineRule="exact"/>
        <w:rPr>
          <w:sz w:val="20"/>
          <w:szCs w:val="20"/>
          <w:color w:val="auto"/>
        </w:rPr>
      </w:pPr>
    </w:p>
    <w:p>
      <w:pPr>
        <w:ind w:right="100" w:firstLine="385"/>
        <w:spacing w:after="0" w:line="254" w:lineRule="auto"/>
        <w:rPr>
          <w:sz w:val="20"/>
          <w:szCs w:val="20"/>
          <w:color w:val="auto"/>
        </w:rPr>
      </w:pPr>
      <w:r>
        <w:rPr>
          <w:rFonts w:ascii="Times New Roman" w:cs="Times New Roman" w:eastAsia="Times New Roman" w:hAnsi="Times New Roman"/>
          <w:sz w:val="18"/>
          <w:szCs w:val="18"/>
          <w:color w:val="auto"/>
        </w:rPr>
        <w:t>Our growth depends in large part on the continuous introduction of new and innovative products, together with ongoing enhancements to our existing products. This happens through internal product development, technology licensing, strategic alliances and acquisitions. Our research and development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 We recognize the importance of, and intend to continue to make investments in,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44"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2" w:lineRule="exact"/>
        <w:rPr>
          <w:sz w:val="20"/>
          <w:szCs w:val="20"/>
          <w:color w:val="auto"/>
        </w:rPr>
      </w:pPr>
    </w:p>
    <w:p>
      <w:pPr>
        <w:ind w:right="220" w:firstLine="385"/>
        <w:spacing w:after="0" w:line="263" w:lineRule="auto"/>
        <w:rPr>
          <w:sz w:val="20"/>
          <w:szCs w:val="20"/>
          <w:color w:val="auto"/>
        </w:rPr>
      </w:pPr>
      <w:r>
        <w:rPr>
          <w:rFonts w:ascii="Times New Roman" w:cs="Times New Roman" w:eastAsia="Times New Roman" w:hAnsi="Times New Roman"/>
          <w:sz w:val="18"/>
          <w:szCs w:val="18"/>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23" w:lineRule="exact"/>
        <w:rPr>
          <w:sz w:val="20"/>
          <w:szCs w:val="20"/>
          <w:color w:val="auto"/>
        </w:rPr>
      </w:pPr>
    </w:p>
    <w:p>
      <w:pPr>
        <w:ind w:right="340" w:firstLine="385"/>
        <w:spacing w:after="0" w:line="263" w:lineRule="auto"/>
        <w:rPr>
          <w:sz w:val="20"/>
          <w:szCs w:val="20"/>
          <w:color w:val="auto"/>
        </w:rPr>
      </w:pPr>
      <w:r>
        <w:rPr>
          <w:rFonts w:ascii="Times New Roman" w:cs="Times New Roman" w:eastAsia="Times New Roman" w:hAnsi="Times New Roman"/>
          <w:sz w:val="18"/>
          <w:szCs w:val="18"/>
          <w:color w:val="auto"/>
        </w:rPr>
        <w:t>Our primary device competitors include: Boston Scientific Corporation; Cook Medical; Medical Components, Inc. (MedComp); TeleFlex Medical; Becton Dickinson; Medtronic; Merit Medical; Terumo Medical Corporation; Johnson and Johnson; Philips Healthcare; Inari Medical; Varian Medical Systems and Total Vein Systems.</w:t>
      </w:r>
    </w:p>
    <w:p>
      <w:pPr>
        <w:spacing w:after="0" w:line="123"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third parties, and maintain sufficient inventory to meet customer demand.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2" w:lineRule="exact"/>
        <w:rPr>
          <w:sz w:val="20"/>
          <w:szCs w:val="20"/>
          <w:color w:val="auto"/>
        </w:rPr>
      </w:pPr>
    </w:p>
    <w:p>
      <w:pPr>
        <w:jc w:val="both"/>
        <w:ind w:right="40" w:firstLine="385"/>
        <w:spacing w:after="0" w:line="258" w:lineRule="auto"/>
        <w:rPr>
          <w:sz w:val="20"/>
          <w:szCs w:val="20"/>
          <w:color w:val="auto"/>
        </w:rPr>
      </w:pPr>
      <w:r>
        <w:rPr>
          <w:rFonts w:ascii="Times New Roman" w:cs="Times New Roman" w:eastAsia="Times New Roman" w:hAnsi="Times New Roman"/>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 We focus our sales and marketing efforts on interventional radiologists, interventional cardiologists, vascular surgeons, urologists, interventional and surgical oncologists and critical care nurses.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32" w:lineRule="exact"/>
        <w:rPr>
          <w:sz w:val="20"/>
          <w:szCs w:val="20"/>
          <w:color w:val="auto"/>
        </w:rPr>
      </w:pPr>
    </w:p>
    <w:p>
      <w:pPr>
        <w:ind w:right="60" w:firstLine="385"/>
        <w:spacing w:after="0" w:line="253" w:lineRule="auto"/>
        <w:rPr>
          <w:sz w:val="20"/>
          <w:szCs w:val="20"/>
          <w:color w:val="auto"/>
        </w:rPr>
      </w:pPr>
      <w:r>
        <w:rPr>
          <w:rFonts w:ascii="Times New Roman" w:cs="Times New Roman" w:eastAsia="Times New Roman" w:hAnsi="Times New Roman"/>
          <w:sz w:val="18"/>
          <w:szCs w:val="18"/>
          <w:color w:val="auto"/>
        </w:rPr>
        <w:t>We manufacture many of our products from two owned manufacturing properties, one in Queensbury, NY and one small facility in Glens Falls, NY, providing capabilities which include manufacturing, service, offices, engineering and research and we lease distribution warehouses. The manufacturing facilities are registered with the FDA and have been certified to ISO 13485 standards. ISO 13485 is a quality system standard that satisfies European Union regulatory requirements, thus allowing us to market and sell our products in European Union countries. AngioDynamics is certified under the Medical Device Single Audit Program ("MDSAP") which allows a recognized auditing organization to conduct a single regulatory audit of a medical device manufacturer to satisfy the relevant requirements of the regulatory authorities participating in the program. International partners that are participating in the MDSAP include:</w:t>
      </w:r>
    </w:p>
    <w:p>
      <w:pPr>
        <w:spacing w:after="0" w:line="133" w:lineRule="exact"/>
        <w:rPr>
          <w:sz w:val="20"/>
          <w:szCs w:val="20"/>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Goods Administration of Australia</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Brazil’s Agência Nacional de Vigilância Sanitária</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Canada</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Japan’s Ministry of Health, Labour and Welfare, and the Japanese Pharmaceuticals and Medical Devices Agency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w:t>
      </w:r>
    </w:p>
    <w:p>
      <w:pPr>
        <w:spacing w:after="0" w:line="149" w:lineRule="exact"/>
        <w:rPr>
          <w:sz w:val="20"/>
          <w:szCs w:val="20"/>
          <w:color w:val="auto"/>
        </w:rPr>
      </w:pPr>
    </w:p>
    <w:p>
      <w:pPr>
        <w:jc w:val="both"/>
        <w:ind w:right="100" w:firstLine="385"/>
        <w:spacing w:after="0" w:line="263" w:lineRule="auto"/>
        <w:rPr>
          <w:sz w:val="20"/>
          <w:szCs w:val="20"/>
          <w:color w:val="auto"/>
        </w:rPr>
      </w:pPr>
      <w:r>
        <w:rPr>
          <w:rFonts w:ascii="Times New Roman" w:cs="Times New Roman" w:eastAsia="Times New Roman" w:hAnsi="Times New Roman"/>
          <w:sz w:val="18"/>
          <w:szCs w:val="18"/>
          <w:color w:val="auto"/>
        </w:rPr>
        <w:t>Our manufacturing facilities are subject to periodic inspections by regulatory authorities to ensure compliance with domestic and non-U.S. regulatory requirements. See “Government Regulation” section of this Item 1 for additional information. See Part I, Item 2 "Properties" in this Annual Report on Form 10-K for details on each manufacturing location.</w:t>
      </w:r>
    </w:p>
    <w:p>
      <w:pPr>
        <w:spacing w:after="0" w:line="123" w:lineRule="exact"/>
        <w:rPr>
          <w:sz w:val="20"/>
          <w:szCs w:val="20"/>
          <w:color w:val="auto"/>
        </w:rPr>
      </w:pPr>
    </w:p>
    <w:p>
      <w:pPr>
        <w:jc w:val="both"/>
        <w:ind w:right="80" w:firstLine="385"/>
        <w:spacing w:after="0" w:line="263" w:lineRule="auto"/>
        <w:rPr>
          <w:sz w:val="20"/>
          <w:szCs w:val="20"/>
          <w:color w:val="auto"/>
        </w:rPr>
      </w:pPr>
      <w:r>
        <w:rPr>
          <w:rFonts w:ascii="Times New Roman" w:cs="Times New Roman" w:eastAsia="Times New Roman" w:hAnsi="Times New Roman"/>
          <w:sz w:val="18"/>
          <w:szCs w:val="18"/>
          <w:color w:val="auto"/>
        </w:rPr>
        <w:t>During the fourth quarter of fiscal year 2022, AngioDynamics entered into a supply agreement with Precision Concepts, Costa Rica S.A., a Costa Rica corporation, with its principal place of business in Alajuela, Costa Rica. Precision Concepts is manufacturing, storing, and handling certain products for the Company and is registered with the FDA and certified to the ISO 13485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We have historically kept sufficient inventory on hand to ship product within 24-48 hours of order receipt to meet customer demand. In fiscal year 2022, COVID-19 related issues including the Company's ability to manufacture products, the reliability of our supply chain, labor shortages, backlog and inflation (including the cost and availability of raw materials, direct labor and shipping) have impacted our business and resulted in a backlog of $8.4 million at the end of the fourth quarter. We continue to focus on meeting the demand for our product and working towards standard inventory and backlog levels in fiscal year 2023. See Part I, Item 1A "Risk Factors" in this Annual Report on Form 10-K.</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2" w:lineRule="exact"/>
        <w:rPr>
          <w:sz w:val="20"/>
          <w:szCs w:val="20"/>
          <w:color w:val="auto"/>
        </w:rPr>
      </w:pPr>
    </w:p>
    <w:p>
      <w:pPr>
        <w:ind w:right="80" w:firstLine="385"/>
        <w:spacing w:after="0" w:line="270" w:lineRule="auto"/>
        <w:rPr>
          <w:sz w:val="20"/>
          <w:szCs w:val="20"/>
          <w:color w:val="auto"/>
        </w:rPr>
      </w:pPr>
      <w:r>
        <w:rPr>
          <w:rFonts w:ascii="Times New Roman" w:cs="Times New Roman" w:eastAsia="Times New Roman" w:hAnsi="Times New Roman"/>
          <w:sz w:val="17"/>
          <w:szCs w:val="17"/>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 The Company owns an extensive portfolio of patents and patent applications in the United States and in certain foreign countries. The portfolio also includes exclusive licenses to third party patents and applications. 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21"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See Part I, Item 3 "Legal Proceedings" and Note 16 to the consolidated financial statements in this Annual Report on Form 10-K for additional details on litigation regarding proprietary technology.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"Legal Proceedings" and Note 16 to the consolidated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2"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products we manufacture and market are subject to regulation by the United States Food and Drug Administration (FDA) under the Federal Food, Drug, and Cosmetic Act, or FDCA, and international regulations in our specific target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FDA Regulation</w:t>
      </w:r>
    </w:p>
    <w:p>
      <w:pPr>
        <w:spacing w:after="0" w:line="172"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10" w:lineRule="exact"/>
        <w:rPr>
          <w:sz w:val="20"/>
          <w:szCs w:val="20"/>
          <w:color w:val="auto"/>
        </w:rPr>
      </w:pPr>
    </w:p>
    <w:p>
      <w:pPr>
        <w:ind w:right="100" w:firstLine="385"/>
        <w:spacing w:after="0" w:line="252" w:lineRule="auto"/>
        <w:rPr>
          <w:sz w:val="20"/>
          <w:szCs w:val="20"/>
          <w:color w:val="auto"/>
        </w:rPr>
      </w:pPr>
      <w:r>
        <w:rPr>
          <w:rFonts w:ascii="Times New Roman" w:cs="Times New Roman" w:eastAsia="Times New Roman" w:hAnsi="Times New Roman"/>
          <w:sz w:val="18"/>
          <w:szCs w:val="18"/>
          <w:color w:val="auto"/>
        </w:rPr>
        <w:t>The 510(k) clearance procedure is available only if a manufacturer can establish that its device is “substantially equivalent” in intended use and in safety and effectiveness to a “predicate device,” which is (i) a device that has been cleared through the 510(k) clearance process; (ii) a device that was legally marketed prior to May 28, 1976 (preamendments device); (iii) a device that was originally on the U.S. market as a Class III device (Premarket approval) and later downclassified to Class II or I; (iv) or a 510(k) exempt device.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a new or modified device. If a device cannot demonstrate substantial equivalence, it may be subject to either a De Novo 510(K) submission or a PMA.</w:t>
      </w:r>
    </w:p>
    <w:p>
      <w:pPr>
        <w:spacing w:after="0" w:line="133" w:lineRule="exact"/>
        <w:rPr>
          <w:sz w:val="20"/>
          <w:szCs w:val="20"/>
          <w:color w:val="auto"/>
        </w:rPr>
      </w:pPr>
    </w:p>
    <w:p>
      <w:pPr>
        <w:ind w:right="280" w:firstLine="385"/>
        <w:spacing w:after="0" w:line="255" w:lineRule="auto"/>
        <w:rPr>
          <w:sz w:val="20"/>
          <w:szCs w:val="20"/>
          <w:color w:val="auto"/>
        </w:rPr>
      </w:pPr>
      <w:r>
        <w:rPr>
          <w:rFonts w:ascii="Times New Roman" w:cs="Times New Roman" w:eastAsia="Times New Roman" w:hAnsi="Times New Roman"/>
          <w:sz w:val="18"/>
          <w:szCs w:val="18"/>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t>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Historically, our products have been introduced into the market using the 510(k) procedure.</w:t>
      </w:r>
    </w:p>
    <w:p>
      <w:pPr>
        <w:spacing w:after="0" w:line="168" w:lineRule="exact"/>
        <w:rPr>
          <w:sz w:val="20"/>
          <w:szCs w:val="20"/>
          <w:color w:val="auto"/>
        </w:rPr>
      </w:pPr>
    </w:p>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FDA submissions require extensive validations and testing which requires a significant amount of time and financial resources. Recent changes in both regulations and FDA perspectives have increased both time and testing requirements, which have caused and are expected to continue to cause significant delays and increased costs for clearances and approvals. The increased focus by the FDA on such issues as chemical identification of all colorants, non-acceptance of certain colorants (certain forms of carbon black) and other concerns, continue to cause challenges and delays. In addition, changes to existing products call into question previously approved devices and result in additional costs for testing and material analysis.</w:t>
      </w:r>
    </w:p>
    <w:p>
      <w:pPr>
        <w:spacing w:after="0" w:line="13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devices manufactured by us are also subject to the QSR, which imposes elaborate testing, control, documentation and other quality assurance procedures on our manufacturing facilities. Every phase of production, including raw materials, components and subassembly, manufacturing, testing, quality control, labeling, tracing of customers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Failure to maintain compliance with the QSR may result in the issuance of one or more Forms 483 or warning letters and could potentially result in a consent decree. Failure to maintain the QSR appropriately could result in the issuance of further warning letters. In addition, non-compliance with applicable FDA requirements can result in, among other things, fines, injunctions, civil penalties, recall or seizure of products, total or partial suspension of production, failure of the FDA to grant marketing approvals, inability to obtain clearances or approvals for products, withdrawal of marketing approvals, a recommendation by the FDA to disallow us to enter into government contracts, and/or criminal prosecutions. The FDA also has the authority to request repair, replacement or refund of the cost of any device manufactured or distributed by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U.S. Regulatory Bodies</w:t>
      </w:r>
    </w:p>
    <w:p>
      <w:pPr>
        <w:spacing w:after="0" w:line="172" w:lineRule="exact"/>
        <w:rPr>
          <w:sz w:val="20"/>
          <w:szCs w:val="20"/>
          <w:color w:val="auto"/>
        </w:rPr>
      </w:pPr>
    </w:p>
    <w:p>
      <w:pPr>
        <w:ind w:right="120" w:firstLine="385"/>
        <w:spacing w:after="0" w:line="253" w:lineRule="auto"/>
        <w:rPr>
          <w:sz w:val="20"/>
          <w:szCs w:val="20"/>
          <w:color w:val="auto"/>
        </w:rPr>
      </w:pPr>
      <w:r>
        <w:rPr>
          <w:rFonts w:ascii="Times New Roman" w:cs="Times New Roman" w:eastAsia="Times New Roman" w:hAnsi="Times New Roman"/>
          <w:sz w:val="18"/>
          <w:szCs w:val="18"/>
          <w:color w:val="auto"/>
        </w:rPr>
        <w:t>We and our products are subject to a variety of federal,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Regulation</w:t>
      </w:r>
    </w:p>
    <w:p>
      <w:pPr>
        <w:spacing w:after="0" w:line="172" w:lineRule="exact"/>
        <w:rPr>
          <w:sz w:val="20"/>
          <w:szCs w:val="20"/>
          <w:color w:val="auto"/>
        </w:rPr>
      </w:pPr>
    </w:p>
    <w:p>
      <w:pPr>
        <w:ind w:right="160" w:firstLine="385"/>
        <w:spacing w:after="0" w:line="263" w:lineRule="auto"/>
        <w:rPr>
          <w:sz w:val="20"/>
          <w:szCs w:val="20"/>
          <w:color w:val="auto"/>
        </w:rPr>
      </w:pPr>
      <w:r>
        <w:rPr>
          <w:rFonts w:ascii="Times New Roman" w:cs="Times New Roman" w:eastAsia="Times New Roman" w:hAnsi="Times New Roman"/>
          <w:sz w:val="18"/>
          <w:szCs w:val="18"/>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w:t>
      </w:r>
    </w:p>
    <w:p>
      <w:pPr>
        <w:spacing w:after="0" w:line="123" w:lineRule="exact"/>
        <w:rPr>
          <w:sz w:val="20"/>
          <w:szCs w:val="20"/>
          <w:color w:val="auto"/>
        </w:rPr>
      </w:pPr>
    </w:p>
    <w:p>
      <w:pPr>
        <w:ind w:right="180" w:firstLine="385"/>
        <w:spacing w:after="0" w:line="270" w:lineRule="auto"/>
        <w:rPr>
          <w:sz w:val="20"/>
          <w:szCs w:val="20"/>
          <w:color w:val="auto"/>
        </w:rPr>
      </w:pPr>
      <w:r>
        <w:rPr>
          <w:rFonts w:ascii="Times New Roman" w:cs="Times New Roman" w:eastAsia="Times New Roman" w:hAnsi="Times New Roman"/>
          <w:sz w:val="17"/>
          <w:szCs w:val="17"/>
          <w:color w:val="auto"/>
        </w:rPr>
        <w:t>In order to distribute and sell products into the European Union as well as a number of other countries including many Central European Free Trade Agreement participants, Scandinavian, and Middle Eastern countries, a CE Mark is required. New products must be compliant with the Medical Device Regulation ("MDR") as of May 2021 and previously CE Marked products must become compliant when their certification expires, with a transition period ending May 2025. Products with an expiring certification must be in distribution before certification expiration dates to continue to be sold. Clinical evaluations of products under MDR requires more information than previously required. All devices must have current clinical literature that specifically addresses data-driven safety and performance criteria, and legacy devices often require additional biocompatibility, bench testing and redesign to address changes in standards over time. Additionally, there can be extended time frames under MDR for product certifications that can be 12-18 months or longer.</w:t>
      </w:r>
    </w:p>
    <w:p>
      <w:pPr>
        <w:spacing w:after="0" w:line="121" w:lineRule="exact"/>
        <w:rPr>
          <w:sz w:val="20"/>
          <w:szCs w:val="20"/>
          <w:color w:val="auto"/>
        </w:rPr>
      </w:pPr>
    </w:p>
    <w:p>
      <w:pPr>
        <w:ind w:right="280" w:firstLine="385"/>
        <w:spacing w:after="0" w:line="263" w:lineRule="auto"/>
        <w:rPr>
          <w:sz w:val="20"/>
          <w:szCs w:val="20"/>
          <w:color w:val="auto"/>
        </w:rPr>
      </w:pPr>
      <w:r>
        <w:rPr>
          <w:rFonts w:ascii="Times New Roman" w:cs="Times New Roman" w:eastAsia="Times New Roman" w:hAnsi="Times New Roman"/>
          <w:sz w:val="18"/>
          <w:szCs w:val="18"/>
          <w:color w:val="auto"/>
        </w:rPr>
        <w:t>Similar regulations are in place for Canada, Japan, China and most other countries. 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3" w:name="page14"/>
    <w:bookmarkEnd w:id="13"/>
    <w:p>
      <w:pPr>
        <w:jc w:val="both"/>
        <w:ind w:firstLine="385"/>
        <w:spacing w:after="0" w:line="263" w:lineRule="auto"/>
        <w:rPr>
          <w:sz w:val="20"/>
          <w:szCs w:val="20"/>
          <w:color w:val="auto"/>
        </w:rPr>
      </w:pPr>
      <w:r>
        <w:rPr>
          <w:rFonts w:ascii="Times New Roman" w:cs="Times New Roman" w:eastAsia="Times New Roman" w:hAnsi="Times New Roman"/>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23"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The process of obtaining approval to distribute medical products is costly and time-consuming in virtually all the major markets where we sell medical devices. We cannot assure that any new medical devices we develop will be cleared, approved or certified in a timely or cost-effective manner or cleared, approved or certified at all. There can be no assurance that new laws or regulations regarding the release or sale of medical devices will not delay or prevent sale of our current or future products.</w:t>
      </w:r>
    </w:p>
    <w:p>
      <w:pPr>
        <w:spacing w:after="0" w:line="124" w:lineRule="exact"/>
        <w:rPr>
          <w:sz w:val="20"/>
          <w:szCs w:val="20"/>
          <w:color w:val="auto"/>
        </w:rPr>
      </w:pPr>
    </w:p>
    <w:p>
      <w:pPr>
        <w:ind w:right="304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THIRD-PARTY REIMBURSEMENT AND ANTI-FRAUD AND CORRUPT PRACTICES REGULATION </w:t>
      </w:r>
      <w:r>
        <w:rPr>
          <w:rFonts w:ascii="Times New Roman" w:cs="Times New Roman" w:eastAsia="Times New Roman" w:hAnsi="Times New Roman"/>
          <w:sz w:val="18"/>
          <w:szCs w:val="18"/>
          <w:b w:val="1"/>
          <w:bCs w:val="1"/>
          <w:u w:val="single" w:color="auto"/>
          <w:color w:val="auto"/>
        </w:rPr>
        <w:t>United States</w:t>
      </w:r>
    </w:p>
    <w:p>
      <w:pPr>
        <w:ind w:right="220" w:firstLine="385"/>
        <w:spacing w:after="0" w:line="258" w:lineRule="auto"/>
        <w:rPr>
          <w:sz w:val="20"/>
          <w:szCs w:val="20"/>
          <w:color w:val="auto"/>
        </w:rPr>
      </w:pPr>
      <w:r>
        <w:rPr>
          <w:rFonts w:ascii="Times New Roman" w:cs="Times New Roman" w:eastAsia="Times New Roman" w:hAnsi="Times New Roman"/>
          <w:sz w:val="18"/>
          <w:szCs w:val="18"/>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128" w:lineRule="exact"/>
        <w:rPr>
          <w:sz w:val="20"/>
          <w:szCs w:val="20"/>
          <w:color w:val="auto"/>
        </w:rPr>
      </w:pPr>
    </w:p>
    <w:p>
      <w:pPr>
        <w:ind w:right="20" w:firstLine="385"/>
        <w:spacing w:after="0" w:line="251" w:lineRule="auto"/>
        <w:rPr>
          <w:sz w:val="20"/>
          <w:szCs w:val="20"/>
          <w:color w:val="auto"/>
        </w:rPr>
      </w:pPr>
      <w:r>
        <w:rPr>
          <w:rFonts w:ascii="Times New Roman" w:cs="Times New Roman" w:eastAsia="Times New Roman" w:hAnsi="Times New Roman"/>
          <w:sz w:val="18"/>
          <w:szCs w:val="18"/>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inducing or rewarding referrals of items or services reimbursable by a federal health care program, subject to certain safe harbor exceptions;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w:t>
      </w:r>
    </w:p>
    <w:p>
      <w:pPr>
        <w:spacing w:after="0" w:line="172" w:lineRule="exact"/>
        <w:rPr>
          <w:sz w:val="20"/>
          <w:szCs w:val="20"/>
          <w:color w:val="auto"/>
        </w:rPr>
      </w:pPr>
    </w:p>
    <w:p>
      <w:pPr>
        <w:ind w:right="80" w:firstLine="385"/>
        <w:spacing w:after="0" w:line="252" w:lineRule="auto"/>
        <w:rPr>
          <w:sz w:val="20"/>
          <w:szCs w:val="20"/>
          <w:color w:val="auto"/>
        </w:rPr>
      </w:pPr>
      <w:r>
        <w:rPr>
          <w:rFonts w:ascii="Times New Roman" w:cs="Times New Roman" w:eastAsia="Times New Roman" w:hAnsi="Times New Roman"/>
          <w:sz w:val="18"/>
          <w:szCs w:val="18"/>
          <w:color w:val="auto"/>
        </w:rPr>
        <w:t>The delivery of our devices in any market is subject to evolving regulation by the EU Medical Device Regulations, notified bodies and comparable nation-specific bodies responsible for reimbursement and regulation of health care items and services. Our success in international markets will depend largely upon the availability of reimbursement from the national public health payers as well as private, third 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maintain a healthcare economics team that works directly with providers, our distributors and health systems to obtain reimbursement approval in the countries in which they will use or sell our products. There can be no assurance that reimbursement approvals will be received. See Part I. Item 1A "Risk Factors" in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2"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23" w:lineRule="exact"/>
        <w:rPr>
          <w:sz w:val="20"/>
          <w:szCs w:val="20"/>
          <w:color w:val="auto"/>
        </w:rPr>
      </w:pPr>
    </w:p>
    <w:p>
      <w:pPr>
        <w:ind w:right="220" w:firstLine="385"/>
        <w:spacing w:after="0" w:line="258" w:lineRule="auto"/>
        <w:rPr>
          <w:sz w:val="20"/>
          <w:szCs w:val="20"/>
          <w:color w:val="auto"/>
        </w:rPr>
      </w:pPr>
      <w:r>
        <w:rPr>
          <w:rFonts w:ascii="Times New Roman" w:cs="Times New Roman" w:eastAsia="Times New Roman" w:hAnsi="Times New Roman"/>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 See Part I. Item 1A "Risk Factors" in this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172" w:lineRule="exact"/>
        <w:rPr>
          <w:sz w:val="20"/>
          <w:szCs w:val="20"/>
          <w:color w:val="auto"/>
        </w:rPr>
      </w:pPr>
    </w:p>
    <w:p>
      <w:pPr>
        <w:ind w:right="40" w:firstLine="385"/>
        <w:spacing w:after="0" w:line="278"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4" w:name="page15"/>
    <w:bookmarkEnd w:id="14"/>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our operations. Our operations are also subject to laws and regulations related to occupational health and safety. We maintain safety, training and maintenance programs as part of our ongoing efforts to ensure compliance with applicable laws and regulations. 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2"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color w:val="auto"/>
        </w:rPr>
        <w:t>As of May 31, 2022, we had approximately 760 full time employees. None of our employees are represented by a labor union and we have never experienced a work stoppage. In the highly competitive medical technology industry, we consider attracting, developing, engaging and retaining high performing talent in positions critical to our long-term growth strategy including but not limited to technical, operational, marketing, sales, research and development, and management. Our ability to recruit and retain such talent depends on several factors, including culture, compensation and benefits, talent development, career opportunities, recognition and work environment. Our goal is to create a diverse and inclusive culture that encourages an environment where employees feel welcomed, respected and valued. We are an equal opportunity/affirmative action employer committed to making employment decisions without regard to race, religion, ethnicity or national origin, gender, sexual orientation, gender identity or expression, age, disability, protected veteran status or any other characteristics protected by law.</w:t>
      </w:r>
    </w:p>
    <w:p>
      <w:pPr>
        <w:spacing w:after="0" w:line="136" w:lineRule="exact"/>
        <w:rPr>
          <w:sz w:val="20"/>
          <w:szCs w:val="20"/>
          <w:color w:val="auto"/>
        </w:rPr>
      </w:pPr>
    </w:p>
    <w:p>
      <w:pPr>
        <w:ind w:right="240" w:firstLine="385"/>
        <w:spacing w:after="0" w:line="255" w:lineRule="auto"/>
        <w:rPr>
          <w:sz w:val="20"/>
          <w:szCs w:val="20"/>
          <w:color w:val="auto"/>
        </w:rPr>
      </w:pPr>
      <w:r>
        <w:rPr>
          <w:rFonts w:ascii="Times New Roman" w:cs="Times New Roman" w:eastAsia="Times New Roman" w:hAnsi="Times New Roman"/>
          <w:sz w:val="18"/>
          <w:szCs w:val="18"/>
          <w:color w:val="auto"/>
        </w:rPr>
        <w:t>The engagement of our workforce is crucial to delivering on our competitive strategy, and we place high importance on informed and engaged employees. We communicate frequently and transparently with our employees through a variety of communication methods, including video and written communications, town hall meetings and our company intranet. As a result of the COVID-19 pandemic, we also further strengthened our communication platforms. Our employee communications during the pandemic have kept our employees informed on critical priorities, important actions being taken by management in response to the pandemic and continued efforts to protect employee health, safety and well-being.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Company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5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Clemmer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36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Trowbridge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3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T. Campbell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3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General Manager, Vascular Access and Oncology</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Centea</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3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Endovascular Therapies</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D. Helsel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3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Global Operations and Research and Development</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Piccinini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3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International</w:t>
            </w:r>
          </w:p>
        </w:tc>
      </w:tr>
      <w:tr>
        <w:trPr>
          <w:trHeight w:val="23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C. Rosenzweig</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6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234" w:lineRule="exact"/>
        <w:rPr>
          <w:sz w:val="20"/>
          <w:szCs w:val="20"/>
          <w:color w:val="auto"/>
        </w:rPr>
      </w:pPr>
    </w:p>
    <w:p>
      <w:pPr>
        <w:ind w:right="80" w:firstLine="38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James C. Clemmer </w:t>
      </w:r>
      <w:r>
        <w:rPr>
          <w:rFonts w:ascii="Times New Roman" w:cs="Times New Roman" w:eastAsia="Times New Roman" w:hAnsi="Times New Roman"/>
          <w:sz w:val="18"/>
          <w:szCs w:val="18"/>
          <w:color w:val="auto"/>
        </w:rPr>
        <w:t>became our President and Chief Executive Officer (CEO) in April 2016. Prior to joining AngioDynamics, Mr. Clemmer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(which was acquired by Tyco International in 1994), where he managed the U.S. business across five divisions and built the strategic plan for the medical supplies segment before Covidien was spun off from Tyco. Mr. Clemmer began his career at Sage Products, Inc. Mr. Clemmer currently serves on the Board of Directors for AngioDynamics and previously served on the Board of Directors for Lantheus Medical Imaging. Mr. Clemmer is a graduate of the Massachusetts College of Liberal Arts, where he served as interim president from August 2015 until March 2016.</w:t>
      </w:r>
    </w:p>
    <w:p>
      <w:pPr>
        <w:spacing w:after="0" w:line="133"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A. Trowbridge </w:t>
      </w:r>
      <w:r>
        <w:rPr>
          <w:rFonts w:ascii="Times New Roman" w:cs="Times New Roman" w:eastAsia="Times New Roman" w:hAnsi="Times New Roman"/>
          <w:sz w:val="18"/>
          <w:szCs w:val="18"/>
          <w:color w:val="auto"/>
        </w:rPr>
        <w:t>was appointed Executive Vice President and Chief Financial Officer (CFO) in February 2020, having served as Interim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since October 2019. Prior to his appointment as CFO, he served as the Company’s Senior Vice President and General Counsel. He joined AngioDynamics in June 2008 as Corporate Counsel. In addition to serving as the Company’s CFO and managing the finance functions, Mr. Trowbridge also managed the Legal function on an interim basis until January 30, 2021.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15" w:name="page16"/>
    <w:bookmarkEnd w:id="15"/>
    <w:p>
      <w:pPr>
        <w:ind w:right="20"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Chad T. Campbell </w:t>
      </w:r>
      <w:r>
        <w:rPr>
          <w:rFonts w:ascii="Times New Roman" w:cs="Times New Roman" w:eastAsia="Times New Roman" w:hAnsi="Times New Roman"/>
          <w:sz w:val="18"/>
          <w:szCs w:val="18"/>
          <w:color w:val="auto"/>
        </w:rPr>
        <w:t>joined AngioDynamics in May 2016 as the Senior Vice President and General Manager for Vascular Access. As of October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Campbell assumed responsibility of the Oncology Global Business Unit in addition to his role of General Manager for Vascular Access. In his role, Mr. Campbell oversees research and development and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33" w:lineRule="exact"/>
        <w:rPr>
          <w:sz w:val="20"/>
          <w:szCs w:val="20"/>
          <w:color w:val="auto"/>
        </w:rPr>
      </w:pPr>
    </w:p>
    <w:p>
      <w:pPr>
        <w:ind w:right="140" w:firstLine="38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Scott Centea </w:t>
      </w:r>
      <w:r>
        <w:rPr>
          <w:rFonts w:ascii="Times New Roman" w:cs="Times New Roman" w:eastAsia="Times New Roman" w:hAnsi="Times New Roman"/>
          <w:sz w:val="18"/>
          <w:szCs w:val="18"/>
          <w:color w:val="auto"/>
        </w:rPr>
        <w:t>joined AngioDynamics in 2005 as a sales representative serving the Carolinas. During his tenure, he has served in a variety of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increased responsibility including Vice President of Corporate Accounts where he was in charge of leading a team of individuals to execute Health System Purchasing Contracts. From there Mr. Centea assumed the role of Vice President of Marketing for Endovascular Therapies, before being promoted into his most recent and current role as Senior Vice President/General Manager of Endovascular Therapies and Peripheral Artery Disease. Mr. Centea currently holds board positions with the American Venous Forum (AVF) and the Capital District American Heart Association. Mr. Centea holds a Bachelor of Arts in Communications from Newberry College.</w:t>
      </w:r>
    </w:p>
    <w:p>
      <w:pPr>
        <w:spacing w:after="0" w:line="132"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D. Helsel </w:t>
      </w:r>
      <w:r>
        <w:rPr>
          <w:rFonts w:ascii="Times New Roman" w:cs="Times New Roman" w:eastAsia="Times New Roman" w:hAnsi="Times New Roman"/>
          <w:sz w:val="18"/>
          <w:szCs w:val="18"/>
          <w:color w:val="auto"/>
        </w:rPr>
        <w:t>currently serves as Senior Vice President of Global Operations and Research and Development and has been with AngioDynamics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December 2017. Prior to joining AngioDynamics he was Senior Vice President, Global Supply Chain, at Hill-Rom Holdings for almost three years. Before that, Mr. Helsel worked at Haemonetics for three years where he served as Executive Vice President for Global Manufacturing and also spent almost nineteen years in various positions with increasing responsibility at Covidien, including Vice President of Operations for the Surgical Solutions Division and Medical Supplies Division. An expert in Lean and Six Sigma, Mr. Helsel also served as Global Director of Operational Excellence, supporting sixty-three manufacturing facilities. Mr. Helsel holds a Bachelor of Science in Mechanical Engineering from LeTourneau University.</w:t>
      </w:r>
    </w:p>
    <w:p>
      <w:pPr>
        <w:spacing w:after="0" w:line="13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Laura Piccinini </w:t>
      </w:r>
      <w:r>
        <w:rPr>
          <w:rFonts w:ascii="Times New Roman" w:cs="Times New Roman" w:eastAsia="Times New Roman" w:hAnsi="Times New Roman"/>
          <w:sz w:val="18"/>
          <w:szCs w:val="18"/>
          <w:color w:val="auto"/>
        </w:rPr>
        <w:t>joined AngioDynamics as Senior Vice President and General Manager for International in June 2021. Ms. Piccinini brings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years of experience in leadership roles in the medical device industry, with an extensive background in the field of respiratory and surgical care. From June 2020 to June 2021, she served as CEO and a member of the Board of Directors for Respiratory Motion, Inc. Prior to that, from 2017 to 2020, she served as Global Head of Commercial Operations for the Implants business unit at Nobel Biocare Systems, then a Danaher subsidiary now part of Envista Holdings. From 2015 to 2017, Ms. Piccinini served as President of EMEA at Covidien and prior to that at Stryker. Ms. Piccinini is a graduate of the Parma University of Medicine, where she received a nursing degree with specializations in ICU, Anesthesia, and First Aid as a Helicopter Flight Coordinator.</w:t>
      </w:r>
    </w:p>
    <w:p>
      <w:pPr>
        <w:spacing w:after="0" w:line="132" w:lineRule="exact"/>
        <w:rPr>
          <w:sz w:val="20"/>
          <w:szCs w:val="20"/>
          <w:color w:val="auto"/>
        </w:rPr>
      </w:pPr>
    </w:p>
    <w:p>
      <w:pPr>
        <w:ind w:right="40" w:firstLine="385"/>
        <w:spacing w:after="0" w:line="269" w:lineRule="auto"/>
        <w:rPr>
          <w:sz w:val="20"/>
          <w:szCs w:val="20"/>
          <w:color w:val="auto"/>
        </w:rPr>
      </w:pPr>
      <w:r>
        <w:rPr>
          <w:rFonts w:ascii="Times New Roman" w:cs="Times New Roman" w:eastAsia="Times New Roman" w:hAnsi="Times New Roman"/>
          <w:sz w:val="17"/>
          <w:szCs w:val="17"/>
          <w:i w:val="1"/>
          <w:iCs w:val="1"/>
          <w:color w:val="auto"/>
        </w:rPr>
        <w:t>Richard C. Rosenzwei</w:t>
      </w:r>
      <w:r>
        <w:rPr>
          <w:rFonts w:ascii="Times New Roman" w:cs="Times New Roman" w:eastAsia="Times New Roman" w:hAnsi="Times New Roman"/>
          <w:sz w:val="17"/>
          <w:szCs w:val="17"/>
          <w:color w:val="auto"/>
        </w:rPr>
        <w:t>g joined AngioDynamics as Senior Vice President, General Counsel and Secretary in February 2021. Mr. Rosenzweig brings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 role more than 20 years of experience in executive leadership providing legal guidance, governance and compliance oversight, and strategic business direction to global medical device and health care companies, including C. R. Bard for more than ten years where he most recently served as Vice President, Law, and Assistant Secretary, Phibro Animal Health Corporation and Impath, Inc. as Senior Vice President, General Counsel and Secretary, and Johnson &amp; Johnson as Director, Licensing and Acquisitions. Prior to AngioDynamics, Mr. Rosenzweig advised companies in the medical device industry as an independent consultant on corporate development initiatives. Mr. Rosenzweig received his Bachelor of Arts in Psychology from Brandeis University and his Juris Doctor from Boston University School of Law. He serves as Vice Chair and Chair-Elect of the Director’s Leadership Council of the Rutgers Cancer Institute of New Jersey, and is a member of the Director’s Leadership Council for Rutgers Biomedical and Health Sciences, an academic medical center.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2" w:lineRule="exact"/>
        <w:rPr>
          <w:sz w:val="20"/>
          <w:szCs w:val="20"/>
          <w:color w:val="auto"/>
        </w:rPr>
      </w:pPr>
    </w:p>
    <w:p>
      <w:pPr>
        <w:ind w:right="1080" w:firstLine="385"/>
        <w:spacing w:after="0" w:line="278" w:lineRule="auto"/>
        <w:rPr>
          <w:sz w:val="20"/>
          <w:szCs w:val="20"/>
          <w:color w:val="auto"/>
        </w:rPr>
      </w:pPr>
      <w:r>
        <w:rPr>
          <w:rFonts w:ascii="Times New Roman" w:cs="Times New Roman" w:eastAsia="Times New Roman" w:hAnsi="Times New Roman"/>
          <w:sz w:val="18"/>
          <w:szCs w:val="18"/>
          <w:color w:val="auto"/>
        </w:rPr>
        <w:t xml:space="preserve">Our corporate headquarters is located at 14 Plaza Drive, Latham, New York 12110. Our phone number is (518) 795-1400. Our website is </w:t>
      </w:r>
      <w:r>
        <w:rPr>
          <w:rFonts w:ascii="Times New Roman" w:cs="Times New Roman" w:eastAsia="Times New Roman" w:hAnsi="Times New Roman"/>
          <w:sz w:val="18"/>
          <w:szCs w:val="18"/>
          <w:i w:val="1"/>
          <w:iCs w:val="1"/>
          <w:color w:val="auto"/>
        </w:rPr>
        <w:t>www.angiodynamics.com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20" w:firstLine="385"/>
        <w:spacing w:after="0" w:line="268" w:lineRule="auto"/>
        <w:rPr>
          <w:sz w:val="20"/>
          <w:szCs w:val="20"/>
          <w:color w:val="auto"/>
        </w:rPr>
      </w:pPr>
      <w:r>
        <w:rPr>
          <w:rFonts w:ascii="Times New Roman" w:cs="Times New Roman" w:eastAsia="Times New Roman" w:hAnsi="Times New Roman"/>
          <w:sz w:val="17"/>
          <w:szCs w:val="17"/>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 In addition, our website includes, among other things, charters of the various committees of our Board of Directors and our code of conduct and ethics applicable to all employees, officers and directors. Within the time period required by the SEC, we will post on our website any amendment to the code of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We use these channels as well as social media and blogs to communicate with the public about our company, our services and other issues. It is possible that the information we post on social media and blogs could be deemed to be material information. Therefore, we encourage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6" w:name="page17"/>
    <w:bookmarkEnd w:id="16"/>
    <w:p>
      <w:pPr>
        <w:spacing w:after="0" w:line="263" w:lineRule="auto"/>
        <w:rPr>
          <w:sz w:val="20"/>
          <w:szCs w:val="20"/>
          <w:color w:val="auto"/>
        </w:rPr>
      </w:pPr>
      <w:r>
        <w:rPr>
          <w:rFonts w:ascii="Times New Roman" w:cs="Times New Roman" w:eastAsia="Times New Roman" w:hAnsi="Times New Roman"/>
          <w:sz w:val="18"/>
          <w:szCs w:val="18"/>
          <w:color w:val="auto"/>
        </w:rPr>
        <w:t>investors, the media, and others interested in our Company to review the information we post on the social media channels and blogs listed on our website. Any stockholder also may obtain copies of these documents, free of charge, by sending a request in writing to our Corporate headquarters,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and in our other filings with the Securities and Exchange Commission, the following risk factors should be considered carefully by investors in evaluating our business. Our financial and operating results are subject to a number of risks and uncertainties, including those set forth below, many of which are not within our control. Our business, financial condition, results of operations and/or liquidity could be materially and adversely affected by any of these risks or by additional risks not presently known to us or that we currently deem immaterial.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medical device industry which continues to experience consolidation. We may be unable to compete effectively with respect to technological innovation and price which may have a material adverse effect on our revenues, financial condition, results of operations and/or liquidity.</w:t>
      </w:r>
    </w:p>
    <w:p>
      <w:pPr>
        <w:spacing w:after="0" w:line="202"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The markets for our products are highly competitive and we expect competition to continue to intensify. The medical device industry is characterized by rapid technological change, frequent product introductions and evolving customer requirements. Our customers consider many factors when choosing products, including technology, features and benefits, quality, reliability, ease of use, clinical or economic outcomes, availability, price and customer service. We face competition globally from a wide range of companies, many of whom have substantially greater financial, marketing and other resources than us. We may not be able to compete effectively, and we may lose market share to our competitors. Our primary device competitors include: Boston Scientific Corporation; Cook Medical; Medical Components, Inc. (MedComp); TeleFlex Medical; Becton Dickinson; Medtronic; Merit Medical; Terumo Medical Corporation; Johnson and Johnson; Philips Healthcare; Inari Medical; Varian Medical Systems and Total Vein Systems.</w:t>
      </w:r>
    </w:p>
    <w:p>
      <w:pPr>
        <w:spacing w:after="0" w:line="133"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Our competitors may succeed in adapting faster than us to changing customer needs or requirements, in developing and introducing technologies and products earlier, in obtaining patent protection (which could create barriers to market entry for us) or regulatory clearance earlier, or in commercializing new products or technologies more rapidly than us. Our competitors may also develop products and technologies that are superior to ours or that otherwise could render our products obsolete or noncompetitive. The trend of increased consolidation in the medical technology industry has resulted in companies with greater scale and market power, intensifying competition and increasing pricing pressure. We may also face competition from providers of other medical therapies, such as pharmaceutical companies, that may offer non-surgical therapies for conditions that are currently, or in the future may be, treated using our products. If we are not able to compete effectively, our market share and revenue may decline.</w:t>
      </w:r>
    </w:p>
    <w:p>
      <w:pPr>
        <w:spacing w:after="0" w:line="133"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In addition, the increasing purchasing power of health systems, group purchasing organizations (“GPOs”) and integrated health delivery networks (“IDNs”), together with increased competition and declining reimbursement rates, has resulted increasingly with the Company competing on the basis of price.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our inability to retain contracts with our customers, or acquire additional contracts, could have a material adverse effect on our business, financial condition, results of operations and/or liquidity.</w:t>
      </w:r>
    </w:p>
    <w:p>
      <w:pPr>
        <w:spacing w:after="0" w:line="128"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continue to effectively develop, acquire and/or market new products and technologies could have a material adverse effect on our business, financial condition and/or results of operations.</w:t>
      </w:r>
    </w:p>
    <w:p>
      <w:pPr>
        <w:spacing w:after="0" w:line="105" w:lineRule="exact"/>
        <w:rPr>
          <w:sz w:val="20"/>
          <w:szCs w:val="20"/>
          <w:color w:val="auto"/>
        </w:rPr>
      </w:pPr>
    </w:p>
    <w:p>
      <w:pPr>
        <w:ind w:right="80" w:firstLine="385"/>
        <w:spacing w:after="0" w:line="251" w:lineRule="auto"/>
        <w:rPr>
          <w:sz w:val="20"/>
          <w:szCs w:val="20"/>
          <w:color w:val="auto"/>
        </w:rPr>
      </w:pPr>
      <w:r>
        <w:rPr>
          <w:rFonts w:ascii="Times New Roman" w:cs="Times New Roman" w:eastAsia="Times New Roman" w:hAnsi="Times New Roman"/>
          <w:sz w:val="18"/>
          <w:szCs w:val="18"/>
          <w:color w:val="auto"/>
        </w:rPr>
        <w:t>The market for our devices is characterized by rapid technological change, new product introductions, technological improvements, changes in physician requirements and evolving industry standards. Product life cycles are relatively short because medical device manufacturers continually develop more effective and less expensive versions of existing devices in response to physician demand. We engage in product development and improvement programs to maintain and improve our competitive position. Our products are technologically complex and these programs involve significant planning, market studies, investment in research and development, clinical trials and regulatory clearances or approvals and may require more time and expense than anticipated to bring such products to market. We may not, however, be successful in enhancing existing products, or developing new products or technologies that will achieve regulatory approval, be developed or manufactured in a cost-effective manner, obtain appropriate intellectual property protection or receive market acceptance. We also may be unable to recover all or a meaningful part of our investment in these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8" w:name="page19"/>
    <w:bookmarkEnd w:id="18"/>
    <w:p>
      <w:pPr>
        <w:ind w:right="60" w:firstLine="385"/>
        <w:spacing w:after="0" w:line="270" w:lineRule="auto"/>
        <w:rPr>
          <w:sz w:val="20"/>
          <w:szCs w:val="20"/>
          <w:color w:val="auto"/>
        </w:rPr>
      </w:pPr>
      <w:r>
        <w:rPr>
          <w:rFonts w:ascii="Times New Roman" w:cs="Times New Roman" w:eastAsia="Times New Roman" w:hAnsi="Times New Roman"/>
          <w:sz w:val="17"/>
          <w:szCs w:val="17"/>
          <w:color w:val="auto"/>
        </w:rPr>
        <w:t xml:space="preserve">In particular, the future prospects of many of our high growth products, such as the NanoKnife system, the AngioVac system and the Auryon system, rely on continued market development and continued generation of clinical data pursuant to clinical trials conducted by us, our competitors or other third parties. If the results of these trials are not what we expect or fail to generate meaningful clinical data, it may adversely impact our ability to obtain product approvals. If any of these products fail to achieve clinical acceptance or are perceived unfavorably by the market, it could severely limit our ability to drive revenue growth, which could have a material adverse effect on our business, financial condition, results of operations and/or liquidity. See Risk Factor titled </w:t>
      </w:r>
      <w:r>
        <w:rPr>
          <w:rFonts w:ascii="Times New Roman" w:cs="Times New Roman" w:eastAsia="Times New Roman" w:hAnsi="Times New Roman"/>
          <w:sz w:val="17"/>
          <w:szCs w:val="17"/>
          <w:i w:val="1"/>
          <w:iCs w:val="1"/>
          <w:color w:val="auto"/>
        </w:rPr>
        <w:t>“Our business and prospects rely heavily upon our ability to successfully complete clinical trials, including, but not limited to, our NanoKnife DIRECT</w:t>
      </w:r>
    </w:p>
    <w:p>
      <w:pPr>
        <w:spacing w:after="0" w:line="4"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i w:val="1"/>
          <w:iCs w:val="1"/>
          <w:color w:val="auto"/>
        </w:rPr>
        <w:t>clinical study, our NanoKnife PRESERVE clinical study, AlphaVac APEX-AV clinical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22" w:lineRule="exact"/>
        <w:rPr>
          <w:sz w:val="20"/>
          <w:szCs w:val="20"/>
          <w:color w:val="auto"/>
        </w:rPr>
      </w:pPr>
    </w:p>
    <w:p>
      <w:pPr>
        <w:ind w:right="20" w:firstLine="385"/>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expect to continue to engage in business development activities which includes selectively evaluating and pursuing the acquisition of complementary businesses, technologies and products. These activities may result in substantial investment of our time and financial resources and competition for targets may be significant. We may not be able to identify appropriate acquisition candidates, consummate transactions, obtain agreements with favorable terms or obtain any necessary financing or regulatory approvals. Further, once a business is acquired, any inability to successfully integrate the business or achieve anticipated cost savings or operating synergies, decreases in customer loyalty or product orders, failure to retain and develop its workforce, failure to establish and maintain appropriate controls, higher or unanticipated expenses, or unknown or contingent liabilities could adversely affect our ability to realize the anticipated benefits of any acquisition. The evaluation and integration of an acquired business, whether or not successful, requires significant efforts which may result in additional expenses and divert the attention of our management and technical personnel from other projects.</w:t>
      </w:r>
    </w:p>
    <w:p>
      <w:pPr>
        <w:spacing w:after="0" w:line="133" w:lineRule="exact"/>
        <w:rPr>
          <w:sz w:val="20"/>
          <w:szCs w:val="20"/>
          <w:color w:val="auto"/>
        </w:rPr>
      </w:pPr>
    </w:p>
    <w:p>
      <w:pPr>
        <w:jc w:val="both"/>
        <w:ind w:firstLine="385"/>
        <w:spacing w:after="0" w:line="270" w:lineRule="auto"/>
        <w:rPr>
          <w:sz w:val="20"/>
          <w:szCs w:val="20"/>
          <w:color w:val="auto"/>
        </w:rPr>
      </w:pPr>
      <w:r>
        <w:rPr>
          <w:rFonts w:ascii="Times New Roman" w:cs="Times New Roman" w:eastAsia="Times New Roman" w:hAnsi="Times New Roman"/>
          <w:sz w:val="17"/>
          <w:szCs w:val="17"/>
          <w:color w:val="auto"/>
        </w:rPr>
        <w:t>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w:t>
      </w:r>
    </w:p>
    <w:p>
      <w:pPr>
        <w:spacing w:after="0" w:line="2"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18"/>
          <w:szCs w:val="18"/>
          <w:color w:val="auto"/>
        </w:rPr>
        <w:t>These transactions are inherently risky and may not enhance our financial position or results of operations or create value for our shareholders as they are based on projections and assumptions which are uncertain and subject to change and there can be no assurance that any past or future transaction will be successful.</w:t>
      </w:r>
    </w:p>
    <w:p>
      <w:pPr>
        <w:spacing w:after="0" w:line="133"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we may not achieve our growth goals, which could have a material adverse effect on our business, financial condition and/or results of operations.</w:t>
      </w:r>
    </w:p>
    <w:p>
      <w:pPr>
        <w:spacing w:after="0" w:line="12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05"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 which could have a material adverse effect on our business, financial condition, results of operations and/or liquidity.</w:t>
      </w:r>
    </w:p>
    <w:p>
      <w:pPr>
        <w:spacing w:after="0" w:line="128"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heavily on the NanoKnife system, which is currently approved for the surgical ablation of soft tissue. If we are unable to secure expanded specific regulatory approvals for the NanoKnife system, our business and prospects may be materially harmed.</w:t>
      </w:r>
    </w:p>
    <w:p>
      <w:pPr>
        <w:spacing w:after="0" w:line="105"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7"/>
          <w:szCs w:val="17"/>
          <w:color w:val="auto"/>
        </w:rPr>
        <w:t>Our NanoKnife System is indicated for the surgical ablation of soft tissue. The long-term prospects for our NanoKnife business may rely on securing expanded indications for specific disease states and treatments. Based on our current indication, our ability to promote the NanoKnife system and provide training with respect to the use of the NanoKnife system is limited to the surgical ablation of soft tissue. In the fourth quarter of our 2019, we received approval from the FDA to initiate our DIRECT clinical trial to study the use of the NanoKnife system for the treatment of Stage III pancreatic cancer.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19" w:name="page20"/>
    <w:bookmarkEnd w:id="19"/>
    <w:p>
      <w:pPr>
        <w:ind w:right="100"/>
        <w:spacing w:after="0" w:line="255" w:lineRule="auto"/>
        <w:rPr>
          <w:sz w:val="20"/>
          <w:szCs w:val="20"/>
          <w:color w:val="auto"/>
        </w:rPr>
      </w:pPr>
      <w:r>
        <w:rPr>
          <w:rFonts w:ascii="Times New Roman" w:cs="Times New Roman" w:eastAsia="Times New Roman" w:hAnsi="Times New Roman"/>
          <w:sz w:val="18"/>
          <w:szCs w:val="18"/>
          <w:color w:val="auto"/>
        </w:rPr>
        <w:t>In the second quarter of our 2022, we received approval from the FDA to initiate our PRESERVE clinical trial to study the use of the NanoKnife system for the treatment of prostate cancer. If we are not able to successfully complete these trials and secure clearances or approvals for expanded indications for our NanoKnife system, including for the treatment of Stage III pancreatic cancer or the treatment of prostate cancer, or if expanded indications are significantly delayed or limited, our business and prospects may be materially harmed and we may need to delay our initiatives or even significantly curtail operations, which could have a material adverse effect on our business, financial condition, results of operations and/or liquidity.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rely heavily upon our ability to successfully complete clinical trials, including, but not limited to, our NanoKnife DIRECT</w:t>
      </w:r>
    </w:p>
    <w:p>
      <w:pPr>
        <w:spacing w:after="0" w:line="4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clinical study, our NanoKnife PRESERVE clinical study, AlphaVac APEX-AV clinical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22" w:lineRule="exact"/>
        <w:rPr>
          <w:sz w:val="20"/>
          <w:szCs w:val="20"/>
          <w:color w:val="auto"/>
        </w:rPr>
      </w:pPr>
    </w:p>
    <w:p>
      <w:pPr>
        <w:ind w:right="200" w:firstLine="385"/>
        <w:spacing w:after="0" w:line="270" w:lineRule="auto"/>
        <w:rPr>
          <w:sz w:val="20"/>
          <w:szCs w:val="20"/>
          <w:color w:val="auto"/>
        </w:rPr>
      </w:pPr>
      <w:r>
        <w:rPr>
          <w:rFonts w:ascii="Times New Roman" w:cs="Times New Roman" w:eastAsia="Times New Roman" w:hAnsi="Times New Roman"/>
          <w:sz w:val="17"/>
          <w:szCs w:val="17"/>
          <w:color w:val="auto"/>
        </w:rPr>
        <w:t>Clinical trials must be conducted in accordance with the applicable laws and regulations in the jurisdictions in which the clinical trials are conducted, including FDA’s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121"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We, the FDA or regulatory agencies in other jurisdictions might delay or terminate our clinical trials for various reasons, including insufficient patient enrollment, fatalities, unforeseen adverse side effects by enrolled patients or the development of new therapies that require us to revise or amend our clinical trial protocols. Patients may be discouraged from enrolling in our clinical trials if the trial protocol requires them to undergo extensive follow-up to assess safety and effectiveness, if they determine that the treatments received under the trial protocols are not attractive or involve unacceptable risks or discomforts or if they participate in contemporaneous clinical trials of competing products.</w:t>
      </w:r>
    </w:p>
    <w:p>
      <w:pPr>
        <w:spacing w:after="0" w:line="132"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In addition, we rely on contract research organizations, or CROs, with respect to conducting our clinical trials. We may experience significant cost overruns associated with, and we may encounter difficulties managing, these CROs. Termination of our clinical trials or significant delays in completing our clinical trials could have a material adverse effect on our business, financial condition, results of operations and/or liquidity.</w:t>
      </w:r>
    </w:p>
    <w:p>
      <w:pPr>
        <w:spacing w:after="0" w:line="119"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convince customers that our products can improve the cost structure of their business, our revenue growth and profitability may be materially and adversely impacted.</w:t>
      </w:r>
    </w:p>
    <w:p>
      <w:pPr>
        <w:spacing w:after="0" w:line="105" w:lineRule="exact"/>
        <w:rPr>
          <w:sz w:val="20"/>
          <w:szCs w:val="20"/>
          <w:color w:val="auto"/>
        </w:rPr>
      </w:pPr>
    </w:p>
    <w:p>
      <w:pPr>
        <w:ind w:right="20" w:firstLine="385"/>
        <w:spacing w:after="0" w:line="268" w:lineRule="auto"/>
        <w:rPr>
          <w:sz w:val="20"/>
          <w:szCs w:val="20"/>
          <w:color w:val="auto"/>
        </w:rPr>
      </w:pPr>
      <w:r>
        <w:rPr>
          <w:rFonts w:ascii="Times New Roman" w:cs="Times New Roman" w:eastAsia="Times New Roman" w:hAnsi="Times New Roman"/>
          <w:sz w:val="17"/>
          <w:szCs w:val="17"/>
          <w:color w:val="auto"/>
        </w:rPr>
        <w:t>Worldwide initiatives to contain healthcare costs have led governments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and post-acute care providers, while also narrowing networks thus allowing greater control over outcomes. This has created an increasing level of price sensitivity among customers for our products and could have a material adverse effect on our business, financial condition, results of operations and/or liquidity.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single and limited source suppliers which subjects our business and results of operations to risks of supplier business interruptions.</w:t>
      </w:r>
    </w:p>
    <w:p>
      <w:pPr>
        <w:spacing w:after="0" w:line="183"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We currently purchase significant amounts of several key products, raw materials and product components from single and limited source suppliers and anticipate that we will do so for future products as well. Any delays in delivery of or shortages in those or other products and components (like we experienced during our 2022 fiscal year) could interrupt and delay manufacturing of our products, lead to backlogs and result in the cancellation of orders for our products. Any or all of these suppliers could discontinue the manufacture or supply of these products, raw materials and/or components at any time.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0" w:name="page21"/>
    <w:bookmarkEnd w:id="20"/>
    <w:p>
      <w:pPr>
        <w:ind w:right="200"/>
        <w:spacing w:after="0" w:line="258" w:lineRule="auto"/>
        <w:rPr>
          <w:sz w:val="20"/>
          <w:szCs w:val="20"/>
          <w:color w:val="auto"/>
        </w:rPr>
      </w:pPr>
      <w:r>
        <w:rPr>
          <w:rFonts w:ascii="Times New Roman" w:cs="Times New Roman" w:eastAsia="Times New Roman" w:hAnsi="Times New Roman"/>
          <w:sz w:val="18"/>
          <w:szCs w:val="18"/>
          <w:color w:val="auto"/>
        </w:rPr>
        <w:t>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backlogs, increased prices for our products or increased design and manufacturing costs.</w:t>
      </w:r>
    </w:p>
    <w:p>
      <w:pPr>
        <w:spacing w:after="0" w:line="128" w:lineRule="exact"/>
        <w:rPr>
          <w:sz w:val="20"/>
          <w:szCs w:val="20"/>
          <w:color w:val="auto"/>
        </w:rPr>
      </w:pPr>
    </w:p>
    <w:p>
      <w:pPr>
        <w:ind w:right="120" w:firstLine="385"/>
        <w:spacing w:after="0" w:line="263" w:lineRule="auto"/>
        <w:rPr>
          <w:sz w:val="20"/>
          <w:szCs w:val="20"/>
          <w:color w:val="auto"/>
        </w:rPr>
      </w:pPr>
      <w:r>
        <w:rPr>
          <w:rFonts w:ascii="Times New Roman" w:cs="Times New Roman" w:eastAsia="Times New Roman" w:hAnsi="Times New Roman"/>
          <w:sz w:val="18"/>
          <w:szCs w:val="18"/>
          <w:color w:val="auto"/>
        </w:rPr>
        <w:t>In addition, we purchase certain products as a distributor for the manufacturer of those products. Any constraint or interruption in the supply of raw materials, other product components or finished products that we distribute could materially impact our ability to sell products, and have a material adverse effect on our business, financial condition, results of operations and/or liquidity.</w:t>
      </w:r>
    </w:p>
    <w:p>
      <w:pPr>
        <w:spacing w:after="0" w:line="119" w:lineRule="exact"/>
        <w:rPr>
          <w:sz w:val="20"/>
          <w:szCs w:val="20"/>
          <w:color w:val="auto"/>
        </w:rPr>
      </w:pPr>
    </w:p>
    <w:p>
      <w:pPr>
        <w:jc w:val="both"/>
        <w:ind w:right="7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third-party distributors to generate a substantial portion of our international revenues and are at the risk of these distributors also selling for our competitors, failing to be financially viable and failing to effectively distribute our products in compliance with applicable laws.</w:t>
      </w:r>
    </w:p>
    <w:p>
      <w:pPr>
        <w:spacing w:after="0" w:line="122" w:lineRule="exact"/>
        <w:rPr>
          <w:sz w:val="20"/>
          <w:szCs w:val="20"/>
          <w:color w:val="auto"/>
        </w:rPr>
      </w:pPr>
    </w:p>
    <w:p>
      <w:pPr>
        <w:ind w:right="100" w:firstLine="385"/>
        <w:spacing w:after="0" w:line="251" w:lineRule="auto"/>
        <w:rPr>
          <w:sz w:val="20"/>
          <w:szCs w:val="20"/>
          <w:color w:val="auto"/>
        </w:rPr>
      </w:pPr>
      <w:r>
        <w:rPr>
          <w:rFonts w:ascii="Times New Roman" w:cs="Times New Roman" w:eastAsia="Times New Roman" w:hAnsi="Times New Roman"/>
          <w:sz w:val="18"/>
          <w:szCs w:val="18"/>
          <w:color w:val="auto"/>
        </w:rPr>
        <w:t>Outside of North America we rely heavily on third party distributors, either on a country-by-country basis or on a multi-country, regional basis, to market, sell and distribute our products where we do not have a direct sales and marketing presence (including, among others, China, Japan, Brazil, the Middle East and many European countries). As such, our revenue, if any, depends on the terms of such arrangements and the distributors’ efforts. These efforts may turn out not to be sufficient and our third-party distributors may not effectively sell our products. International distributors accounted for approximately 61% of international revenues for the fiscal year ended May 31, 2022. If we are unable to maintain our relationships or establish direct sales capabilities on acceptable terms or at all, we may lose significant revenue or be unable to achieve our growth aspirations.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financial condition, results of operations and/or liquidity. In addition, there is a risk that our distributors will not be financially viable due to current economic and/or regulatory events in their respective countries or remit payments to us in a timely manner. If our distributors fail to comply with applicable laws or fail to effectively market and sell our products, our financial condition and results of operations could be materially and adversely impacted.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secure adequate reimbursement for our products could materially impair our ability to grow revenue and drive profitability.</w:t>
      </w:r>
    </w:p>
    <w:p>
      <w:pPr>
        <w:spacing w:after="0" w:line="172" w:lineRule="exact"/>
        <w:rPr>
          <w:sz w:val="20"/>
          <w:szCs w:val="20"/>
          <w:color w:val="auto"/>
        </w:rPr>
      </w:pPr>
    </w:p>
    <w:p>
      <w:pPr>
        <w:ind w:right="60" w:firstLine="385"/>
        <w:spacing w:after="0" w:line="252" w:lineRule="auto"/>
        <w:rPr>
          <w:sz w:val="20"/>
          <w:szCs w:val="20"/>
          <w:color w:val="auto"/>
        </w:rPr>
      </w:pPr>
      <w:r>
        <w:rPr>
          <w:rFonts w:ascii="Times New Roman" w:cs="Times New Roman" w:eastAsia="Times New Roman" w:hAnsi="Times New Roman"/>
          <w:sz w:val="18"/>
          <w:szCs w:val="18"/>
          <w:color w:val="auto"/>
        </w:rPr>
        <w:t>Our products are used in medical procedures and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including Medicare and managed care companies, will cover the cost of the device and related procedures. Even if coverage is available, third-party payors may place restrictions on the circumstances where they provide coverage or may offer reimbursement that is not sufficient to cover the cost of our products.</w:t>
      </w:r>
    </w:p>
    <w:p>
      <w:pPr>
        <w:spacing w:after="0" w:line="133"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Third-party payors who cover the cost of medical products or equipment, in addition to allowing a general charge for the procedure, often maintain lists of exclusive suppliers or approved lists of products deemed to be cost-effective. If our products are not on approved lists of third-party payors, healthcare providers must determine if the additional cost and effort required in obtaining prior authorization, and the uncertainty of actually obtaining coverage, is justified by any perceived clinical benefits from using our products.</w:t>
      </w:r>
    </w:p>
    <w:p>
      <w:pPr>
        <w:spacing w:after="0" w:line="128"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21" w:name="page22"/>
    <w:bookmarkEnd w:id="21"/>
    <w:p>
      <w:pPr>
        <w:ind w:right="460"/>
        <w:spacing w:after="0" w:line="278" w:lineRule="auto"/>
        <w:rPr>
          <w:sz w:val="20"/>
          <w:szCs w:val="20"/>
          <w:color w:val="auto"/>
        </w:rPr>
      </w:pPr>
      <w:r>
        <w:rPr>
          <w:rFonts w:ascii="Times New Roman" w:cs="Times New Roman" w:eastAsia="Times New Roman" w:hAnsi="Times New Roman"/>
          <w:sz w:val="18"/>
          <w:szCs w:val="18"/>
          <w:color w:val="auto"/>
        </w:rPr>
        <w:t>If hospitals and physicians cannot obtain adequate reimbursement for our products or the procedures in which they are used, this could have a material adverse effect on our business, financial condition, results of operations and/or liquidity.</w:t>
      </w:r>
    </w:p>
    <w:p>
      <w:pPr>
        <w:spacing w:after="0" w:line="110" w:lineRule="exact"/>
        <w:rPr>
          <w:sz w:val="20"/>
          <w:szCs w:val="20"/>
          <w:color w:val="auto"/>
        </w:rPr>
      </w:pPr>
    </w:p>
    <w:p>
      <w:pPr>
        <w:ind w:right="80" w:firstLine="385"/>
        <w:spacing w:after="0" w:line="253" w:lineRule="auto"/>
        <w:rPr>
          <w:sz w:val="20"/>
          <w:szCs w:val="20"/>
          <w:color w:val="auto"/>
        </w:rPr>
      </w:pPr>
      <w:r>
        <w:rPr>
          <w:rFonts w:ascii="Times New Roman" w:cs="Times New Roman" w:eastAsia="Times New Roman" w:hAnsi="Times New Roman"/>
          <w:sz w:val="18"/>
          <w:szCs w:val="18"/>
          <w:color w:val="auto"/>
        </w:rPr>
        <w:t>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third-party payors.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product liability claim is brought against us or our product liability insurance coverage is inadequate, our business could be harmed.</w:t>
      </w:r>
    </w:p>
    <w:p>
      <w:pPr>
        <w:spacing w:after="0" w:line="172" w:lineRule="exact"/>
        <w:rPr>
          <w:sz w:val="20"/>
          <w:szCs w:val="20"/>
          <w:color w:val="auto"/>
        </w:rPr>
      </w:pPr>
    </w:p>
    <w:p>
      <w:pPr>
        <w:ind w:right="100" w:firstLine="385"/>
        <w:spacing w:after="0" w:line="252" w:lineRule="auto"/>
        <w:rPr>
          <w:sz w:val="20"/>
          <w:szCs w:val="20"/>
          <w:color w:val="auto"/>
        </w:rPr>
      </w:pPr>
      <w:r>
        <w:rPr>
          <w:rFonts w:ascii="Times New Roman" w:cs="Times New Roman" w:eastAsia="Times New Roman" w:hAnsi="Times New Roman"/>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36"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results of operations and/or liquidity could be negatively impacted. Further, such claims may require us to recall some of our products, which could result in significant costs to us.</w:t>
      </w:r>
    </w:p>
    <w:p>
      <w:pPr>
        <w:spacing w:after="0" w:line="132"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05"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high inflation and trade protection measures, creditworthiness of our customers, may negatively affect consumer preferences, perceptions, spending patterns or demographic trends, any of which could adversely affect our business, financial condition, results of operations and/or liquidity.</w:t>
      </w:r>
    </w:p>
    <w:p>
      <w:pPr>
        <w:spacing w:after="0" w:line="128"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may put further pressure on economic conditions in the United States and abroad. The global economy has been periodically impacted by the effects of global economic downturns (such as recently related to COVID-19). There can be no assurance that there will not be further such events or deterioration in the global economy. These economic conditions make it more difficult for us to accurately forecast and plan our future business activities.</w:t>
      </w:r>
    </w:p>
    <w:p>
      <w:pPr>
        <w:spacing w:after="0" w:line="132"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Volatility in the cost of raw materials, components, freight and energy increases the costs of producing and distributing our products. New laws or regulations adopted in response to climate change could also increase energy and transportation costs, as well as the costs of certain raw materials and components. Increases in oil prices may increase our packaging and transportation costs. Recently, the costs of labor, raw materials, transportation, construction, services, and energy necessary for the production and distribution of our products have increased significantly. While we have implemented cost containment measures, selective price increases and taken other actions to offset these inflationary pressures in our supply chain, we may not be able to completely offset all the increases in our operational costs, any of which could adversely affect our business, financial condition, results of operations and/or liquidity.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22" w:name="page23"/>
    <w:bookmarkEnd w:id="22"/>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Sales outside the U.S. accounted for approximately 16% of our net sales during our fiscal year ended May 31, 2022. We anticipate that sales from international operations will continue to represent a significant portion of our total sales, and we intend to continue our expansion into emerging and/or faster-growing markets outside the U.S. Our sales and profitability from our international operations are subject to risks and uncertainties that could have a material adverse effect on our business, financial condition and/or results of operations, many of which we cannot predict, including:</w:t>
      </w:r>
    </w:p>
    <w:p>
      <w:pPr>
        <w:spacing w:after="0" w:line="128" w:lineRule="exact"/>
        <w:rPr>
          <w:sz w:val="20"/>
          <w:szCs w:val="20"/>
          <w:color w:val="auto"/>
        </w:rPr>
      </w:pPr>
    </w:p>
    <w:p>
      <w:pPr>
        <w:ind w:left="640" w:hanging="31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which may, in some instances affect spending behavior and reduce cash flows and revenue outside the U.S.;</w:t>
      </w:r>
    </w:p>
    <w:p>
      <w:pPr>
        <w:spacing w:after="0" w:line="37"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non-U.S. regulatory requirements that are subject to change and could restrict our ability to manufacture and sell our products;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U.S. and/or the ability to obtain payment;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or export licensing requirements;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intellectual property protection in some countries outside the U.S. than exists in the U.S.;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and workforce instability;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earnings of certain foreign subsidiaries subject to U.S. taxation upon repatriation;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and non-renewal of foreign tax rulings;</w:t>
      </w:r>
    </w:p>
    <w:p>
      <w:pPr>
        <w:spacing w:after="0" w:line="7" w:lineRule="exact"/>
        <w:rPr>
          <w:rFonts w:ascii="Times New Roman" w:cs="Times New Roman" w:eastAsia="Times New Roman" w:hAnsi="Times New Roman"/>
          <w:sz w:val="18"/>
          <w:szCs w:val="18"/>
          <w:color w:val="auto"/>
        </w:rPr>
      </w:pPr>
    </w:p>
    <w:p>
      <w:pPr>
        <w:ind w:left="640" w:right="160" w:hanging="312"/>
        <w:spacing w:after="0" w:line="24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consequences from changes in or interpretation of tax laws, including changes in our effective tax rate or the applicable tax rate in one or more jurisdictions; and</w:t>
      </w: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and inflation, recession or interest rate fluctuations.</w:t>
      </w:r>
    </w:p>
    <w:p>
      <w:pPr>
        <w:spacing w:after="0" w:line="229"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In addition, the United Kingdom’s (“UK”) departure from the European Union (“EU”) (commonly known as “Brexit”) has created uncertainties affecting business operations in the UK, the EU and a number of other countries, including with respect to compliance with the regulatory regimes regarding the labeling and registration of the products we sell in these markets. While we have taken proactive steps to mitigate possible disruption to our operations, we could face increased costs, volatility in exchange rates, market instability and other risks, depending on the effects of existing and future agreements between the UK and EU regarding Brexit and the future EU/UK trading relationship.</w:t>
      </w:r>
    </w:p>
    <w:p>
      <w:pPr>
        <w:spacing w:after="0" w:line="132" w:lineRule="exact"/>
        <w:rPr>
          <w:sz w:val="20"/>
          <w:szCs w:val="20"/>
          <w:color w:val="auto"/>
        </w:rPr>
      </w:pPr>
    </w:p>
    <w:p>
      <w:pPr>
        <w:ind w:right="100" w:firstLine="385"/>
        <w:spacing w:after="0" w:line="253" w:lineRule="auto"/>
        <w:rPr>
          <w:sz w:val="20"/>
          <w:szCs w:val="20"/>
          <w:color w:val="auto"/>
        </w:rPr>
      </w:pPr>
      <w:r>
        <w:rPr>
          <w:rFonts w:ascii="Times New Roman" w:cs="Times New Roman" w:eastAsia="Times New Roman" w:hAnsi="Times New Roman"/>
          <w:sz w:val="18"/>
          <w:szCs w:val="18"/>
          <w:color w:val="auto"/>
        </w:rPr>
        <w:t>Russia’s invasion and military attacks on Ukraine have triggered significant sanctions from U.S. and European leaders. These events may escalate and have created increasingly volatile global economic conditions. Resulting changes in U.S. trade policy could trigger retaliatory actions by Russia, its allies and other affected countries, including China, resulting in a “trade war.” A trade war could result in increased costs for raw materials we use in our manufacturing and could result in Russia and other foreign governments imposing tariffs on products that we export outside the U.S. or otherwise limiting our ability to sell our products abroad. These increased costs could have a material adverse effect on our business, financial condition and results of operations. Furthermore, if the conflict between Russia and Ukraine continues for a long period of time, or if other countries, including the U.S., become further involved in the conflict, we could face material adverse effects on our business, financial condition, results of operations and/or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cannot hire or retain qualified personnel.</w:t>
      </w:r>
    </w:p>
    <w:p>
      <w:pPr>
        <w:spacing w:after="0" w:line="172" w:lineRule="exact"/>
        <w:rPr>
          <w:sz w:val="20"/>
          <w:szCs w:val="20"/>
          <w:color w:val="auto"/>
        </w:rPr>
      </w:pPr>
    </w:p>
    <w:p>
      <w:pPr>
        <w:ind w:firstLine="385"/>
        <w:spacing w:after="0" w:line="267" w:lineRule="auto"/>
        <w:rPr>
          <w:sz w:val="20"/>
          <w:szCs w:val="20"/>
          <w:color w:val="auto"/>
        </w:rPr>
      </w:pPr>
      <w:r>
        <w:rPr>
          <w:rFonts w:ascii="Times New Roman" w:cs="Times New Roman" w:eastAsia="Times New Roman" w:hAnsi="Times New Roman"/>
          <w:sz w:val="17"/>
          <w:szCs w:val="17"/>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including personnel for our manufacturing facilities. If we are not able to hire and retain personnel in our manufacturing facilities, we may not meet our production demand. We experienced labor shortages in fiscal year</w:t>
      </w:r>
    </w:p>
    <w:p>
      <w:pPr>
        <w:spacing w:after="0" w:line="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2022 that significantly contributed to the backlog. In addition, our sales force is highly talented and we face intense competition in our industry for sales personnel which could have an adverse effect on our business if there is significant turnover.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profitably, our business, financial results and stock price could suffer.</w:t>
      </w:r>
    </w:p>
    <w:p>
      <w:pPr>
        <w:spacing w:after="0" w:line="172"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integration-related expenses and capital expenditure requirements are greater than anticipated or if we are unable to manage our growth profitably, our financial results and the market price of our common stock may decline.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23" w:name="page24"/>
    <w:bookmarkEnd w:id="23"/>
    <w:p>
      <w:pPr>
        <w:ind w:firstLine="385"/>
        <w:spacing w:after="0" w:line="254" w:lineRule="auto"/>
        <w:rPr>
          <w:sz w:val="20"/>
          <w:szCs w:val="20"/>
          <w:color w:val="auto"/>
        </w:rPr>
      </w:pPr>
      <w:r>
        <w:rPr>
          <w:rFonts w:ascii="Times New Roman" w:cs="Times New Roman" w:eastAsia="Times New Roman" w:hAnsi="Times New Roman"/>
          <w:sz w:val="18"/>
          <w:szCs w:val="18"/>
          <w:color w:val="auto"/>
        </w:rPr>
        <w:t>In recent years we have begun to implement operational excellence initiatives which include a number of restructuring, realignment and cost reduction initiatives. We may not realize the benefits of these initiatives to the extent or on the timing we anticipated and the ongoing difficulties in implementing these measures may be greater than anticipated and/or offset by inflationary pressures, which could cause us to incur additional costs or result in business disruptions like the backlogs we experienced in fiscal year 2022. In addition, if these measures are not successful or sustainable, we may undertake additional realignment and cost reduction efforts, which could result in significant additional expenses and adversely impact our ability to achieve our other strategic goals and business plans.</w:t>
      </w:r>
    </w:p>
    <w:p>
      <w:pPr>
        <w:spacing w:after="0" w:line="12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additional capital necessary to expand our business or may incur additional indebtedness which, together with our current indebtedness levels, could impose operating and financial restrictions on us as a result of debt service obligations which could significantly limit our ability to execute our business strategy or curtail our growth.</w:t>
      </w:r>
    </w:p>
    <w:p>
      <w:pPr>
        <w:spacing w:after="0" w:line="122" w:lineRule="exact"/>
        <w:rPr>
          <w:sz w:val="20"/>
          <w:szCs w:val="20"/>
          <w:color w:val="auto"/>
        </w:rPr>
      </w:pPr>
    </w:p>
    <w:p>
      <w:pPr>
        <w:ind w:right="180" w:firstLine="385"/>
        <w:spacing w:after="0" w:line="255" w:lineRule="auto"/>
        <w:rPr>
          <w:sz w:val="20"/>
          <w:szCs w:val="20"/>
          <w:color w:val="auto"/>
        </w:rPr>
      </w:pPr>
      <w:r>
        <w:rPr>
          <w:rFonts w:ascii="Times New Roman" w:cs="Times New Roman" w:eastAsia="Times New Roman" w:hAnsi="Times New Roman"/>
          <w:sz w:val="18"/>
          <w:szCs w:val="18"/>
          <w:color w:val="auto"/>
        </w:rPr>
        <w:t>We may require additional capital to expand our business. If cash generated internally is insufficient to fund capital requirements, we may require additional debt or equity financing. In addition, we may require financing to fund any significant acquisitions we may seek to make. Disruptions in the capital markets and increases in the cost of capital have previously resulted, and could again result, in volatility, decreased liquidity, and widening of credit spreads, which could make needed financing either unavailable or available on terms unsatisfactory to us which could result in significant stockholder dilution.</w:t>
      </w:r>
    </w:p>
    <w:p>
      <w:pPr>
        <w:spacing w:after="0" w:line="132"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We may incur additional indebtedness or draw additional amounts on our existing credit facilities in the future subject to limitations contained in the agreements governing our debt. The interest rate on potential borrowings could be a floating rate which could expose us to the risk of increased interest expense in the future. The terms of indebtedness could require us to comply with certain financial maintenance covenants. In addition, the terms of our existing indebtedness include, and any future indebtedness could include, covenants restricting or limiting our ability to take certain actions. These covenants could adversely affect our ability to obtain additional financing, to finance future operations, to pursue certain business opportunities or take certain corporate actions. The covenants could also restrict our flexibility in planning for changes in our business and the industry and could make us more vulnerable to economic downturns and adverse developments,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33"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Our ability to meet our cash requirements, including our debt service obligations,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our debt and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3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Uncertainty relating to the LIBOR calculation method and potential phasing out of LIBOR after 2021 may adversely affect the interest rates under our Credit Agreement.</w:t>
      </w:r>
    </w:p>
    <w:p>
      <w:pPr>
        <w:spacing w:after="0" w:line="105" w:lineRule="exact"/>
        <w:rPr>
          <w:sz w:val="20"/>
          <w:szCs w:val="20"/>
          <w:color w:val="auto"/>
        </w:rPr>
      </w:pPr>
    </w:p>
    <w:p>
      <w:pPr>
        <w:ind w:right="60" w:firstLine="643"/>
        <w:spacing w:after="0" w:line="252" w:lineRule="auto"/>
        <w:rPr>
          <w:sz w:val="20"/>
          <w:szCs w:val="20"/>
          <w:color w:val="auto"/>
        </w:rPr>
      </w:pPr>
      <w:r>
        <w:rPr>
          <w:rFonts w:ascii="Times New Roman" w:cs="Times New Roman" w:eastAsia="Times New Roman" w:hAnsi="Times New Roman"/>
          <w:sz w:val="18"/>
          <w:szCs w:val="18"/>
          <w:color w:val="auto"/>
        </w:rPr>
        <w:t>Certain of the interest rates applicable to our Credit Agreement, are LIBOR-based. On July 27, 2017, the U.K. Financial Conduct Authority (the “FCA”) announced that it will no longer persuade or compel banks to submit rates for the calculation of LIBOR rates after 2021. Actions by the FCA, other regulators or law enforcement agencies may result in changes to the method by which LIBOR is calculated. At this time, it is not possible to predict the effect of any such changes or any other reforms to LIBOR that may be enacted in the UK or elsewhere. Uncertainty as to the nature of such potential changes may adversely affect the trading market for LIBOR-based securities, including the floating rates applicable to our Credit Agreement. It is possible that the changes in how LIBOR is calculated, changes in the trading market for LIBOR-based securities or actions of the FCA and other government entities may cause unexpected increases in LIBOR rates or a breakdown in the LIBOR systems. If these issues arise, we could experience increased interest rates or uncertainty with respect to the calculation of interest on our Credit Agreement, which could adversely affect our business, financial condition, results of operations and/or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4" w:name="page25"/>
    <w:bookmarkEnd w:id="24"/>
    <w:p>
      <w:pPr>
        <w:spacing w:after="0" w:line="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goodwill, intangible assets and fixed assets are subject to potential impairment; we have recorded significant goodwill impairment charges and may be required to record additional charges to future earnings if our goodwill or intangible assets become impaired.</w:t>
      </w:r>
    </w:p>
    <w:p>
      <w:pPr>
        <w:spacing w:after="0" w:line="105"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A significant portion of our assets consists of goodwill, intangible assets and fixed assets, the carrying value of which may be reduced if we determine that those assets are impaired, including intangible assets from recent acquisitions. 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Statements of Operations (see Note 18).</w:t>
      </w:r>
    </w:p>
    <w:p>
      <w:pPr>
        <w:spacing w:after="0" w:line="128"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When testing for impairment of definite-lived intangible assets held for use, the Company groups assets at the lowest level for which cash flows are separately identifiable. The Company operates as a single asset group. If an intangible asset is considered to be impaired, the amount of the impairment will equal the excess of the carrying value over the fair value of the asset.</w:t>
      </w:r>
    </w:p>
    <w:p>
      <w:pPr>
        <w:spacing w:after="0" w:line="138"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Goodwill is required to be tested for impairment at least annually. We historically reviewed our single reporting unit for potential goodwill impairment in the third fiscal quarter of each year as part of our annual goodwill impairment testing, and more often if an event or circumstance occurred making it likely that impairment exists. In the fourth quarter of fiscal year 2022, the Company changed its annual impairment assessment date from December 31 to April 30 to more closely align the impairment assessment date with the Company's long term planning and forecasting process. The annual goodwill impairment review performed in December 2021 and April 2022 indicated no goodwill impairments. In fiscal year 2020, we recorded a goodwill impairment loss of $158.6 million. If actual results differ from the assumptions and estimates used in the goodwill and intangible asset calculations, we could incur future impairment or amortization charges, which could negatively impact our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172"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2022 after considering IRC Section 382 limitations are $174.2 million. The expiration of the Federal net operating loss carryforwards is as follows: $8.6 million between 2022 and 2023, $79.4 million between 2028 and 2037 and $86.1 million indefinitely. Our state net operating loss carryforwards as of May 31, 2022 after considering remaining IRC Section 382 limitations are $30.1 million which expire in various years from 2029 to 2042. Future ownership changes within the meaning of IRC Section 382 may also subject our tax loss carryforwards to annual limitations which would restrict our ability to use them to offset our taxable income in periods following the ownership changes. See Note 9 to our consolidated financial statements included in our Annual Report on Form 10-K for the fiscal year ended May 31, 2022 for a further discussion of our tax loss carryovers.</w:t>
      </w:r>
    </w:p>
    <w:p>
      <w:pPr>
        <w:spacing w:after="0" w:line="129"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 cyber-attack or other breach of our or our supply chain partners' information technology systems could have a material adverse effect on our business, financial condition and/or results of operations.</w:t>
      </w:r>
    </w:p>
    <w:p>
      <w:pPr>
        <w:spacing w:after="0" w:line="105" w:lineRule="exact"/>
        <w:rPr>
          <w:sz w:val="20"/>
          <w:szCs w:val="20"/>
          <w:color w:val="auto"/>
        </w:rPr>
      </w:pPr>
    </w:p>
    <w:p>
      <w:pPr>
        <w:ind w:right="180" w:firstLine="385"/>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 losses of data privacy, or other significant disruptions. Our supply chain partners face similar risks. Our information systems require an ongoing commitment of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gain access into our systems or products or those of our supply chain partners to obtain data relating to patients or our proprietary information.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firstLine="385"/>
        <w:spacing w:after="0" w:line="252" w:lineRule="auto"/>
        <w:rPr>
          <w:sz w:val="20"/>
          <w:szCs w:val="20"/>
          <w:color w:val="auto"/>
        </w:rPr>
      </w:pPr>
      <w:r>
        <w:rPr>
          <w:rFonts w:ascii="Times New Roman" w:cs="Times New Roman" w:eastAsia="Times New Roman" w:hAnsi="Times New Roman"/>
          <w:sz w:val="18"/>
          <w:szCs w:val="18"/>
          <w:color w:val="auto"/>
        </w:rPr>
        <w:t>Any failure by us or our supply chain partners to maintain or protect information technology systems and data integrity, including from cyber-attacks, ransomware, intrusions or other breaches, could result in the unauthorized access to supply chain partners or vendors and personally identifiable information, theft of intellectual property, misappropriation of assets, or otherwise compromise confidential or proprietary information and disrupt operations of our Company or our supply chain partners. Any of these events, in turn, may cause us to lose existing customers, have difficulty preventing, detecting, and controlling fraud, have disputes with customers, our supply chain partners,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and/or results of operations.</w:t>
      </w:r>
    </w:p>
    <w:p>
      <w:pPr>
        <w:spacing w:after="0" w:line="13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Any disaster at our manufacturing facilities or those of our suppliers could disrupt our ability to manufacture our products for a substantial amount of time.</w:t>
      </w:r>
    </w:p>
    <w:p>
      <w:pPr>
        <w:spacing w:after="0" w:line="105"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color w:val="auto"/>
        </w:rPr>
        <w:t>We conduct manufacturing and assembly at facilities in Queensbury, New York, Glens Falls, New York, and other third parties in Costa Rica, Latvia, and other locations. It would be difficult, expensive and time-consuming to transfer resources from one facility to the other and/or replace or repair these facilities or manufacturing equipment if they were significantly affected by a disaster. Additionally, we might be forced to rely on third-party manufacturers or delay production of our products. Insurance for damage to our properties and the disruption of our business from disasters may not be sufficient to cover all of our potential losses and may not continue to be available to us on acceptable terms, or at all. If one of our principal suppliers were to experience a similar disaster, uninsured loss or under-insured loss, we might not be able to obtain adequate alternative sources of supplies or products. Any significant uninsured loss, prolonged or repeated disruption, or inability to operate experienced by us or any of our principal suppliers could cause significant harm to our business, financial condition, results of operations and/or liquidity.</w:t>
      </w:r>
    </w:p>
    <w:p>
      <w:pPr>
        <w:spacing w:after="0" w:line="13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22" w:lineRule="exact"/>
        <w:rPr>
          <w:sz w:val="20"/>
          <w:szCs w:val="20"/>
          <w:color w:val="auto"/>
        </w:rPr>
      </w:pPr>
    </w:p>
    <w:p>
      <w:pPr>
        <w:ind w:right="60" w:firstLine="385"/>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may enable our management to resist a change in control. For example, our Board of Directors is classified so that not all members of our Board of Directors are elected at one time and our Board of Directors is authorized, without prior stockholder approval, to create and issue “blank check” preferred stock with rights senior to those of our common stock and stockholder action by written consent is prohibited. We are also subject to the provisions of Section 203 of the Delaware General Corporation Law, which may prohibit certain business combinations with stockholders owning 15% or more of our outstanding voting stock. These provisions may discourage, delay or prevent a change in the ownership of our Company or a change in our management. In addition, these provisions could limit the price that investors would be willing to pay in the future for shares of our common stock. Any delay or prevention of a change of control transaction or changes in our Board of Directors could cause the market price of our common stock to decline.</w:t>
      </w:r>
    </w:p>
    <w:p>
      <w:pPr>
        <w:spacing w:after="0" w:line="132"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negatively impacted our business and operations around the world and may continue to materially and adversely impact our business, operations and financial results.</w:t>
      </w:r>
    </w:p>
    <w:p>
      <w:pPr>
        <w:spacing w:after="0" w:line="105" w:lineRule="exact"/>
        <w:rPr>
          <w:sz w:val="20"/>
          <w:szCs w:val="20"/>
          <w:color w:val="auto"/>
        </w:rPr>
      </w:pPr>
    </w:p>
    <w:p>
      <w:pPr>
        <w:jc w:val="both"/>
        <w:ind w:firstLine="385"/>
        <w:spacing w:after="0" w:line="263" w:lineRule="auto"/>
        <w:rPr>
          <w:sz w:val="20"/>
          <w:szCs w:val="20"/>
          <w:color w:val="auto"/>
        </w:rPr>
      </w:pPr>
      <w:r>
        <w:rPr>
          <w:rFonts w:ascii="Times New Roman" w:cs="Times New Roman" w:eastAsia="Times New Roman" w:hAnsi="Times New Roman"/>
          <w:sz w:val="18"/>
          <w:szCs w:val="18"/>
          <w:color w:val="auto"/>
        </w:rPr>
        <w:t>The COVID-19 pandemic has created significant disruption and uncertainty in the global economy and has negatively impacted our business and results of operations and financial condition, most recently with the escalation of the Omicron and subsequent variants, and we anticipate that it may continue to negatively impact our business, results of operations and financial condition for the foreseeable future.</w:t>
      </w:r>
    </w:p>
    <w:p>
      <w:pPr>
        <w:spacing w:after="0" w:line="123" w:lineRule="exact"/>
        <w:rPr>
          <w:sz w:val="20"/>
          <w:szCs w:val="20"/>
          <w:color w:val="auto"/>
        </w:rPr>
      </w:pPr>
    </w:p>
    <w:p>
      <w:pPr>
        <w:ind w:right="160" w:firstLine="385"/>
        <w:spacing w:after="0" w:line="251" w:lineRule="auto"/>
        <w:rPr>
          <w:sz w:val="20"/>
          <w:szCs w:val="20"/>
          <w:color w:val="auto"/>
        </w:rPr>
      </w:pPr>
      <w:r>
        <w:rPr>
          <w:rFonts w:ascii="Times New Roman" w:cs="Times New Roman" w:eastAsia="Times New Roman" w:hAnsi="Times New Roman"/>
          <w:sz w:val="18"/>
          <w:szCs w:val="18"/>
          <w:color w:val="auto"/>
        </w:rPr>
        <w:t>Numerous national, international, state and local jurisdictions have imposed, and others in the future may impose, a variety of government orders and restrictions for their residents to control the spread of COVID-19. Such orders or restrictions may cause significant alteration of our operations, work stoppages, slowdowns and delays, travel restrictions and event cancellations, among other effects, thereby significantly and negatively impacting our operations. Other disruptions or potential disruptions include: (i) restrictions on our personnel and personnel of business partners to travel and access customers for training and case support; (ii) reductions in spending by our customers; (iii) delays in clearance, approvals or certifications by regulatory bodies; (iv) diversion of or limitations on employee resources that would otherwise be focused on the operations of our business, including because of sickness of employees or their families or the desire of employees to avoid contact with large groups of people; (v) reductions in our sales team, including through layoffs, furloughs or other losses of sales representatives; (vi) additional government requirements or other incremental mitigation efforts that may further impact our or our suppliers’ capacity to manufacture our products; (vii) disruption of our research and development activities; and (viii) delays in ongoing studies and pre-clinical trials.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6" w:name="page27"/>
    <w:bookmarkEnd w:id="26"/>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In addition, elective procedures that use our products significantly decreased in number during fiscal year 2021, as health care organizations around the world prioritized the treatment of patients with COVID-19 and reduced spending in other areas. We experienced a similar impact to procedure volumes with the resurgence of COVID-19 in fiscal year 2022. For example in fiscal year 2021, U.S. governmental authorities had recommended, and in certain cases required, that elective, deferrable, specialty and other procedures and appointments, be suspended or canceled to avoid non-essential patient exposure to medical environments and potential infection with COVID-19 so that limited resources and personnel could be focused on the treatment of infected patients. Many of these procedures that use our products were suspended or postponed at times during fiscal years 2021 and 2022. Similarly, our clinical trials were impacted by COVID-19 as hospitals prioritized treating these patients. It is unclear when or if other resurgences of COVID-19, or increased spread of its variants, may again cause a rise in infections and result in authorities and/or customers imposing restrictions that could adversely affect our business, financial condition, results of operations and/or liquidity.</w:t>
      </w:r>
    </w:p>
    <w:p>
      <w:pPr>
        <w:spacing w:after="0" w:line="133" w:lineRule="exact"/>
        <w:rPr>
          <w:sz w:val="20"/>
          <w:szCs w:val="20"/>
          <w:color w:val="auto"/>
        </w:rPr>
      </w:pPr>
    </w:p>
    <w:p>
      <w:pPr>
        <w:ind w:right="220" w:firstLine="385"/>
        <w:spacing w:after="0" w:line="258" w:lineRule="auto"/>
        <w:rPr>
          <w:sz w:val="20"/>
          <w:szCs w:val="20"/>
          <w:color w:val="auto"/>
        </w:rPr>
      </w:pPr>
      <w:r>
        <w:rPr>
          <w:rFonts w:ascii="Times New Roman" w:cs="Times New Roman" w:eastAsia="Times New Roman" w:hAnsi="Times New Roman"/>
          <w:sz w:val="18"/>
          <w:szCs w:val="18"/>
          <w:color w:val="auto"/>
        </w:rPr>
        <w:t>In addition, most of the hospitals and clinics that purchase our products have instituted strict procedures at their facilities in an effort to prevent the spread of COVID-19, including restrictions on sales representatives entering these facilities. This has been, and currently remains, a major impediment to our sales efforts, as supporting existing customers and acquiring new customers is much more difficult in this environment. These restrictions have had an effect on our sales and, until they are lifted, our business, operations and financial results will continue to be adversely impacted.</w:t>
      </w:r>
    </w:p>
    <w:p>
      <w:pPr>
        <w:spacing w:after="0" w:line="128" w:lineRule="exact"/>
        <w:rPr>
          <w:sz w:val="20"/>
          <w:szCs w:val="20"/>
          <w:color w:val="auto"/>
        </w:rPr>
      </w:pPr>
    </w:p>
    <w:p>
      <w:pPr>
        <w:ind w:right="20" w:firstLine="385"/>
        <w:spacing w:after="0" w:line="252" w:lineRule="auto"/>
        <w:rPr>
          <w:sz w:val="20"/>
          <w:szCs w:val="20"/>
          <w:color w:val="auto"/>
        </w:rPr>
      </w:pPr>
      <w:r>
        <w:rPr>
          <w:rFonts w:ascii="Times New Roman" w:cs="Times New Roman" w:eastAsia="Times New Roman" w:hAnsi="Times New Roman"/>
          <w:sz w:val="18"/>
          <w:szCs w:val="18"/>
          <w:color w:val="auto"/>
        </w:rPr>
        <w:t>These challenges and restrictions will likely continue for the duration of the pandemic, which is uncertain, and may even continue beyond the pandemic. Many areas have relaxed restrictions from time-to-time and have resumed business operations, but a resurgence in infections or mutations of the coronavirus that causes COVID-19 could cause authorities and/or our customers to reinstate such restrictions or impose additional restrictions. All of these factors also may cause or contribute to disruptions and delays in our logistics and supply chain. The extent to which the COVID-19 pandemic impacts our business, operations and financial results will depend on future developments that are uncertain and cannot be predicted, including new information that may emerge concerning the severity and spread of the virus and the actions by government entities, our customers and other parties to contain the virus or treat its impact, among others. To the extent the COVID-19 pandemic adversely affects our business, operations and financial results, it may also have the effect of heightening other risks described herein, such as those relating to general economic conditions, demand for our products, relationships with suppliers and sales efforts.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climate change and other sustainability-related matters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80" w:firstLine="402"/>
        <w:spacing w:after="0" w:line="252" w:lineRule="auto"/>
        <w:rPr>
          <w:sz w:val="20"/>
          <w:szCs w:val="20"/>
          <w:color w:val="auto"/>
        </w:rPr>
      </w:pPr>
      <w:r>
        <w:rPr>
          <w:rFonts w:ascii="Times New Roman" w:cs="Times New Roman" w:eastAsia="Times New Roman" w:hAnsi="Times New Roman"/>
          <w:sz w:val="18"/>
          <w:szCs w:val="18"/>
          <w:color w:val="auto"/>
        </w:rPr>
        <w:t>Governments, investors, customers, employees and other stakeholders are increasingly focusing on corporate ESG practices and disclosures, including risks associated with climate change and expectations in this area are rapidly evolving. Shifts in weather patterns caused by climate change are expected to increase the frequency and severity of adverse weather conditions such as hurricanes, tornadoes, earthquakes, wildfires, droughts, extreme temperatures or flooding, which could cause or contribute to reduced workforce availability, increased production and distribution costs and disruptions and delays in our logistics and supply chain/operations as well as the operations of our customers. The increasing attention to corporate ESG initiatives and ESG risks could result in reduced demand for products, reduced profits and increased investigations and litigation. If we are unable to satisfy any new criteria by which our ESG practices may be assessed, investors may conclude that our policies and/or actions with respect to ESG matters and risks are inadequate. If we fail or are perceived to have failed to accurately disclose our progress on such initiatives or goals, our reputation, business, financial condition and results of operations could be adversely impacted.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68"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05"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16), the U.S. Foreign Corrupt Practices Act (“FCPA”) and similar anti-bribery laws in international jurisdictions, including the UK Anti-Bribery Act, the federal Health Insurance Portability and Accountability Act of 1996 (“HIPAA”), General Data Protection Regulation (“GDPR”), domestic and foreign data protection, data security and privacy laws, laws related to the collection, storage, use and disclosure of personal data and laws and regulations relating to sanctions and money laundering.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t>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(ii) could expose us to breach of contract claims, fines and penalties, costs for remediation and harm to our reputation; (iii) could result in criminal or civil sanctions, including substantial fines, imprisonment and exclusion from participation in healthcare programs such as Medicare and Medicaid and health programs outside the United States; and (iv) could otherwise disrupt our business and could have a material adverse effect on our business, financial condition, results of operations and/or liquidity.</w:t>
      </w:r>
    </w:p>
    <w:p>
      <w:pPr>
        <w:spacing w:after="0" w:line="136"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healthcare industry is under continued scrutiny from state, federal and international governments, including with respect to industry practices in the area of sales and marketing.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We anticipate that the government will continue to scrutinize our industry closely, and that additional regulation by governmental authorities may increase compliance costs, increase exposure to litigation and may have other adverse effects to our operations. The Company’s failure to comply with any marketing or sales regulations or any other applicable regulatory requirements could adversely affect our business, results of operations, financial condition and/or liquidity.</w:t>
      </w:r>
    </w:p>
    <w:p>
      <w:pPr>
        <w:spacing w:after="0" w:line="138"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The occurrence of an adverse monetary or equitable judgment or a large expenditure in connection with a settlement of any of these matters could have a material adverse effect on our business, financial condition, results of operations and/or liquidity.</w:t>
      </w:r>
    </w:p>
    <w:p>
      <w:pPr>
        <w:spacing w:after="0" w:line="12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2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and with current medical device adverse event reporting regulations, and similar foreign rules and regulations. The FDA enforces the QSR through unannounced inspections. Despite our training and compliance programs, our internal control policies and procedures may not always protect us from negligent, reckless or criminal acts committed by our employees or agents.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 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obtain and maintain marketing clearance or approval from governmental agencies, we will not be able to sell our products.</w:t>
      </w:r>
    </w:p>
    <w:p>
      <w:pPr>
        <w:spacing w:after="0" w:line="172"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8" w:name="page29"/>
    <w:bookmarkEnd w:id="28"/>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Product approvals by the FDA and other foreign regulators can be withdrawn due to failure to comply with regulatory standards or the occurrence of unforeseen problems following initial approval or may be re-classified to a higher regulatory classification, such as requiring a PMA for a previously cleared 510(k) device. The PMA process is much more costly, lengthy and uncertain. It generally takes from one to three years from the date the application is submitted to, and filed with the FDA, and may take even longer. In addition, any modification to an FDA-cleared medical device that could significantly affect its safety or effectiveness, or that would constitute a major change or modification in its intended use, requires a new FDA 510(k) clearance or, possibly, a PMA.</w:t>
      </w:r>
    </w:p>
    <w:p>
      <w:pPr>
        <w:spacing w:after="0" w:line="132"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28" w:lineRule="exact"/>
        <w:rPr>
          <w:sz w:val="20"/>
          <w:szCs w:val="20"/>
          <w:color w:val="auto"/>
        </w:rPr>
      </w:pPr>
    </w:p>
    <w:p>
      <w:pPr>
        <w:ind w:right="100" w:firstLine="402"/>
        <w:spacing w:after="0" w:line="255" w:lineRule="auto"/>
        <w:rPr>
          <w:sz w:val="20"/>
          <w:szCs w:val="20"/>
          <w:color w:val="auto"/>
        </w:rPr>
      </w:pPr>
      <w:r>
        <w:rPr>
          <w:rFonts w:ascii="Times New Roman" w:cs="Times New Roman" w:eastAsia="Times New Roman" w:hAnsi="Times New Roman"/>
          <w:sz w:val="18"/>
          <w:szCs w:val="18"/>
          <w:color w:val="auto"/>
        </w:rPr>
        <w:t>In general, we intend to obtain Medical Device Regulation ("MDR") approvals for our principal products sold in the European Union ("EU") ahead of expiration dates; however for multiple reasons, including but not limited to changing business strategies, labor shortages and contract resources, administrative delays, increased costs of obtaining MDR certification, availability of necessary data and notified body capacity, certain products may not be fully compliant at the time of CE mark expiration. The additional time and resources required to obtain MDR certification has been a significant factor in, and will likely continue to influence, our decisions whether to discontinue sales and distribution of certain products in the EU.</w:t>
      </w:r>
    </w:p>
    <w:p>
      <w:pPr>
        <w:spacing w:after="0" w:line="132"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Complying with and obtaining regulatory approval in foreign countries, including our efforts to comply with the requirements of the MDR, have and will likely continue to lead to additional uncertainty, risk, expense and delay in commercializing products in certain foreign jurisdictions, which could have a material adverse effect on our business, financial condition and/or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 which may harm our reputation and divert managerial and financial resources.</w:t>
      </w:r>
    </w:p>
    <w:p>
      <w:pPr>
        <w:spacing w:after="0" w:line="172" w:lineRule="exact"/>
        <w:rPr>
          <w:sz w:val="20"/>
          <w:szCs w:val="20"/>
          <w:color w:val="auto"/>
        </w:rPr>
      </w:pPr>
    </w:p>
    <w:p>
      <w:pPr>
        <w:ind w:right="160" w:firstLine="385"/>
        <w:spacing w:after="0" w:line="252"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product, or if the governmental entity finds that our products would cause serious adverse health consequences. A government mandated recall, voluntary recall or field action by us could occur as a result of component failures, manufacturing errors or design defects, including labeling defects. Any recall of our products may harm our reputation with customers and divert managerial, engineering and financial resources.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A recall of any of our products could harm our reputation, divert managerial and financial resources and have a material adverse effect on our business, financial condition, results of operations and/or liquidity.</w:t>
      </w:r>
    </w:p>
    <w:p>
      <w:pPr>
        <w:spacing w:after="0" w:line="12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05"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business, financial condition, results of operations and/or liquidity.</w:t>
      </w:r>
    </w:p>
    <w:p>
      <w:pPr>
        <w:spacing w:after="0" w:line="1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the export of our products could adversely impact our business. If the U.S. government imposes strict sanctions on Iran, our revenue could be impacted.</w:t>
      </w:r>
    </w:p>
    <w:p>
      <w:pPr>
        <w:spacing w:after="0" w:line="105" w:lineRule="exact"/>
        <w:rPr>
          <w:sz w:val="20"/>
          <w:szCs w:val="20"/>
          <w:color w:val="auto"/>
        </w:rPr>
      </w:pPr>
    </w:p>
    <w:p>
      <w:pPr>
        <w:ind w:right="240" w:firstLine="385"/>
        <w:spacing w:after="0" w:line="263"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9" w:name="page30"/>
    <w:bookmarkEnd w:id="29"/>
    <w:p>
      <w:pPr>
        <w:ind w:right="60"/>
        <w:spacing w:after="0" w:line="263" w:lineRule="auto"/>
        <w:rPr>
          <w:sz w:val="20"/>
          <w:szCs w:val="20"/>
          <w:color w:val="auto"/>
        </w:rPr>
      </w:pPr>
      <w:r>
        <w:rPr>
          <w:rFonts w:ascii="Times New Roman" w:cs="Times New Roman" w:eastAsia="Times New Roman" w:hAnsi="Times New Roman"/>
          <w:sz w:val="18"/>
          <w:szCs w:val="18"/>
          <w:color w:val="auto"/>
        </w:rPr>
        <w:t>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23" w:lineRule="exact"/>
        <w:rPr>
          <w:sz w:val="20"/>
          <w:szCs w:val="20"/>
          <w:color w:val="auto"/>
        </w:rPr>
      </w:pPr>
    </w:p>
    <w:p>
      <w:pPr>
        <w:jc w:val="both"/>
        <w:ind w:right="420" w:firstLine="385"/>
        <w:spacing w:after="0" w:line="258" w:lineRule="auto"/>
        <w:rPr>
          <w:sz w:val="20"/>
          <w:szCs w:val="20"/>
          <w:color w:val="auto"/>
        </w:rPr>
      </w:pPr>
      <w:r>
        <w:rPr>
          <w:rFonts w:ascii="Times New Roman" w:cs="Times New Roman" w:eastAsia="Times New Roman" w:hAnsi="Times New Roman"/>
          <w:sz w:val="18"/>
          <w:szCs w:val="18"/>
          <w:color w:val="auto"/>
        </w:rPr>
        <w:t>In fiscal year 2022 we generated $1.2 million of revenue for sales to distributors doing business in Iran. We continuously review our ability to sell products to distributors that conduct business in Iran in accordance with all applicable U.S. laws. If laws, rules or regulations of the United States, with respect to doing business in or with parties that do business in Iran, change to restrict our ability to generate revenue in Iran, our revenue could decline, impacting our results of operations.</w:t>
      </w:r>
    </w:p>
    <w:p>
      <w:pPr>
        <w:spacing w:after="0" w:line="128"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From time to time, we have limited business dealings in countries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revocations or restrictions of licenses, and/or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05"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Our success depends in part on obtaining, maintaining and enforcing our patents, trademarks and other proprietary rights, and our ability to avoid infringing the proprietary rights of others.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32" w:lineRule="exact"/>
        <w:rPr>
          <w:sz w:val="20"/>
          <w:szCs w:val="20"/>
          <w:color w:val="auto"/>
        </w:rPr>
      </w:pPr>
    </w:p>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w:t>
      </w:r>
    </w:p>
    <w:p>
      <w:pPr>
        <w:spacing w:after="0" w:line="132" w:lineRule="exact"/>
        <w:rPr>
          <w:sz w:val="20"/>
          <w:szCs w:val="20"/>
          <w:color w:val="auto"/>
        </w:rPr>
      </w:pPr>
    </w:p>
    <w:p>
      <w:pPr>
        <w:ind w:right="80" w:firstLine="385"/>
        <w:spacing w:after="0" w:line="252" w:lineRule="auto"/>
        <w:rPr>
          <w:sz w:val="20"/>
          <w:szCs w:val="20"/>
          <w:color w:val="auto"/>
        </w:rPr>
      </w:pPr>
      <w:r>
        <w:rPr>
          <w:rFonts w:ascii="Times New Roman" w:cs="Times New Roman" w:eastAsia="Times New Roman" w:hAnsi="Times New Roman"/>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 If we are not able to adequately protect our intellectual property, our market share, financial condition and results of operations may suffer.</w:t>
      </w:r>
    </w:p>
    <w:p>
      <w:pPr>
        <w:spacing w:after="0" w:line="129"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05" w:lineRule="exact"/>
        <w:rPr>
          <w:sz w:val="20"/>
          <w:szCs w:val="20"/>
          <w:color w:val="auto"/>
        </w:rPr>
      </w:pPr>
    </w:p>
    <w:p>
      <w:pPr>
        <w:ind w:right="100" w:firstLine="385"/>
        <w:spacing w:after="0" w:line="252" w:lineRule="auto"/>
        <w:rPr>
          <w:sz w:val="20"/>
          <w:szCs w:val="20"/>
          <w:color w:val="auto"/>
        </w:rPr>
      </w:pPr>
      <w:r>
        <w:rPr>
          <w:rFonts w:ascii="Times New Roman" w:cs="Times New Roman" w:eastAsia="Times New Roman" w:hAnsi="Times New Roman"/>
          <w:sz w:val="18"/>
          <w:szCs w:val="18"/>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and publication of discoveries in the scientific or patent literature often lag behind actual discoveries.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0" w:name="page31"/>
    <w:bookmarkEnd w:id="30"/>
    <w:p>
      <w:pPr>
        <w:ind w:right="200"/>
        <w:spacing w:after="0" w:line="263" w:lineRule="auto"/>
        <w:rPr>
          <w:sz w:val="20"/>
          <w:szCs w:val="20"/>
          <w:color w:val="auto"/>
        </w:rPr>
      </w:pPr>
      <w:r>
        <w:rPr>
          <w:rFonts w:ascii="Times New Roman" w:cs="Times New Roman" w:eastAsia="Times New Roman" w:hAnsi="Times New Roman"/>
          <w:sz w:val="18"/>
          <w:szCs w:val="18"/>
          <w:color w:val="auto"/>
        </w:rPr>
        <w:t>Such claims could also cause our customers or potential customers to purchase competitors’ products or defer or limit their purchase or use of our affected products until resolution of the claim. See Part I, Item 3 "Legal Proceedings" of this report for additional details on litigation regarding proprietary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 PRICE</w:t>
      </w:r>
    </w:p>
    <w:p>
      <w:pPr>
        <w:spacing w:after="0" w:line="168"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05"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28" w:lineRule="exact"/>
        <w:rPr>
          <w:sz w:val="20"/>
          <w:szCs w:val="20"/>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of our products and services in our markets;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or services and enhancements in a timely manner;</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our products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competition and the introduction of alternative products or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command favorable pricing for our products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market for our devices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rate of success of our direct sales force in the United States and internationally and our independent distributors internationally;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relating to ongoing FDA compliance;</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or companies;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intellectual property disputes;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independent distributors or customers;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key personnel, particularly in sales and marketing, regulatory, manufacturing and research and development;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or an inability to control costs;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inflationary pressure, as well as those specific to our customers and markets;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revenue due to the elective nature of some procedures.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cause the value of our stock to decline or subject us to a securities class action litigation.</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price may be volatile and could be subject to wide fluctuations in price in response to various factors, many of which are beyond our control, attributable to outside factors and/or unrelated to operating performance. Such factors may include comments by securities analysts or other third parties, including blogs, articles, message boards and social and other media coverage which may not be attributable to us and may not be reliable or accurate.</w:t>
      </w:r>
    </w:p>
    <w:p>
      <w:pPr>
        <w:spacing w:after="0" w:line="128"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The NASDAQ Stock Market and medical devices companies in particular have experienced substantial price and volume volatility that is often seemingly unrelated to the operating performance of the companies. These broad market fluctuations may cause the trading price of our common stock to decline. In the past, securities class action litigation has often been brought against a company after a period of volatility in the market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May 31, 2022, we operated in the following locations:</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60" w:type="dxa"/>
            <w:vAlign w:val="bottom"/>
            <w:vMerge w:val="restart"/>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8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Sq. Ft.</w:t>
            </w: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Type</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Latham, NY</w:t>
            </w:r>
          </w:p>
        </w:tc>
        <w:tc>
          <w:tcPr>
            <w:tcW w:w="49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8"/>
              </w:rPr>
              <w:t>Corporate headquarters</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39,000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Glens Falls, NY</w:t>
            </w:r>
          </w:p>
        </w:tc>
        <w:tc>
          <w:tcPr>
            <w:tcW w:w="496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9"/>
              </w:rPr>
              <w:t>Manufacturing</w:t>
            </w: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41,000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Queensbury, NY</w:t>
            </w:r>
          </w:p>
        </w:tc>
        <w:tc>
          <w:tcPr>
            <w:tcW w:w="49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8"/>
              </w:rPr>
              <w:t>Manufacturing and distribution</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194,000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Owne</w:t>
            </w:r>
          </w:p>
        </w:tc>
        <w:tc>
          <w:tcPr>
            <w:tcW w:w="0" w:type="dxa"/>
            <w:vAlign w:val="bottom"/>
          </w:tcPr>
          <w:p>
            <w:pPr>
              <w:spacing w:after="0"/>
              <w:rPr>
                <w:sz w:val="1"/>
                <w:szCs w:val="1"/>
                <w:color w:val="auto"/>
              </w:rPr>
            </w:pP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Marlborough, MA</w:t>
            </w:r>
          </w:p>
        </w:tc>
        <w:tc>
          <w:tcPr>
            <w:tcW w:w="4960" w:type="dxa"/>
            <w:vAlign w:val="bottom"/>
          </w:tcPr>
          <w:p>
            <w:pPr>
              <w:jc w:val="center"/>
              <w:ind w:left="753"/>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31,000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Amsterdam, NL</w:t>
            </w:r>
          </w:p>
        </w:tc>
        <w:tc>
          <w:tcPr>
            <w:tcW w:w="4960" w:type="dxa"/>
            <w:vAlign w:val="bottom"/>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8"/>
              </w:rPr>
              <w:t>Selling, marketing and administrative</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8,100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Rehovot, IL</w:t>
            </w:r>
          </w:p>
        </w:tc>
        <w:tc>
          <w:tcPr>
            <w:tcW w:w="4960" w:type="dxa"/>
            <w:vAlign w:val="bottom"/>
          </w:tcPr>
          <w:p>
            <w:pPr>
              <w:jc w:val="center"/>
              <w:ind w:left="753"/>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4,300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we lease sales offices in various other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legal proceedings is included in Note 16 to our consolidated financial statements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82" w:right="2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on the Global Select Market tier of the NASDAQ Stock Market LLC, under the symbol “ANGO.”</w:t>
      </w:r>
    </w:p>
    <w:p>
      <w:pPr>
        <w:spacing w:after="0" w:line="168" w:lineRule="exact"/>
        <w:rPr>
          <w:sz w:val="20"/>
          <w:szCs w:val="20"/>
          <w:color w:val="auto"/>
        </w:rPr>
      </w:pPr>
    </w:p>
    <w:p>
      <w:pPr>
        <w:ind w:right="80" w:firstLine="442"/>
        <w:spacing w:after="0" w:line="278" w:lineRule="auto"/>
        <w:rPr>
          <w:sz w:val="20"/>
          <w:szCs w:val="20"/>
          <w:color w:val="auto"/>
        </w:rPr>
      </w:pPr>
      <w:r>
        <w:rPr>
          <w:rFonts w:ascii="Times New Roman" w:cs="Times New Roman" w:eastAsia="Times New Roman" w:hAnsi="Times New Roman"/>
          <w:sz w:val="18"/>
          <w:szCs w:val="18"/>
          <w:color w:val="auto"/>
        </w:rPr>
        <w:t>The following table sets forth, for the fiscal quarters indicated, the high and low sale prices for our common stock as reported by the NASDAQ Stock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color w:val="auto"/>
              </w:rPr>
              <w:t>Sale Price</w:t>
            </w:r>
          </w:p>
        </w:tc>
        <w:tc>
          <w:tcPr>
            <w:tcW w:w="128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High</w:t>
            </w:r>
          </w:p>
        </w:tc>
        <w:tc>
          <w:tcPr>
            <w:tcW w:w="500" w:type="dxa"/>
            <w:vAlign w:val="bottom"/>
          </w:tcPr>
          <w:p>
            <w:pPr>
              <w:spacing w:after="0"/>
              <w:rPr>
                <w:sz w:val="16"/>
                <w:szCs w:val="16"/>
                <w:color w:val="auto"/>
              </w:rPr>
            </w:pPr>
          </w:p>
        </w:tc>
        <w:tc>
          <w:tcPr>
            <w:tcW w:w="128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rPr>
              <w:t>Low</w:t>
            </w:r>
          </w:p>
        </w:tc>
      </w:tr>
      <w:tr>
        <w:trPr>
          <w:trHeight w:val="214"/>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2022</w:t>
            </w: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29"/>
        </w:trPr>
        <w:tc>
          <w:tcPr>
            <w:tcW w:w="7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color w:val="auto"/>
              </w:rPr>
              <w:t>Sale Price</w:t>
            </w:r>
          </w:p>
        </w:tc>
        <w:tc>
          <w:tcPr>
            <w:tcW w:w="1280" w:type="dxa"/>
            <w:vAlign w:val="bottom"/>
          </w:tcPr>
          <w:p>
            <w:pPr>
              <w:spacing w:after="0"/>
              <w:rPr>
                <w:sz w:val="19"/>
                <w:szCs w:val="19"/>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High</w:t>
            </w:r>
          </w:p>
        </w:tc>
        <w:tc>
          <w:tcPr>
            <w:tcW w:w="500" w:type="dxa"/>
            <w:vAlign w:val="bottom"/>
          </w:tcPr>
          <w:p>
            <w:pPr>
              <w:spacing w:after="0"/>
              <w:rPr>
                <w:sz w:val="16"/>
                <w:szCs w:val="16"/>
                <w:color w:val="auto"/>
              </w:rPr>
            </w:pPr>
          </w:p>
        </w:tc>
        <w:tc>
          <w:tcPr>
            <w:tcW w:w="128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rPr>
              <w:t>Low</w:t>
            </w:r>
          </w:p>
        </w:tc>
      </w:tr>
      <w:tr>
        <w:trPr>
          <w:trHeight w:val="214"/>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2021</w:t>
            </w: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21, 2022, there were 170 holders of record of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0" w:lineRule="exact"/>
        <w:rPr>
          <w:sz w:val="20"/>
          <w:szCs w:val="20"/>
          <w:color w:val="auto"/>
        </w:rPr>
      </w:pPr>
    </w:p>
    <w:p>
      <w:pPr>
        <w:jc w:val="both"/>
        <w:ind w:right="80" w:firstLine="442"/>
        <w:spacing w:after="0" w:line="278" w:lineRule="auto"/>
        <w:rPr>
          <w:sz w:val="20"/>
          <w:szCs w:val="20"/>
          <w:color w:val="auto"/>
        </w:rPr>
      </w:pPr>
      <w:r>
        <w:rPr>
          <w:rFonts w:ascii="Times New Roman" w:cs="Times New Roman" w:eastAsia="Times New Roman" w:hAnsi="Times New Roman"/>
          <w:sz w:val="18"/>
          <w:szCs w:val="18"/>
          <w:color w:val="auto"/>
        </w:rPr>
        <w:t>We did not declare any cash dividends on our common stock during our last three fiscal years. We do not anticipate paying any cash dividends on our common stock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70" w:lineRule="exact"/>
        <w:rPr>
          <w:sz w:val="20"/>
          <w:szCs w:val="20"/>
          <w:color w:val="auto"/>
        </w:rPr>
      </w:pPr>
    </w:p>
    <w:p>
      <w:pPr>
        <w:ind w:right="40" w:firstLine="442"/>
        <w:spacing w:after="0" w:line="258" w:lineRule="auto"/>
        <w:rPr>
          <w:sz w:val="20"/>
          <w:szCs w:val="20"/>
          <w:color w:val="auto"/>
        </w:rPr>
      </w:pPr>
      <w:r>
        <w:rPr>
          <w:rFonts w:ascii="Times New Roman" w:cs="Times New Roman" w:eastAsia="Times New Roman" w:hAnsi="Times New Roman"/>
          <w:sz w:val="18"/>
          <w:szCs w:val="18"/>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 (with the reinvestment of all dividends) from May 31, 2017 to May 31, 2022.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488315</wp:posOffset>
            </wp:positionH>
            <wp:positionV relativeFrom="page">
              <wp:posOffset>675640</wp:posOffset>
            </wp:positionV>
            <wp:extent cx="5322570" cy="4438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22570" cy="443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required by this Item 6 is not included as we are electing to exclude this information pursuant to Regulation S-K Item 301, as amended.</w:t>
      </w:r>
    </w:p>
    <w:p>
      <w:pPr>
        <w:spacing w:after="0" w:line="168"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For financial data and discussion of our results of operations and financial position, refer to Part II, Item 7 “Management’s Discussion and Analysis of Financial Condition and Results of Operations” and Part II, Item 8 “Financial Statements and Supplementary Data” contained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Conditions and Results of Operations.</w:t>
      </w:r>
    </w:p>
    <w:p>
      <w:pPr>
        <w:spacing w:after="0" w:line="172" w:lineRule="exact"/>
        <w:rPr>
          <w:sz w:val="20"/>
          <w:szCs w:val="20"/>
          <w:color w:val="auto"/>
        </w:rPr>
      </w:pPr>
    </w:p>
    <w:p>
      <w:pPr>
        <w:ind w:right="320" w:firstLine="385"/>
        <w:spacing w:after="0" w:line="255"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audited consolidated financial statements and the notes thereto and other information included elsewhere in this annual report on Form 10-K. This discussion may contain forward-looking statements related to future events and our future financial performance that are based on current expectation and are subject to risks and uncertainties. Our actual results may differ materially from those anticipated in any forward-looking statements as a result of many factors, including those set forth in Part I, Item 1A, "Risk Factors" and "Disclosure Regarding Forward-Looking Statements" included in this Annual Report on Form 10-K.</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Market</w:t>
      </w:r>
    </w:p>
    <w:p>
      <w:pPr>
        <w:spacing w:after="0" w:line="172"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28" w:lineRule="exact"/>
        <w:rPr>
          <w:sz w:val="20"/>
          <w:szCs w:val="20"/>
          <w:color w:val="auto"/>
        </w:rPr>
      </w:pPr>
    </w:p>
    <w:p>
      <w:pPr>
        <w:ind w:right="400" w:firstLine="402"/>
        <w:spacing w:after="0" w:line="258"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28"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8" w:lineRule="exact"/>
        <w:rPr>
          <w:sz w:val="20"/>
          <w:szCs w:val="20"/>
          <w:color w:val="auto"/>
        </w:rPr>
      </w:pPr>
    </w:p>
    <w:p>
      <w:pPr>
        <w:ind w:right="120" w:firstLine="402"/>
        <w:spacing w:after="0" w:line="258"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8"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color w:val="auto"/>
        </w:rPr>
        <w:t>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32"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In the third quarter of fiscal year 2022, a benefit of $4.2 million was recorded as a result of the employee retention credit that the Company filed for under the provisions of the Taxpayer Certainty and Disaster Tax Relief Act of 2020, enacted December 27, 2020 which amended and extended the employee retention credit under section 2301 of the CARES Act.</w:t>
      </w:r>
    </w:p>
    <w:p>
      <w:pPr>
        <w:spacing w:after="0" w:line="123" w:lineRule="exact"/>
        <w:rPr>
          <w:sz w:val="20"/>
          <w:szCs w:val="20"/>
          <w:color w:val="auto"/>
        </w:rPr>
      </w:pPr>
    </w:p>
    <w:p>
      <w:pPr>
        <w:ind w:right="20" w:firstLine="385"/>
        <w:spacing w:after="0" w:line="278"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revenue, gross margin, operating income, earnings per share and cash flow from operations. A summary of these key financial metrics for the year ended May 31, 2022 compared to the year ended May 31, 2021 follows: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Year ended May 31, 2022:</w:t>
      </w:r>
    </w:p>
    <w:p>
      <w:pPr>
        <w:spacing w:after="0" w:line="168" w:lineRule="exact"/>
        <w:rPr>
          <w:sz w:val="20"/>
          <w:szCs w:val="20"/>
          <w:color w:val="auto"/>
        </w:rPr>
      </w:pPr>
    </w:p>
    <w:p>
      <w:pPr>
        <w:ind w:left="960" w:hanging="31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8.7% to $316.2 million</w:t>
      </w:r>
    </w:p>
    <w:p>
      <w:pPr>
        <w:spacing w:after="0" w:line="26"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41.2% and Med Device growth of 0.9%</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150 bps to 52.4%</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$5.0 million to $26.5 million</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$0.14 to a loss of $0.68</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decreased by $31.3 million resulting in cash used in operations of $7.2 million</w:t>
      </w:r>
    </w:p>
    <w:p>
      <w:pPr>
        <w:spacing w:after="0" w:line="149"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Our Med Tech business, comprised of Auryon, the Thrombectomy platform and NanoKnife grew 41.2% in fiscal year 2022. This growth was partially offset by reductions in AngioVac procedure volumes due to challenges resulting from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35" w:name="page36"/>
    <w:bookmarkEnd w:id="35"/>
    <w:p>
      <w:pPr>
        <w:ind w:right="140"/>
        <w:spacing w:after="0" w:line="263" w:lineRule="auto"/>
        <w:rPr>
          <w:sz w:val="20"/>
          <w:szCs w:val="20"/>
          <w:color w:val="auto"/>
        </w:rPr>
      </w:pPr>
      <w:r>
        <w:rPr>
          <w:rFonts w:ascii="Times New Roman" w:cs="Times New Roman" w:eastAsia="Times New Roman" w:hAnsi="Times New Roman"/>
          <w:sz w:val="18"/>
          <w:szCs w:val="18"/>
          <w:color w:val="auto"/>
        </w:rPr>
        <w:t>COVID-19 pandemic. Our Med Device business grew 0.9% in fiscal year 2022. It was also adversely impacted by the backlog in Vascular Access products and continued pressure from reductions in Oncology procedure volumes, also due to challenges resulting from the COVID-19 pandemic, a trend that may continue.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Initiatives to Drive Growth</w:t>
      </w:r>
    </w:p>
    <w:p>
      <w:pPr>
        <w:spacing w:after="0" w:line="172" w:lineRule="exact"/>
        <w:rPr>
          <w:sz w:val="20"/>
          <w:szCs w:val="20"/>
          <w:color w:val="auto"/>
        </w:rPr>
      </w:pPr>
    </w:p>
    <w:p>
      <w:pPr>
        <w:ind w:firstLine="442"/>
        <w:spacing w:after="0" w:line="245" w:lineRule="auto"/>
        <w:rPr>
          <w:sz w:val="20"/>
          <w:szCs w:val="20"/>
          <w:color w:val="auto"/>
        </w:rPr>
      </w:pPr>
      <w:r>
        <w:rPr>
          <w:rFonts w:ascii="Times New Roman" w:cs="Times New Roman" w:eastAsia="Times New Roman" w:hAnsi="Times New Roman"/>
          <w:sz w:val="18"/>
          <w:szCs w:val="18"/>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high technology products including Auryon, Mechanical Thrombectomy (which includes AngioVac and AlphaVac) and NanoKnife. The Company regularly evaluates its reportable segments and will continue to do so along with this transformation.</w:t>
      </w:r>
    </w:p>
    <w:p>
      <w:pPr>
        <w:spacing w:after="0" w:line="125" w:lineRule="exact"/>
        <w:rPr>
          <w:sz w:val="20"/>
          <w:szCs w:val="20"/>
          <w:color w:val="auto"/>
        </w:rPr>
      </w:pPr>
    </w:p>
    <w:p>
      <w:pPr>
        <w:ind w:right="680" w:firstLine="385"/>
        <w:spacing w:after="0" w:line="278" w:lineRule="auto"/>
        <w:rPr>
          <w:sz w:val="20"/>
          <w:szCs w:val="20"/>
          <w:color w:val="auto"/>
        </w:rPr>
      </w:pPr>
      <w:r>
        <w:rPr>
          <w:rFonts w:ascii="Times New Roman" w:cs="Times New Roman" w:eastAsia="Times New Roman" w:hAnsi="Times New Roman"/>
          <w:sz w:val="18"/>
          <w:szCs w:val="18"/>
          <w:color w:val="auto"/>
        </w:rPr>
        <w:t>Throughout the year, we introduced strategic moves designed to streamline our business, improve our overall business operations and position ourselves for growth. Those initiatives included:</w:t>
      </w:r>
    </w:p>
    <w:p>
      <w:pPr>
        <w:spacing w:after="0" w:line="108" w:lineRule="exact"/>
        <w:rPr>
          <w:sz w:val="20"/>
          <w:szCs w:val="20"/>
          <w:color w:val="auto"/>
        </w:rPr>
      </w:pPr>
    </w:p>
    <w:p>
      <w:pPr>
        <w:ind w:left="640" w:right="220" w:hanging="312"/>
        <w:spacing w:after="0" w:line="26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development process. </w:t>
      </w:r>
      <w:r>
        <w:rPr>
          <w:rFonts w:ascii="Times New Roman" w:cs="Times New Roman" w:eastAsia="Times New Roman" w:hAnsi="Times New Roman"/>
          <w:sz w:val="18"/>
          <w:szCs w:val="18"/>
          <w:color w:val="auto"/>
        </w:rPr>
        <w:t>The Company continued its disciplined product development process which is intended to improve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bring new products to market. This included:</w:t>
      </w:r>
    </w:p>
    <w:p>
      <w:pPr>
        <w:ind w:left="1280" w:hanging="309"/>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market launch of the AlphaVac Mechanical Thrombectomy device in December 2021;</w:t>
      </w:r>
    </w:p>
    <w:p>
      <w:pPr>
        <w:spacing w:after="0" w:line="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clearance of the AlphaVac F18 thrombectomy system;</w:t>
      </w:r>
    </w:p>
    <w:p>
      <w:pPr>
        <w:spacing w:after="0" w:line="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an IDE study for the use of AlphaVac F18 to treat pulmonary embolism; and</w:t>
      </w:r>
    </w:p>
    <w:p>
      <w:pPr>
        <w:spacing w:after="0" w:line="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of the first patients in the PRESERVE study for the use of NanoKnife in the prostate.</w:t>
      </w:r>
    </w:p>
    <w:p>
      <w:pPr>
        <w:spacing w:after="0" w:line="7" w:lineRule="exact"/>
        <w:rPr>
          <w:rFonts w:ascii="Times New Roman" w:cs="Times New Roman" w:eastAsia="Times New Roman" w:hAnsi="Times New Roman"/>
          <w:sz w:val="18"/>
          <w:szCs w:val="18"/>
          <w:color w:val="auto"/>
        </w:rPr>
      </w:pPr>
    </w:p>
    <w:p>
      <w:pPr>
        <w:ind w:left="640" w:right="160" w:hanging="312"/>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Value Creation. </w:t>
      </w:r>
      <w:r>
        <w:rPr>
          <w:rFonts w:ascii="Times New Roman" w:cs="Times New Roman" w:eastAsia="Times New Roman" w:hAnsi="Times New Roman"/>
          <w:sz w:val="18"/>
          <w:szCs w:val="18"/>
          <w:color w:val="auto"/>
        </w:rPr>
        <w:t>To create value and drive future growth, the Company plans to practice dispassionate portfolio optimization and continue to focus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areas of compelling unmet needs including those that are patient-centric and evidenced-based. In addition, the Company is pursuing targeted global expansion opportunities.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Use of Estimates</w:t>
      </w:r>
    </w:p>
    <w:p>
      <w:pPr>
        <w:spacing w:after="0" w:line="172" w:lineRule="exact"/>
        <w:rPr>
          <w:sz w:val="20"/>
          <w:szCs w:val="20"/>
          <w:color w:val="auto"/>
        </w:rPr>
      </w:pPr>
    </w:p>
    <w:p>
      <w:pPr>
        <w:ind w:right="80" w:firstLine="385"/>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summarized in Note 1 "Basis of Presentation, Business Description and Summary of Significant Accounting Policies" in the consolidated financial statements included in this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0" w:lineRule="exact"/>
        <w:rPr>
          <w:sz w:val="20"/>
          <w:szCs w:val="20"/>
          <w:color w:val="auto"/>
        </w:rPr>
      </w:pPr>
    </w:p>
    <w:p>
      <w:pPr>
        <w:ind w:right="80" w:firstLine="385"/>
        <w:spacing w:after="0" w:line="255"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2"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8" w:lineRule="exact"/>
        <w:rPr>
          <w:sz w:val="20"/>
          <w:szCs w:val="20"/>
          <w:color w:val="auto"/>
        </w:rPr>
      </w:pPr>
    </w:p>
    <w:p>
      <w:pPr>
        <w:ind w:right="540" w:firstLine="385"/>
        <w:spacing w:after="0" w:line="27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described below.</w:t>
      </w:r>
    </w:p>
    <w:p>
      <w:pPr>
        <w:spacing w:after="0" w:line="110" w:lineRule="exact"/>
        <w:rPr>
          <w:sz w:val="20"/>
          <w:szCs w:val="20"/>
          <w:color w:val="auto"/>
        </w:rPr>
      </w:pPr>
    </w:p>
    <w:p>
      <w:pPr>
        <w:ind w:right="360" w:firstLine="385"/>
        <w:spacing w:after="0" w:line="258"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6" w:name="page37"/>
    <w:bookmarkEnd w:id="36"/>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 In determining whether control has transferred, the Company considers if there is a present right to payment from the customer and when physical possession, legal title and risks and rewards of ownership have transferred to the customer.</w:t>
      </w:r>
    </w:p>
    <w:p>
      <w:pPr>
        <w:spacing w:after="0" w:line="128"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0" w:lineRule="exact"/>
        <w:rPr>
          <w:sz w:val="20"/>
          <w:szCs w:val="20"/>
          <w:color w:val="auto"/>
        </w:rPr>
      </w:pPr>
    </w:p>
    <w:p>
      <w:pPr>
        <w:ind w:right="80" w:firstLine="385"/>
        <w:spacing w:after="0" w:line="244"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55" w:lineRule="exact"/>
        <w:rPr>
          <w:sz w:val="20"/>
          <w:szCs w:val="20"/>
          <w:color w:val="auto"/>
        </w:rPr>
      </w:pPr>
    </w:p>
    <w:p>
      <w:pPr>
        <w:jc w:val="both"/>
        <w:ind w:right="500" w:firstLine="385"/>
        <w:spacing w:after="0" w:line="26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3" w:lineRule="exact"/>
        <w:rPr>
          <w:sz w:val="20"/>
          <w:szCs w:val="20"/>
          <w:color w:val="auto"/>
        </w:rPr>
      </w:pPr>
    </w:p>
    <w:p>
      <w:pPr>
        <w:ind w:right="160" w:firstLine="385"/>
        <w:spacing w:after="0" w:line="278" w:lineRule="auto"/>
        <w:rPr>
          <w:sz w:val="20"/>
          <w:szCs w:val="20"/>
          <w:color w:val="auto"/>
        </w:rPr>
      </w:pPr>
      <w:r>
        <w:rPr>
          <w:rFonts w:ascii="Times New Roman" w:cs="Times New Roman" w:eastAsia="Times New Roman" w:hAnsi="Times New Roman"/>
          <w:sz w:val="17"/>
          <w:szCs w:val="17"/>
          <w:color w:val="auto"/>
        </w:rPr>
        <w:t>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1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2022, such product returns were not material.</w:t>
      </w:r>
    </w:p>
    <w:p>
      <w:pPr>
        <w:spacing w:after="0" w:line="13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57" w:lineRule="exact"/>
        <w:rPr>
          <w:sz w:val="20"/>
          <w:szCs w:val="20"/>
          <w:color w:val="auto"/>
        </w:rPr>
      </w:pPr>
    </w:p>
    <w:p>
      <w:pPr>
        <w:ind w:right="20" w:firstLine="385"/>
        <w:spacing w:after="0" w:line="239"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based on the first-in, first-out cost method and consist of raw materials, work in process and finished goods. Appropriate consideration is given to deterioration, obsolescence, expiring and other factors in evaluating net realizable value. 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which may result in us recording excess and obsolete inventory amounts that do not match the required amounts. An increase to inventory reserves results in a corresponding increase in cost of revenue. Inventories are written off against the reserve when they are physically disposed.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Contingent Consideration</w:t>
      </w:r>
    </w:p>
    <w:p>
      <w:pPr>
        <w:spacing w:after="0" w:line="170" w:lineRule="exact"/>
        <w:rPr>
          <w:sz w:val="20"/>
          <w:szCs w:val="20"/>
          <w:color w:val="auto"/>
        </w:rPr>
      </w:pPr>
    </w:p>
    <w:p>
      <w:pPr>
        <w:ind w:right="160" w:firstLine="385"/>
        <w:spacing w:after="0" w:line="255" w:lineRule="auto"/>
        <w:rPr>
          <w:sz w:val="20"/>
          <w:szCs w:val="20"/>
          <w:color w:val="auto"/>
        </w:rPr>
      </w:pPr>
      <w:r>
        <w:rPr>
          <w:rFonts w:ascii="Times New Roman" w:cs="Times New Roman" w:eastAsia="Times New Roman" w:hAnsi="Times New Roman"/>
          <w:sz w:val="18"/>
          <w:szCs w:val="18"/>
          <w:color w:val="auto"/>
        </w:rPr>
        <w:t>The Company allocates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The Company generally values the identifiable intangible assets acquired using a discounted cash flow model. The significant estimates used in valuing certain of the intangible assets include, but are not limited to: future expected cash flows of the asset, discount rates to determine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7" w:name="page38"/>
    <w:bookmarkEnd w:id="37"/>
    <w:p>
      <w:pPr>
        <w:ind w:right="100"/>
        <w:spacing w:after="0" w:line="278" w:lineRule="auto"/>
        <w:rPr>
          <w:sz w:val="20"/>
          <w:szCs w:val="20"/>
          <w:color w:val="auto"/>
        </w:rPr>
      </w:pPr>
      <w:r>
        <w:rPr>
          <w:rFonts w:ascii="Times New Roman" w:cs="Times New Roman" w:eastAsia="Times New Roman" w:hAnsi="Times New Roman"/>
          <w:sz w:val="18"/>
          <w:szCs w:val="18"/>
          <w:color w:val="auto"/>
        </w:rPr>
        <w:t>present value of the future cash flows, attrition rates of customers, royalty rates and expected technology life cycles. The Company also estimates the useful lives of the intangible assets based on the expected period over which the Company anticipates generating economic benefit from the asset.</w:t>
      </w:r>
    </w:p>
    <w:p>
      <w:pPr>
        <w:spacing w:after="0" w:line="110" w:lineRule="exact"/>
        <w:rPr>
          <w:sz w:val="20"/>
          <w:szCs w:val="20"/>
          <w:color w:val="auto"/>
        </w:rPr>
      </w:pPr>
    </w:p>
    <w:p>
      <w:pPr>
        <w:ind w:right="360" w:firstLine="385"/>
        <w:spacing w:after="0" w:line="278" w:lineRule="auto"/>
        <w:rPr>
          <w:sz w:val="20"/>
          <w:szCs w:val="20"/>
          <w:color w:val="auto"/>
        </w:rPr>
      </w:pPr>
      <w:r>
        <w:rPr>
          <w:rFonts w:ascii="Times New Roman" w:cs="Times New Roman" w:eastAsia="Times New Roman" w:hAnsi="Times New Roman"/>
          <w:sz w:val="18"/>
          <w:szCs w:val="18"/>
          <w:color w:val="auto"/>
        </w:rPr>
        <w:t>The Company’s estimates of fair value are based on assumptions believed to be reasonable at that time. If management made different estimates or judgments, material differences in the fair values of the net assets acquired may result.</w:t>
      </w:r>
    </w:p>
    <w:p>
      <w:pPr>
        <w:spacing w:after="0" w:line="110" w:lineRule="exact"/>
        <w:rPr>
          <w:sz w:val="20"/>
          <w:szCs w:val="20"/>
          <w:color w:val="auto"/>
        </w:rPr>
      </w:pPr>
    </w:p>
    <w:p>
      <w:pPr>
        <w:ind w:right="20" w:firstLine="385"/>
        <w:spacing w:after="0" w:line="250" w:lineRule="auto"/>
        <w:rPr>
          <w:sz w:val="20"/>
          <w:szCs w:val="20"/>
          <w:color w:val="auto"/>
        </w:rPr>
      </w:pPr>
      <w:r>
        <w:rPr>
          <w:rFonts w:ascii="Times New Roman" w:cs="Times New Roman" w:eastAsia="Times New Roman" w:hAnsi="Times New Roman"/>
          <w:sz w:val="18"/>
          <w:szCs w:val="18"/>
          <w:color w:val="auto"/>
        </w:rPr>
        <w:t>Certain of the Company’s business combinations involve potential payment of future consideration that is contingent upon the achievement of certain product development milestones and/or contingent on the acquired business reaching certain performance milestones. The Company records contingent consideration at fair value at the date of acquisition based on the consideration expected to be transferred, estimated as the probability weighted future cash flows, discounted back to present value. The fair value of contingent consideration is measured using projected payment dates, discount rates, probabilities of payment, and projected revenues (for revenue-based considerations). Projected revenues are based on the Company’s most recent internal operational budgets and long-range strategic plans. The discount rate used is determined at the time of measurement in accordance with accepted valuation methodologies. Changes in projected revenues, probabilities of payment, discount rates, and projected payment dates may result in adjustments to the fair value measurements. Contingent consideration is remeasured each reporting period using Level 3 inputs, and the change in fair value, including accretion for the passage of time, is recognized as income or expense within operating expenses in the Consolidated Statements of Operations. Contingent consideration payments made soon after the acquisition date are classified as investing activities in the Consolidated Statements of Cash Flows. Contingent consideration payments not made soon after the acquisition date that are related to the acquisition date fair value are reported as financing activities in the Consolidated Statements of Cash Flows, and amounts paid in excess of the original acquisition date fair value are reported as operating activities in the Consolidated Statements of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70" w:lineRule="exact"/>
        <w:rPr>
          <w:sz w:val="20"/>
          <w:szCs w:val="20"/>
          <w:color w:val="auto"/>
        </w:rPr>
      </w:pPr>
    </w:p>
    <w:p>
      <w:pPr>
        <w:ind w:right="140" w:firstLine="385"/>
        <w:spacing w:after="0" w:line="268" w:lineRule="auto"/>
        <w:rPr>
          <w:sz w:val="20"/>
          <w:szCs w:val="20"/>
          <w:color w:val="auto"/>
        </w:rPr>
      </w:pPr>
      <w:r>
        <w:rPr>
          <w:rFonts w:ascii="Times New Roman" w:cs="Times New Roman" w:eastAsia="Times New Roman" w:hAnsi="Times New Roman"/>
          <w:sz w:val="17"/>
          <w:szCs w:val="17"/>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 is earned from the sales of the related product. The Company periodically reviews the estimated useful lives of intangible assets and reviews such assets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a single asset group.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24"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Goodwill and other intangible assets that have indefinite useful lives are not amortized, but rather, are tested for impairment annually or more frequently if impairment indicators arise. The Company has historically performed its annual goodwill assessment during the third quarter of each year (as of December 31). During the fourth quarter of fiscal year 2022, the Company decided to change the date of its annual impairment assessment from December 31st to April 30th. The change was made to more closely align the impairment assessment date with the Company's long term planning and forecasting process. See Note 8,"Goodwill and Intangible Assets" accompanying the consolidated financial statements.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3" w:lineRule="exact"/>
        <w:rPr>
          <w:sz w:val="20"/>
          <w:szCs w:val="20"/>
          <w:color w:val="auto"/>
        </w:rPr>
      </w:pPr>
    </w:p>
    <w:p>
      <w:pPr>
        <w:ind w:right="120" w:firstLine="385"/>
        <w:spacing w:after="0" w:line="254" w:lineRule="auto"/>
        <w:rPr>
          <w:sz w:val="20"/>
          <w:szCs w:val="20"/>
          <w:color w:val="auto"/>
        </w:rPr>
      </w:pPr>
      <w:r>
        <w:rPr>
          <w:rFonts w:ascii="Times New Roman" w:cs="Times New Roman" w:eastAsia="Times New Roman" w:hAnsi="Times New Roman"/>
          <w:sz w:val="18"/>
          <w:szCs w:val="18"/>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The Company operates as a single operating segment with one reporting unit and consequently evaluates goodwill for impairment based on an evaluation of the fair value of the Company as a whole. If the carrying value of the reporting unit exceeds the fair value of the reporting unit, the carrying value is reduced to its fair value through an adjustment to the goodwill balance, resulting in an impairment charge.</w:t>
      </w:r>
    </w:p>
    <w:p>
      <w:pPr>
        <w:spacing w:after="0" w:line="132" w:lineRule="exact"/>
        <w:rPr>
          <w:sz w:val="20"/>
          <w:szCs w:val="20"/>
          <w:color w:val="auto"/>
        </w:rPr>
      </w:pPr>
    </w:p>
    <w:p>
      <w:pPr>
        <w:ind w:right="300" w:firstLine="385"/>
        <w:spacing w:after="0" w:line="263"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and requires the use of significant estimates and assumptions, including revenue growth rates, operating margins, discount rates and future market conditions, among others. Changes in assumptions or estimates could materially affect the estimated fair value, and therefore could affect the likelihood and amount of a potential impairment.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8" w:name="page39"/>
    <w:bookmarkEnd w:id="38"/>
    <w:p>
      <w:pPr>
        <w:ind w:right="1940" w:firstLine="385"/>
        <w:spacing w:after="0" w:line="434" w:lineRule="auto"/>
        <w:rPr>
          <w:sz w:val="20"/>
          <w:szCs w:val="20"/>
          <w:color w:val="auto"/>
        </w:rPr>
      </w:pPr>
      <w:r>
        <w:rPr>
          <w:rFonts w:ascii="Times New Roman" w:cs="Times New Roman" w:eastAsia="Times New Roman" w:hAnsi="Times New Roman"/>
          <w:sz w:val="18"/>
          <w:szCs w:val="18"/>
          <w:color w:val="auto"/>
        </w:rPr>
        <w:t xml:space="preserve">There were no adjustments to goodwill for the year ended May 31, 2022 other than foreign currency translation adjustments. </w:t>
      </w:r>
      <w:r>
        <w:rPr>
          <w:rFonts w:ascii="Times New Roman" w:cs="Times New Roman" w:eastAsia="Times New Roman" w:hAnsi="Times New Roman"/>
          <w:sz w:val="18"/>
          <w:szCs w:val="18"/>
          <w:b w:val="1"/>
          <w:bCs w:val="1"/>
          <w:color w:val="auto"/>
        </w:rPr>
        <w:t>Results of Operations for the years ended May 31, 2022 and 2021</w:t>
      </w:r>
    </w:p>
    <w:p>
      <w:pPr>
        <w:spacing w:after="0" w:line="1" w:lineRule="exact"/>
        <w:rPr>
          <w:sz w:val="20"/>
          <w:szCs w:val="20"/>
          <w:color w:val="auto"/>
        </w:rPr>
      </w:pPr>
    </w:p>
    <w:p>
      <w:pPr>
        <w:ind w:right="240" w:firstLine="385"/>
        <w:spacing w:after="0" w:line="278" w:lineRule="auto"/>
        <w:rPr>
          <w:sz w:val="20"/>
          <w:szCs w:val="20"/>
          <w:color w:val="auto"/>
        </w:rPr>
      </w:pPr>
      <w:r>
        <w:rPr>
          <w:rFonts w:ascii="Times New Roman" w:cs="Times New Roman" w:eastAsia="Times New Roman" w:hAnsi="Times New Roman"/>
          <w:sz w:val="18"/>
          <w:szCs w:val="18"/>
          <w:color w:val="auto"/>
        </w:rPr>
        <w:t>For the fiscal year ended May 31, 2022, the Company reported a net loss of $26.5 million, or a loss of $0.68 per diluted share, on net sales of $316.2 million compared to a net loss of $31.5 million, or a loss of $0.82 per diluted share, on net sales of $291.0 million in fiscal year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our products and related freight charges, less discounts, rebates and returns.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year ended May 31, 2022 and 2021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64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by Product Category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Endovascular Therapies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2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Oncology/Surgery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8"/>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60" w:firstLine="321"/>
        <w:spacing w:after="0" w:line="278" w:lineRule="auto"/>
        <w:rPr>
          <w:sz w:val="20"/>
          <w:szCs w:val="20"/>
          <w:color w:val="auto"/>
        </w:rPr>
      </w:pPr>
      <w:r>
        <w:rPr>
          <w:rFonts w:ascii="Times New Roman" w:cs="Times New Roman" w:eastAsia="Times New Roman" w:hAnsi="Times New Roman"/>
          <w:sz w:val="18"/>
          <w:szCs w:val="18"/>
          <w:color w:val="auto"/>
        </w:rPr>
        <w:t>For the year ended May 31, 2022, net sales increased $25.2 million to $316.2 million compared to the year ended May 31, 2021. At May 31, 2022, the Company had a backlog of $8.4 million.</w:t>
      </w:r>
    </w:p>
    <w:p>
      <w:pPr>
        <w:spacing w:after="0" w:line="110" w:lineRule="exact"/>
        <w:rPr>
          <w:sz w:val="20"/>
          <w:szCs w:val="20"/>
          <w:color w:val="auto"/>
        </w:rPr>
      </w:pPr>
    </w:p>
    <w:p>
      <w:pPr>
        <w:ind w:firstLine="321"/>
        <w:spacing w:after="0" w:line="278" w:lineRule="auto"/>
        <w:rPr>
          <w:sz w:val="20"/>
          <w:szCs w:val="20"/>
          <w:color w:val="auto"/>
        </w:rPr>
      </w:pPr>
      <w:r>
        <w:rPr>
          <w:rFonts w:ascii="Times New Roman" w:cs="Times New Roman" w:eastAsia="Times New Roman" w:hAnsi="Times New Roman"/>
          <w:sz w:val="18"/>
          <w:szCs w:val="18"/>
          <w:color w:val="auto"/>
        </w:rPr>
        <w:t>The Med Tech business net sales increased $23.0 million for the year ended May 31, 2022 compared to the prior year. The change in sales from the prior year was primarily driven by:</w:t>
      </w:r>
    </w:p>
    <w:p>
      <w:pPr>
        <w:spacing w:after="0" w:line="110" w:lineRule="exact"/>
        <w:rPr>
          <w:sz w:val="20"/>
          <w:szCs w:val="20"/>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Auryon sales of $18.0 million;</w:t>
      </w:r>
    </w:p>
    <w:p>
      <w:pPr>
        <w:spacing w:after="0" w:line="26" w:lineRule="exact"/>
        <w:rPr>
          <w:rFonts w:ascii="Times New Roman" w:cs="Times New Roman" w:eastAsia="Times New Roman" w:hAnsi="Times New Roman"/>
          <w:sz w:val="18"/>
          <w:szCs w:val="18"/>
          <w:color w:val="auto"/>
        </w:rPr>
      </w:pPr>
    </w:p>
    <w:p>
      <w:pPr>
        <w:ind w:left="640" w:right="160" w:hanging="312"/>
        <w:spacing w:after="0" w:line="24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thrombectomy platform of $3.7 million, which was driven by growth in the mechanical thrombectomy platform and was partially offset by decreased sales of thrombolytics. Increased sales in the mechanical thrombectomy platform of $4.0 million was driven by AngioVac and the launch of the AlphaVac product in the second quarter of fiscal year 2022; and</w:t>
      </w:r>
    </w:p>
    <w:p>
      <w:pPr>
        <w:spacing w:after="0" w:line="1" w:lineRule="exact"/>
        <w:rPr>
          <w:rFonts w:ascii="Times New Roman" w:cs="Times New Roman" w:eastAsia="Times New Roman" w:hAnsi="Times New Roman"/>
          <w:sz w:val="18"/>
          <w:szCs w:val="18"/>
          <w:color w:val="auto"/>
        </w:rPr>
      </w:pPr>
    </w:p>
    <w:p>
      <w:pPr>
        <w:ind w:left="640" w:right="560" w:hanging="312"/>
        <w:spacing w:after="0" w:line="25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NanoKnife sales of $1.3 million, which was driven by NanoKnife disposable sales in the U.S. which increased $2.3 million due to increased case volume. This increase was partially offset by decreased NanoKnife capital sales in the U.S. and NanoKnife disposable sales internationally.</w:t>
      </w:r>
    </w:p>
    <w:p>
      <w:pPr>
        <w:spacing w:after="0" w:line="133" w:lineRule="exact"/>
        <w:rPr>
          <w:sz w:val="20"/>
          <w:szCs w:val="20"/>
          <w:color w:val="auto"/>
        </w:rPr>
      </w:pPr>
    </w:p>
    <w:p>
      <w:pPr>
        <w:ind w:right="60" w:firstLine="321"/>
        <w:spacing w:after="0" w:line="263" w:lineRule="auto"/>
        <w:rPr>
          <w:sz w:val="20"/>
          <w:szCs w:val="20"/>
          <w:color w:val="auto"/>
        </w:rPr>
      </w:pPr>
      <w:r>
        <w:rPr>
          <w:rFonts w:ascii="Times New Roman" w:cs="Times New Roman" w:eastAsia="Times New Roman" w:hAnsi="Times New Roman"/>
          <w:sz w:val="18"/>
          <w:szCs w:val="18"/>
          <w:color w:val="auto"/>
        </w:rPr>
        <w:t>The Med Device business net sales increased $2.2 million for the year ended May 31, 2022 compared to the prior year. Excluding the large UK order of $5.2 million in the first quarter of the prior year, net sales increased $7.4 million for the year ended May 31, 2022. The change in sales from the prior year was primarily driven by:</w:t>
      </w:r>
    </w:p>
    <w:p>
      <w:pPr>
        <w:spacing w:after="0" w:line="123" w:lineRule="exact"/>
        <w:rPr>
          <w:sz w:val="20"/>
          <w:szCs w:val="20"/>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backlog of $8.4 million at May 31, 2022, which primarily impacted sales of Core, Venous and Vascular Access products; and</w:t>
      </w:r>
    </w:p>
    <w:p>
      <w:pPr>
        <w:spacing w:after="0" w:line="26" w:lineRule="exact"/>
        <w:rPr>
          <w:rFonts w:ascii="Times New Roman" w:cs="Times New Roman" w:eastAsia="Times New Roman" w:hAnsi="Times New Roman"/>
          <w:sz w:val="18"/>
          <w:szCs w:val="18"/>
          <w:color w:val="auto"/>
        </w:rPr>
      </w:pPr>
    </w:p>
    <w:p>
      <w:pPr>
        <w:ind w:left="640" w:right="280" w:hanging="312"/>
        <w:spacing w:after="0" w:line="25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case volume, which resulted in increased sales of Core and Venous (despite the impact of the backlog) and BioSentry products of $3.7 million, $0.5 million and $0.4 million, respectively. Port sales also increased $2.7 million, driven primarily by sales in the U.S. These increases were partially offset by decreased Midline, PICCs, Dialysis,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8"/>
          <w:szCs w:val="18"/>
          <w:color w:val="auto"/>
        </w:rPr>
        <w:t>Radio Frequency Ablation and other Oncology product sales of $2.6 million, $0.9 million, $0.2 million, $0.9 million and $0.6 million respectively.</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Excluding the prior year order in the UK, Midlines, PICCs and Ports increased $4.4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 ended May 31,</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(exclusive of intangible amortization)</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165,732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156,788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36,390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81,306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35,918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$8.9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$14.6 million;</w:t>
      </w:r>
    </w:p>
    <w:p>
      <w:pPr>
        <w:spacing w:after="0" w:line="26" w:lineRule="exact"/>
        <w:rPr>
          <w:rFonts w:ascii="Times New Roman" w:cs="Times New Roman" w:eastAsia="Times New Roman" w:hAnsi="Times New Roman"/>
          <w:sz w:val="18"/>
          <w:szCs w:val="18"/>
          <w:color w:val="auto"/>
        </w:rPr>
      </w:pPr>
    </w:p>
    <w:p>
      <w:pPr>
        <w:ind w:left="640" w:right="680" w:hanging="312"/>
        <w:spacing w:after="0" w:line="24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mix, which positively impacted gross profit by $1.6 million as a result of increased sales of higher margin Auryon and AngioVac products. This positive impact was partially offset by sales of lower margin Vascular Access products;</w:t>
      </w:r>
    </w:p>
    <w:p>
      <w:pPr>
        <w:ind w:left="640" w:hanging="312"/>
        <w:spacing w:after="0" w:line="23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 expense, which negatively impacted gross profit by $0.9 million;</w:t>
      </w:r>
    </w:p>
    <w:p>
      <w:pPr>
        <w:ind w:left="640" w:right="60" w:hanging="312"/>
        <w:spacing w:after="0" w:line="23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costs related to Auryon and AlphaVac of $3.1 million, including depreciation on Auryon placement units of $1.3 million, which negatively impacted gross profit;</w:t>
      </w:r>
    </w:p>
    <w:p>
      <w:pPr>
        <w:spacing w:after="0" w:line="1" w:lineRule="exact"/>
        <w:rPr>
          <w:rFonts w:ascii="Times New Roman" w:cs="Times New Roman" w:eastAsia="Times New Roman" w:hAnsi="Times New Roman"/>
          <w:sz w:val="18"/>
          <w:szCs w:val="18"/>
          <w:color w:val="auto"/>
        </w:rPr>
      </w:pPr>
    </w:p>
    <w:p>
      <w:pPr>
        <w:ind w:left="640" w:hanging="312"/>
        <w:spacing w:after="0" w:line="23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freight and inflationary costs on raw materials, which negatively impacted gross profit by $3.4 million year over year; and</w:t>
      </w:r>
    </w:p>
    <w:p>
      <w:pPr>
        <w:ind w:left="640" w:right="540" w:hanging="312"/>
        <w:spacing w:after="0" w:line="23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$0.8 million that was recorded as a result of the employee retention credit that the Company filed for under the provisions of the CARES Act in the third quarter of the current year compared to a benefit of $0.7 million in the prior year period.</w:t>
      </w:r>
    </w:p>
    <w:p>
      <w:pPr>
        <w:spacing w:after="0" w:line="14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manage clinical, regulatory and medical affairs.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decreased $5.7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which reduced R&amp;D project expense by $4.2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R&amp;D positions, which resulted in decreased compensation and benefits expense of $1.6 million; and</w:t>
      </w:r>
    </w:p>
    <w:p>
      <w:pPr>
        <w:spacing w:after="0" w:line="7" w:lineRule="exact"/>
        <w:rPr>
          <w:rFonts w:ascii="Times New Roman" w:cs="Times New Roman" w:eastAsia="Times New Roman" w:hAnsi="Times New Roman"/>
          <w:sz w:val="18"/>
          <w:szCs w:val="18"/>
          <w:color w:val="auto"/>
        </w:rPr>
      </w:pPr>
    </w:p>
    <w:p>
      <w:pPr>
        <w:ind w:left="640" w:right="540" w:hanging="312"/>
        <w:spacing w:after="0" w:line="25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$0.5 million that was recorded as a result of the employee retention credit that the Company filed for under the provisions of the CARES Act in the third quarter of the current year compared to $0.3 million in the prior year period.</w:t>
      </w:r>
    </w:p>
    <w:p>
      <w:pPr>
        <w:spacing w:after="0" w:line="209"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increased by $14.0 million compared to the prior year. The change from the prior year was primarily driven by:</w:t>
      </w:r>
    </w:p>
    <w:p>
      <w:pPr>
        <w:spacing w:after="0" w:line="168" w:lineRule="exact"/>
        <w:rPr>
          <w:sz w:val="20"/>
          <w:szCs w:val="20"/>
          <w:color w:val="auto"/>
        </w:rPr>
      </w:pPr>
    </w:p>
    <w:p>
      <w:pPr>
        <w:ind w:left="640" w:right="260" w:hanging="312"/>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headcount from the build-out of the Auryon sales and marketing teams, which increased compensation and benefits expense by $11.7 million;</w:t>
      </w: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meeting, tradeshow and other expenses, which increased $4.2 million as some COVID-19 restrictions were lifted;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0" w:name="page41"/>
    <w:bookmarkEnd w:id="40"/>
    <w:p>
      <w:pPr>
        <w:ind w:left="640" w:right="540" w:hanging="312"/>
        <w:spacing w:after="0" w:line="278"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$2.8 million that was recorded as a result of the employee retention credit that the Company filed for under the provisions of the CARES Act in the third quarter of the current year compared to $0.9 million in the prior year period.</w:t>
      </w:r>
    </w:p>
    <w:p>
      <w:pPr>
        <w:spacing w:after="0" w:line="110"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by $2.5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$1.3 million; and</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which increased $2.0 million, partially offset by decreased legal expense of $0.9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May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0" w:type="dxa"/>
            <w:vAlign w:val="bottom"/>
          </w:tcPr>
          <w:p>
            <w:pPr>
              <w:spacing w:after="0"/>
              <w:rPr>
                <w:sz w:val="1"/>
                <w:szCs w:val="1"/>
                <w:color w:val="auto"/>
              </w:rPr>
            </w:pPr>
          </w:p>
        </w:tc>
      </w:tr>
      <w:tr>
        <w:trPr>
          <w:trHeight w:val="23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 assets held by the Company.</w:t>
      </w:r>
    </w:p>
    <w:p>
      <w:pPr>
        <w:spacing w:after="0" w:line="168" w:lineRule="exact"/>
        <w:rPr>
          <w:sz w:val="20"/>
          <w:szCs w:val="20"/>
          <w:color w:val="auto"/>
        </w:rPr>
      </w:pPr>
    </w:p>
    <w:p>
      <w:pPr>
        <w:ind w:left="640" w:right="80" w:hanging="312"/>
        <w:spacing w:after="0" w:line="309"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increased $1.3 million compared to the prior year. The increase is due to amortization relating to the Camaro intangible asset addition of $3.9 million in the first quarter of fiscal year 2022, partially offset by assets that became fully amortized in fiscal year 2021 and 2022.</w:t>
      </w:r>
    </w:p>
    <w:p>
      <w:pPr>
        <w:spacing w:after="0" w:line="8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10"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year ended May 31, 2022 is related to the Eximo contingent consideration.</w:t>
      </w:r>
    </w:p>
    <w:p>
      <w:pPr>
        <w:spacing w:after="0" w:line="248"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17"/>
          <w:szCs w:val="17"/>
          <w:u w:val="single" w:color="auto"/>
          <w:color w:val="auto"/>
        </w:rPr>
        <w:t>Acquisition, restructuring and other items, net</w:t>
      </w:r>
      <w:r>
        <w:rPr>
          <w:rFonts w:ascii="Times New Roman" w:cs="Times New Roman" w:eastAsia="Times New Roman" w:hAnsi="Times New Roman"/>
          <w:sz w:val="17"/>
          <w:szCs w:val="17"/>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8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Acquisition, restructuring and other items, net decreased by $11.2 million compared to the prior year. The change from the prior year was primarily driven by:</w:t>
      </w:r>
    </w:p>
    <w:p>
      <w:pPr>
        <w:spacing w:after="0" w:line="110" w:lineRule="exact"/>
        <w:rPr>
          <w:sz w:val="20"/>
          <w:szCs w:val="20"/>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increased $1.5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to Costa Rica, which increased $0.6 million;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facilities relocation expense related to the sale of the Fluid Management business which decreased $0.4 million;</w:t>
      </w:r>
    </w:p>
    <w:p>
      <w:pPr>
        <w:spacing w:after="0" w:line="7" w:lineRule="exact"/>
        <w:rPr>
          <w:rFonts w:ascii="Times New Roman" w:cs="Times New Roman" w:eastAsia="Times New Roman" w:hAnsi="Times New Roman"/>
          <w:sz w:val="18"/>
          <w:szCs w:val="18"/>
          <w:color w:val="auto"/>
        </w:rPr>
      </w:pPr>
    </w:p>
    <w:p>
      <w:pPr>
        <w:ind w:left="640" w:right="60" w:hanging="312"/>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 fees from Medline Industries of $1.0 million that were received in fiscal year 2021. These activities were completed during fiscal year 2021; and</w:t>
      </w:r>
    </w:p>
    <w:p>
      <w:pPr>
        <w:ind w:left="640" w:right="40" w:hanging="312"/>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$14.0 million impairment charge that was recorded in fiscal year 2021 as a result of the decision to abandon the OARtrac product technology and trademark.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w:t>
      </w:r>
      <w:r>
        <w:rPr>
          <w:rFonts w:ascii="Times New Roman" w:cs="Times New Roman" w:eastAsia="Times New Roman" w:hAnsi="Times New Roman"/>
          <w:sz w:val="18"/>
          <w:szCs w:val="18"/>
          <w:color w:val="auto"/>
        </w:rPr>
        <w:t xml:space="preserve"> - Other expense includes interest expense, foreign currency impacts, bank fees, and amortization of deferred financing costs.</w:t>
      </w:r>
    </w:p>
    <w:p>
      <w:pPr>
        <w:spacing w:after="0" w:line="168" w:lineRule="exact"/>
        <w:rPr>
          <w:sz w:val="20"/>
          <w:szCs w:val="20"/>
          <w:color w:val="auto"/>
        </w:rPr>
      </w:pPr>
    </w:p>
    <w:p>
      <w:pPr>
        <w:ind w:left="640" w:right="20" w:hanging="312"/>
        <w:spacing w:after="0" w:line="27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other expense of $0.7 million compared to the prior year is primarily due to unrealized foreign currency losses of $0.8 partially offset by decreased interest expense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140" w:firstLine="402"/>
        <w:spacing w:after="0" w:line="242" w:lineRule="auto"/>
        <w:rPr>
          <w:sz w:val="20"/>
          <w:szCs w:val="20"/>
          <w:color w:val="auto"/>
        </w:rPr>
      </w:pPr>
      <w:r>
        <w:rPr>
          <w:rFonts w:ascii="Times New Roman" w:cs="Times New Roman" w:eastAsia="Times New Roman" w:hAnsi="Times New Roman"/>
          <w:sz w:val="18"/>
          <w:szCs w:val="18"/>
          <w:color w:val="auto"/>
        </w:rPr>
        <w:t>Our effective tax rate was a benefit of 11% for fiscal year 2022 compared with an effective tax rate benefit of 12% for the prior year. The current year and prior year effective tax rates differ from the U.S. statutory rate primarily due to the impact of the valuation allowance, foreign taxes, and other non-deductible permanent items (such as non-deductible meals and entertainment, Section 162(m) excess compensation) and the impact of stock-based compensation.</w:t>
      </w:r>
    </w:p>
    <w:p>
      <w:pPr>
        <w:spacing w:after="0" w:line="223" w:lineRule="exact"/>
        <w:rPr>
          <w:sz w:val="20"/>
          <w:szCs w:val="20"/>
          <w:color w:val="auto"/>
        </w:rPr>
      </w:pPr>
    </w:p>
    <w:p>
      <w:pPr>
        <w:ind w:right="120" w:firstLine="402"/>
        <w:spacing w:after="0" w:line="278" w:lineRule="auto"/>
        <w:rPr>
          <w:sz w:val="20"/>
          <w:szCs w:val="20"/>
          <w:color w:val="auto"/>
        </w:rPr>
      </w:pPr>
      <w:r>
        <w:rPr>
          <w:rFonts w:ascii="Times New Roman" w:cs="Times New Roman" w:eastAsia="Times New Roman" w:hAnsi="Times New Roman"/>
          <w:sz w:val="17"/>
          <w:szCs w:val="17"/>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12" w:lineRule="exact"/>
        <w:rPr>
          <w:sz w:val="20"/>
          <w:szCs w:val="20"/>
          <w:color w:val="auto"/>
        </w:rPr>
      </w:pPr>
    </w:p>
    <w:p>
      <w:pPr>
        <w:ind w:right="80" w:firstLine="402"/>
        <w:spacing w:after="0" w:line="254"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2022.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2" w:lineRule="exact"/>
        <w:rPr>
          <w:sz w:val="20"/>
          <w:szCs w:val="20"/>
          <w:color w:val="auto"/>
        </w:rPr>
      </w:pPr>
    </w:p>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in light of the significant uncertainty created by the COVID-19 global pandemic. We believe that our current cash on hand and availability under our Revolving Facility provide sufficient liquidity to meet our anticipated needs for capital for at least the next 12 months. We are closely monitoring receivables and payables.</w:t>
      </w:r>
    </w:p>
    <w:p>
      <w:pPr>
        <w:spacing w:after="0" w:line="123" w:lineRule="exact"/>
        <w:rPr>
          <w:sz w:val="20"/>
          <w:szCs w:val="20"/>
          <w:color w:val="auto"/>
        </w:rPr>
      </w:pPr>
    </w:p>
    <w:p>
      <w:pPr>
        <w:jc w:val="both"/>
        <w:ind w:right="200" w:firstLine="385"/>
        <w:spacing w:after="0" w:line="263" w:lineRule="auto"/>
        <w:rPr>
          <w:sz w:val="20"/>
          <w:szCs w:val="20"/>
          <w:color w:val="auto"/>
        </w:rPr>
      </w:pPr>
      <w:r>
        <w:rPr>
          <w:rFonts w:ascii="Times New Roman" w:cs="Times New Roman" w:eastAsia="Times New Roman" w:hAnsi="Times New Roman"/>
          <w:sz w:val="18"/>
          <w:szCs w:val="18"/>
          <w:color w:val="auto"/>
        </w:rPr>
        <w:t>Our cash and cash equivalents totaled $28.8 million as of May 31, 2022, compared with $48.2 million as of May 31, 2021. As of May 31, 2022, total debt outstanding related to the Revolving Facility was $25.0 million. The fair value of the contingent consideration liability as of May 31, 2022 was $16.9 million.</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our cash flows for the years ended May 31,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May 31, 2022 and 2021, cash flows consisted of the following: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operating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2022 and 2021:</w:t>
      </w:r>
    </w:p>
    <w:p>
      <w:pPr>
        <w:spacing w:after="0" w:line="168" w:lineRule="exact"/>
        <w:rPr>
          <w:sz w:val="20"/>
          <w:szCs w:val="20"/>
          <w:color w:val="auto"/>
        </w:rPr>
      </w:pPr>
    </w:p>
    <w:p>
      <w:pPr>
        <w:jc w:val="both"/>
        <w:ind w:left="640" w:right="360" w:hanging="312"/>
        <w:spacing w:after="0" w:line="26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$26.5 million and $31.5 million, respectively, plus the non-cash items, primarily driven by depreciation and amortization and stock-based compensation, along with the changes in working capital below, contributed to cash used in operations of $7.2 million for the year ended May 31, 2022 and cash provided by operations of $24.1 million for the year ended May 31,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2" w:name="page43"/>
    <w:bookmarkEnd w:id="42"/>
    <w:p>
      <w:pPr>
        <w:ind w:left="640" w:right="420" w:hanging="312"/>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31, 2022, working capital was unfavorably impacted by increased accounts receivable and inventory on hand of $17.2 million and $2.8 million, respectively. This was partially offset by increased accounts payable and accrued liabilities of $3.9 million.</w:t>
      </w:r>
    </w:p>
    <w:p>
      <w:pPr>
        <w:ind w:left="640" w:right="80" w:hanging="312"/>
        <w:spacing w:after="0" w:line="25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31, 2021, working capital was favorably impacted by decreased inventory on hand of $11.5 million and increased accounts payable and accrued liabilities of $4.9 million. This was partially offset by increased accounts receivable of $4.2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2022 and 2021:</w:t>
      </w:r>
    </w:p>
    <w:p>
      <w:pPr>
        <w:spacing w:after="0" w:line="168" w:lineRule="exact"/>
        <w:rPr>
          <w:sz w:val="20"/>
          <w:szCs w:val="20"/>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and $5.2 million, respectively, of cash was used for fixed asset additions;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and $8.5 million, respectively, of cash was used for Auryon placement and evaluation unit additions;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of cash was used for the QX Medical asset acquisition in the first quarter of fiscal year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financing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2022 and 2021:</w:t>
      </w:r>
    </w:p>
    <w:p>
      <w:pPr>
        <w:spacing w:after="0" w:line="168" w:lineRule="exact"/>
        <w:rPr>
          <w:sz w:val="20"/>
          <w:szCs w:val="20"/>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draw on the Revolving Facility in the first quarter of fiscal year 2022 for the QX Medical asset acquisition;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payment on the Revolving Facility in the third quarter of fiscal year 2021;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and $3.0 million, respectively, of proceeds from stock option and ESPP activity.</w:t>
      </w:r>
    </w:p>
    <w:p>
      <w:pPr>
        <w:spacing w:after="0" w:line="149" w:lineRule="exact"/>
        <w:rPr>
          <w:sz w:val="20"/>
          <w:szCs w:val="20"/>
          <w:color w:val="auto"/>
        </w:rPr>
      </w:pPr>
    </w:p>
    <w:p>
      <w:pPr>
        <w:ind w:right="140" w:firstLine="385"/>
        <w:spacing w:after="0" w:line="252" w:lineRule="auto"/>
        <w:rPr>
          <w:sz w:val="20"/>
          <w:szCs w:val="20"/>
          <w:color w:val="auto"/>
        </w:rPr>
      </w:pPr>
      <w:r>
        <w:rPr>
          <w:rFonts w:ascii="Times New Roman" w:cs="Times New Roman" w:eastAsia="Times New Roman" w:hAnsi="Times New Roman"/>
          <w:sz w:val="18"/>
          <w:szCs w:val="18"/>
          <w:color w:val="auto"/>
        </w:rPr>
        <w:t>Our 2019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consolidated EBITDA (as defined in the Credit Agreement). The amount that we can borrow under our Credit Agreement is directly based on our leverage ratio. The interest rate on the Revolving Facility at May 31, 2022 was 2.31%. The company was in compliance with the Credit Agreement covenants as of May 31, 2022.</w:t>
      </w:r>
    </w:p>
    <w:p>
      <w:pPr>
        <w:spacing w:after="0" w:line="136"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In the first quarter of fiscal year 2022, the Company made a $5.0 million draw on the Revolving Facility in conjunction with the QX Medical asset acquisition. In December 2020 and March 2021, payments of $10.0 million each were made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32"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Our contractual obligations as of May 31, 2022 are set forth in the table below (in thousands). We have no variable interest entities or other off-balance sheet obligations.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color w:val="auto"/>
              </w:rPr>
              <w:t>Cash payments due by period as of May 31, 2022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1"/>
                <w:szCs w:val="11"/>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1"/>
                <w:szCs w:val="11"/>
                <w:color w:val="auto"/>
              </w:rPr>
            </w:pPr>
          </w:p>
        </w:tc>
        <w:tc>
          <w:tcPr>
            <w:tcW w:w="10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color w:val="auto"/>
              </w:rPr>
              <w:t>Less than</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1-3 Years</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3-5 Years</w:t>
            </w:r>
          </w:p>
        </w:tc>
        <w:tc>
          <w:tcPr>
            <w:tcW w:w="220" w:type="dxa"/>
            <w:vAlign w:val="bottom"/>
          </w:tcPr>
          <w:p>
            <w:pPr>
              <w:spacing w:after="0"/>
              <w:rPr>
                <w:sz w:val="11"/>
                <w:szCs w:val="11"/>
                <w:color w:val="auto"/>
              </w:rPr>
            </w:pPr>
          </w:p>
        </w:tc>
        <w:tc>
          <w:tcPr>
            <w:tcW w:w="900" w:type="dxa"/>
            <w:vAlign w:val="bottom"/>
          </w:tcPr>
          <w:p>
            <w:pPr>
              <w:jc w:val="right"/>
              <w:ind w:right="275"/>
              <w:spacing w:after="0" w:line="131" w:lineRule="exact"/>
              <w:rPr>
                <w:sz w:val="20"/>
                <w:szCs w:val="20"/>
                <w:color w:val="auto"/>
              </w:rPr>
            </w:pPr>
            <w:r>
              <w:rPr>
                <w:rFonts w:ascii="Times New Roman" w:cs="Times New Roman" w:eastAsia="Times New Roman" w:hAnsi="Times New Roman"/>
                <w:sz w:val="14"/>
                <w:szCs w:val="14"/>
                <w:color w:val="auto"/>
              </w:rPr>
              <w:t>After 5</w:t>
            </w:r>
          </w:p>
        </w:tc>
        <w:tc>
          <w:tcPr>
            <w:tcW w:w="0" w:type="dxa"/>
            <w:vAlign w:val="bottom"/>
          </w:tcPr>
          <w:p>
            <w:pPr>
              <w:spacing w:after="0"/>
              <w:rPr>
                <w:sz w:val="1"/>
                <w:szCs w:val="1"/>
                <w:color w:val="auto"/>
              </w:rPr>
            </w:pPr>
          </w:p>
        </w:tc>
      </w:tr>
      <w:tr>
        <w:trPr>
          <w:trHeight w:val="191"/>
        </w:trPr>
        <w:tc>
          <w:tcPr>
            <w:tcW w:w="5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One Year</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 term debt and interest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Acquisition-related future obligations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25,280</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240" w:hanging="233"/>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leases include short-term leases that are not recorded on our Consolidated Balance Sheets under </w:t>
      </w:r>
      <w:r>
        <w:rPr>
          <w:rFonts w:ascii="Times New Roman" w:cs="Times New Roman" w:eastAsia="Times New Roman" w:hAnsi="Times New Roman"/>
          <w:sz w:val="17"/>
          <w:szCs w:val="17"/>
          <w:color w:val="auto"/>
        </w:rPr>
        <w:t>ASU No. 2016-02.</w:t>
      </w:r>
    </w:p>
    <w:p>
      <w:pPr>
        <w:spacing w:after="0" w:line="37"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inventory purchase obligations are not reflected on our Consolidated Balance Sheets under accounting principles generally accepted in the United States of America.</w:t>
      </w:r>
    </w:p>
    <w:p>
      <w:pPr>
        <w:spacing w:after="0" w:line="29" w:lineRule="exact"/>
        <w:rPr>
          <w:rFonts w:ascii="Times New Roman" w:cs="Times New Roman" w:eastAsia="Times New Roman" w:hAnsi="Times New Roman"/>
          <w:sz w:val="16"/>
          <w:szCs w:val="16"/>
          <w:color w:val="auto"/>
        </w:rPr>
      </w:pPr>
    </w:p>
    <w:p>
      <w:pPr>
        <w:ind w:right="20" w:firstLine="7"/>
        <w:spacing w:after="0" w:line="261" w:lineRule="auto"/>
        <w:tabs>
          <w:tab w:leader="none" w:pos="2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2021 and 2020</w:t>
      </w:r>
    </w:p>
    <w:p>
      <w:pPr>
        <w:spacing w:after="0" w:line="172" w:lineRule="exact"/>
        <w:rPr>
          <w:sz w:val="20"/>
          <w:szCs w:val="20"/>
          <w:color w:val="auto"/>
        </w:rPr>
      </w:pPr>
    </w:p>
    <w:p>
      <w:pPr>
        <w:jc w:val="both"/>
        <w:ind w:firstLine="385"/>
        <w:spacing w:after="0" w:line="309" w:lineRule="auto"/>
        <w:rPr>
          <w:sz w:val="20"/>
          <w:szCs w:val="20"/>
          <w:color w:val="auto"/>
        </w:rPr>
      </w:pPr>
      <w:r>
        <w:rPr>
          <w:rFonts w:ascii="Times New Roman" w:cs="Times New Roman" w:eastAsia="Times New Roman" w:hAnsi="Times New Roman"/>
          <w:sz w:val="17"/>
          <w:szCs w:val="17"/>
          <w:color w:val="auto"/>
        </w:rPr>
        <w:t>For management discussion and analysis of our 2021 financial results and liquidity compared with 2020, see Part II, Item 7 "Management's Discussion and Analysis of Financial Condition and Results of Operations" in our Annual Report on Form 10-K for the year ended May 31, 2021 filed on July 27,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 of the Notes to the consolidated financial statements for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2"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0" w:lineRule="exact"/>
        <w:rPr>
          <w:sz w:val="20"/>
          <w:szCs w:val="20"/>
          <w:color w:val="auto"/>
        </w:rPr>
      </w:pPr>
    </w:p>
    <w:p>
      <w:pPr>
        <w:ind w:right="20" w:firstLine="385"/>
        <w:spacing w:after="0" w:line="274" w:lineRule="auto"/>
        <w:rPr>
          <w:sz w:val="20"/>
          <w:szCs w:val="20"/>
          <w:color w:val="auto"/>
        </w:rPr>
      </w:pPr>
      <w:r>
        <w:rPr>
          <w:rFonts w:ascii="Times New Roman" w:cs="Times New Roman" w:eastAsia="Times New Roman" w:hAnsi="Times New Roman"/>
          <w:sz w:val="17"/>
          <w:szCs w:val="17"/>
          <w:color w:val="auto"/>
        </w:rPr>
        <w:t>We transact sales in currencies other than the U.S. Dollar, particularly the Euro, British pound and Canadian dollar. Approximately 6.2% of our sales in fiscal year 2022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 Income. Significant non-functional balances include accounts receivable due from some of our international customers.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2" w:lineRule="exact"/>
        <w:rPr>
          <w:sz w:val="20"/>
          <w:szCs w:val="20"/>
          <w:color w:val="auto"/>
        </w:rPr>
      </w:pPr>
    </w:p>
    <w:p>
      <w:pPr>
        <w:jc w:val="both"/>
        <w:ind w:firstLine="385"/>
        <w:spacing w:after="0" w:line="278" w:lineRule="auto"/>
        <w:rPr>
          <w:sz w:val="20"/>
          <w:szCs w:val="20"/>
          <w:color w:val="auto"/>
        </w:rPr>
      </w:pPr>
      <w:r>
        <w:rPr>
          <w:rFonts w:ascii="Times New Roman" w:cs="Times New Roman" w:eastAsia="Times New Roman" w:hAnsi="Times New Roman"/>
          <w:sz w:val="17"/>
          <w:szCs w:val="17"/>
          <w:color w:val="auto"/>
        </w:rPr>
        <w:t>We have a Credit Agreement which provides for a $125.0 million Revolving Facility. Interest on the facility will be based, at the Company’s option, on either a base rate of LIBOR or alternate base rate, plus an applicable margin tied to the Company’s total leverage ratio and having ranges between 0.25% and 0.75% for base rate loans and between 1.25% and 1.75% for LIBOR loans. In the event of default, the interest rate may be increased by 2.0%. As of May 31, 2022, there was $25.0 million outstanding on the Revolving Facility. The interest rate on the Revolving Facility at May 31, 2022 was 2.31%.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2" w:lineRule="exact"/>
        <w:rPr>
          <w:sz w:val="20"/>
          <w:szCs w:val="20"/>
          <w:color w:val="auto"/>
        </w:rPr>
      </w:pPr>
    </w:p>
    <w:p>
      <w:pPr>
        <w:ind w:right="860" w:firstLine="385"/>
        <w:spacing w:after="0" w:line="27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Revolving Facility and trade accounts receivable.</w:t>
      </w:r>
    </w:p>
    <w:p>
      <w:pPr>
        <w:spacing w:after="0" w:line="110"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investment grade banks. The Company has the ability to draw equally amongst the five banks which limits the concentration of credit risk of one institution.</w:t>
      </w:r>
    </w:p>
    <w:p>
      <w:pPr>
        <w:spacing w:after="0" w:line="123"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2"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Financial statements and supplementary data required by Part II, Item 8 are included in Part IV of this report and indexed under Item 15 (a) (1) and (2) of this report, and are incorporated by reference into this Item 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2" w:lineRule="exact"/>
        <w:rPr>
          <w:sz w:val="20"/>
          <w:szCs w:val="20"/>
          <w:color w:val="auto"/>
        </w:rPr>
      </w:pPr>
    </w:p>
    <w:p>
      <w:pPr>
        <w:ind w:right="220" w:firstLine="385"/>
        <w:spacing w:after="0" w:line="27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16" w:lineRule="exact"/>
        <w:rPr>
          <w:sz w:val="20"/>
          <w:szCs w:val="20"/>
          <w:color w:val="auto"/>
        </w:rPr>
      </w:pP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6" w:lineRule="exact"/>
        <w:rPr>
          <w:rFonts w:ascii="Times New Roman" w:cs="Times New Roman" w:eastAsia="Times New Roman" w:hAnsi="Times New Roman"/>
          <w:sz w:val="18"/>
          <w:szCs w:val="18"/>
          <w:color w:val="auto"/>
        </w:rPr>
      </w:pPr>
    </w:p>
    <w:p>
      <w:pPr>
        <w:ind w:left="640" w:right="52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29"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80" w:firstLine="385"/>
        <w:spacing w:after="0" w:line="286" w:lineRule="auto"/>
        <w:rPr>
          <w:sz w:val="20"/>
          <w:szCs w:val="20"/>
          <w:color w:val="auto"/>
        </w:rPr>
      </w:pPr>
      <w:r>
        <w:rPr>
          <w:rFonts w:ascii="Times New Roman" w:cs="Times New Roman" w:eastAsia="Times New Roman" w:hAnsi="Times New Roman"/>
          <w:sz w:val="17"/>
          <w:szCs w:val="17"/>
          <w:color w:val="auto"/>
        </w:rPr>
        <w:t xml:space="preserve">Our management has assessed the effectiveness of our internal control over financial reporting as of May 31, 2022.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(2013). Based on this evaluation, management concluded that our internal control over financial reporting was effective as of May 31, 2022.</w:t>
      </w:r>
    </w:p>
    <w:p>
      <w:pPr>
        <w:spacing w:after="0" w:line="105" w:lineRule="exact"/>
        <w:rPr>
          <w:sz w:val="20"/>
          <w:szCs w:val="20"/>
          <w:color w:val="auto"/>
        </w:rPr>
      </w:pPr>
    </w:p>
    <w:p>
      <w:pPr>
        <w:ind w:right="460" w:firstLine="385"/>
        <w:spacing w:after="0" w:line="278"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May 31, 2022 has been audited by Deloitte &amp; Touche LLP, an independent registered public accounting firm, as stated in their report which appears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2" w:lineRule="exact"/>
        <w:rPr>
          <w:sz w:val="20"/>
          <w:szCs w:val="20"/>
          <w:color w:val="auto"/>
        </w:rPr>
      </w:pPr>
    </w:p>
    <w:p>
      <w:pPr>
        <w:ind w:right="800" w:firstLine="385"/>
        <w:spacing w:after="0" w:line="278"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year ended May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6" w:name="page47"/>
    <w:bookmarkEnd w:id="46"/>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AngioDynamics, Inc. and subsidiaries (the “Company”) as of May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May 31, 2022, based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May 31, 2022, of the Company and our report dated July 22, 2022,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9"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Foreign Jurisdictions that Prevent Inspections.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82"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2" w:lineRule="exact"/>
        <w:rPr>
          <w:sz w:val="20"/>
          <w:szCs w:val="20"/>
          <w:color w:val="auto"/>
        </w:rPr>
      </w:pPr>
    </w:p>
    <w:p>
      <w:pPr>
        <w:ind w:right="60" w:firstLine="385"/>
        <w:spacing w:after="0" w:line="28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2022. The information included in the Proxy Statement under the respective headings noted below is incorporated herein by reference.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2"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“Ownership of Securities”.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2" w:lineRule="exact"/>
        <w:rPr>
          <w:sz w:val="20"/>
          <w:szCs w:val="20"/>
          <w:color w:val="auto"/>
        </w:rPr>
      </w:pPr>
    </w:p>
    <w:p>
      <w:pPr>
        <w:ind w:right="420" w:firstLine="385"/>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“Certain Relationships and Related Transactions”.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2" w:lineRule="exact"/>
        <w:rPr>
          <w:sz w:val="20"/>
          <w:szCs w:val="20"/>
          <w:color w:val="auto"/>
        </w:rPr>
      </w:pPr>
    </w:p>
    <w:p>
      <w:pPr>
        <w:jc w:val="both"/>
        <w:ind w:right="360" w:firstLine="385"/>
        <w:spacing w:after="0" w:line="263"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(a)(1) </w:t>
      </w:r>
      <w:r>
        <w:rPr>
          <w:rFonts w:ascii="Times New Roman" w:cs="Times New Roman" w:eastAsia="Times New Roman" w:hAnsi="Times New Roman"/>
          <w:sz w:val="18"/>
          <w:szCs w:val="18"/>
          <w:b w:val="1"/>
          <w:bCs w:val="1"/>
          <w:i w:val="1"/>
          <w:iCs w:val="1"/>
          <w:color w:val="auto"/>
        </w:rPr>
        <w:t>Financial Statements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consolidated financial statements and supplementary data of Registrant and its subsidiaries required by Part II, Item 8, are included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IV of this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w:t>
            </w:r>
            <w:r>
              <w:rPr>
                <w:rFonts w:ascii="Times New Roman" w:cs="Times New Roman" w:eastAsia="Times New Roman" w:hAnsi="Times New Roman"/>
                <w:sz w:val="18"/>
                <w:szCs w:val="18"/>
                <w:color w:val="3051F2"/>
              </w:rPr>
              <w:t>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E32E1"/>
              </w:rPr>
              <w:t>34)</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Operations—Year ended May 31, 2022, 2021 and 2020</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 Year ended May 31, 2022, 2021 and 2020</w:t>
            </w: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8"/>
        </w:trPr>
        <w:tc>
          <w:tcPr>
            <w:tcW w:w="20" w:type="dxa"/>
            <w:vAlign w:val="bottom"/>
          </w:tcPr>
          <w:p>
            <w:pPr>
              <w:spacing w:after="0"/>
              <w:rPr>
                <w:sz w:val="18"/>
                <w:szCs w:val="18"/>
                <w:color w:val="auto"/>
              </w:rPr>
            </w:pPr>
          </w:p>
        </w:tc>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Balance Sheets—May 31, 2022 and May 31, 2021</w:t>
            </w:r>
          </w:p>
        </w:tc>
        <w:tc>
          <w:tcPr>
            <w:tcW w:w="4240" w:type="dxa"/>
            <w:vAlign w:val="bottom"/>
            <w:gridSpan w:val="8"/>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8"/>
        </w:trPr>
        <w:tc>
          <w:tcPr>
            <w:tcW w:w="20" w:type="dxa"/>
            <w:vAlign w:val="bottom"/>
          </w:tcPr>
          <w:p>
            <w:pPr>
              <w:spacing w:after="0"/>
              <w:rPr>
                <w:sz w:val="18"/>
                <w:szCs w:val="18"/>
                <w:color w:val="auto"/>
              </w:rPr>
            </w:pPr>
          </w:p>
        </w:tc>
        <w:tc>
          <w:tcPr>
            <w:tcW w:w="6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Equity—Year ended May 31, 2022, 2021 and 2020</w:t>
            </w: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8"/>
        </w:trPr>
        <w:tc>
          <w:tcPr>
            <w:tcW w:w="20" w:type="dxa"/>
            <w:vAlign w:val="bottom"/>
          </w:tcPr>
          <w:p>
            <w:pPr>
              <w:spacing w:after="0"/>
              <w:rPr>
                <w:sz w:val="18"/>
                <w:szCs w:val="18"/>
                <w:color w:val="auto"/>
              </w:rPr>
            </w:pPr>
          </w:p>
        </w:tc>
        <w:tc>
          <w:tcPr>
            <w:tcW w:w="8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Flows—Year ended May 31, 2022, 2021 and 2020</w:t>
            </w: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8"/>
        </w:trPr>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70"/>
        </w:trPr>
        <w:tc>
          <w:tcPr>
            <w:tcW w:w="88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b w:val="1"/>
                <w:bCs w:val="1"/>
                <w:i w:val="1"/>
                <w:iCs w:val="1"/>
                <w:color w:val="auto"/>
              </w:rPr>
              <w:t>Financial Statement Schedules</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8"/>
        </w:trPr>
        <w:tc>
          <w:tcPr>
            <w:tcW w:w="8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is included in Part IV of this report:</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1"/>
        </w:trPr>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Schedule II—Valuation and qualifying accounts</w:t>
            </w:r>
          </w:p>
        </w:tc>
        <w:tc>
          <w:tcPr>
            <w:tcW w:w="5400" w:type="dxa"/>
            <w:vAlign w:val="bottom"/>
            <w:gridSpan w:val="9"/>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r>
    </w:tbl>
    <w:p>
      <w:pPr>
        <w:spacing w:after="0" w:line="169" w:lineRule="exact"/>
        <w:rPr>
          <w:sz w:val="20"/>
          <w:szCs w:val="20"/>
          <w:color w:val="auto"/>
        </w:rPr>
      </w:pPr>
    </w:p>
    <w:p>
      <w:pPr>
        <w:ind w:right="480" w:firstLine="385"/>
        <w:spacing w:after="0" w:line="269"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consolidated financial statements or notes thereto.</w:t>
      </w:r>
    </w:p>
    <w:tbl>
      <w:tblPr>
        <w:tblLayout w:type="fixed"/>
        <w:tblInd w:w="20" w:type="dxa"/>
        <w:tblCellMar>
          <w:top w:w="0" w:type="dxa"/>
          <w:left w:w="0" w:type="dxa"/>
          <w:bottom w:w="0" w:type="dxa"/>
          <w:right w:w="0" w:type="dxa"/>
        </w:tblCellMar>
      </w:tblPr>
      <w:tr>
        <w:trPr>
          <w:trHeight w:val="197"/>
        </w:trPr>
        <w:tc>
          <w:tcPr>
            <w:tcW w:w="880" w:type="dxa"/>
            <w:vAlign w:val="bottom"/>
            <w:tcBorders>
              <w:bottom w:val="single" w:sz="8" w:color="0000FF"/>
            </w:tcBorders>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w w:val="98"/>
              </w:rPr>
              <w:t>(b) Exhibits</w:t>
            </w:r>
          </w:p>
        </w:tc>
        <w:tc>
          <w:tcPr>
            <w:tcW w:w="1010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7" w:lineRule="exact"/>
              <w:rPr>
                <w:sz w:val="20"/>
                <w:szCs w:val="20"/>
                <w:color w:val="auto"/>
              </w:rPr>
            </w:pPr>
            <w:r>
              <w:rPr>
                <w:rFonts w:ascii="Times New Roman" w:cs="Times New Roman" w:eastAsia="Times New Roman" w:hAnsi="Times New Roman"/>
                <w:sz w:val="18"/>
                <w:szCs w:val="18"/>
                <w:color w:val="0000FF"/>
                <w:w w:val="88"/>
              </w:rPr>
              <w:t>83</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1" w:right="399" w:bottom="1440" w:gutter="0" w:footer="0" w:header="0"/>
        </w:sectPr>
      </w:pPr>
    </w:p>
    <w:bookmarkStart w:id="50" w:name="page51"/>
    <w:bookmarkEnd w:id="50"/>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8"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AngioDynamics, Inc. and subsidiaries (the "Company") as of May 31, 2022 and 2021, the related consolidated statements of operations, comprehensive income (loss), stockholders' equity, and cash flows, for each of the three years in the period ended May 31, 2022, and the related notes and the schedule listed in the Index at Item 15 (collectively referred to as the "financial statements"). In our opinion, the financial statements present fairly, in all material respects, the financial position of the Company as of May 31, 2022 and 2021, and the results of</w:t>
      </w:r>
    </w:p>
    <w:p>
      <w:pPr>
        <w:spacing w:after="0" w:line="2"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its operations and its cash flows for each of the three years in the period ended May 31, 2022, in conformity with accounting principles generally accepted in the United States of America.</w:t>
      </w:r>
    </w:p>
    <w:p>
      <w:pPr>
        <w:spacing w:after="0" w:line="103"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July 22, 2022, expressed an unqualified opinion on the Company's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8"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w:t>
      </w:r>
    </w:p>
    <w:p>
      <w:pPr>
        <w:spacing w:after="0" w:line="1" w:lineRule="exact"/>
        <w:rPr>
          <w:sz w:val="20"/>
          <w:szCs w:val="20"/>
          <w:color w:val="auto"/>
        </w:rPr>
      </w:pPr>
    </w:p>
    <w:p>
      <w:pPr>
        <w:ind w:right="100"/>
        <w:spacing w:after="0" w:line="201" w:lineRule="auto"/>
        <w:rPr>
          <w:sz w:val="20"/>
          <w:szCs w:val="20"/>
          <w:color w:val="auto"/>
        </w:rPr>
      </w:pPr>
      <w:r>
        <w:rPr>
          <w:rFonts w:ascii="Times New Roman" w:cs="Times New Roman" w:eastAsia="Times New Roman" w:hAnsi="Times New Roman"/>
          <w:sz w:val="18"/>
          <w:szCs w:val="18"/>
          <w:color w:val="auto"/>
        </w:rPr>
        <w:t>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8"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w:t>
      </w:r>
    </w:p>
    <w:p>
      <w:pPr>
        <w:spacing w:after="0" w:line="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statements, taken as a whole, and we are not, by communicating the critical audit matter below, providing a separate opinion on the critical audit matter or on the accounts or disclosures to which it relates.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 Excess Quantities and Obsolescence — Refer to Notes 1 &amp; 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6" w:lineRule="exact"/>
        <w:rPr>
          <w:sz w:val="20"/>
          <w:szCs w:val="20"/>
          <w:color w:val="auto"/>
        </w:rPr>
      </w:pPr>
    </w:p>
    <w:p>
      <w:pPr>
        <w:jc w:val="both"/>
        <w:ind w:right="120"/>
        <w:spacing w:after="0" w:line="214" w:lineRule="auto"/>
        <w:rPr>
          <w:sz w:val="20"/>
          <w:szCs w:val="20"/>
          <w:color w:val="auto"/>
        </w:rPr>
      </w:pPr>
      <w:r>
        <w:rPr>
          <w:rFonts w:ascii="Times New Roman" w:cs="Times New Roman" w:eastAsia="Times New Roman" w:hAnsi="Times New Roman"/>
          <w:sz w:val="18"/>
          <w:szCs w:val="18"/>
          <w:color w:val="auto"/>
        </w:rPr>
        <w:t>The Company evaluates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As of May 31, 2022, the Company has inventories of $51.4 million, net of excess quantities and obsolescence reserves.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reserve for excess quantities and obsolete inventory as a critical audit matter because of the significant estimates and assumptions</w:t>
      </w:r>
    </w:p>
    <w:p>
      <w:pPr>
        <w:jc w:val="both"/>
        <w:ind w:right="140"/>
        <w:spacing w:after="0" w:line="206" w:lineRule="auto"/>
        <w:rPr>
          <w:sz w:val="20"/>
          <w:szCs w:val="20"/>
          <w:color w:val="auto"/>
        </w:rPr>
      </w:pPr>
      <w:r>
        <w:rPr>
          <w:rFonts w:ascii="Times New Roman" w:cs="Times New Roman" w:eastAsia="Times New Roman" w:hAnsi="Times New Roman"/>
          <w:sz w:val="18"/>
          <w:szCs w:val="18"/>
          <w:color w:val="auto"/>
        </w:rPr>
        <w:t>management makes to quantify and to record the reserve, including the determination of expected demand. This required a high degree of auditor judgment and an increased extent of effort when performing audit procedures to evaluate the methodology and the reasonableness of assumptions including expected demand.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6" w:lineRule="exact"/>
        <w:rPr>
          <w:sz w:val="20"/>
          <w:szCs w:val="20"/>
          <w:color w:val="auto"/>
        </w:rPr>
      </w:pPr>
    </w:p>
    <w:p>
      <w:pPr>
        <w:jc w:val="both"/>
        <w:ind w:right="140"/>
        <w:spacing w:after="0" w:line="228" w:lineRule="auto"/>
        <w:rPr>
          <w:sz w:val="20"/>
          <w:szCs w:val="20"/>
          <w:color w:val="auto"/>
        </w:rPr>
      </w:pPr>
      <w:r>
        <w:rPr>
          <w:rFonts w:ascii="Times New Roman" w:cs="Times New Roman" w:eastAsia="Times New Roman" w:hAnsi="Times New Roman"/>
          <w:sz w:val="18"/>
          <w:szCs w:val="18"/>
          <w:color w:val="auto"/>
        </w:rPr>
        <w:t>Our audit procedures related to the reserve for excess quantities and obsolete inventory including management’s estimate of expected demand, included the following, among others:</w:t>
      </w:r>
    </w:p>
    <w:p>
      <w:pPr>
        <w:spacing w:after="0" w:line="116" w:lineRule="exact"/>
        <w:rPr>
          <w:sz w:val="20"/>
          <w:szCs w:val="20"/>
          <w:color w:val="auto"/>
        </w:rPr>
      </w:pPr>
    </w:p>
    <w:p>
      <w:pPr>
        <w:ind w:left="640" w:right="740" w:hanging="312"/>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inventory, including those over the estimation of reserves for excess quantities and obsolescence.</w:t>
      </w:r>
    </w:p>
    <w:p>
      <w:pPr>
        <w:ind w:left="640" w:right="46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Company's excess and obsolete inventory policy, considering historical experience and the underlying assumptions.</w:t>
      </w:r>
    </w:p>
    <w:p>
      <w:pPr>
        <w:ind w:left="640" w:right="24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calculation of the excess and obsolete reserve pursuant to the Company's policy, on a sample basis, including the completeness and accuracy of the data used in the calculation.</w:t>
      </w:r>
    </w:p>
    <w:p>
      <w:pPr>
        <w:ind w:left="640" w:right="140" w:hanging="312"/>
        <w:spacing w:after="0" w:line="25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by comparing management’s prior year projections of future demand by product, with actual product sales in the current year to identify potential bias in the inventory reserve.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1" w:name="page52"/>
    <w:bookmarkEnd w:id="51"/>
    <w:p>
      <w:pPr>
        <w:ind w:left="640" w:right="160" w:hanging="312"/>
        <w:spacing w:after="0" w:line="259"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discussions with senior financial and operating management to determine whether any strategic, regulatory, or operational changes in the business were consistent with the projections of future demand that were utilized as the basis for the reserves recorded.</w:t>
      </w:r>
    </w:p>
    <w:p>
      <w:pPr>
        <w:ind w:left="640" w:hanging="312"/>
        <w:spacing w:after="0" w:line="256"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the existence of contradictory evidence based on consideration of internal communication to management and the board of directors, Company press releases, and analysts' reports, as well as any changes within the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52" w:name="page53"/>
    <w:bookmarkEnd w:id="52"/>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150,272</w:t>
            </w:r>
          </w:p>
        </w:tc>
        <w:tc>
          <w:tcPr>
            <w:tcW w:w="0" w:type="dxa"/>
            <w:vAlign w:val="bottom"/>
          </w:tcPr>
          <w:p>
            <w:pPr>
              <w:spacing w:after="0"/>
              <w:rPr>
                <w:sz w:val="1"/>
                <w:szCs w:val="1"/>
                <w:color w:val="auto"/>
              </w:rPr>
            </w:pP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158,578</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317,370</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(167,098)</w:t>
            </w:r>
          </w:p>
        </w:tc>
        <w:tc>
          <w:tcPr>
            <w:tcW w:w="0" w:type="dxa"/>
            <w:vAlign w:val="bottom"/>
          </w:tcPr>
          <w:p>
            <w:pPr>
              <w:spacing w:after="0"/>
              <w:rPr>
                <w:sz w:val="1"/>
                <w:szCs w:val="1"/>
                <w:color w:val="auto"/>
              </w:rPr>
            </w:pP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194"/>
        </w:trPr>
        <w:tc>
          <w:tcPr>
            <w:tcW w:w="6720" w:type="dxa"/>
            <w:vAlign w:val="bottom"/>
          </w:tcPr>
          <w:p>
            <w:pPr>
              <w:ind w:left="660"/>
              <w:spacing w:after="0" w:line="195"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(26,547)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(31,548)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(166,787)</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0" w:type="dxa"/>
            <w:vAlign w:val="bottom"/>
          </w:tcPr>
          <w:p>
            <w:pPr>
              <w:spacing w:after="0"/>
              <w:rPr>
                <w:sz w:val="1"/>
                <w:szCs w:val="1"/>
                <w:color w:val="auto"/>
              </w:rPr>
            </w:pPr>
          </w:p>
        </w:tc>
      </w:tr>
      <w:tr>
        <w:trPr>
          <w:trHeight w:val="233"/>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3" w:name="page54"/>
    <w:bookmarkEnd w:id="53"/>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(166,787)</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$1,939 and $1,919,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35,405</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48,614</w:t>
            </w: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r>
      <w:tr>
        <w:trPr>
          <w:trHeight w:val="221"/>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168,977</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561,438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4"/>
        </w:trPr>
        <w:tc>
          <w:tcPr>
            <w:tcW w:w="82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35,459</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21"/>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4"/>
        </w:trPr>
        <w:tc>
          <w:tcPr>
            <w:tcW w:w="82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Commitments and Contingencies (Note 16)</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26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39,541,173 and 38,920,951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39,171,173 and 38,550,951 shares outstanding at May 31, 2022 and 2021, respectively</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573,507</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(131,866)</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370,000 shares, at cost at May 31, 2022 and 2021,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1"/>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439,457</w:t>
            </w: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561,438</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5" w:name="page56"/>
    <w:bookmarkEnd w:id="55"/>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6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1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jc w:val="center"/>
              <w:ind w:right="240"/>
              <w:spacing w:after="0" w:line="138" w:lineRule="exact"/>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5"/>
                <w:szCs w:val="5"/>
                <w:color w:val="auto"/>
              </w:rPr>
            </w:pPr>
          </w:p>
        </w:tc>
        <w:tc>
          <w:tcPr>
            <w:tcW w:w="1240" w:type="dxa"/>
            <w:vAlign w:val="bottom"/>
            <w:gridSpan w:val="2"/>
            <w:vMerge w:val="restart"/>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6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2019</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37,984,382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555,040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66,469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614,815</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(166,787)</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100,567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0" w:type="dxa"/>
            <w:vAlign w:val="bottom"/>
          </w:tcPr>
          <w:p>
            <w:pPr>
              <w:spacing w:after="0"/>
              <w:rPr>
                <w:sz w:val="1"/>
                <w:szCs w:val="1"/>
                <w:color w:val="auto"/>
              </w:rPr>
            </w:pPr>
          </w:p>
        </w:tc>
      </w:tr>
      <w:tr>
        <w:trPr>
          <w:trHeight w:val="194"/>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38,448,536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561,871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454,872</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(31,548)</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0" w:type="dxa"/>
            <w:vAlign w:val="bottom"/>
          </w:tcPr>
          <w:p>
            <w:pPr>
              <w:spacing w:after="0"/>
              <w:rPr>
                <w:sz w:val="1"/>
                <w:szCs w:val="1"/>
                <w:color w:val="auto"/>
              </w:rPr>
            </w:pPr>
          </w:p>
        </w:tc>
      </w:tr>
      <w:tr>
        <w:trPr>
          <w:trHeight w:val="186"/>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38,920,951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573,507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439,457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(26,547)</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Issuance/cancellation of performance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201"/>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39,541,173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586,879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(158,413)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424,489</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2020</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(166,787)</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23,805</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158,578</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accounts receivable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Asset impairments and disposals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w:t>
            </w:r>
          </w:p>
        </w:tc>
      </w:tr>
      <w:tr>
        <w:trPr>
          <w:trHeight w:val="228"/>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r>
      <w:tr>
        <w:trPr>
          <w:trHeight w:val="228"/>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28"/>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(14,554)</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(63,345)</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borrowings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(outlays) from exercise of stock options and employee stock purchase plan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(95,242)</w:t>
            </w:r>
          </w:p>
        </w:tc>
      </w:tr>
      <w:tr>
        <w:trPr>
          <w:trHeight w:val="221"/>
        </w:trPr>
        <w:tc>
          <w:tcPr>
            <w:tcW w:w="6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1"/>
        </w:trPr>
        <w:tc>
          <w:tcPr>
            <w:tcW w:w="6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(173,206)</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227,641</w:t>
            </w: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7" w:name="page58"/>
    <w:bookmarkEnd w:id="57"/>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color w:val="auto"/>
        </w:rPr>
        <w:t>Year ended May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2020</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 (decrease) in accounts payable for purchases of fixed assets</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Fair value of contingent consideration for acquisitions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year for:</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3"/>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8" w:lineRule="exact"/>
        <w:rPr>
          <w:sz w:val="20"/>
          <w:szCs w:val="20"/>
          <w:color w:val="auto"/>
        </w:rPr>
      </w:pPr>
    </w:p>
    <w:p>
      <w:pPr>
        <w:ind w:right="144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1. BASIS OF PRESENTATION, BUSINESS DESCRIPTION AND SUMMARY OF SIGNIFICANT ACCOUNTING POLICIES </w:t>
      </w:r>
      <w:r>
        <w:rPr>
          <w:rFonts w:ascii="Times New Roman" w:cs="Times New Roman" w:eastAsia="Times New Roman" w:hAnsi="Times New Roman"/>
          <w:sz w:val="18"/>
          <w:szCs w:val="18"/>
          <w:b w:val="1"/>
          <w:bCs w:val="1"/>
          <w:i w:val="1"/>
          <w:iCs w:val="1"/>
          <w:color w:val="auto"/>
        </w:rPr>
        <w:t>Basis of Presentation and Description of Business</w:t>
      </w: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Inc. and its wholly owned subsidiaries, (collectively, the "Company", "we", "our", or "us").</w:t>
      </w:r>
    </w:p>
    <w:p>
      <w:pPr>
        <w:spacing w:after="0" w:line="110" w:lineRule="exact"/>
        <w:rPr>
          <w:sz w:val="20"/>
          <w:szCs w:val="20"/>
          <w:color w:val="auto"/>
        </w:rPr>
      </w:pPr>
    </w:p>
    <w:p>
      <w:pPr>
        <w:ind w:right="360" w:firstLine="385"/>
        <w:spacing w:after="0" w:line="278" w:lineRule="auto"/>
        <w:rPr>
          <w:sz w:val="20"/>
          <w:szCs w:val="20"/>
          <w:color w:val="auto"/>
        </w:rPr>
      </w:pPr>
      <w:r>
        <w:rPr>
          <w:rFonts w:ascii="Times New Roman" w:cs="Times New Roman" w:eastAsia="Times New Roman" w:hAnsi="Times New Roman"/>
          <w:sz w:val="18"/>
          <w:szCs w:val="18"/>
          <w:color w:val="auto"/>
        </w:rPr>
        <w:t>The Company is a leading and transformative medical technology company focused on restoring healthy blood flow in the body's vascular system, expanding cancer treatment options and improving the quality of life for patients.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72"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accounting principles generally accepted in the United States of America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2"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and its subsidiaries (all of which are wholly owned). All intercompany balances and transactions have been eliminated.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2" w:lineRule="exact"/>
        <w:rPr>
          <w:sz w:val="20"/>
          <w:szCs w:val="20"/>
          <w:color w:val="auto"/>
        </w:rPr>
      </w:pPr>
    </w:p>
    <w:p>
      <w:pPr>
        <w:jc w:val="both"/>
        <w:ind w:right="320" w:firstLine="38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2" w:lineRule="exact"/>
        <w:rPr>
          <w:sz w:val="20"/>
          <w:szCs w:val="20"/>
          <w:color w:val="auto"/>
        </w:rPr>
      </w:pPr>
    </w:p>
    <w:p>
      <w:pPr>
        <w:jc w:val="both"/>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Instruments</w:t>
      </w:r>
    </w:p>
    <w:p>
      <w:pPr>
        <w:spacing w:after="0" w:line="172" w:lineRule="exact"/>
        <w:rPr>
          <w:sz w:val="20"/>
          <w:szCs w:val="20"/>
          <w:color w:val="auto"/>
        </w:rPr>
      </w:pPr>
    </w:p>
    <w:p>
      <w:pPr>
        <w:ind w:right="160" w:firstLine="385"/>
        <w:spacing w:after="0" w:line="255"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4 for further discussion of financial instruments that are carried at fair value on a recurring and nonrecurring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59" w:lineRule="exact"/>
        <w:rPr>
          <w:sz w:val="20"/>
          <w:szCs w:val="20"/>
          <w:color w:val="auto"/>
        </w:rPr>
      </w:pPr>
    </w:p>
    <w:p>
      <w:pPr>
        <w:ind w:right="60" w:firstLine="385"/>
        <w:spacing w:after="0" w:line="237"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based on the first-in, first-out cost method and consist of raw materials, work in process and finished goods. The standard cost of finished goods and work-in-process inventory is composed of material, labor and manufacturing overhead, which approximates actual cost. In addition to stating inventory at the lower of cost or net realizable value, we also evaluate inventory each reporting period for excess quantities and obsolescence, establishing reserves when necessary based upon historical experience, assessment of economic conditions and expected</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9" w:name="page60"/>
    <w:bookmarkEnd w:id="59"/>
    <w:p>
      <w:pPr>
        <w:ind w:right="80"/>
        <w:spacing w:after="0" w:line="263" w:lineRule="auto"/>
        <w:rPr>
          <w:sz w:val="20"/>
          <w:szCs w:val="20"/>
          <w:color w:val="auto"/>
        </w:rPr>
      </w:pPr>
      <w:r>
        <w:rPr>
          <w:rFonts w:ascii="Times New Roman" w:cs="Times New Roman" w:eastAsia="Times New Roman" w:hAnsi="Times New Roman"/>
          <w:sz w:val="18"/>
          <w:szCs w:val="18"/>
          <w:color w:val="auto"/>
        </w:rPr>
        <w:t>demand. Once recorded, these reserves are considered permanent adjustments to the carrying value of inventory. An increase to inventory reserves results in a corresponding increase in cost of revenue. Inventories are written off against the reserve when they are physically disposed.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2"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Placement and evaluation units represent capital equipment placed at customer locations under placement or evaluation agreements for which depreciation expense is included in cost of sales on the Consolidated Statements of Operations. Refer below for useful lives by category: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0" w:type="dxa"/>
            <w:vAlign w:val="bottom"/>
          </w:tcPr>
          <w:p>
            <w:pPr>
              <w:spacing w:after="0"/>
              <w:rPr>
                <w:sz w:val="20"/>
                <w:szCs w:val="20"/>
                <w:color w:val="auto"/>
              </w:rPr>
            </w:pP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9"/>
              </w:rPr>
              <w:t>Estimated useful lives</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5240" w:type="dxa"/>
            <w:vAlign w:val="bottom"/>
            <w:shd w:val="clear" w:color="auto" w:fill="CCEEFF"/>
          </w:tcPr>
          <w:p>
            <w:pPr>
              <w:jc w:val="center"/>
              <w:ind w:left="2971"/>
              <w:spacing w:after="0"/>
              <w:rPr>
                <w:sz w:val="20"/>
                <w:szCs w:val="20"/>
                <w:color w:val="auto"/>
              </w:rPr>
            </w:pPr>
            <w:r>
              <w:rPr>
                <w:rFonts w:ascii="Times New Roman" w:cs="Times New Roman" w:eastAsia="Times New Roman" w:hAnsi="Times New Roman"/>
                <w:sz w:val="18"/>
                <w:szCs w:val="18"/>
                <w:color w:val="auto"/>
                <w:w w:val="97"/>
              </w:rPr>
              <w:t>4 to 39 years</w:t>
            </w:r>
          </w:p>
        </w:tc>
      </w:tr>
      <w:tr>
        <w:trPr>
          <w:trHeight w:val="22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8"/>
              </w:rPr>
              <w:t>2 to 5 years</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240" w:type="dxa"/>
            <w:vAlign w:val="bottom"/>
            <w:shd w:val="clear" w:color="auto" w:fill="CCEEFF"/>
          </w:tcPr>
          <w:p>
            <w:pPr>
              <w:jc w:val="center"/>
              <w:ind w:left="2971"/>
              <w:spacing w:after="0"/>
              <w:rPr>
                <w:sz w:val="20"/>
                <w:szCs w:val="20"/>
                <w:color w:val="auto"/>
              </w:rPr>
            </w:pPr>
            <w:r>
              <w:rPr>
                <w:rFonts w:ascii="Times New Roman" w:cs="Times New Roman" w:eastAsia="Times New Roman" w:hAnsi="Times New Roman"/>
                <w:sz w:val="18"/>
                <w:szCs w:val="18"/>
                <w:color w:val="auto"/>
                <w:w w:val="98"/>
              </w:rPr>
              <w:t>5 to 8 years</w:t>
            </w:r>
          </w:p>
        </w:tc>
      </w:tr>
      <w:tr>
        <w:trPr>
          <w:trHeight w:val="23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and evaluation units</w:t>
            </w: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37" w:lineRule="exact"/>
        <w:rPr>
          <w:sz w:val="20"/>
          <w:szCs w:val="20"/>
          <w:color w:val="auto"/>
        </w:rPr>
      </w:pPr>
    </w:p>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2" w:lineRule="exact"/>
        <w:rPr>
          <w:sz w:val="20"/>
          <w:szCs w:val="20"/>
          <w:color w:val="auto"/>
        </w:rPr>
      </w:pPr>
    </w:p>
    <w:p>
      <w:pPr>
        <w:ind w:right="160" w:firstLine="385"/>
        <w:spacing w:after="0" w:line="252" w:lineRule="auto"/>
        <w:rPr>
          <w:sz w:val="20"/>
          <w:szCs w:val="20"/>
          <w:color w:val="auto"/>
        </w:rPr>
      </w:pPr>
      <w:r>
        <w:rPr>
          <w:rFonts w:ascii="Times New Roman" w:cs="Times New Roman" w:eastAsia="Times New Roman" w:hAnsi="Times New Roman"/>
          <w:sz w:val="18"/>
          <w:szCs w:val="18"/>
          <w:color w:val="auto"/>
        </w:rPr>
        <w:t>Intangible assets other than goodwill, indefinite lived intangible assets and in process research and development ("IP R&amp;D")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a single asset group.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33"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Goodwill and other intangible assets that have indefinite useful lives are not amortized, but rather, are tested for impairment annually or more frequently if impairment indicators arise. The Company has historically performed its annual goodwill assessment during the third quarter of each year (as of December 31). During the fourth quarter of fiscal year 2022, the Company decided to change the date of its annual impairment assessment from December 31 to April 30. The change was made to more closely align the impairment assessment date with the Company's long term planning and forecasting process. See Note 8, "Goodwill and Intangible Assets" accompanying the consolidated financial statements.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3" w:lineRule="exact"/>
        <w:rPr>
          <w:sz w:val="20"/>
          <w:szCs w:val="20"/>
          <w:color w:val="auto"/>
        </w:rPr>
      </w:pPr>
    </w:p>
    <w:p>
      <w:pPr>
        <w:ind w:right="120" w:firstLine="385"/>
        <w:spacing w:after="0" w:line="254" w:lineRule="auto"/>
        <w:rPr>
          <w:sz w:val="20"/>
          <w:szCs w:val="20"/>
          <w:color w:val="auto"/>
        </w:rPr>
      </w:pPr>
      <w:r>
        <w:rPr>
          <w:rFonts w:ascii="Times New Roman" w:cs="Times New Roman" w:eastAsia="Times New Roman" w:hAnsi="Times New Roman"/>
          <w:sz w:val="18"/>
          <w:szCs w:val="18"/>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The Company operates as a single operating segment with one reporting unit and consequently evaluates goodwill for impairment based on an evaluation of the fair value of the Company as a whole. If the carrying value of the reporting unit exceeds the fair value of the reporting unit, the carrying value is reduced to its fair value through an adjustment to the goodwill balance, resulting in an impairment charge.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2" w:lineRule="exact"/>
        <w:rPr>
          <w:sz w:val="20"/>
          <w:szCs w:val="20"/>
          <w:color w:val="auto"/>
        </w:rPr>
      </w:pPr>
    </w:p>
    <w:p>
      <w:pPr>
        <w:jc w:val="both"/>
        <w:ind w:right="60" w:firstLine="385"/>
        <w:spacing w:after="0" w:line="263" w:lineRule="auto"/>
        <w:rPr>
          <w:sz w:val="20"/>
          <w:szCs w:val="20"/>
          <w:color w:val="auto"/>
        </w:rPr>
      </w:pPr>
      <w:r>
        <w:rPr>
          <w:rFonts w:ascii="Times New Roman" w:cs="Times New Roman" w:eastAsia="Times New Roman" w:hAnsi="Times New Roman"/>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3, “Revenue from Contracts with Customers” for further discussion 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2" w:lineRule="exact"/>
        <w:rPr>
          <w:sz w:val="20"/>
          <w:szCs w:val="20"/>
          <w:color w:val="auto"/>
        </w:rPr>
      </w:pPr>
    </w:p>
    <w:p>
      <w:pPr>
        <w:ind w:right="100" w:firstLine="385"/>
        <w:spacing w:after="0" w:line="263" w:lineRule="auto"/>
        <w:rPr>
          <w:sz w:val="20"/>
          <w:szCs w:val="20"/>
          <w:color w:val="auto"/>
        </w:rPr>
      </w:pPr>
      <w:r>
        <w:rPr>
          <w:rFonts w:ascii="Times New Roman" w:cs="Times New Roman" w:eastAsia="Times New Roman" w:hAnsi="Times New Roman"/>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Statements of Operations.</w:t>
      </w:r>
    </w:p>
    <w:p>
      <w:pPr>
        <w:spacing w:after="0" w:line="13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2" w:lineRule="exact"/>
        <w:rPr>
          <w:sz w:val="20"/>
          <w:szCs w:val="20"/>
          <w:color w:val="auto"/>
        </w:rPr>
      </w:pPr>
    </w:p>
    <w:p>
      <w:pPr>
        <w:ind w:right="40" w:firstLine="385"/>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2"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14" w:lineRule="exact"/>
        <w:rPr>
          <w:sz w:val="20"/>
          <w:szCs w:val="20"/>
          <w:color w:val="auto"/>
        </w:rPr>
      </w:pPr>
    </w:p>
    <w:p>
      <w:pPr>
        <w:ind w:right="120" w:firstLine="385"/>
        <w:spacing w:after="0" w:line="263" w:lineRule="auto"/>
        <w:rPr>
          <w:sz w:val="20"/>
          <w:szCs w:val="20"/>
          <w:color w:val="auto"/>
        </w:rPr>
      </w:pPr>
      <w:r>
        <w:rPr>
          <w:rFonts w:ascii="Times New Roman" w:cs="Times New Roman" w:eastAsia="Times New Roman" w:hAnsi="Times New Roman"/>
          <w:sz w:val="18"/>
          <w:szCs w:val="18"/>
          <w:color w:val="auto"/>
        </w:rPr>
        <w:t>Transaction gains or losses that arise from exchange rate fluctuations on transactions denominated in a currency other than the functional currency are included in Other income (expense), net in the Consolidated Statements of Operations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2" w:lineRule="exact"/>
        <w:rPr>
          <w:sz w:val="20"/>
          <w:szCs w:val="20"/>
          <w:color w:val="auto"/>
        </w:rPr>
      </w:pPr>
    </w:p>
    <w:p>
      <w:pPr>
        <w:ind w:right="540" w:firstLine="385"/>
        <w:spacing w:after="0" w:line="278" w:lineRule="auto"/>
        <w:rPr>
          <w:sz w:val="20"/>
          <w:szCs w:val="20"/>
          <w:color w:val="auto"/>
        </w:rPr>
      </w:pPr>
      <w:r>
        <w:rPr>
          <w:rFonts w:ascii="Times New Roman" w:cs="Times New Roman" w:eastAsia="Times New Roman" w:hAnsi="Times New Roman"/>
          <w:sz w:val="18"/>
          <w:szCs w:val="18"/>
          <w:color w:val="auto"/>
        </w:rPr>
        <w:t>The Company is exposed to market risks, including changes in foreign currency and interest rates. The Company periodically enters into certain derivative financial instruments to hedge the underlying economic exposure.</w:t>
      </w:r>
    </w:p>
    <w:p>
      <w:pPr>
        <w:spacing w:after="0" w:line="110"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61" w:name="page62"/>
    <w:bookmarkEnd w:id="61"/>
    <w:p>
      <w:pPr>
        <w:ind w:right="520"/>
        <w:spacing w:after="0" w:line="278" w:lineRule="auto"/>
        <w:rPr>
          <w:sz w:val="20"/>
          <w:szCs w:val="20"/>
          <w:color w:val="auto"/>
        </w:rPr>
      </w:pPr>
      <w:r>
        <w:rPr>
          <w:rFonts w:ascii="Times New Roman" w:cs="Times New Roman" w:eastAsia="Times New Roman" w:hAnsi="Times New Roman"/>
          <w:sz w:val="18"/>
          <w:szCs w:val="18"/>
          <w:color w:val="auto"/>
        </w:rPr>
        <w:t>extent they are effective as hedges, are recorded in accumulated other comprehensive income (loss). There were no derivative instruments held by the Company as of May 31, 2022 and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Adopted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no recently issued accounting pronouncements that have been adopted.</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r>
      <w:tr>
        <w:trPr>
          <w:trHeight w:val="174"/>
        </w:trPr>
        <w:tc>
          <w:tcPr>
            <w:tcW w:w="23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ASU 2021-10, Government</w:t>
            </w:r>
          </w:p>
        </w:tc>
        <w:tc>
          <w:tcPr>
            <w:tcW w:w="380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This ASU increases the transparency of government</w:t>
            </w:r>
          </w:p>
        </w:tc>
        <w:tc>
          <w:tcPr>
            <w:tcW w:w="1260" w:type="dxa"/>
            <w:vAlign w:val="bottom"/>
            <w:tcBorders>
              <w:right w:val="single" w:sz="8" w:color="auto"/>
            </w:tcBorders>
          </w:tcPr>
          <w:p>
            <w:pPr>
              <w:ind w:left="160"/>
              <w:spacing w:after="0" w:line="174" w:lineRule="exact"/>
              <w:rPr>
                <w:sz w:val="20"/>
                <w:szCs w:val="20"/>
                <w:color w:val="auto"/>
              </w:rPr>
            </w:pPr>
            <w:r>
              <w:rPr>
                <w:rFonts w:ascii="Times New Roman" w:cs="Times New Roman" w:eastAsia="Times New Roman" w:hAnsi="Times New Roman"/>
                <w:sz w:val="18"/>
                <w:szCs w:val="18"/>
                <w:color w:val="auto"/>
              </w:rPr>
              <w:t>June 1, 2022</w:t>
            </w:r>
          </w:p>
        </w:tc>
        <w:tc>
          <w:tcPr>
            <w:tcW w:w="37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Assistance (Topic 832):</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assistance to include the disclosure of (1) the types</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first quarter of fiscal year 2023 and does not</w:t>
            </w:r>
          </w:p>
        </w:tc>
      </w:tr>
      <w:tr>
        <w:trPr>
          <w:trHeight w:val="201"/>
        </w:trPr>
        <w:tc>
          <w:tcPr>
            <w:tcW w:w="238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Disclosures by Business</w:t>
            </w:r>
          </w:p>
        </w:tc>
        <w:tc>
          <w:tcPr>
            <w:tcW w:w="380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of assistance, (2) an entity's accounting for the</w:t>
            </w:r>
          </w:p>
        </w:tc>
        <w:tc>
          <w:tcPr>
            <w:tcW w:w="1260" w:type="dxa"/>
            <w:vAlign w:val="bottom"/>
            <w:tcBorders>
              <w:right w:val="single" w:sz="8" w:color="auto"/>
            </w:tcBorders>
          </w:tcPr>
          <w:p>
            <w:pPr>
              <w:spacing w:after="0"/>
              <w:rPr>
                <w:sz w:val="17"/>
                <w:szCs w:val="17"/>
                <w:color w:val="auto"/>
              </w:rPr>
            </w:pPr>
          </w:p>
        </w:tc>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r>
      <w:tr>
        <w:trPr>
          <w:trHeight w:val="196"/>
        </w:trPr>
        <w:tc>
          <w:tcPr>
            <w:tcW w:w="238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Entities about Government</w:t>
            </w:r>
          </w:p>
        </w:tc>
        <w:tc>
          <w:tcPr>
            <w:tcW w:w="38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assistance, and (3) the effect of the assistance on an</w:t>
            </w:r>
          </w:p>
        </w:tc>
        <w:tc>
          <w:tcPr>
            <w:tcW w:w="1260" w:type="dxa"/>
            <w:vAlign w:val="bottom"/>
            <w:tcBorders>
              <w:right w:val="single" w:sz="8" w:color="auto"/>
            </w:tcBorders>
          </w:tcPr>
          <w:p>
            <w:pPr>
              <w:spacing w:after="0"/>
              <w:rPr>
                <w:sz w:val="17"/>
                <w:szCs w:val="17"/>
                <w:color w:val="auto"/>
              </w:rPr>
            </w:pPr>
          </w:p>
        </w:tc>
        <w:tc>
          <w:tcPr>
            <w:tcW w:w="3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40"/>
        </w:trPr>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Assistance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entity's financial statements.</w:t>
            </w:r>
          </w:p>
        </w:tc>
        <w:tc>
          <w:tcPr>
            <w:tcW w:w="1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174"/>
        </w:trPr>
        <w:tc>
          <w:tcPr>
            <w:tcW w:w="23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w:t>
            </w:r>
          </w:p>
        </w:tc>
        <w:tc>
          <w:tcPr>
            <w:tcW w:w="380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This ASU improves the accounting for acquired</w:t>
            </w:r>
          </w:p>
        </w:tc>
        <w:tc>
          <w:tcPr>
            <w:tcW w:w="1260" w:type="dxa"/>
            <w:vAlign w:val="bottom"/>
            <w:tcBorders>
              <w:right w:val="single" w:sz="8" w:color="auto"/>
            </w:tcBorders>
          </w:tcPr>
          <w:p>
            <w:pPr>
              <w:ind w:left="160"/>
              <w:spacing w:after="0" w:line="174" w:lineRule="exact"/>
              <w:rPr>
                <w:sz w:val="20"/>
                <w:szCs w:val="20"/>
                <w:color w:val="auto"/>
              </w:rPr>
            </w:pPr>
            <w:r>
              <w:rPr>
                <w:rFonts w:ascii="Times New Roman" w:cs="Times New Roman" w:eastAsia="Times New Roman" w:hAnsi="Times New Roman"/>
                <w:sz w:val="18"/>
                <w:szCs w:val="18"/>
                <w:color w:val="auto"/>
              </w:rPr>
              <w:t>June 1, 2023</w:t>
            </w:r>
          </w:p>
        </w:tc>
        <w:tc>
          <w:tcPr>
            <w:tcW w:w="37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Combinations (Topic 805):</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revenue contracts with customers in a business</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first quarter of fiscal year 2024 and does not</w:t>
            </w:r>
          </w:p>
        </w:tc>
      </w:tr>
      <w:tr>
        <w:trPr>
          <w:trHeight w:val="201"/>
        </w:trPr>
        <w:tc>
          <w:tcPr>
            <w:tcW w:w="238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Accounting for Contract Assets</w:t>
            </w:r>
          </w:p>
        </w:tc>
        <w:tc>
          <w:tcPr>
            <w:tcW w:w="380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combination by addressing diversity in practice and</w:t>
            </w:r>
          </w:p>
        </w:tc>
        <w:tc>
          <w:tcPr>
            <w:tcW w:w="1260" w:type="dxa"/>
            <w:vAlign w:val="bottom"/>
            <w:tcBorders>
              <w:right w:val="single" w:sz="8" w:color="auto"/>
            </w:tcBorders>
          </w:tcPr>
          <w:p>
            <w:pPr>
              <w:spacing w:after="0"/>
              <w:rPr>
                <w:sz w:val="17"/>
                <w:szCs w:val="17"/>
                <w:color w:val="auto"/>
              </w:rPr>
            </w:pPr>
          </w:p>
        </w:tc>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and Contract Liabilities from</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inconsistency related to recognition of an acquired</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196"/>
        </w:trPr>
        <w:tc>
          <w:tcPr>
            <w:tcW w:w="238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Contracts with Customers</w:t>
            </w:r>
          </w:p>
        </w:tc>
        <w:tc>
          <w:tcPr>
            <w:tcW w:w="38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contract liability and payment terms and their effect</w:t>
            </w:r>
          </w:p>
        </w:tc>
        <w:tc>
          <w:tcPr>
            <w:tcW w:w="1260" w:type="dxa"/>
            <w:vAlign w:val="bottom"/>
            <w:tcBorders>
              <w:right w:val="single" w:sz="8" w:color="auto"/>
            </w:tcBorders>
          </w:tcPr>
          <w:p>
            <w:pPr>
              <w:spacing w:after="0"/>
              <w:rPr>
                <w:sz w:val="17"/>
                <w:szCs w:val="17"/>
                <w:color w:val="auto"/>
              </w:rPr>
            </w:pPr>
          </w:p>
        </w:tc>
        <w:tc>
          <w:tcPr>
            <w:tcW w:w="3740" w:type="dxa"/>
            <w:vAlign w:val="bottom"/>
          </w:tcPr>
          <w:p>
            <w:pPr>
              <w:spacing w:after="0"/>
              <w:rPr>
                <w:sz w:val="17"/>
                <w:szCs w:val="17"/>
                <w:color w:val="auto"/>
              </w:rPr>
            </w:pPr>
          </w:p>
        </w:tc>
      </w:tr>
      <w:tr>
        <w:trPr>
          <w:trHeight w:val="233"/>
        </w:trPr>
        <w:tc>
          <w:tcPr>
            <w:tcW w:w="238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subsequent revenue recognized by the acquirer.</w:t>
            </w: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6"/>
        </w:trPr>
        <w:tc>
          <w:tcPr>
            <w:tcW w:w="238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Camaro Support Catheter Asset Acquisition</w:t>
      </w:r>
    </w:p>
    <w:p>
      <w:pPr>
        <w:spacing w:after="0" w:line="172"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Wave Tip Location Acquisition</w:t>
      </w:r>
    </w:p>
    <w:p>
      <w:pPr>
        <w:spacing w:after="0" w:line="172"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On December 17, 2019, the Company acquired the C3 Wave tip location asset from Medical Components Inc.("MedComp") for an aggregate purchase price of $10.0 million with $5.0 million of potential future contingent consideration related to technical milestones. This acquisition filled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 The intangible assets will be amortized over 15 years. The contingent consideration is comprised of technical milestones and will be accounted for when the contingency is resolved or becomes probable and reasonably estimable.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Eximo Acquisition</w:t>
      </w:r>
    </w:p>
    <w:p>
      <w:pPr>
        <w:spacing w:after="0" w:line="172"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On October 2, 2019, the Company entered into a share purchase agreement to acquire Eximo Medical, Ltd. ("Eximo"), a pre-commercial stage medical device company with a proprietary 355nm laser atherectomy technology. The aggregate purchase price of $60.7 million included an upfront payment of $45.8 million and contingent consideration with an estimated fair value of $14.9 million. This acquisition expanded and complemented the Company’s Endovascular Therapies product portfolio by adding the 355nm laser atherectomy technology (Auryon) which treats Peripheral Artery Disease.</w:t>
      </w:r>
    </w:p>
    <w:p>
      <w:pPr>
        <w:spacing w:after="0" w:line="128" w:lineRule="exact"/>
        <w:rPr>
          <w:sz w:val="20"/>
          <w:szCs w:val="20"/>
          <w:color w:val="auto"/>
        </w:rPr>
      </w:pPr>
    </w:p>
    <w:p>
      <w:pPr>
        <w:ind w:right="220" w:firstLine="385"/>
        <w:spacing w:after="0" w:line="263" w:lineRule="auto"/>
        <w:rPr>
          <w:sz w:val="20"/>
          <w:szCs w:val="20"/>
          <w:color w:val="auto"/>
        </w:rPr>
      </w:pPr>
      <w:r>
        <w:rPr>
          <w:rFonts w:ascii="Times New Roman" w:cs="Times New Roman" w:eastAsia="Times New Roman" w:hAnsi="Times New Roman"/>
          <w:sz w:val="18"/>
          <w:szCs w:val="18"/>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123"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final aggregate purchase price allocated to the net assets acquired: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5"/>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5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Final allocation</w:t>
            </w:r>
          </w:p>
        </w:tc>
      </w:tr>
      <w:tr>
        <w:trPr>
          <w:trHeight w:val="25"/>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deposits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8"/>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technology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60,300</w:t>
            </w:r>
          </w:p>
        </w:tc>
      </w:tr>
      <w:tr>
        <w:trPr>
          <w:trHeight w:val="22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w:t>
            </w:r>
          </w:p>
        </w:tc>
      </w:tr>
      <w:tr>
        <w:trPr>
          <w:trHeight w:val="22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72,429</w:t>
            </w:r>
          </w:p>
        </w:tc>
      </w:tr>
      <w:tr>
        <w:trPr>
          <w:trHeight w:val="22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r>
      <w:tr>
        <w:trPr>
          <w:trHeight w:val="221"/>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11,769</w:t>
            </w:r>
          </w:p>
        </w:tc>
      </w:tr>
      <w:tr>
        <w:trPr>
          <w:trHeight w:val="246"/>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finalized the allocation of the purchase price to the assets acquired and liabilities assumed in the fourth quarter of fiscal year 2020.</w:t>
      </w:r>
    </w:p>
    <w:p>
      <w:pPr>
        <w:spacing w:after="0" w:line="168" w:lineRule="exact"/>
        <w:rPr>
          <w:sz w:val="20"/>
          <w:szCs w:val="20"/>
          <w:color w:val="auto"/>
        </w:rPr>
      </w:pPr>
    </w:p>
    <w:p>
      <w:pPr>
        <w:jc w:val="both"/>
        <w:ind w:right="240" w:firstLine="385"/>
        <w:spacing w:after="0" w:line="263" w:lineRule="auto"/>
        <w:rPr>
          <w:sz w:val="20"/>
          <w:szCs w:val="20"/>
          <w:color w:val="auto"/>
        </w:rPr>
      </w:pPr>
      <w:r>
        <w:rPr>
          <w:rFonts w:ascii="Times New Roman" w:cs="Times New Roman" w:eastAsia="Times New Roman" w:hAnsi="Times New Roman"/>
          <w:sz w:val="18"/>
          <w:szCs w:val="18"/>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123" w:lineRule="exact"/>
        <w:rPr>
          <w:sz w:val="20"/>
          <w:szCs w:val="20"/>
          <w:color w:val="auto"/>
        </w:rPr>
      </w:pPr>
    </w:p>
    <w:p>
      <w:pPr>
        <w:ind w:right="420" w:firstLine="385"/>
        <w:spacing w:after="0" w:line="278" w:lineRule="auto"/>
        <w:rPr>
          <w:sz w:val="20"/>
          <w:szCs w:val="20"/>
          <w:color w:val="auto"/>
        </w:rPr>
      </w:pPr>
      <w:r>
        <w:rPr>
          <w:rFonts w:ascii="Times New Roman" w:cs="Times New Roman" w:eastAsia="Times New Roman" w:hAnsi="Times New Roman"/>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0" w:lineRule="exact"/>
        <w:rPr>
          <w:sz w:val="20"/>
          <w:szCs w:val="20"/>
          <w:color w:val="auto"/>
        </w:rPr>
      </w:pPr>
    </w:p>
    <w:p>
      <w:pPr>
        <w:ind w:right="80" w:firstLine="385"/>
        <w:spacing w:after="0" w:line="256"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net product revenue by Global Business Unit and geography: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color w:val="auto"/>
              </w:rPr>
              <w:t>Year ended May 31, 2022</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color w:val="auto"/>
              </w:rPr>
              <w:t>Year ended May 31, 2021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Endovascular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135,079</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101,310</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54,621</w:t>
            </w:r>
          </w:p>
        </w:tc>
        <w:tc>
          <w:tcPr>
            <w:tcW w:w="0" w:type="dxa"/>
            <w:vAlign w:val="bottom"/>
          </w:tcPr>
          <w:p>
            <w:pPr>
              <w:spacing w:after="0"/>
              <w:rPr>
                <w:sz w:val="1"/>
                <w:szCs w:val="1"/>
                <w:color w:val="auto"/>
              </w:rPr>
            </w:pPr>
          </w:p>
        </w:tc>
      </w:tr>
      <w:tr>
        <w:trPr>
          <w:trHeight w:val="246"/>
        </w:trPr>
        <w:tc>
          <w:tcPr>
            <w:tcW w:w="4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6"/>
          </w:tcPr>
          <w:p>
            <w:pPr>
              <w:jc w:val="center"/>
              <w:ind w:left="617"/>
              <w:spacing w:after="0"/>
              <w:rPr>
                <w:sz w:val="20"/>
                <w:szCs w:val="20"/>
                <w:color w:val="auto"/>
              </w:rPr>
            </w:pPr>
            <w:r>
              <w:rPr>
                <w:rFonts w:ascii="Times New Roman" w:cs="Times New Roman" w:eastAsia="Times New Roman" w:hAnsi="Times New Roman"/>
                <w:sz w:val="14"/>
                <w:szCs w:val="14"/>
                <w:color w:val="auto"/>
              </w:rPr>
              <w:t>Year ended May 31, 2020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4"/>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Endovascular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112,706</w:t>
            </w:r>
          </w:p>
        </w:tc>
        <w:tc>
          <w:tcPr>
            <w:tcW w:w="0" w:type="dxa"/>
            <w:vAlign w:val="bottom"/>
          </w:tcPr>
          <w:p>
            <w:pPr>
              <w:spacing w:after="0"/>
              <w:rPr>
                <w:sz w:val="1"/>
                <w:szCs w:val="1"/>
                <w:color w:val="auto"/>
              </w:rPr>
            </w:pPr>
          </w:p>
        </w:tc>
      </w:tr>
      <w:tr>
        <w:trPr>
          <w:trHeight w:val="22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94,299</w:t>
            </w:r>
          </w:p>
        </w:tc>
        <w:tc>
          <w:tcPr>
            <w:tcW w:w="0" w:type="dxa"/>
            <w:vAlign w:val="bottom"/>
          </w:tcPr>
          <w:p>
            <w:pPr>
              <w:spacing w:after="0"/>
              <w:rPr>
                <w:sz w:val="1"/>
                <w:szCs w:val="1"/>
                <w:color w:val="auto"/>
              </w:rPr>
            </w:pPr>
          </w:p>
        </w:tc>
      </w:tr>
      <w:tr>
        <w:trPr>
          <w:trHeight w:val="228"/>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57,152</w:t>
            </w:r>
          </w:p>
        </w:tc>
        <w:tc>
          <w:tcPr>
            <w:tcW w:w="0" w:type="dxa"/>
            <w:vAlign w:val="bottom"/>
          </w:tcPr>
          <w:p>
            <w:pPr>
              <w:spacing w:after="0"/>
              <w:rPr>
                <w:sz w:val="1"/>
                <w:szCs w:val="1"/>
                <w:color w:val="auto"/>
              </w:rPr>
            </w:pPr>
          </w:p>
        </w:tc>
      </w:tr>
      <w:tr>
        <w:trPr>
          <w:trHeight w:val="246"/>
        </w:trPr>
        <w:tc>
          <w:tcPr>
            <w:tcW w:w="7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high technology products including Auryon, Thrombectomy (which includes AngioVac, AlphaVac and thrombolytics) and NanoKnife. We will refer to these high technology products as our Med Tech business and we will refer to the remainder of the portfolio as our Med Device business.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net sales by Med Tech and Med Device: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color w:val="auto"/>
              </w:rPr>
              <w:t>2020</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223,138</w:t>
            </w:r>
          </w:p>
        </w:tc>
      </w:tr>
      <w:tr>
        <w:trPr>
          <w:trHeight w:val="221"/>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264,157</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longer-term use. The Company sells its products to its distributors and to end users, such as interventional radiologists, interventional cardiologists, vascular surgeons, urologists, interventional and surgical oncologists and critical care nurses.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0"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0" w:lineRule="exact"/>
        <w:rPr>
          <w:sz w:val="20"/>
          <w:szCs w:val="20"/>
          <w:color w:val="auto"/>
        </w:rPr>
      </w:pPr>
    </w:p>
    <w:p>
      <w:pPr>
        <w:ind w:right="520" w:firstLine="402"/>
        <w:spacing w:after="0" w:line="27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10" w:lineRule="exact"/>
        <w:rPr>
          <w:sz w:val="20"/>
          <w:szCs w:val="20"/>
          <w:color w:val="auto"/>
        </w:rPr>
      </w:pPr>
    </w:p>
    <w:p>
      <w:pPr>
        <w:ind w:right="360" w:firstLine="385"/>
        <w:spacing w:after="0" w:line="258"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0"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3" w:lineRule="exact"/>
        <w:rPr>
          <w:sz w:val="20"/>
          <w:szCs w:val="20"/>
          <w:color w:val="auto"/>
        </w:rPr>
      </w:pPr>
    </w:p>
    <w:p>
      <w:pPr>
        <w:ind w:right="380" w:firstLine="385"/>
        <w:spacing w:after="0" w:line="278"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0"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6" w:lineRule="exact"/>
        <w:rPr>
          <w:sz w:val="20"/>
          <w:szCs w:val="20"/>
          <w:color w:val="auto"/>
        </w:rPr>
      </w:pPr>
    </w:p>
    <w:p>
      <w:pPr>
        <w:ind w:right="20" w:firstLine="385"/>
        <w:spacing w:after="0"/>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The duration of these agreements are typically a year and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Sales, value added, and other taxes collected on behalf of third parties are excluded from revenue.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0"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3"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2"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2022, such product returns were not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with Customers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bl>
    <w:p>
      <w:pPr>
        <w:spacing w:after="0" w:line="236" w:lineRule="exact"/>
        <w:rPr>
          <w:sz w:val="20"/>
          <w:szCs w:val="20"/>
          <w:color w:val="auto"/>
        </w:rPr>
      </w:pP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During the years ended May 31, 2022 and 2021, the Company had additions to contract liabilities of $2.2 million and $1.0 million, respectively. This was offset by $2.1 million and $1.2 million in revenue that was recognized during the years ended May 31, 2022 and 2021,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or Fulfill a Customer Contract</w:t>
      </w:r>
    </w:p>
    <w:p>
      <w:pPr>
        <w:spacing w:after="0" w:line="172" w:lineRule="exact"/>
        <w:rPr>
          <w:sz w:val="20"/>
          <w:szCs w:val="20"/>
          <w:color w:val="auto"/>
        </w:rPr>
      </w:pPr>
    </w:p>
    <w:p>
      <w:pPr>
        <w:ind w:right="20" w:firstLine="385"/>
        <w:spacing w:after="0" w:line="258" w:lineRule="auto"/>
        <w:rPr>
          <w:sz w:val="20"/>
          <w:szCs w:val="20"/>
          <w:color w:val="auto"/>
        </w:rPr>
      </w:pPr>
      <w:r>
        <w:rPr>
          <w:rFonts w:ascii="Times New Roman" w:cs="Times New Roman" w:eastAsia="Times New Roman" w:hAnsi="Times New Roman"/>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8" w:lineRule="exact"/>
        <w:rPr>
          <w:sz w:val="20"/>
          <w:szCs w:val="20"/>
          <w:color w:val="auto"/>
        </w:rPr>
      </w:pPr>
    </w:p>
    <w:p>
      <w:pPr>
        <w:ind w:right="140" w:firstLine="385"/>
        <w:spacing w:after="0" w:line="263" w:lineRule="auto"/>
        <w:rPr>
          <w:sz w:val="20"/>
          <w:szCs w:val="20"/>
          <w:color w:val="auto"/>
        </w:rPr>
      </w:pPr>
      <w:r>
        <w:rPr>
          <w:rFonts w:ascii="Times New Roman" w:cs="Times New Roman" w:eastAsia="Times New Roman" w:hAnsi="Times New Roman"/>
          <w:sz w:val="18"/>
          <w:szCs w:val="18"/>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72" w:lineRule="exact"/>
        <w:rPr>
          <w:sz w:val="20"/>
          <w:szCs w:val="20"/>
          <w:color w:val="auto"/>
        </w:rPr>
      </w:pPr>
    </w:p>
    <w:p>
      <w:pPr>
        <w:ind w:right="180" w:firstLine="385"/>
        <w:spacing w:after="0" w:line="255"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32" w:lineRule="exact"/>
        <w:rPr>
          <w:sz w:val="20"/>
          <w:szCs w:val="20"/>
          <w:color w:val="auto"/>
        </w:rPr>
      </w:pPr>
    </w:p>
    <w:p>
      <w:pPr>
        <w:ind w:left="640" w:hanging="31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40" w:hanging="312"/>
        <w:spacing w:after="0" w:line="256"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29" w:lineRule="exact"/>
        <w:rPr>
          <w:sz w:val="20"/>
          <w:szCs w:val="20"/>
          <w:color w:val="auto"/>
        </w:rPr>
      </w:pPr>
    </w:p>
    <w:p>
      <w:pPr>
        <w:ind w:right="100" w:firstLine="385"/>
        <w:spacing w:after="0" w:line="286" w:lineRule="auto"/>
        <w:rPr>
          <w:sz w:val="20"/>
          <w:szCs w:val="20"/>
          <w:color w:val="auto"/>
        </w:rPr>
      </w:pPr>
      <w:r>
        <w:rPr>
          <w:rFonts w:ascii="Times New Roman" w:cs="Times New Roman" w:eastAsia="Times New Roman" w:hAnsi="Times New Roman"/>
          <w:sz w:val="17"/>
          <w:szCs w:val="17"/>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Level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Level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Level 3</w:t>
            </w:r>
          </w:p>
        </w:tc>
        <w:tc>
          <w:tcPr>
            <w:tcW w:w="132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4"/>
        </w:trPr>
        <w:tc>
          <w:tcPr>
            <w:tcW w:w="5340" w:type="dxa"/>
            <w:vAlign w:val="bottom"/>
            <w:gridSpan w:val="3"/>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Financial Liabilities</w:t>
            </w:r>
          </w:p>
        </w:tc>
        <w:tc>
          <w:tcPr>
            <w:tcW w:w="38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4"/>
                <w:szCs w:val="14"/>
                <w:color w:val="auto"/>
              </w:rPr>
            </w:pPr>
          </w:p>
        </w:tc>
        <w:tc>
          <w:tcPr>
            <w:tcW w:w="11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1"/>
        </w:trPr>
        <w:tc>
          <w:tcPr>
            <w:tcW w:w="53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w w:val="98"/>
              </w:rPr>
              <w:t>Financial Liabilities</w:t>
            </w:r>
          </w:p>
        </w:tc>
        <w:tc>
          <w:tcPr>
            <w:tcW w:w="38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14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680" w:type="dxa"/>
            <w:vAlign w:val="bottom"/>
            <w:gridSpan w:val="9"/>
          </w:tcPr>
          <w:p>
            <w:pPr>
              <w:jc w:val="right"/>
              <w:ind w:right="111"/>
              <w:spacing w:after="0"/>
              <w:rPr>
                <w:sz w:val="20"/>
                <w:szCs w:val="20"/>
                <w:color w:val="auto"/>
              </w:rPr>
            </w:pPr>
            <w:r>
              <w:rPr>
                <w:rFonts w:ascii="Times New Roman" w:cs="Times New Roman" w:eastAsia="Times New Roman" w:hAnsi="Times New Roman"/>
                <w:sz w:val="18"/>
                <w:szCs w:val="18"/>
                <w:color w:val="auto"/>
              </w:rPr>
              <w:t>There were no transfers in and out of Level 1, 2 and 3 measurements for the years ended May 31, 2022 and 2021.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tables present the changes in fair value components of Level 3 instruments: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5"/>
          </w:tcPr>
          <w:p>
            <w:pPr>
              <w:jc w:val="center"/>
              <w:spacing w:after="0" w:line="127"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15"/>
              <w:spacing w:after="0" w:line="138"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47"/>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55"/>
              <w:spacing w:after="0" w:line="147"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85"/>
        </w:trPr>
        <w:tc>
          <w:tcPr>
            <w:tcW w:w="5340" w:type="dxa"/>
            <w:vAlign w:val="bottom"/>
            <w:gridSpan w:val="3"/>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315"/>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5"/>
        </w:trPr>
        <w:tc>
          <w:tcPr>
            <w:tcW w:w="5340" w:type="dxa"/>
            <w:vAlign w:val="bottom"/>
            <w:tcBorders>
              <w:bottom w:val="single" w:sz="8" w:color="CCEEFF"/>
            </w:tcBorders>
            <w:gridSpan w:val="3"/>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2021</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16"/>
                <w:szCs w:val="16"/>
                <w:color w:val="auto"/>
              </w:rPr>
              <w:t>(1)</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Currency gain from remeasurement</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7"/>
        <w:spacing w:after="0" w:line="277" w:lineRule="auto"/>
        <w:tabs>
          <w:tab w:leader="none" w:pos="22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25"/>
        </w:trPr>
        <w:tc>
          <w:tcPr>
            <w:tcW w:w="97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720" w:type="dxa"/>
            <w:vAlign w:val="bottom"/>
          </w:tcPr>
          <w:p>
            <w:pPr>
              <w:spacing w:after="0"/>
              <w:rPr>
                <w:sz w:val="11"/>
                <w:szCs w:val="11"/>
                <w:color w:val="auto"/>
              </w:rPr>
            </w:pPr>
          </w:p>
        </w:tc>
        <w:tc>
          <w:tcPr>
            <w:tcW w:w="15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7"/>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43"/>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380" w:type="dxa"/>
            <w:vAlign w:val="bottom"/>
          </w:tcPr>
          <w:p>
            <w:pPr>
              <w:jc w:val="center"/>
              <w:ind w:right="60"/>
              <w:spacing w:after="0" w:line="143"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94"/>
        </w:trPr>
        <w:tc>
          <w:tcPr>
            <w:tcW w:w="97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0" w:type="dxa"/>
            <w:vAlign w:val="bottom"/>
          </w:tcPr>
          <w:p>
            <w:pPr>
              <w:spacing w:after="0"/>
              <w:rPr>
                <w:sz w:val="1"/>
                <w:szCs w:val="1"/>
                <w:color w:val="auto"/>
              </w:rPr>
            </w:pPr>
          </w:p>
        </w:tc>
      </w:tr>
      <w:tr>
        <w:trPr>
          <w:trHeight w:val="228"/>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Change in fair value of contingent consideration </w:t>
            </w: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loss from remeasurement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7"/>
        <w:spacing w:after="0" w:line="277" w:lineRule="auto"/>
        <w:tabs>
          <w:tab w:leader="none" w:pos="22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 for Acquisition Earn Outs</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132"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8" w:name="page69"/>
    <w:bookmarkEnd w:id="68"/>
    <w:tbl>
      <w:tblPr>
        <w:tblLayout w:type="fixed"/>
        <w:tblInd w:w="4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Unobservable Input</w:t>
            </w: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5"/>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8"/>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 - 100%</w:t>
            </w:r>
          </w:p>
        </w:tc>
      </w:tr>
      <w:tr>
        <w:trPr>
          <w:trHeight w:val="228"/>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Projected fiscal year of payment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2023 - 2025</w:t>
            </w:r>
          </w:p>
        </w:tc>
      </w:tr>
    </w:tbl>
    <w:p>
      <w:pPr>
        <w:spacing w:after="0" w:line="236"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At May 31, 2022,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2023 to 2029 in order for the associated consideration to be paid.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172" w:lineRule="exact"/>
        <w:rPr>
          <w:sz w:val="20"/>
          <w:szCs w:val="20"/>
          <w:color w:val="auto"/>
        </w:rPr>
      </w:pPr>
    </w:p>
    <w:p>
      <w:pPr>
        <w:ind w:right="600" w:firstLine="385"/>
        <w:spacing w:after="0" w:line="278" w:lineRule="auto"/>
        <w:rPr>
          <w:sz w:val="20"/>
          <w:szCs w:val="20"/>
          <w:color w:val="auto"/>
        </w:rPr>
      </w:pPr>
      <w:r>
        <w:rPr>
          <w:rFonts w:ascii="Times New Roman" w:cs="Times New Roman" w:eastAsia="Times New Roman" w:hAnsi="Times New Roman"/>
          <w:sz w:val="18"/>
          <w:szCs w:val="18"/>
          <w:color w:val="auto"/>
        </w:rPr>
        <w:t>During the fourth quarter of fiscal year 2021, the Company made the decision to abandon the OARtrac product technology and trademark. This resulted in an impairment charge of $14.0 million.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other items measured at fair value on a nonrecurring basis during the year ended May 31, 2022 or May 31,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w:t>
            </w:r>
          </w:p>
        </w:tc>
      </w:tr>
      <w:tr>
        <w:trPr>
          <w:trHeight w:val="22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48,614</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2022 and 2021 was $3.7 million and $3.8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Retention Tax Credit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shows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4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and evaluation units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1"/>
        </w:trPr>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(45,635)</w:t>
            </w:r>
          </w:p>
        </w:tc>
      </w:tr>
      <w:tr>
        <w:trPr>
          <w:trHeight w:val="221"/>
        </w:trPr>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1"/>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37,073</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for fiscal years 2022, 2021 and 2020 was $7.6 million, $5.7 million and $3.3 million, respectively.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2" w:lineRule="exact"/>
        <w:rPr>
          <w:sz w:val="20"/>
          <w:szCs w:val="20"/>
          <w:color w:val="auto"/>
        </w:rPr>
      </w:pPr>
    </w:p>
    <w:p>
      <w:pPr>
        <w:ind w:right="420" w:firstLine="402"/>
        <w:spacing w:after="0" w:line="278"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10"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The Company has historically performed its annual goodwill assessment during the third quarter of each year. During the fourth quarter of fiscal year 2022, the company changed its annual impairment assessment date from December 31 to April 30 to more closely align the impairment assessment date with the Company's long term planning and forecasting process.</w:t>
      </w:r>
    </w:p>
    <w:p>
      <w:pPr>
        <w:spacing w:after="0" w:line="123" w:lineRule="exact"/>
        <w:rPr>
          <w:sz w:val="20"/>
          <w:szCs w:val="20"/>
          <w:color w:val="auto"/>
        </w:rPr>
      </w:pPr>
    </w:p>
    <w:p>
      <w:pPr>
        <w:ind w:right="280" w:firstLine="402"/>
        <w:spacing w:after="0" w:line="258"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December 31, 2021 and April 30, 2022.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28" w:lineRule="exact"/>
        <w:rPr>
          <w:sz w:val="20"/>
          <w:szCs w:val="20"/>
          <w:color w:val="auto"/>
        </w:rPr>
      </w:pPr>
    </w:p>
    <w:p>
      <w:pPr>
        <w:ind w:right="120" w:firstLine="402"/>
        <w:spacing w:after="0" w:line="258" w:lineRule="auto"/>
        <w:rPr>
          <w:sz w:val="20"/>
          <w:szCs w:val="20"/>
          <w:color w:val="auto"/>
        </w:rPr>
      </w:pPr>
      <w:r>
        <w:rPr>
          <w:rFonts w:ascii="Times New Roman" w:cs="Times New Roman" w:eastAsia="Times New Roman" w:hAnsi="Times New Roman"/>
          <w:sz w:val="18"/>
          <w:szCs w:val="18"/>
          <w:color w:val="auto"/>
        </w:rPr>
        <w:t>Even though the Company determined that there was no goodwill impairment as of December 31, 2021 and April 30, 2022,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April 30, 2023.</w:t>
      </w:r>
    </w:p>
    <w:p>
      <w:pPr>
        <w:spacing w:after="0" w:line="128" w:lineRule="exact"/>
        <w:rPr>
          <w:sz w:val="20"/>
          <w:szCs w:val="20"/>
          <w:color w:val="auto"/>
        </w:rPr>
      </w:pPr>
    </w:p>
    <w:p>
      <w:pPr>
        <w:ind w:right="520" w:firstLine="402"/>
        <w:spacing w:after="0" w:line="434" w:lineRule="auto"/>
        <w:rPr>
          <w:sz w:val="20"/>
          <w:szCs w:val="20"/>
          <w:color w:val="auto"/>
        </w:rPr>
      </w:pPr>
      <w:r>
        <w:rPr>
          <w:rFonts w:ascii="Times New Roman" w:cs="Times New Roman" w:eastAsia="Times New Roman" w:hAnsi="Times New Roman"/>
          <w:sz w:val="18"/>
          <w:szCs w:val="18"/>
          <w:color w:val="auto"/>
        </w:rPr>
        <w:t xml:space="preserve">There were no adjustments to goodwill for the years ended May 31, 2022 and May 31, 2021 other than foreign currency translation adjustments. </w:t>
      </w:r>
      <w:r>
        <w:rPr>
          <w:rFonts w:ascii="Times New Roman" w:cs="Times New Roman" w:eastAsia="Times New Roman" w:hAnsi="Times New Roman"/>
          <w:sz w:val="18"/>
          <w:szCs w:val="18"/>
          <w:b w:val="1"/>
          <w:bCs w:val="1"/>
          <w:i w:val="1"/>
          <w:iCs w:val="1"/>
          <w:color w:val="auto"/>
        </w:rPr>
        <w:t>Definite Lived Intangible Assets</w:t>
      </w:r>
    </w:p>
    <w:p>
      <w:pPr>
        <w:spacing w:after="0" w:line="1"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Definite lived intangible assets consist primarily of product technologies and customer relationships and are amortized over their estimated useful lives, which range between two to eighteen years on a straight-line basis over the expected period of benefit. Amortization expense was $19.5 million, $18.1 million and $18.1 million for fiscal years 2022, 2021 and 2020, respectively. There were no impairment charges on definite lived intangible assets for the years ended May 31, 2022 and 2020. 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Statements of Operations (see Note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2022</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2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1"/>
        </w:trPr>
        <w:tc>
          <w:tcPr>
            <w:tcW w:w="6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227"/>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200" w:type="dxa"/>
            <w:vAlign w:val="bottom"/>
          </w:tcPr>
          <w:p>
            <w:pPr>
              <w:jc w:val="center"/>
              <w:ind w:right="156"/>
              <w:spacing w:after="0" w:line="127"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67,363</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components of loss before income tax benefit are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8"/>
          <w:szCs w:val="18"/>
          <w:color w:val="auto"/>
        </w:rPr>
        <w:t>Income tax benefit is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Year ended May 31,</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 U.S.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 U.S.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68"/>
        </w:trPr>
        <w:tc>
          <w:tcPr>
            <w:tcW w:w="67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4"/>
        </w:trPr>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Temporary differences that give rise to deferred tax assets and liabilities are summarized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24"/>
                <w:szCs w:val="2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2021</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and state R&amp;D tax credit carryforward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incurred not currently deductible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Gross deferred tax asset</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45,883</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48,744</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48,744</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net deferred tax liability in the U.S. as of May 31, 2022 and 2021 principally relates to tax amortization of intangibles that have an indefinite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 period for book purposes, also known as a “naked credit deferred tax liability”, that cannot be considered as a source of income to recover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 In addition, included in the net deferred tax liability as of May 31, 2022 and 2021 is a net deferred tax liability of $8.8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million, respectively that was related to the stock acquisition of Eximo Medical Ltd. primarily related to book intangibles partially offset by tax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losses and capitalized R&amp;D expenditures.</w:t>
      </w:r>
    </w:p>
    <w:p>
      <w:pPr>
        <w:spacing w:after="0" w:line="149" w:lineRule="exact"/>
        <w:rPr>
          <w:sz w:val="20"/>
          <w:szCs w:val="20"/>
          <w:color w:val="auto"/>
        </w:rPr>
      </w:pPr>
    </w:p>
    <w:p>
      <w:pPr>
        <w:jc w:val="both"/>
        <w:ind w:right="260" w:firstLine="385"/>
        <w:spacing w:after="0" w:line="263" w:lineRule="auto"/>
        <w:rPr>
          <w:sz w:val="20"/>
          <w:szCs w:val="20"/>
          <w:color w:val="auto"/>
        </w:rPr>
      </w:pPr>
      <w:r>
        <w:rPr>
          <w:rFonts w:ascii="Times New Roman" w:cs="Times New Roman" w:eastAsia="Times New Roman" w:hAnsi="Times New Roman"/>
          <w:sz w:val="18"/>
          <w:szCs w:val="18"/>
          <w:color w:val="auto"/>
        </w:rPr>
        <w:t>The Company's U.S. Federal net operating loss carryforwards as of May 31, 2022 after considering IRC Section 382 limitations are $174.2 million. The expiration of the Federal net operating loss carryforwards are as follows: $8.6 million between 2022 and 2023, $79.4 million between 2028 and 2037 and $86.1 million indefinitely.</w:t>
      </w:r>
    </w:p>
    <w:p>
      <w:pPr>
        <w:spacing w:after="0" w:line="123" w:lineRule="exact"/>
        <w:rPr>
          <w:sz w:val="20"/>
          <w:szCs w:val="20"/>
          <w:color w:val="auto"/>
        </w:rPr>
      </w:pPr>
    </w:p>
    <w:p>
      <w:pPr>
        <w:ind w:right="140" w:firstLine="385"/>
        <w:spacing w:after="0" w:line="309" w:lineRule="auto"/>
        <w:rPr>
          <w:sz w:val="20"/>
          <w:szCs w:val="20"/>
          <w:color w:val="auto"/>
        </w:rPr>
      </w:pPr>
      <w:r>
        <w:rPr>
          <w:rFonts w:ascii="Times New Roman" w:cs="Times New Roman" w:eastAsia="Times New Roman" w:hAnsi="Times New Roman"/>
          <w:sz w:val="17"/>
          <w:szCs w:val="17"/>
          <w:color w:val="auto"/>
        </w:rPr>
        <w:t>The Company's state net operating loss carryforwards as of May 31, 2022 after considering remaining IRC Section 382 limitations are $30.1 million which expire in various years from 2029 to 2042. The Company has Israel tax net operating losses of $12.2 million that can be carried forward indefinitely.</w:t>
      </w:r>
    </w:p>
    <w:p>
      <w:pPr>
        <w:spacing w:after="0" w:line="59" w:lineRule="exact"/>
        <w:rPr>
          <w:sz w:val="20"/>
          <w:szCs w:val="20"/>
          <w:color w:val="auto"/>
        </w:rPr>
      </w:pPr>
    </w:p>
    <w:p>
      <w:pPr>
        <w:ind w:right="40" w:firstLine="385"/>
        <w:spacing w:after="0" w:line="247" w:lineRule="auto"/>
        <w:rPr>
          <w:sz w:val="20"/>
          <w:szCs w:val="20"/>
          <w:color w:val="auto"/>
        </w:rPr>
      </w:pPr>
      <w:r>
        <w:rPr>
          <w:rFonts w:ascii="Times New Roman" w:cs="Times New Roman" w:eastAsia="Times New Roman" w:hAnsi="Times New Roman"/>
          <w:sz w:val="18"/>
          <w:szCs w:val="18"/>
          <w:color w:val="auto"/>
        </w:rPr>
        <w:t>Beginning in 2018, except for the Global Intangible Low-Taxed Income,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72" w:name="page73"/>
    <w:bookmarkEnd w:id="72"/>
    <w:p>
      <w:pPr>
        <w:ind w:right="200"/>
        <w:spacing w:after="0" w:line="242" w:lineRule="auto"/>
        <w:rPr>
          <w:sz w:val="20"/>
          <w:szCs w:val="20"/>
          <w:color w:val="auto"/>
        </w:rPr>
      </w:pPr>
      <w:r>
        <w:rPr>
          <w:rFonts w:ascii="Times New Roman" w:cs="Times New Roman" w:eastAsia="Times New Roman" w:hAnsi="Times New Roman"/>
          <w:sz w:val="18"/>
          <w:szCs w:val="18"/>
          <w:color w:val="auto"/>
        </w:rPr>
        <w:t>withholding taxes payable, where applicable, to foreign countries, but would have no further federal income tax liability. The Company intends to indefinitely reinvest the unremitted foreign earnings of all other subsidiaries as of May 31, 2022, as well as all subsequent earnings generated by all of our foreign subsidiaries. Determining the amount of unrecognized deferred tax liability related to any additional outside basis difference in these entities is not practical.</w:t>
      </w:r>
    </w:p>
    <w:p>
      <w:pPr>
        <w:spacing w:after="0" w:line="143"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7"/>
          <w:szCs w:val="17"/>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12" w:lineRule="exact"/>
        <w:rPr>
          <w:sz w:val="20"/>
          <w:szCs w:val="20"/>
          <w:color w:val="auto"/>
        </w:rPr>
      </w:pPr>
    </w:p>
    <w:p>
      <w:pPr>
        <w:ind w:right="80" w:firstLine="385"/>
        <w:spacing w:after="0" w:line="254"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2022.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2"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tax rate of 21.0%, 21.0% and 21.0%, respectively</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(35,308)</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firstLine="385"/>
        <w:spacing w:after="0" w:line="278" w:lineRule="auto"/>
        <w:rPr>
          <w:sz w:val="20"/>
          <w:szCs w:val="20"/>
          <w:color w:val="auto"/>
        </w:rPr>
      </w:pPr>
      <w:r>
        <w:rPr>
          <w:rFonts w:ascii="Times New Roman" w:cs="Times New Roman" w:eastAsia="Times New Roman" w:hAnsi="Times New Roman"/>
          <w:sz w:val="18"/>
          <w:szCs w:val="18"/>
          <w:color w:val="auto"/>
        </w:rPr>
        <w:t>During fiscal year 2020, the Company recorded a goodwill impairment of $158.6 million. The Company has made the tax accounting policy election to first allocate the impairment to the Company’s nondeductible goodwill based on the Company’s pre-impairment nondeductible goodwill balance.</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amount of unrecognized tax benefits: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June 1</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gross amounts of tax positions related to prior years due to U.S. tax reform</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lapse in statute of limitations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May 31</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table above includes unrecognized tax benefits associated with the calculation of limitations placed on the utilization of tax attributes related to an acquired company. If recognized, $0.5 million would result in adjustments to other tax accounts.</w:t>
      </w:r>
    </w:p>
    <w:p>
      <w:pPr>
        <w:spacing w:after="0" w:line="110" w:lineRule="exact"/>
        <w:rPr>
          <w:sz w:val="20"/>
          <w:szCs w:val="20"/>
          <w:color w:val="auto"/>
        </w:rPr>
      </w:pPr>
    </w:p>
    <w:p>
      <w:pPr>
        <w:ind w:right="500" w:firstLine="385"/>
        <w:spacing w:after="0" w:line="27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There are no accrued interest and penalties recognized in the Consolidated Balance Sheets as of May 31, 2022 and May 31,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3" w:name="page74"/>
    <w:bookmarkEnd w:id="73"/>
    <w:p>
      <w:pPr>
        <w:jc w:val="both"/>
        <w:ind w:right="200" w:firstLine="385"/>
        <w:spacing w:after="0" w:line="26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2019 through 2021 remain open to examination by the various tax authorities.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does not anticipate that the amount of unrecognized tax benefits will significantly change in the next twelve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matters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22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35,459</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172" w:lineRule="exact"/>
        <w:rPr>
          <w:sz w:val="20"/>
          <w:szCs w:val="20"/>
          <w:color w:val="auto"/>
        </w:rPr>
      </w:pPr>
    </w:p>
    <w:p>
      <w:pPr>
        <w:ind w:right="180" w:firstLine="385"/>
        <w:spacing w:after="0" w:line="263" w:lineRule="auto"/>
        <w:rPr>
          <w:sz w:val="20"/>
          <w:szCs w:val="20"/>
          <w:color w:val="auto"/>
        </w:rPr>
      </w:pPr>
      <w:r>
        <w:rPr>
          <w:rFonts w:ascii="Times New Roman" w:cs="Times New Roman" w:eastAsia="Times New Roman" w:hAnsi="Times New Roman"/>
          <w:sz w:val="18"/>
          <w:szCs w:val="18"/>
          <w:color w:val="auto"/>
        </w:rPr>
        <w:t>On June 3, 2019, the Company repaid all amounts outstanding under its then existing credit agreement and entered into a new Credit Agreement with the lenders party thereto, JPMorgan Chase Bank, N.A., as administrative agent, and Bank of America, N.A. and KeyBank National Association, as co-syndication agents.</w:t>
      </w:r>
    </w:p>
    <w:p>
      <w:pPr>
        <w:spacing w:after="0" w:line="123" w:lineRule="exact"/>
        <w:rPr>
          <w:sz w:val="20"/>
          <w:szCs w:val="20"/>
          <w:color w:val="auto"/>
        </w:rPr>
      </w:pPr>
    </w:p>
    <w:p>
      <w:pPr>
        <w:ind w:right="20" w:firstLine="385"/>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28" w:lineRule="exact"/>
        <w:rPr>
          <w:sz w:val="20"/>
          <w:szCs w:val="20"/>
          <w:color w:val="auto"/>
        </w:rPr>
      </w:pPr>
    </w:p>
    <w:p>
      <w:pPr>
        <w:jc w:val="both"/>
        <w:ind w:right="20" w:firstLine="385"/>
        <w:spacing w:after="0" w:line="258" w:lineRule="auto"/>
        <w:rPr>
          <w:sz w:val="20"/>
          <w:szCs w:val="20"/>
          <w:color w:val="auto"/>
        </w:rPr>
      </w:pPr>
      <w:r>
        <w:rPr>
          <w:rFonts w:ascii="Times New Roman" w:cs="Times New Roman" w:eastAsia="Times New Roman" w:hAnsi="Times New Roman"/>
          <w:sz w:val="18"/>
          <w:szCs w:val="18"/>
          <w:color w:val="auto"/>
        </w:rPr>
        <w:t>The Credit Agreement has a five year maturity. Interest on the Revolving Facility is based, at the Company’s option, on either a base rate of LIBOR or alternate base rate, plus an applicable margin tied to the Company’s total leverage ratio and having ranges between 0.25% and 0.75% for base rate loans and between 1.25% and 1.75% for LIBOR loans. After default, the interest rate may be increased by 2.0%. The Revolving Facility also carries a commitment fee of 0.20% to 0.25% per annum on the unused portion.</w:t>
      </w:r>
    </w:p>
    <w:p>
      <w:pPr>
        <w:spacing w:after="0" w:line="128" w:lineRule="exact"/>
        <w:rPr>
          <w:sz w:val="20"/>
          <w:szCs w:val="20"/>
          <w:color w:val="auto"/>
        </w:rPr>
      </w:pPr>
    </w:p>
    <w:p>
      <w:pPr>
        <w:ind w:right="260" w:firstLine="385"/>
        <w:spacing w:after="0" w:line="263" w:lineRule="auto"/>
        <w:rPr>
          <w:sz w:val="20"/>
          <w:szCs w:val="20"/>
          <w:color w:val="auto"/>
        </w:rPr>
      </w:pPr>
      <w:r>
        <w:rPr>
          <w:rFonts w:ascii="Times New Roman" w:cs="Times New Roman" w:eastAsia="Times New Roman" w:hAnsi="Times New Roman"/>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23" w:lineRule="exact"/>
        <w:rPr>
          <w:sz w:val="20"/>
          <w:szCs w:val="20"/>
          <w:color w:val="auto"/>
        </w:rPr>
      </w:pPr>
    </w:p>
    <w:p>
      <w:pPr>
        <w:ind w:right="360" w:firstLine="385"/>
        <w:spacing w:after="0" w:line="278"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10" w:lineRule="exact"/>
        <w:rPr>
          <w:sz w:val="20"/>
          <w:szCs w:val="20"/>
          <w:color w:val="auto"/>
        </w:rPr>
      </w:pPr>
    </w:p>
    <w:p>
      <w:pPr>
        <w:ind w:left="640" w:right="440" w:hanging="231"/>
        <w:spacing w:after="0" w:line="259" w:lineRule="auto"/>
        <w:tabs>
          <w:tab w:leader="none" w:pos="6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leverage ratio of consolidated total indebtedness* to consolidated EBITDA* of not greater than 3.00 to 1.00 (during certain periods following material acquisitions the ratio shall be increased to 3.50 to 1.00).</w:t>
      </w:r>
    </w:p>
    <w:p>
      <w:pPr>
        <w:ind w:left="640" w:right="40" w:hanging="231"/>
        <w:spacing w:after="0" w:line="256" w:lineRule="auto"/>
        <w:tabs>
          <w:tab w:leader="none" w:pos="6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24" w:lineRule="exact"/>
        <w:rPr>
          <w:rFonts w:ascii="Times New Roman" w:cs="Times New Roman" w:eastAsia="Times New Roman" w:hAnsi="Times New Roman"/>
          <w:sz w:val="18"/>
          <w:szCs w:val="18"/>
          <w:color w:val="auto"/>
        </w:rPr>
      </w:pPr>
    </w:p>
    <w:p>
      <w:pPr>
        <w:ind w:right="3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June 6, 2019.</w:t>
      </w:r>
    </w:p>
    <w:p>
      <w:pPr>
        <w:spacing w:after="0" w:line="131"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As of May 31, 2022 there was $25.0 million outstanding on the Revolving Facility. As of May 31, 2022 and May 31, 2021, the carrying value of long-term debt approximated its fair market value.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color w:val="auto"/>
        </w:rPr>
        <w:t>The interest rate on the Revolving Facility at May 31, 2022 was 2.31%.</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was in compliance with the Credit Agreement covenants as of May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172"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The Company has a 401(k) plan under which eligible employees can defer a portion of their compensation, part of which is matched by the Company. Matching contributions were $4.3 million, $3.8 million and $3.2 million in 2022, 2021 and 2020, respectively. There are also various immaterial foreign retirement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172"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23" w:lineRule="exact"/>
        <w:rPr>
          <w:sz w:val="20"/>
          <w:szCs w:val="20"/>
          <w:color w:val="auto"/>
        </w:rPr>
      </w:pPr>
    </w:p>
    <w:p>
      <w:pPr>
        <w:ind w:right="200" w:firstLine="385"/>
        <w:spacing w:after="0" w:line="253"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33" w:lineRule="exact"/>
        <w:rPr>
          <w:sz w:val="20"/>
          <w:szCs w:val="20"/>
          <w:color w:val="auto"/>
        </w:rPr>
      </w:pPr>
    </w:p>
    <w:p>
      <w:pPr>
        <w:jc w:val="both"/>
        <w:ind w:right="40" w:firstLine="385"/>
        <w:spacing w:after="0" w:line="263" w:lineRule="auto"/>
        <w:rPr>
          <w:sz w:val="20"/>
          <w:szCs w:val="20"/>
          <w:color w:val="auto"/>
        </w:rPr>
      </w:pPr>
      <w:r>
        <w:rPr>
          <w:rFonts w:ascii="Times New Roman" w:cs="Times New Roman" w:eastAsia="Times New Roman" w:hAnsi="Times New Roman"/>
          <w:sz w:val="18"/>
          <w:szCs w:val="18"/>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2"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 total of 2.4 million shares of common stock have been reserved for issuance under the 2020 Plan.</w:t>
      </w:r>
    </w:p>
    <w:p>
      <w:pPr>
        <w:spacing w:after="0" w:line="128"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May 31, 2022, there remained approximately 1.5 million shares available for granting under the 2020 Plan.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884" w:right="439" w:bottom="1440" w:gutter="0" w:footer="0" w:header="0"/>
        </w:sectPr>
      </w:pPr>
    </w:p>
    <w:bookmarkStart w:id="75" w:name="page76"/>
    <w:bookmarkEnd w:id="75"/>
    <w:p>
      <w:pPr>
        <w:ind w:left="4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 for the fiscal year ended May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Weighted 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Weighted average</w:t>
            </w:r>
          </w:p>
        </w:tc>
        <w:tc>
          <w:tcPr>
            <w:tcW w:w="140" w:type="dxa"/>
            <w:vAlign w:val="bottom"/>
          </w:tcPr>
          <w:p>
            <w:pPr>
              <w:spacing w:after="0"/>
              <w:rPr>
                <w:sz w:val="13"/>
                <w:szCs w:val="13"/>
                <w:color w:val="auto"/>
              </w:rPr>
            </w:pPr>
          </w:p>
        </w:tc>
        <w:tc>
          <w:tcPr>
            <w:tcW w:w="13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remaining contractual</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life</w:t>
            </w:r>
          </w:p>
        </w:tc>
        <w:tc>
          <w:tcPr>
            <w:tcW w:w="140" w:type="dxa"/>
            <w:vAlign w:val="bottom"/>
          </w:tcPr>
          <w:p>
            <w:pPr>
              <w:spacing w:after="0"/>
              <w:rPr>
                <w:sz w:val="16"/>
                <w:szCs w:val="16"/>
                <w:color w:val="auto"/>
              </w:rPr>
            </w:pPr>
          </w:p>
        </w:tc>
        <w:tc>
          <w:tcPr>
            <w:tcW w:w="130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value (in thousands)</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 - June 1, 2021</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2,146,960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 - May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year-end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line="20" w:lineRule="exact"/>
              <w:rPr>
                <w:sz w:val="1"/>
                <w:szCs w:val="1"/>
                <w:color w:val="auto"/>
              </w:rPr>
            </w:pPr>
          </w:p>
        </w:tc>
      </w:tr>
      <w:tr>
        <w:trPr>
          <w:trHeight w:val="201"/>
        </w:trPr>
        <w:tc>
          <w:tcPr>
            <w:tcW w:w="5200" w:type="dxa"/>
            <w:vAlign w:val="bottom"/>
            <w:vMerge w:val="continue"/>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1,291,591</w:t>
            </w:r>
          </w:p>
        </w:tc>
        <w:tc>
          <w:tcPr>
            <w:tcW w:w="26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expected to vest in future periods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20" w:firstLine="385"/>
        <w:spacing w:after="0" w:line="263" w:lineRule="auto"/>
        <w:rPr>
          <w:sz w:val="20"/>
          <w:szCs w:val="20"/>
          <w:color w:val="auto"/>
        </w:rPr>
      </w:pPr>
      <w:r>
        <w:rPr>
          <w:rFonts w:ascii="Times New Roman" w:cs="Times New Roman" w:eastAsia="Times New Roman" w:hAnsi="Times New Roman"/>
          <w:sz w:val="18"/>
          <w:szCs w:val="18"/>
          <w:color w:val="auto"/>
        </w:rPr>
        <w:t>Stock options are granted at exercise prices equal to the quoted market price of common stock at the date of the grant. Options vest 25% per year over four years for employees. Stock options granted prior to May 1, 2007 and after June 1, 2017 expire on the tenth anniversary of the grant date. Stock options granted between May 1, 2007 through May 31, 2017 expire on the seventh anniversary of the grant date.</w:t>
      </w:r>
    </w:p>
    <w:p>
      <w:pPr>
        <w:spacing w:after="0" w:line="123"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The Company measures the fair value of each stock option grant at the date of grant using a Black-Scholes option pricing model. The weighted average grant-date fair value of options granted during the years ended May 31, 2022, 2021 and 2020 was $9.57, $3.97, and $5.46, respectively. The following assumptions were used in arriving at the fair value of options granted during 2022, 2021 and 2020, respectively: risk-free interest rates of 0.92%, 0.34% and 1.63%; expected volatility of 41%, 39%, and 31%; and expected lives of 5.05 years, 4.96 years, and 4.91 years. The Company does not declare dividends therefore a dividend yield of zero was used for the years ended May 31, 2022, 2021 and 2020.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33" w:lineRule="exact"/>
        <w:rPr>
          <w:sz w:val="20"/>
          <w:szCs w:val="20"/>
          <w:color w:val="auto"/>
        </w:rPr>
      </w:pPr>
    </w:p>
    <w:p>
      <w:pPr>
        <w:jc w:val="both"/>
        <w:ind w:right="300" w:firstLine="385"/>
        <w:spacing w:after="0" w:line="263"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May 31, 2022, 2021 and 2020 was $1.6 million, $0.8 million, and $0.5 million, respectively. As of May 31, 2022, there was $5.0 million of total unrecognized compensation cost related to non-vested options, which is expected to be recognized over a weighted average period of 2 years.</w:t>
      </w:r>
    </w:p>
    <w:p>
      <w:pPr>
        <w:spacing w:after="0" w:line="123" w:lineRule="exact"/>
        <w:rPr>
          <w:sz w:val="20"/>
          <w:szCs w:val="20"/>
          <w:color w:val="auto"/>
        </w:rPr>
      </w:pPr>
    </w:p>
    <w:p>
      <w:pPr>
        <w:jc w:val="both"/>
        <w:ind w:right="280" w:firstLine="385"/>
        <w:spacing w:after="0" w:line="278" w:lineRule="auto"/>
        <w:rPr>
          <w:sz w:val="20"/>
          <w:szCs w:val="20"/>
          <w:color w:val="auto"/>
        </w:rPr>
      </w:pPr>
      <w:r>
        <w:rPr>
          <w:rFonts w:ascii="Times New Roman" w:cs="Times New Roman" w:eastAsia="Times New Roman" w:hAnsi="Times New Roman"/>
          <w:sz w:val="18"/>
          <w:szCs w:val="18"/>
          <w:color w:val="auto"/>
        </w:rPr>
        <w:t>Cash received from option exercises during 2022, 2021 and 2020 was $2.7 million, $1.9 million and $0.6 million, respectively. Due to the valuation allowance there was no tax benefit realized from stock option exercises during the years ended May 31, 2022, 2021 and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and Performance Share Awards</w:t>
      </w:r>
    </w:p>
    <w:p>
      <w:pPr>
        <w:spacing w:after="0" w:line="172" w:lineRule="exact"/>
        <w:rPr>
          <w:sz w:val="20"/>
          <w:szCs w:val="20"/>
          <w:color w:val="auto"/>
        </w:rPr>
      </w:pPr>
    </w:p>
    <w:p>
      <w:pPr>
        <w:ind w:right="20" w:firstLine="385"/>
        <w:spacing w:after="0" w:line="258" w:lineRule="auto"/>
        <w:rPr>
          <w:sz w:val="20"/>
          <w:szCs w:val="20"/>
          <w:color w:val="auto"/>
        </w:rPr>
      </w:pPr>
      <w:r>
        <w:rPr>
          <w:rFonts w:ascii="Times New Roman" w:cs="Times New Roman" w:eastAsia="Times New Roman" w:hAnsi="Times New Roman"/>
          <w:sz w:val="18"/>
          <w:szCs w:val="18"/>
          <w:color w:val="auto"/>
        </w:rPr>
        <w:t>The Company grants restricted stock units to certain employees under the 2020 Plan, and historically under the 2004 Plan, which give the recipients the right to receive shares of Company stock upon vesting. The restricted stock unit awards vest in four equal annual installments beginning on the first anniversary of the grant date. Restricted stock unit awards granted to directors vest over one year. Unvested restricted stock unit awards will be forfeited if the recipient ceases to be employed by the Company.</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unit activity for the year ended May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Restricted Stock Units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Grant-Date Fair Value</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 June 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 May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340" w:firstLine="385"/>
        <w:spacing w:after="0" w:line="278" w:lineRule="auto"/>
        <w:rPr>
          <w:sz w:val="20"/>
          <w:szCs w:val="20"/>
          <w:color w:val="auto"/>
        </w:rPr>
      </w:pPr>
      <w:r>
        <w:rPr>
          <w:rFonts w:ascii="Times New Roman" w:cs="Times New Roman" w:eastAsia="Times New Roman" w:hAnsi="Times New Roman"/>
          <w:sz w:val="18"/>
          <w:szCs w:val="18"/>
          <w:color w:val="auto"/>
        </w:rPr>
        <w:t>The fair value of each restricted stock unit is the market price of Company stock on the date of grant. The weighted average grant date fair value of restricted stock units granted during the years ended May 31, 2022, 2021 and 2020 was $26.24,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6" w:name="page77"/>
    <w:bookmarkEnd w:id="76"/>
    <w:p>
      <w:pPr>
        <w:ind w:right="20"/>
        <w:spacing w:after="0" w:line="286" w:lineRule="auto"/>
        <w:rPr>
          <w:sz w:val="20"/>
          <w:szCs w:val="20"/>
          <w:color w:val="auto"/>
        </w:rPr>
      </w:pPr>
      <w:r>
        <w:rPr>
          <w:rFonts w:ascii="Times New Roman" w:cs="Times New Roman" w:eastAsia="Times New Roman" w:hAnsi="Times New Roman"/>
          <w:sz w:val="17"/>
          <w:szCs w:val="17"/>
          <w:color w:val="auto"/>
        </w:rPr>
        <w:t>$10.40 and $20.35, respectively. The total intrinsic value of restricted stock units (meaning the fair value of the units on the date of vest) vesting during the years ended May 31, 2022, 2021 and 2020 was $8.5 million, $2.1 million, and $3.9 million, respectively. As of May 31, 2022, there was $7.8 million of total unrecognized compensation cost related to non-vested restricted stock awards, which is expected to be recognized over a weighted average period of 2 years.</w:t>
      </w:r>
    </w:p>
    <w:p>
      <w:pPr>
        <w:spacing w:after="0" w:line="105" w:lineRule="exact"/>
        <w:rPr>
          <w:sz w:val="20"/>
          <w:szCs w:val="20"/>
          <w:color w:val="auto"/>
        </w:rPr>
      </w:pPr>
    </w:p>
    <w:p>
      <w:pPr>
        <w:ind w:right="560" w:firstLine="385"/>
        <w:spacing w:after="0" w:line="263" w:lineRule="auto"/>
        <w:rPr>
          <w:sz w:val="20"/>
          <w:szCs w:val="20"/>
          <w:color w:val="auto"/>
        </w:rPr>
      </w:pPr>
      <w:r>
        <w:rPr>
          <w:rFonts w:ascii="Times New Roman" w:cs="Times New Roman" w:eastAsia="Times New Roman" w:hAnsi="Times New Roman"/>
          <w:sz w:val="18"/>
          <w:szCs w:val="18"/>
          <w:color w:val="auto"/>
        </w:rPr>
        <w:t>The Company grants performance share awards to certain employees under the 2020 Plan, and historically under the 2004 Plan, which gives the recipients the right to receive shares of Company stock if certain criteria is met.</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unit award activity for the year ended May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Performance Unit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Weighted Average</w:t>
            </w:r>
          </w:p>
        </w:tc>
      </w:tr>
      <w:tr>
        <w:trPr>
          <w:trHeight w:val="194"/>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Grant-Date Fair Value</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 June 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2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 May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During fiscal years 2022, 2021 and 2020, the Company granted performance unit awards. Performance unit awards subject to vesting are based on the Company's level of attainment of the performance targets which are set for each of the three performance years along with continued employment of the grantee. At the end of the three year period, the vested shares are subject to modification based on the Company’s TSR targets relative to the percentage appreciation of a specified index of companies for the respective three-year period.</w:t>
      </w:r>
    </w:p>
    <w:p>
      <w:pPr>
        <w:spacing w:after="0" w:line="128" w:lineRule="exact"/>
        <w:rPr>
          <w:sz w:val="20"/>
          <w:szCs w:val="20"/>
          <w:color w:val="auto"/>
        </w:rPr>
      </w:pPr>
    </w:p>
    <w:p>
      <w:pPr>
        <w:ind w:right="140" w:firstLine="385"/>
        <w:spacing w:after="0" w:line="258" w:lineRule="auto"/>
        <w:rPr>
          <w:sz w:val="20"/>
          <w:szCs w:val="20"/>
          <w:color w:val="auto"/>
        </w:rPr>
      </w:pPr>
      <w:r>
        <w:rPr>
          <w:rFonts w:ascii="Times New Roman" w:cs="Times New Roman" w:eastAsia="Times New Roman" w:hAnsi="Times New Roman"/>
          <w:sz w:val="18"/>
          <w:szCs w:val="18"/>
          <w:color w:val="auto"/>
        </w:rPr>
        <w:t>In order to estimate the fair value of such awards, a Monte Carlo Simulation valuation model on the date of the grant was used. For the years ended May 31, 2022, 2021 and 2020, the weighted average grant date fair market value for new grants was $28.93, $9.72 and $14.06, respectively. Compensation cost is recognized over the performance period which is typically three years. As of May 31, 2022, there was $4.5 million of unrecognized compensation cost which is expected to be recognized over a weighted average period of 1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represents the break out of stock-based compensation included in the Company's Consolidated Statement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2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46"/>
        </w:trPr>
        <w:tc>
          <w:tcPr>
            <w:tcW w:w="6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income tax benefit on the compensation expense recognized for all stock-based compensation arrangements was $2.5 million, $2.0 million and $1.7 million for the years ended May 31, 2022, 2021 and 2020, respectively. The income tax benefit for 2022, 2021 and 2020 are negated by the full valuation allowance recorded against the deferred tax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2" w:lineRule="exact"/>
        <w:rPr>
          <w:sz w:val="20"/>
          <w:szCs w:val="20"/>
          <w:color w:val="auto"/>
        </w:rPr>
      </w:pPr>
    </w:p>
    <w:p>
      <w:pPr>
        <w:ind w:right="60" w:firstLine="385"/>
        <w:spacing w:after="0" w:line="252" w:lineRule="auto"/>
        <w:rPr>
          <w:sz w:val="20"/>
          <w:szCs w:val="20"/>
          <w:color w:val="auto"/>
        </w:rPr>
      </w:pPr>
      <w:r>
        <w:rPr>
          <w:rFonts w:ascii="Times New Roman" w:cs="Times New Roman" w:eastAsia="Times New Roman" w:hAnsi="Times New Roman"/>
          <w:sz w:val="18"/>
          <w:szCs w:val="18"/>
          <w:color w:val="auto"/>
        </w:rPr>
        <w:t>The Employee Stock Purchase Plan (the “Stock Purchase Plan”) provides a means by which employees (the “participants”) are given an opportunity to purchase the Company's common stock through payroll deductions. A total of 4,000,000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7" w:name="page78"/>
    <w:bookmarkEnd w:id="77"/>
    <w:p>
      <w:pPr>
        <w:ind w:right="100"/>
        <w:spacing w:after="0" w:line="258" w:lineRule="auto"/>
        <w:rPr>
          <w:sz w:val="20"/>
          <w:szCs w:val="20"/>
          <w:color w:val="auto"/>
        </w:rPr>
      </w:pPr>
      <w:r>
        <w:rPr>
          <w:rFonts w:ascii="Times New Roman" w:cs="Times New Roman" w:eastAsia="Times New Roman" w:hAnsi="Times New Roman"/>
          <w:sz w:val="18"/>
          <w:szCs w:val="18"/>
          <w:color w:val="auto"/>
        </w:rPr>
        <w:t>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years ended May 31, 2017, 2019 and 2021, an additional 500,000, 1,000,000 and 500,000 shares of the Company's common stock, respectively, were reserved for issuance under the Stock Purchase Plan.</w:t>
      </w:r>
    </w:p>
    <w:p>
      <w:pPr>
        <w:spacing w:after="0" w:line="128"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2022, 2021 and 2020, 98,586, 164,194 and 100,567 shares, respectively, were issued at an average price of $19.02, $7.95 and $12.11, respectively, under the Stock Purchase Plan. As of May 31, 2022, 2.3 million shares remained available for future purchases under the Stock 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72" w:lineRule="exact"/>
        <w:rPr>
          <w:sz w:val="20"/>
          <w:szCs w:val="20"/>
          <w:color w:val="auto"/>
        </w:rPr>
      </w:pPr>
    </w:p>
    <w:p>
      <w:pPr>
        <w:jc w:val="both"/>
        <w:ind w:right="80" w:firstLine="385"/>
        <w:spacing w:after="0" w:line="258"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 average shares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 ended May 31,</w:t>
            </w:r>
          </w:p>
        </w:tc>
        <w:tc>
          <w:tcPr>
            <w:tcW w:w="144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39,009,419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38,342,476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37,961,224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39,009,419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38,342,476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37,961,224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3,465,738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3,285,354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2,581,006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72" w:lineRule="exact"/>
        <w:rPr>
          <w:sz w:val="20"/>
          <w:szCs w:val="20"/>
          <w:color w:val="auto"/>
        </w:rPr>
      </w:pPr>
    </w:p>
    <w:p>
      <w:pPr>
        <w:jc w:val="both"/>
        <w:ind w:firstLine="385"/>
        <w:spacing w:after="0" w:line="27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10"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8"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55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8"/>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2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0"/>
        </w:trPr>
        <w:tc>
          <w:tcPr>
            <w:tcW w:w="5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May 31, 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May 31, 2021</w:t>
            </w:r>
          </w:p>
        </w:tc>
      </w:tr>
      <w:tr>
        <w:trPr>
          <w:trHeight w:val="25"/>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464"/>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2022</w:t>
            </w:r>
          </w:p>
        </w:tc>
      </w:tr>
      <w:tr>
        <w:trPr>
          <w:trHeight w:val="25"/>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0"/>
        </w:trPr>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420" w:firstLine="385"/>
        <w:spacing w:after="0" w:line="278" w:lineRule="auto"/>
        <w:rPr>
          <w:sz w:val="20"/>
          <w:szCs w:val="20"/>
          <w:color w:val="auto"/>
        </w:rPr>
      </w:pPr>
      <w:r>
        <w:rPr>
          <w:rFonts w:ascii="Times New Roman" w:cs="Times New Roman" w:eastAsia="Times New Roman" w:hAnsi="Times New Roman"/>
          <w:sz w:val="18"/>
          <w:szCs w:val="18"/>
          <w:color w:val="auto"/>
        </w:rPr>
        <w:t>During the years ended May 31, 2022 and May 31, 2021, the Company recognized operating lease expense, which includes immaterial short-term leases, of $2.8 million and $3.2 million, respectively. The expenses on the Consolidated Statement of Operations were classified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2021</w:t>
            </w:r>
          </w:p>
        </w:tc>
        <w:tc>
          <w:tcPr>
            <w:tcW w:w="0" w:type="dxa"/>
            <w:vAlign w:val="bottom"/>
          </w:tcPr>
          <w:p>
            <w:pPr>
              <w:spacing w:after="0"/>
              <w:rPr>
                <w:sz w:val="1"/>
                <w:szCs w:val="1"/>
                <w:color w:val="auto"/>
              </w:rPr>
            </w:pPr>
          </w:p>
        </w:tc>
      </w:tr>
      <w:tr>
        <w:trPr>
          <w:trHeight w:val="25"/>
        </w:trPr>
        <w:tc>
          <w:tcPr>
            <w:tcW w:w="37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5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8"/>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46"/>
        </w:trPr>
        <w:tc>
          <w:tcPr>
            <w:tcW w:w="37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531"/>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 for the year ended May 31,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2022</w:t>
            </w:r>
          </w:p>
        </w:tc>
        <w:tc>
          <w:tcPr>
            <w:tcW w:w="220" w:type="dxa"/>
            <w:vAlign w:val="bottom"/>
          </w:tcPr>
          <w:p>
            <w:pPr>
              <w:spacing w:after="0"/>
              <w:rPr>
                <w:sz w:val="16"/>
                <w:szCs w:val="16"/>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May 31, 2021</w:t>
            </w:r>
          </w:p>
        </w:tc>
        <w:tc>
          <w:tcPr>
            <w:tcW w:w="0" w:type="dxa"/>
            <w:vAlign w:val="bottom"/>
          </w:tcPr>
          <w:p>
            <w:pPr>
              <w:spacing w:after="0"/>
              <w:rPr>
                <w:sz w:val="1"/>
                <w:szCs w:val="1"/>
                <w:color w:val="auto"/>
              </w:rPr>
            </w:pPr>
          </w:p>
        </w:tc>
      </w:tr>
      <w:tr>
        <w:trPr>
          <w:trHeight w:val="25"/>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other future commitments and contingencies as of May 31,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4"/>
                <w:szCs w:val="14"/>
                <w:color w:val="auto"/>
              </w:rPr>
              <w:t>2027 and</w:t>
            </w:r>
          </w:p>
        </w:tc>
        <w:tc>
          <w:tcPr>
            <w:tcW w:w="0" w:type="dxa"/>
            <w:vAlign w:val="bottom"/>
          </w:tcPr>
          <w:p>
            <w:pPr>
              <w:spacing w:after="0"/>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27"/>
        </w:trPr>
        <w:tc>
          <w:tcPr>
            <w:tcW w:w="4340" w:type="dxa"/>
            <w:vAlign w:val="bottom"/>
            <w:tcBorders>
              <w:top w:val="single" w:sz="8" w:color="CCEEFF"/>
            </w:tcBorders>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340" w:type="dxa"/>
            <w:vAlign w:val="bottom"/>
            <w:tcBorders>
              <w:bottom w:val="single" w:sz="8" w:color="CCEEFF"/>
            </w:tcBorders>
          </w:tcPr>
          <w:p>
            <w:pPr>
              <w:spacing w:after="0" w:line="228"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0" w:type="dxa"/>
            <w:vAlign w:val="bottom"/>
          </w:tcPr>
          <w:p>
            <w:pPr>
              <w:spacing w:after="0"/>
              <w:rPr>
                <w:sz w:val="1"/>
                <w:szCs w:val="1"/>
                <w:color w:val="auto"/>
              </w:rPr>
            </w:pPr>
          </w:p>
        </w:tc>
      </w:tr>
      <w:tr>
        <w:trPr>
          <w:trHeight w:val="246"/>
        </w:trPr>
        <w:tc>
          <w:tcPr>
            <w:tcW w:w="4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340" w:firstLine="7"/>
        <w:spacing w:after="0" w:line="264" w:lineRule="auto"/>
        <w:tabs>
          <w:tab w:leader="none" w:pos="22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non-cancelable inventory purchase obligations are not reflected on the Consolidated Balance Sheets under accounting principles generally accepted in the United States of America.</w:t>
      </w:r>
    </w:p>
    <w:p>
      <w:pPr>
        <w:spacing w:after="0" w:line="1"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future minimum royalty payments.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2"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159" w:lineRule="exact"/>
        <w:rPr>
          <w:sz w:val="20"/>
          <w:szCs w:val="20"/>
          <w:color w:val="auto"/>
        </w:rPr>
      </w:pPr>
    </w:p>
    <w:p>
      <w:pPr>
        <w:ind w:firstLine="402"/>
        <w:spacing w:after="0" w:line="248" w:lineRule="auto"/>
        <w:rPr>
          <w:sz w:val="20"/>
          <w:szCs w:val="20"/>
          <w:color w:val="auto"/>
        </w:rPr>
      </w:pPr>
      <w:r>
        <w:rPr>
          <w:rFonts w:ascii="Times New Roman" w:cs="Times New Roman" w:eastAsia="Times New Roman" w:hAnsi="Times New Roman"/>
          <w:sz w:val="17"/>
          <w:szCs w:val="17"/>
          <w:color w:val="auto"/>
        </w:rPr>
        <w:t>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On July 22, 2021, in another case against a different defendant, the District of Utah invalidated multiple claims of the ‘302, ‘022, and ‘615 Patents under 35 USC §101, including claims asserted against the Company. Following the Utah court’s decision, the Company filed a Motion for Judgment on the Pleadings based on collateral estoppel on August 9, 2021. Bard filed its opposition brief on September 2, 2021 and the Company filed a reply on September 9, 2021. Following a hearing on the Motion for Judgment on the Pleadings on December 21, 2021, the District of Delaware stayed the case pending the Federal Circuit's resolution of Bard's appeal from the Utah Decision. Previously, the Company had filed a Motion for Leave to Amend its Answer and Counterclaims on April 14, 2021. This motion sought to add counterclaims for infringement of U.S. Patent Nos. 9,168,365; 9,895,523; and 10,632,295, as well as a counterclaim of inequitable conduct. On November 5, 2021, the Company notified the District of Delaware that the Utah decision was certified for appeal to the Court of Appeals for the Federal Circuit. Contemporaneously, the Company withdrew its Motion for Leave to Amend its Answer and Counterclaims without prejudice to refile. Bard filed its Opening Appellate Brief in its appeal at the Federal Circuit on December 8, 2021, and the appeal remains pending.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21" w:lineRule="exact"/>
        <w:rPr>
          <w:sz w:val="20"/>
          <w:szCs w:val="20"/>
          <w:color w:val="auto"/>
        </w:rPr>
      </w:pPr>
    </w:p>
    <w:p>
      <w:pPr>
        <w:ind w:right="20" w:firstLine="402"/>
        <w:spacing w:after="0" w:line="251"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The Company filed a combined Petition 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parties agreed to schedule trial the week of May 9, 2022, which was subsequently rescheduled for the week of November 14, 2022.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80" w:name="page81"/>
    <w:bookmarkEnd w:id="80"/>
    <w:p>
      <w:pPr>
        <w:ind w:right="120" w:firstLine="402"/>
        <w:spacing w:after="0" w:line="269" w:lineRule="auto"/>
        <w:rPr>
          <w:sz w:val="20"/>
          <w:szCs w:val="20"/>
          <w:color w:val="auto"/>
        </w:rPr>
      </w:pPr>
      <w:r>
        <w:rPr>
          <w:rFonts w:ascii="Times New Roman" w:cs="Times New Roman" w:eastAsia="Times New Roman" w:hAnsi="Times New Roman"/>
          <w:sz w:val="17"/>
          <w:szCs w:val="17"/>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On July 22, 2021, the Company submitted the Utah court’s decision invalidating claims of the related ‘302, ‘022, and ‘615 Patents as supplemental authority in support of its Motion to Dismiss. The parties agreed to submit supplemental briefing to address the Utah court’s decision. Bard submitted its brief on August 12, 2021, and the Company submitted its reply on September 2, 2021. On December 21, 2021, the District of Delaware stayed the case pending the Federal Circuit's resolution of Bard's appeal of the Utah decision invalidating multiple claims of the ‘302, ‘022, and ‘615 patents under 35 USC §101.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AngioDynamics, Inc. v. C.R. Bard, Inc.</w:t>
      </w:r>
    </w:p>
    <w:p>
      <w:pPr>
        <w:spacing w:after="0" w:line="172" w:lineRule="exact"/>
        <w:rPr>
          <w:sz w:val="20"/>
          <w:szCs w:val="20"/>
          <w:color w:val="auto"/>
        </w:rPr>
      </w:pPr>
    </w:p>
    <w:p>
      <w:pPr>
        <w:ind w:firstLine="402"/>
        <w:spacing w:after="0" w:line="251"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Bard made a motion for summary judgment which was denied in its entirety in a decision issued by the Court on May 5, 2021. Bard also raised a series of challenges targeted at one of AngioDynamics’ expert witnesses, which the Court denied in part and granted in part in decisions on May 5, 2021 and June 11, 2021. More recently, Bard raised another challenge to AngioDynamic's damages expert, which the Court denied in full on July 8, 2022 at which time the Court also issued rulings on all other pre-trial motions filed to date. Discovery is complete and the next court hearing is scheduled for August 25, 2022. As a result of an extension requested by Bard, the trial is now scheduled to commence on September 19, 2022. We have not undertaken an assessment of the potential loss exposure, if any, but note that there are no claims pending against the Company in connection with this litigation.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Merz North America Settlement</w:t>
      </w:r>
    </w:p>
    <w:p>
      <w:pPr>
        <w:spacing w:after="0" w:line="172" w:lineRule="exact"/>
        <w:rPr>
          <w:sz w:val="20"/>
          <w:szCs w:val="20"/>
          <w:color w:val="auto"/>
        </w:rPr>
      </w:pPr>
    </w:p>
    <w:p>
      <w:pPr>
        <w:jc w:val="both"/>
        <w:ind w:right="60" w:firstLine="402"/>
        <w:spacing w:after="0" w:line="258" w:lineRule="auto"/>
        <w:rPr>
          <w:sz w:val="20"/>
          <w:szCs w:val="20"/>
          <w:color w:val="auto"/>
        </w:rPr>
      </w:pPr>
      <w:r>
        <w:rPr>
          <w:rFonts w:ascii="Times New Roman" w:cs="Times New Roman" w:eastAsia="Times New Roman" w:hAnsi="Times New Roman"/>
          <w:sz w:val="18"/>
          <w:szCs w:val="18"/>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SEGMENTS AND GEOGRAPHIC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2" w:lineRule="exact"/>
        <w:rPr>
          <w:sz w:val="20"/>
          <w:szCs w:val="20"/>
          <w:color w:val="auto"/>
        </w:rPr>
      </w:pPr>
    </w:p>
    <w:p>
      <w:pPr>
        <w:ind w:right="60" w:firstLine="385"/>
        <w:spacing w:after="0" w:line="254" w:lineRule="auto"/>
        <w:rPr>
          <w:sz w:val="20"/>
          <w:szCs w:val="20"/>
          <w:color w:val="auto"/>
        </w:rPr>
      </w:pPr>
      <w:r>
        <w:rPr>
          <w:rFonts w:ascii="Times New Roman" w:cs="Times New Roman" w:eastAsia="Times New Roman" w:hAnsi="Times New Roman"/>
          <w:sz w:val="18"/>
          <w:szCs w:val="18"/>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to among, other items, allocate resources and assess performance utilizing numerous metrics and breakouts of the data including Global Business Unit, Med Tech, Med Device and geography. Executives reporting to the CEO include those responsible for commercial operations, manufacturing operations, regulatory and quality and certain corporate functions. The CEO evaluates profitability, investment and cash flow metrics on a consolidated global basis due to shared infrastructure and resources.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Global Business Unit: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Product Category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Endovascular Therapies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Oncology/Surgery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57,152</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Med Tech and Med Device: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223,138</w:t>
            </w:r>
          </w:p>
        </w:tc>
        <w:tc>
          <w:tcPr>
            <w:tcW w:w="0" w:type="dxa"/>
            <w:vAlign w:val="bottom"/>
          </w:tcPr>
          <w:p>
            <w:pPr>
              <w:spacing w:after="0"/>
              <w:rPr>
                <w:sz w:val="1"/>
                <w:szCs w:val="1"/>
                <w:color w:val="auto"/>
              </w:rPr>
            </w:pPr>
          </w:p>
        </w:tc>
      </w:tr>
      <w:tr>
        <w:trPr>
          <w:trHeight w:val="221"/>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56,177</w:t>
            </w:r>
          </w:p>
        </w:tc>
        <w:tc>
          <w:tcPr>
            <w:tcW w:w="0" w:type="dxa"/>
            <w:vAlign w:val="bottom"/>
          </w:tcPr>
          <w:p>
            <w:pPr>
              <w:spacing w:after="0"/>
              <w:rPr>
                <w:sz w:val="1"/>
                <w:szCs w:val="1"/>
                <w:color w:val="auto"/>
              </w:rPr>
            </w:pPr>
          </w:p>
        </w:tc>
      </w:tr>
      <w:tr>
        <w:trPr>
          <w:trHeight w:val="221"/>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420" w:firstLine="385"/>
        <w:spacing w:after="0" w:line="263" w:lineRule="auto"/>
        <w:rPr>
          <w:sz w:val="20"/>
          <w:szCs w:val="20"/>
          <w:color w:val="auto"/>
        </w:rPr>
      </w:pPr>
      <w:r>
        <w:rPr>
          <w:rFonts w:ascii="Times New Roman" w:cs="Times New Roman" w:eastAsia="Times New Roman" w:hAnsi="Times New Roman"/>
          <w:sz w:val="18"/>
          <w:szCs w:val="18"/>
          <w:color w:val="auto"/>
        </w:rPr>
        <w:t>For fiscal years 2022, 2021 and 2020, international sales as a percentage of total net sales were 16%, 19% and 21%, respectively. Sales to any one country outside the U.S., as determined by shipment destination, did not comprise a material portion of net sales in any of the last three fiscal years. In addition, no one customer represents more than 10% of consolidated net sales. 96% of long-lived assets are located within the United States.</w:t>
      </w:r>
    </w:p>
    <w:p>
      <w:pPr>
        <w:spacing w:after="0" w:line="119" w:lineRule="exact"/>
        <w:rPr>
          <w:sz w:val="20"/>
          <w:szCs w:val="20"/>
          <w:color w:val="auto"/>
        </w:rPr>
      </w:pPr>
    </w:p>
    <w:p>
      <w:pPr>
        <w:ind w:left="400" w:right="5900" w:hanging="393"/>
        <w:spacing w:after="0" w:line="457" w:lineRule="auto"/>
        <w:tabs>
          <w:tab w:leader="none" w:pos="28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RESTRUCTURING AND OTHER ITEMS, NET </w:t>
      </w:r>
      <w:r>
        <w:rPr>
          <w:rFonts w:ascii="Times New Roman" w:cs="Times New Roman" w:eastAsia="Times New Roman" w:hAnsi="Times New Roman"/>
          <w:sz w:val="18"/>
          <w:szCs w:val="18"/>
          <w:color w:val="auto"/>
        </w:rPr>
        <w:t>Acquisition, restructuring and other items, net consisted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Divestiture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Intangible and other asset impairment </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40" w:hanging="233"/>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1"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expenses related to investment banking, legal and due diligence.</w:t>
      </w:r>
    </w:p>
    <w:p>
      <w:pPr>
        <w:spacing w:after="0" w:line="7"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 that was entered into as a result of the sale of the Fluid Management business.</w:t>
      </w:r>
    </w:p>
    <w:p>
      <w:pPr>
        <w:spacing w:after="0" w:line="13"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Divestiture expenses incurred to transition manufacturing from Glens Falls, NY to Queensbury, NY.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82" w:name="page83"/>
    <w:bookmarkEnd w:id="82"/>
    <w:p>
      <w:pPr>
        <w:ind w:right="100" w:firstLine="7"/>
        <w:spacing w:after="0" w:line="258" w:lineRule="auto"/>
        <w:tabs>
          <w:tab w:leader="none" w:pos="22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fourth quarter of fiscal year 2021, the Company made the decision to abandon the OARtrac product technology and trademark. This resulted in an impairment charge of $14.0 million.</w:t>
      </w:r>
    </w:p>
    <w:p>
      <w:pPr>
        <w:spacing w:after="0" w:line="1"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certain manufacturing lines from Queensbury, NY to Alajuela, Costa Rica.</w:t>
      </w:r>
    </w:p>
    <w:p>
      <w:pPr>
        <w:spacing w:after="0" w:line="151" w:lineRule="exact"/>
        <w:rPr>
          <w:sz w:val="20"/>
          <w:szCs w:val="20"/>
          <w:color w:val="auto"/>
        </w:rPr>
      </w:pPr>
    </w:p>
    <w:p>
      <w:pPr>
        <w:ind w:right="40" w:firstLine="385"/>
        <w:spacing w:after="0" w:line="278" w:lineRule="auto"/>
        <w:rPr>
          <w:sz w:val="20"/>
          <w:szCs w:val="20"/>
          <w:color w:val="auto"/>
        </w:rPr>
      </w:pPr>
      <w:r>
        <w:rPr>
          <w:rFonts w:ascii="Times New Roman" w:cs="Times New Roman" w:eastAsia="Times New Roman" w:hAnsi="Times New Roman"/>
          <w:sz w:val="18"/>
          <w:szCs w:val="18"/>
          <w:color w:val="auto"/>
        </w:rPr>
        <w:t>Included in legal for fiscal year 2021 is a $1.0 million settlement expense. Included in legal for fiscal year 2020 is a settlement received for the Biolitec litigation of $0.5 million. The settlement received partially offset legal expenses paid related to the settlement proceedings.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 (LOSS)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(loss), net of tax,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73"/>
              <w:spacing w:after="0"/>
              <w:rPr>
                <w:sz w:val="20"/>
                <w:szCs w:val="20"/>
                <w:color w:val="auto"/>
              </w:rPr>
            </w:pPr>
            <w:r>
              <w:rPr>
                <w:rFonts w:ascii="Times New Roman" w:cs="Times New Roman" w:eastAsia="Times New Roman" w:hAnsi="Times New Roman"/>
                <w:sz w:val="14"/>
                <w:szCs w:val="14"/>
                <w:color w:val="auto"/>
              </w:rPr>
              <w:t>Foreign currency</w:t>
            </w:r>
          </w:p>
        </w:tc>
        <w:tc>
          <w:tcPr>
            <w:tcW w:w="0" w:type="dxa"/>
            <w:vAlign w:val="bottom"/>
          </w:tcPr>
          <w:p>
            <w:pPr>
              <w:spacing w:after="0"/>
              <w:rPr>
                <w:sz w:val="1"/>
                <w:szCs w:val="1"/>
                <w:color w:val="auto"/>
              </w:rPr>
            </w:pPr>
          </w:p>
        </w:tc>
      </w:tr>
      <w:tr>
        <w:trPr>
          <w:trHeight w:val="191"/>
        </w:trPr>
        <w:tc>
          <w:tcPr>
            <w:tcW w:w="4380" w:type="dxa"/>
            <w:vAlign w:val="bottom"/>
            <w:tcBorders>
              <w:bottom w:val="single" w:sz="8" w:color="CCEEFF"/>
            </w:tcBorders>
            <w:vMerge w:val="continue"/>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translation gain (loss)</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2020</w:t>
            </w:r>
          </w:p>
        </w:tc>
        <w:tc>
          <w:tcPr>
            <w:tcW w:w="54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(1,341)</w:t>
            </w:r>
          </w:p>
        </w:tc>
        <w:tc>
          <w:tcPr>
            <w:tcW w:w="0" w:type="dxa"/>
            <w:vAlign w:val="bottom"/>
          </w:tcPr>
          <w:p>
            <w:pPr>
              <w:spacing w:after="0"/>
              <w:rPr>
                <w:sz w:val="1"/>
                <w:szCs w:val="1"/>
                <w:color w:val="auto"/>
              </w:rPr>
            </w:pPr>
          </w:p>
        </w:tc>
      </w:tr>
      <w:tr>
        <w:trPr>
          <w:trHeight w:val="228"/>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5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3"/>
              <w:spacing w:after="0"/>
              <w:rPr>
                <w:sz w:val="20"/>
                <w:szCs w:val="20"/>
                <w:color w:val="auto"/>
              </w:rPr>
            </w:pPr>
            <w:r>
              <w:rPr>
                <w:rFonts w:ascii="Times New Roman" w:cs="Times New Roman" w:eastAsia="Times New Roman" w:hAnsi="Times New Roman"/>
                <w:sz w:val="18"/>
                <w:szCs w:val="18"/>
                <w:color w:val="auto"/>
                <w:w w:val="98"/>
              </w:rPr>
              <w:t>4,494</w:t>
            </w:r>
          </w:p>
        </w:tc>
        <w:tc>
          <w:tcPr>
            <w:tcW w:w="0" w:type="dxa"/>
            <w:vAlign w:val="bottom"/>
          </w:tcPr>
          <w:p>
            <w:pPr>
              <w:spacing w:after="0"/>
              <w:rPr>
                <w:sz w:val="1"/>
                <w:szCs w:val="1"/>
                <w:color w:val="auto"/>
              </w:rPr>
            </w:pPr>
          </w:p>
        </w:tc>
      </w:tr>
      <w:tr>
        <w:trPr>
          <w:trHeight w:val="22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5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4,494</w:t>
            </w:r>
          </w:p>
        </w:tc>
        <w:tc>
          <w:tcPr>
            <w:tcW w:w="0" w:type="dxa"/>
            <w:vAlign w:val="bottom"/>
          </w:tcPr>
          <w:p>
            <w:pPr>
              <w:spacing w:after="0"/>
              <w:rPr>
                <w:sz w:val="1"/>
                <w:szCs w:val="1"/>
                <w:color w:val="auto"/>
              </w:rPr>
            </w:pPr>
          </w:p>
        </w:tc>
      </w:tr>
      <w:tr>
        <w:trPr>
          <w:trHeight w:val="22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2021</w:t>
            </w:r>
          </w:p>
        </w:tc>
        <w:tc>
          <w:tcPr>
            <w:tcW w:w="54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8"/>
              </w:rPr>
              <w:t>3,153</w:t>
            </w:r>
          </w:p>
        </w:tc>
        <w:tc>
          <w:tcPr>
            <w:tcW w:w="0" w:type="dxa"/>
            <w:vAlign w:val="bottom"/>
          </w:tcPr>
          <w:p>
            <w:pPr>
              <w:spacing w:after="0"/>
              <w:rPr>
                <w:sz w:val="1"/>
                <w:szCs w:val="1"/>
                <w:color w:val="auto"/>
              </w:rPr>
            </w:pPr>
          </w:p>
        </w:tc>
      </w:tr>
      <w:tr>
        <w:trPr>
          <w:trHeight w:val="228"/>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5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(1,796)</w:t>
            </w:r>
          </w:p>
        </w:tc>
        <w:tc>
          <w:tcPr>
            <w:tcW w:w="0" w:type="dxa"/>
            <w:vAlign w:val="bottom"/>
          </w:tcPr>
          <w:p>
            <w:pPr>
              <w:spacing w:after="0"/>
              <w:rPr>
                <w:sz w:val="1"/>
                <w:szCs w:val="1"/>
                <w:color w:val="auto"/>
              </w:rPr>
            </w:pPr>
          </w:p>
        </w:tc>
      </w:tr>
      <w:tr>
        <w:trPr>
          <w:trHeight w:val="221"/>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5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613"/>
              <w:spacing w:after="0"/>
              <w:rPr>
                <w:sz w:val="20"/>
                <w:szCs w:val="20"/>
                <w:color w:val="auto"/>
              </w:rPr>
            </w:pPr>
            <w:r>
              <w:rPr>
                <w:rFonts w:ascii="Times New Roman" w:cs="Times New Roman" w:eastAsia="Times New Roman" w:hAnsi="Times New Roman"/>
                <w:sz w:val="18"/>
                <w:szCs w:val="18"/>
                <w:color w:val="auto"/>
                <w:w w:val="98"/>
              </w:rPr>
              <w:t>(1,796)</w:t>
            </w:r>
          </w:p>
        </w:tc>
        <w:tc>
          <w:tcPr>
            <w:tcW w:w="0" w:type="dxa"/>
            <w:vAlign w:val="bottom"/>
          </w:tcPr>
          <w:p>
            <w:pPr>
              <w:spacing w:after="0"/>
              <w:rPr>
                <w:sz w:val="1"/>
                <w:szCs w:val="1"/>
                <w:color w:val="auto"/>
              </w:rPr>
            </w:pPr>
          </w:p>
        </w:tc>
      </w:tr>
      <w:tr>
        <w:trPr>
          <w:trHeight w:val="24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5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1,357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399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438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380" w:type="dxa"/>
            <w:vAlign w:val="bottom"/>
            <w:tcBorders>
              <w:bottom w:val="single" w:sz="8" w:color="9A9A9A"/>
            </w:tcBorders>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3" w:name="page84"/>
    <w:bookmarkEnd w:id="8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5740" w:type="dxa"/>
            <w:vAlign w:val="bottom"/>
            <w:gridSpan w:val="10"/>
          </w:tcPr>
          <w:p>
            <w:pPr>
              <w:jc w:val="right"/>
              <w:ind w:right="995"/>
              <w:spacing w:after="0"/>
              <w:rPr>
                <w:sz w:val="20"/>
                <w:szCs w:val="20"/>
                <w:color w:val="auto"/>
              </w:rPr>
            </w:pPr>
            <w:r>
              <w:rPr>
                <w:rFonts w:ascii="Times New Roman" w:cs="Times New Roman" w:eastAsia="Times New Roman" w:hAnsi="Times New Roman"/>
                <w:sz w:val="14"/>
                <w:szCs w:val="14"/>
                <w:color w:val="auto"/>
              </w:rPr>
              <w:t>SCHEDULE II -VALUATION AND QUALIFYING ACCOUNTS</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15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color w:val="auto"/>
              </w:rPr>
              <w:t>Balance at Beginning</w:t>
            </w:r>
          </w:p>
        </w:tc>
        <w:tc>
          <w:tcPr>
            <w:tcW w:w="15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color w:val="auto"/>
              </w:rPr>
              <w:t>Additions - Charged to</w:t>
            </w:r>
          </w:p>
        </w:tc>
        <w:tc>
          <w:tcPr>
            <w:tcW w:w="26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Deductions</w:t>
            </w:r>
          </w:p>
        </w:tc>
        <w:tc>
          <w:tcPr>
            <w:tcW w:w="220" w:type="dxa"/>
            <w:vAlign w:val="bottom"/>
          </w:tcPr>
          <w:p>
            <w:pPr>
              <w:spacing w:after="0"/>
              <w:rPr>
                <w:sz w:val="11"/>
                <w:szCs w:val="11"/>
                <w:color w:val="auto"/>
              </w:rPr>
            </w:pPr>
          </w:p>
        </w:tc>
        <w:tc>
          <w:tcPr>
            <w:tcW w:w="12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91"/>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of Year</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End of Period</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2020</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May 31, 2021</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3"/>
        </w:trPr>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0"/>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62"/>
        </w:trPr>
        <w:tc>
          <w:tcPr>
            <w:tcW w:w="11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25"/>
          </w:tcPr>
          <w:p>
            <w:pPr>
              <w:ind w:left="600"/>
              <w:spacing w:after="0"/>
              <w:rPr>
                <w:sz w:val="20"/>
                <w:szCs w:val="20"/>
                <w:color w:val="auto"/>
              </w:rPr>
            </w:pPr>
            <w:r>
              <w:rPr>
                <w:rFonts w:ascii="Times New Roman" w:cs="Times New Roman" w:eastAsia="Times New Roman" w:hAnsi="Times New Roman"/>
                <w:sz w:val="18"/>
                <w:szCs w:val="18"/>
                <w:color w:val="auto"/>
              </w:rPr>
              <w:t>Description of Exhibits</w:t>
            </w:r>
          </w:p>
        </w:tc>
        <w:tc>
          <w:tcPr>
            <w:tcW w:w="104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7"/>
              </w:rPr>
              <w:t>Form</w:t>
            </w:r>
          </w:p>
        </w:tc>
        <w:tc>
          <w:tcPr>
            <w:tcW w:w="14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Exhibit</w:t>
            </w:r>
          </w:p>
        </w:tc>
        <w:tc>
          <w:tcPr>
            <w:tcW w:w="16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2.2</w:t>
            </w:r>
          </w:p>
        </w:tc>
        <w:tc>
          <w:tcPr>
            <w:tcW w:w="5960" w:type="dxa"/>
            <w:vAlign w:val="bottom"/>
            <w:gridSpan w:val="29"/>
            <w:shd w:val="clear" w:color="auto" w:fill="CCEEFF"/>
          </w:tcPr>
          <w:p>
            <w:pPr>
              <w:spacing w:after="0" w:line="181"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Stock Purchase Agreement, dated as of October 8, 2012, by and among</w:t>
              </w:r>
            </w:hyperlink>
          </w:p>
        </w:tc>
        <w:tc>
          <w:tcPr>
            <w:tcW w:w="1040" w:type="dxa"/>
            <w:vAlign w:val="bottom"/>
            <w:shd w:val="clear" w:color="auto" w:fill="CCEEFF"/>
          </w:tcPr>
          <w:p>
            <w:pPr>
              <w:jc w:val="center"/>
              <w:ind w:left="111"/>
              <w:spacing w:after="0" w:line="181"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CCEEFF"/>
          </w:tcPr>
          <w:p>
            <w:pPr>
              <w:jc w:val="center"/>
              <w:ind w:left="291"/>
              <w:spacing w:after="0" w:line="181" w:lineRule="exact"/>
              <w:rPr>
                <w:sz w:val="20"/>
                <w:szCs w:val="20"/>
                <w:color w:val="auto"/>
              </w:rPr>
            </w:pPr>
            <w:r>
              <w:rPr>
                <w:rFonts w:ascii="Times New Roman" w:cs="Times New Roman" w:eastAsia="Times New Roman" w:hAnsi="Times New Roman"/>
                <w:sz w:val="18"/>
                <w:szCs w:val="18"/>
                <w:color w:val="auto"/>
                <w:w w:val="97"/>
              </w:rPr>
              <w:t>2.1</w:t>
            </w:r>
          </w:p>
        </w:tc>
        <w:tc>
          <w:tcPr>
            <w:tcW w:w="1660" w:type="dxa"/>
            <w:vAlign w:val="bottom"/>
            <w:shd w:val="clear" w:color="auto" w:fill="CCEEFF"/>
          </w:tcPr>
          <w:p>
            <w:pPr>
              <w:jc w:val="center"/>
              <w:ind w:left="91"/>
              <w:spacing w:after="0" w:line="181" w:lineRule="exact"/>
              <w:rPr>
                <w:sz w:val="20"/>
                <w:szCs w:val="20"/>
                <w:color w:val="auto"/>
              </w:rPr>
            </w:pPr>
            <w:r>
              <w:rPr>
                <w:rFonts w:ascii="Times New Roman" w:cs="Times New Roman" w:eastAsia="Times New Roman" w:hAnsi="Times New Roman"/>
                <w:sz w:val="18"/>
                <w:szCs w:val="18"/>
                <w:color w:val="auto"/>
                <w:w w:val="98"/>
              </w:rPr>
              <w:t>October 12, 2012</w:t>
            </w: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0000FF"/>
            </w:tcBorders>
            <w:gridSpan w:val="17"/>
            <w:shd w:val="clear" w:color="auto" w:fill="CCEEFF"/>
          </w:tcPr>
          <w:p>
            <w:pPr>
              <w:spacing w:after="0" w:line="168" w:lineRule="exact"/>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AngioDynamics, Inc., Vortex Medical, Inc. (“Vortex”), the stockholders</w:t>
              </w:r>
            </w:hyperlink>
          </w:p>
        </w:tc>
        <w:tc>
          <w:tcPr>
            <w:tcW w:w="860" w:type="dxa"/>
            <w:vAlign w:val="bottom"/>
            <w:tcBorders>
              <w:top w:val="single" w:sz="8" w:color="CCEEFF"/>
            </w:tcBorders>
            <w:gridSpan w:val="12"/>
            <w:shd w:val="clear" w:color="auto" w:fill="CCEEFF"/>
          </w:tcPr>
          <w:p>
            <w:pPr>
              <w:ind w:left="80"/>
              <w:spacing w:after="0" w:line="16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of Vortex</w:t>
              </w:r>
            </w:hyperlink>
          </w:p>
        </w:tc>
        <w:tc>
          <w:tcPr>
            <w:tcW w:w="10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5880" w:type="dxa"/>
            <w:vAlign w:val="bottom"/>
            <w:tcBorders>
              <w:top w:val="single" w:sz="8" w:color="0000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set forth on the signature pages thereto, the option holders of Vortex set forth on</w:t>
              </w:r>
            </w:hyperlink>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5720" w:type="dxa"/>
            <w:vAlign w:val="bottom"/>
            <w:tcBorders>
              <w:top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the signature pages thereto and CHTP Management Services, Inc., as sellers’</w:t>
              </w:r>
            </w:hyperlink>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0000FF"/>
            </w:tcBorders>
            <w:gridSpan w:val="20"/>
            <w:shd w:val="clear" w:color="auto" w:fill="CCEEFF"/>
          </w:tcPr>
          <w:p>
            <w:pPr>
              <w:spacing w:after="0" w:line="16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representative.</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2.3</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Asset Purchase Agreement dated as of April 17, 2019 by and between</w:t>
              </w:r>
            </w:hyperlink>
          </w:p>
        </w:tc>
        <w:tc>
          <w:tcPr>
            <w:tcW w:w="104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7"/>
              </w:rPr>
              <w:t>2.1</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April 18, 2019</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00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AngioDynamics, Inc. and Medline Industries Inc.</w:t>
              </w:r>
            </w:hyperlink>
          </w:p>
        </w:tc>
        <w:tc>
          <w:tcPr>
            <w:tcW w:w="2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3.1.1</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Certificate of Incorporation.</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October 7, 2005</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3.1.2</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Certificate of Amendment to the Amended and Restated Certificate of</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311"/>
              <w:spacing w:after="0" w:line="188" w:lineRule="exact"/>
              <w:rPr>
                <w:sz w:val="20"/>
                <w:szCs w:val="20"/>
                <w:color w:val="auto"/>
              </w:rPr>
            </w:pPr>
            <w:r>
              <w:rPr>
                <w:rFonts w:ascii="Times New Roman" w:cs="Times New Roman" w:eastAsia="Times New Roman" w:hAnsi="Times New Roman"/>
                <w:sz w:val="18"/>
                <w:szCs w:val="18"/>
                <w:color w:val="auto"/>
                <w:w w:val="99"/>
              </w:rPr>
              <w:t>3.1.2</w:t>
            </w: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10, 2015</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02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Incorporation of AngioDynamics, Inc.</w:t>
              </w:r>
            </w:hyperlink>
          </w:p>
        </w:tc>
        <w:tc>
          <w:tcPr>
            <w:tcW w:w="3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3.2</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Second Amended and Restated By-Laws, effective October 16, 2015.</w:t>
              </w:r>
            </w:hyperlink>
          </w:p>
        </w:tc>
        <w:tc>
          <w:tcPr>
            <w:tcW w:w="104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October 21, 2015</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Credit Agreement, dated as of June 3, 2019, by and among AngioDynamics, Inc.,</w:t>
              </w:r>
            </w:hyperlink>
          </w:p>
        </w:tc>
        <w:tc>
          <w:tcPr>
            <w:tcW w:w="104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June 6, 2019</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820" w:type="dxa"/>
            <w:vAlign w:val="bottom"/>
            <w:tcBorders>
              <w:top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the lenders party thereto, JPMorgan Chase Bank, N.A., as administrative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66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Bank of America, N.A. and Keybank National Association as co-syndication</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5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agents.</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2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10.1.3</w:t>
            </w:r>
          </w:p>
        </w:tc>
        <w:tc>
          <w:tcPr>
            <w:tcW w:w="5320" w:type="dxa"/>
            <w:vAlign w:val="bottom"/>
            <w:tcBorders>
              <w:bottom w:val="single" w:sz="8" w:color="0000FF"/>
            </w:tcBorders>
            <w:gridSpan w:val="18"/>
            <w:shd w:val="clear" w:color="auto" w:fill="CCEEFF"/>
          </w:tcPr>
          <w:p>
            <w:pPr>
              <w:spacing w:after="0" w:line="188"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AngioDynamics, Inc. 2004 Stock and Incentive Award Plan (as amended).</w:t>
              </w:r>
            </w:hyperlink>
          </w:p>
        </w:tc>
        <w:tc>
          <w:tcPr>
            <w:tcW w:w="640" w:type="dxa"/>
            <w:vAlign w:val="bottom"/>
            <w:tcBorders>
              <w:bottom w:val="single" w:sz="8" w:color="CCEEFF"/>
            </w:tcBorders>
            <w:gridSpan w:val="11"/>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4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30, 2018</w:t>
            </w: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10.1.6</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AngioDynamics 2017 Total Shareholder Return Performance Unit Agreement</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September 29,</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580" w:type="dxa"/>
            <w:vAlign w:val="bottom"/>
            <w:tcBorders>
              <w:top w:val="single" w:sz="8" w:color="0000FF"/>
            </w:tcBorders>
            <w:gridSpan w:val="21"/>
          </w:tcPr>
          <w:p>
            <w:pPr>
              <w:spacing w:after="0" w:line="16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Program.</w:t>
              </w:r>
            </w:hyperlink>
          </w:p>
        </w:tc>
        <w:tc>
          <w:tcPr>
            <w:tcW w:w="2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10.1.7</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AngioDynamics 2018 Total Shareholder Return Performance Unit Agreement</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rPr>
              <w:t>10.1.7</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5580" w:type="dxa"/>
            <w:vAlign w:val="bottom"/>
            <w:tcBorders>
              <w:top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Program.</w:t>
              </w:r>
            </w:hyperlink>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10.1.8</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AngioDynamics 2019 Total Shareholder Return Performance Unit Agreement</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rPr>
              <w:t>10.1.8</w:t>
            </w: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January 8, 2020</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580" w:type="dxa"/>
            <w:vAlign w:val="bottom"/>
            <w:tcBorders>
              <w:top w:val="single" w:sz="8" w:color="0000FF"/>
            </w:tcBorders>
            <w:gridSpan w:val="21"/>
          </w:tcPr>
          <w:p>
            <w:pPr>
              <w:spacing w:after="0" w:line="16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Program.</w:t>
              </w:r>
            </w:hyperlink>
          </w:p>
        </w:tc>
        <w:tc>
          <w:tcPr>
            <w:tcW w:w="2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2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10.1.9</w:t>
            </w:r>
          </w:p>
        </w:tc>
        <w:tc>
          <w:tcPr>
            <w:tcW w:w="4280" w:type="dxa"/>
            <w:vAlign w:val="bottom"/>
            <w:tcBorders>
              <w:bottom w:val="single" w:sz="8" w:color="0000FF"/>
            </w:tcBorders>
            <w:gridSpan w:val="10"/>
            <w:shd w:val="clear" w:color="auto" w:fill="CCEEFF"/>
          </w:tcPr>
          <w:p>
            <w:pPr>
              <w:spacing w:after="0" w:line="188"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AngioDynamics, Inc. 2020 Stock and Incentive Award Plan</w:t>
              </w:r>
            </w:hyperlink>
          </w:p>
        </w:tc>
        <w:tc>
          <w:tcPr>
            <w:tcW w:w="1680" w:type="dxa"/>
            <w:vAlign w:val="bottom"/>
            <w:tcBorders>
              <w:bottom w:val="single" w:sz="8" w:color="CCEEFF"/>
            </w:tcBorders>
            <w:gridSpan w:val="19"/>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4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3, 2020</w:t>
            </w: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AngioDynamics, Inc. Employee Stock Purchase Plan (as amended).</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440" w:type="dxa"/>
            <w:vAlign w:val="bottom"/>
          </w:tcPr>
          <w:p>
            <w:pPr>
              <w:spacing w:after="0"/>
              <w:rPr>
                <w:sz w:val="16"/>
                <w:szCs w:val="16"/>
                <w:color w:val="auto"/>
              </w:rPr>
            </w:pP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3, 2020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Non-Statutory Stock Option Agreement pursuant to the AngioDynamics,</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October 12, 2004</w:t>
            </w:r>
          </w:p>
        </w:tc>
        <w:tc>
          <w:tcPr>
            <w:tcW w:w="0" w:type="dxa"/>
            <w:vAlign w:val="bottom"/>
          </w:tcPr>
          <w:p>
            <w:pPr>
              <w:spacing w:after="0"/>
              <w:rPr>
                <w:sz w:val="1"/>
                <w:szCs w:val="1"/>
                <w:color w:val="auto"/>
              </w:rPr>
            </w:pPr>
          </w:p>
        </w:tc>
      </w:tr>
      <w:tr>
        <w:trPr>
          <w:trHeight w:val="188"/>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660" w:type="dxa"/>
            <w:vAlign w:val="bottom"/>
            <w:tcBorders>
              <w:top w:val="single" w:sz="8" w:color="0000FF"/>
              <w:bottom w:val="single" w:sz="8" w:color="0000FF"/>
            </w:tcBorders>
            <w:gridSpan w:val="5"/>
            <w:shd w:val="clear" w:color="auto" w:fill="CCEEFF"/>
          </w:tcPr>
          <w:p>
            <w:pPr>
              <w:spacing w:after="0" w:line="168"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Inc. Stock and Incentive Award Plan.</w:t>
              </w:r>
            </w:hyperlink>
          </w:p>
        </w:tc>
        <w:tc>
          <w:tcPr>
            <w:tcW w:w="320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10.3.1</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Non-Statutory Stock Option Agreement pursuant to the AngioDynamics,</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rPr>
              <w:t>10.3.1</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860" w:type="dxa"/>
            <w:vAlign w:val="bottom"/>
            <w:tcBorders>
              <w:top w:val="single" w:sz="8" w:color="0000FF"/>
            </w:tcBorders>
            <w:gridSpan w:val="27"/>
          </w:tcPr>
          <w:p>
            <w:pPr>
              <w:spacing w:after="0" w:line="16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 Stock and Incentive Award Plan.</w:t>
              </w:r>
            </w:hyperlink>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10.4.3</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2016 Performance Share Award Agreement pursuant to the</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October 5, 2016</w:t>
            </w:r>
          </w:p>
        </w:tc>
        <w:tc>
          <w:tcPr>
            <w:tcW w:w="0" w:type="dxa"/>
            <w:vAlign w:val="bottom"/>
          </w:tcPr>
          <w:p>
            <w:pPr>
              <w:spacing w:after="0"/>
              <w:rPr>
                <w:sz w:val="1"/>
                <w:szCs w:val="1"/>
                <w:color w:val="auto"/>
              </w:rPr>
            </w:pPr>
          </w:p>
        </w:tc>
      </w:tr>
      <w:tr>
        <w:trPr>
          <w:trHeight w:val="188"/>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tcBorders>
            <w:gridSpan w:val="11"/>
            <w:shd w:val="clear" w:color="auto" w:fill="CCEEFF"/>
          </w:tcPr>
          <w:p>
            <w:pPr>
              <w:spacing w:after="0" w:line="168"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AngioDynamics, Inc. 2004 Stock and Incentive Award Plan.</w:t>
              </w:r>
            </w:hyperlink>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10.4.4</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2017 Performance Share Award Agreement pursuant to the</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September 29,</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4840" w:type="dxa"/>
            <w:vAlign w:val="bottom"/>
            <w:tcBorders>
              <w:top w:val="single" w:sz="8" w:color="0000FF"/>
            </w:tcBorders>
            <w:gridSpan w:val="12"/>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AngioDynamics, Inc. 2004 Stock and Incentive Award Plan.</w:t>
              </w:r>
            </w:hyperlink>
          </w:p>
        </w:tc>
        <w:tc>
          <w:tcPr>
            <w:tcW w:w="760" w:type="dxa"/>
            <w:vAlign w:val="bottom"/>
            <w:gridSpan w:val="10"/>
          </w:tcPr>
          <w:p>
            <w:pPr>
              <w:spacing w:after="0"/>
              <w:rPr>
                <w:sz w:val="14"/>
                <w:szCs w:val="14"/>
                <w:color w:val="auto"/>
              </w:rPr>
            </w:pPr>
          </w:p>
        </w:tc>
        <w:tc>
          <w:tcPr>
            <w:tcW w:w="240" w:type="dxa"/>
            <w:vAlign w:val="bottom"/>
            <w:gridSpan w:val="4"/>
          </w:tcPr>
          <w:p>
            <w:pPr>
              <w:spacing w:after="0"/>
              <w:rPr>
                <w:sz w:val="14"/>
                <w:szCs w:val="14"/>
                <w:color w:val="auto"/>
              </w:rPr>
            </w:pPr>
          </w:p>
        </w:tc>
        <w:tc>
          <w:tcPr>
            <w:tcW w:w="120" w:type="dxa"/>
            <w:vAlign w:val="bottom"/>
            <w:gridSpan w:val="3"/>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10.4.5</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2018 Performance Share Award Agreement pursuant to the</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rPr>
              <w:t>10.4.5</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88"/>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tcBorders>
            <w:gridSpan w:val="11"/>
            <w:shd w:val="clear" w:color="auto" w:fill="CCEEFF"/>
          </w:tcPr>
          <w:p>
            <w:pPr>
              <w:spacing w:after="0" w:line="168"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AngioDynamics, Inc. 2004 Stock and Incentive Award Plan.</w:t>
              </w:r>
            </w:hyperlink>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10.4.6</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2020 Performance Share Award Agreement pursuant to the</w:t>
              </w:r>
            </w:hyperlink>
          </w:p>
        </w:tc>
        <w:tc>
          <w:tcPr>
            <w:tcW w:w="10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rPr>
              <w:t>10.4.6</w:t>
            </w: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January 8, 2021</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4840" w:type="dxa"/>
            <w:vAlign w:val="bottom"/>
            <w:tcBorders>
              <w:top w:val="single" w:sz="8" w:color="0000FF"/>
            </w:tcBorders>
            <w:gridSpan w:val="12"/>
          </w:tcPr>
          <w:p>
            <w:pPr>
              <w:spacing w:after="0" w:line="16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AngioDynamics, Inc. 2004 Stock and Incentive Award Plan</w:t>
              </w:r>
            </w:hyperlink>
          </w:p>
        </w:tc>
        <w:tc>
          <w:tcPr>
            <w:tcW w:w="760" w:type="dxa"/>
            <w:vAlign w:val="bottom"/>
            <w:gridSpan w:val="10"/>
          </w:tcPr>
          <w:p>
            <w:pPr>
              <w:spacing w:after="0"/>
              <w:rPr>
                <w:sz w:val="14"/>
                <w:szCs w:val="14"/>
                <w:color w:val="auto"/>
              </w:rPr>
            </w:pPr>
          </w:p>
        </w:tc>
        <w:tc>
          <w:tcPr>
            <w:tcW w:w="240" w:type="dxa"/>
            <w:vAlign w:val="bottom"/>
            <w:gridSpan w:val="4"/>
          </w:tcPr>
          <w:p>
            <w:pPr>
              <w:spacing w:after="0"/>
              <w:rPr>
                <w:sz w:val="14"/>
                <w:szCs w:val="14"/>
                <w:color w:val="auto"/>
              </w:rPr>
            </w:pPr>
          </w:p>
        </w:tc>
        <w:tc>
          <w:tcPr>
            <w:tcW w:w="120" w:type="dxa"/>
            <w:vAlign w:val="bottom"/>
            <w:gridSpan w:val="3"/>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10.4.7</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Performance Share Award Agreement pursuant to the 2020 Stock and</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tcBorders>
            <w:shd w:val="clear" w:color="auto" w:fill="CCEEFF"/>
          </w:tcPr>
          <w:p>
            <w:pPr>
              <w:spacing w:after="0"/>
              <w:rPr>
                <w:sz w:val="14"/>
                <w:szCs w:val="14"/>
                <w:color w:val="auto"/>
              </w:rPr>
            </w:pPr>
          </w:p>
        </w:tc>
        <w:tc>
          <w:tcPr>
            <w:tcW w:w="5600" w:type="dxa"/>
            <w:vAlign w:val="bottom"/>
            <w:tcBorders>
              <w:top w:val="single" w:sz="8" w:color="0000FF"/>
            </w:tcBorders>
            <w:gridSpan w:val="22"/>
            <w:shd w:val="clear" w:color="auto" w:fill="CCEEFF"/>
          </w:tcPr>
          <w:p>
            <w:pPr>
              <w:spacing w:after="0" w:line="16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Incentive Award Plan</w:t>
              </w:r>
            </w:hyperlink>
          </w:p>
        </w:tc>
        <w:tc>
          <w:tcPr>
            <w:tcW w:w="24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5960" w:type="dxa"/>
            <w:vAlign w:val="bottom"/>
            <w:gridSpan w:val="29"/>
          </w:tcPr>
          <w:p>
            <w:pPr>
              <w:spacing w:after="0" w:line="18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Restricted Stock Award Agreement pursuant to the AngioDynamics, Inc.</w:t>
              </w:r>
            </w:hyperlink>
          </w:p>
        </w:tc>
        <w:tc>
          <w:tcPr>
            <w:tcW w:w="104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May 12, 2005</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5840" w:type="dxa"/>
            <w:vAlign w:val="bottom"/>
            <w:tcBorders>
              <w:top w:val="single" w:sz="8" w:color="0000FF"/>
            </w:tcBorders>
            <w:gridSpan w:val="26"/>
          </w:tcPr>
          <w:p>
            <w:pPr>
              <w:spacing w:after="0" w:line="16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2004 Stock and Incentive Award Plan.</w:t>
              </w:r>
            </w:hyperlink>
          </w:p>
        </w:tc>
        <w:tc>
          <w:tcPr>
            <w:tcW w:w="120" w:type="dxa"/>
            <w:vAlign w:val="bottom"/>
            <w:gridSpan w:val="3"/>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5960" w:type="dxa"/>
            <w:vAlign w:val="bottom"/>
            <w:gridSpan w:val="29"/>
            <w:shd w:val="clear" w:color="auto" w:fill="CCEEFF"/>
          </w:tcPr>
          <w:p>
            <w:pPr>
              <w:spacing w:after="0" w:line="18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Rita Medical Systems, Inc. 1994 Incentive Stock Plan.</w:t>
              </w:r>
            </w:hyperlink>
          </w:p>
        </w:tc>
        <w:tc>
          <w:tcPr>
            <w:tcW w:w="10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6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May 3, 2000</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3"/>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54"/>
        </w:trPr>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0"/>
          </w:tcPr>
          <w:p>
            <w:pPr>
              <w:ind w:left="440"/>
              <w:spacing w:after="0"/>
              <w:rPr>
                <w:sz w:val="20"/>
                <w:szCs w:val="20"/>
                <w:color w:val="auto"/>
              </w:rPr>
            </w:pPr>
            <w:r>
              <w:rPr>
                <w:rFonts w:ascii="Times New Roman" w:cs="Times New Roman" w:eastAsia="Times New Roman" w:hAnsi="Times New Roman"/>
                <w:sz w:val="18"/>
                <w:szCs w:val="18"/>
                <w:color w:val="auto"/>
              </w:rPr>
              <w:t>Description of Exhibits</w:t>
            </w:r>
          </w:p>
        </w:tc>
        <w:tc>
          <w:tcPr>
            <w:tcW w:w="100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7"/>
              </w:rPr>
              <w:t>Form</w:t>
            </w:r>
          </w:p>
        </w:tc>
        <w:tc>
          <w:tcPr>
            <w:tcW w:w="14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Exhibit</w:t>
            </w:r>
          </w:p>
        </w:tc>
        <w:tc>
          <w:tcPr>
            <w:tcW w:w="16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201"/>
        </w:trPr>
        <w:tc>
          <w:tcPr>
            <w:tcW w:w="112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10.7</w:t>
            </w:r>
          </w:p>
        </w:tc>
        <w:tc>
          <w:tcPr>
            <w:tcW w:w="4220" w:type="dxa"/>
            <w:vAlign w:val="bottom"/>
            <w:tcBorders>
              <w:bottom w:val="single" w:sz="8" w:color="0000FF"/>
            </w:tcBorders>
            <w:gridSpan w:val="13"/>
            <w:shd w:val="clear" w:color="auto" w:fill="CCEEFF"/>
          </w:tcPr>
          <w:p>
            <w:pPr>
              <w:spacing w:after="0" w:line="181"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Horizon Medical Products, Inc. 1998 Stock Incentive Plan.</w:t>
              </w:r>
            </w:hyperlink>
          </w:p>
        </w:tc>
        <w:tc>
          <w:tcPr>
            <w:tcW w:w="174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31"/>
              <w:spacing w:after="0" w:line="181" w:lineRule="exact"/>
              <w:rPr>
                <w:sz w:val="20"/>
                <w:szCs w:val="20"/>
                <w:color w:val="auto"/>
              </w:rPr>
            </w:pPr>
            <w:r>
              <w:rPr>
                <w:rFonts w:ascii="Times New Roman" w:cs="Times New Roman" w:eastAsia="Times New Roman" w:hAnsi="Times New Roman"/>
                <w:sz w:val="18"/>
                <w:szCs w:val="18"/>
                <w:color w:val="auto"/>
              </w:rPr>
              <w:t>S-1</w:t>
            </w:r>
          </w:p>
        </w:tc>
        <w:tc>
          <w:tcPr>
            <w:tcW w:w="1480" w:type="dxa"/>
            <w:vAlign w:val="bottom"/>
            <w:tcBorders>
              <w:bottom w:val="single" w:sz="8" w:color="CCEEFF"/>
            </w:tcBorders>
            <w:shd w:val="clear" w:color="auto" w:fill="CCEEFF"/>
          </w:tcPr>
          <w:p>
            <w:pPr>
              <w:jc w:val="center"/>
              <w:ind w:left="331"/>
              <w:spacing w:after="0" w:line="181" w:lineRule="exact"/>
              <w:rPr>
                <w:sz w:val="20"/>
                <w:szCs w:val="20"/>
                <w:color w:val="auto"/>
              </w:rPr>
            </w:pPr>
            <w:r>
              <w:rPr>
                <w:rFonts w:ascii="Times New Roman" w:cs="Times New Roman" w:eastAsia="Times New Roman" w:hAnsi="Times New Roman"/>
                <w:sz w:val="18"/>
                <w:szCs w:val="18"/>
                <w:color w:val="auto"/>
                <w:w w:val="93"/>
              </w:rPr>
              <w:t>10.11</w:t>
            </w:r>
          </w:p>
        </w:tc>
        <w:tc>
          <w:tcPr>
            <w:tcW w:w="1660" w:type="dxa"/>
            <w:vAlign w:val="bottom"/>
            <w:tcBorders>
              <w:bottom w:val="single" w:sz="8" w:color="CCEEFF"/>
            </w:tcBorders>
            <w:shd w:val="clear" w:color="auto" w:fill="CCEEFF"/>
          </w:tcPr>
          <w:p>
            <w:pPr>
              <w:jc w:val="center"/>
              <w:ind w:left="91"/>
              <w:spacing w:after="0" w:line="181" w:lineRule="exact"/>
              <w:rPr>
                <w:sz w:val="20"/>
                <w:szCs w:val="20"/>
                <w:color w:val="auto"/>
              </w:rPr>
            </w:pPr>
            <w:r>
              <w:rPr>
                <w:rFonts w:ascii="Times New Roman" w:cs="Times New Roman" w:eastAsia="Times New Roman" w:hAnsi="Times New Roman"/>
                <w:sz w:val="18"/>
                <w:szCs w:val="18"/>
                <w:color w:val="auto"/>
                <w:w w:val="99"/>
              </w:rPr>
              <w:t>February 13, 1998</w:t>
            </w: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10.8</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Rita Medical Systems, Inc. 2000 Stock Plan.</w:t>
              </w:r>
            </w:hyperlink>
          </w:p>
        </w:tc>
        <w:tc>
          <w:tcPr>
            <w:tcW w:w="1000" w:type="dxa"/>
            <w:vAlign w:val="bottom"/>
          </w:tcPr>
          <w:p>
            <w:pPr>
              <w:jc w:val="center"/>
              <w:ind w:left="131"/>
              <w:spacing w:after="0" w:line="188" w:lineRule="exact"/>
              <w:rPr>
                <w:sz w:val="20"/>
                <w:szCs w:val="20"/>
                <w:color w:val="auto"/>
              </w:rPr>
            </w:pPr>
            <w:r>
              <w:rPr>
                <w:rFonts w:ascii="Times New Roman" w:cs="Times New Roman" w:eastAsia="Times New Roman" w:hAnsi="Times New Roman"/>
                <w:sz w:val="18"/>
                <w:szCs w:val="18"/>
                <w:color w:val="auto"/>
                <w:w w:val="97"/>
              </w:rPr>
              <w:t>S-1/A</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June 14, 2000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10.9</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Rita Medical Systems, Inc. 2000 Directors’ Stock Plan, as amended on June 8,</w:t>
              </w:r>
            </w:hyperlink>
          </w:p>
        </w:tc>
        <w:tc>
          <w:tcPr>
            <w:tcW w:w="1000" w:type="dxa"/>
            <w:vAlign w:val="bottom"/>
            <w:shd w:val="clear" w:color="auto" w:fill="CCEEFF"/>
          </w:tcPr>
          <w:p>
            <w:pPr>
              <w:jc w:val="center"/>
              <w:ind w:left="131"/>
              <w:spacing w:after="0" w:line="188" w:lineRule="exact"/>
              <w:rPr>
                <w:sz w:val="20"/>
                <w:szCs w:val="20"/>
                <w:color w:val="auto"/>
              </w:rPr>
            </w:pPr>
            <w:r>
              <w:rPr>
                <w:rFonts w:ascii="Times New Roman" w:cs="Times New Roman" w:eastAsia="Times New Roman" w:hAnsi="Times New Roman"/>
                <w:sz w:val="18"/>
                <w:szCs w:val="18"/>
                <w:color w:val="auto"/>
              </w:rPr>
              <w:t>S-8</w:t>
            </w:r>
          </w:p>
        </w:tc>
        <w:tc>
          <w:tcPr>
            <w:tcW w:w="148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99.2</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July 8, 2005</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2005.</w:t>
              </w:r>
            </w:hyperlink>
          </w:p>
        </w:tc>
        <w:tc>
          <w:tcPr>
            <w:tcW w:w="3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10.10</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Rita Medical Systems, Inc. 2005 Stock and Incentive Plan.</w:t>
              </w:r>
            </w:hyperlink>
          </w:p>
        </w:tc>
        <w:tc>
          <w:tcPr>
            <w:tcW w:w="1000" w:type="dxa"/>
            <w:vAlign w:val="bottom"/>
          </w:tcPr>
          <w:p>
            <w:pPr>
              <w:jc w:val="center"/>
              <w:ind w:left="131"/>
              <w:spacing w:after="0" w:line="188" w:lineRule="exact"/>
              <w:rPr>
                <w:sz w:val="20"/>
                <w:szCs w:val="20"/>
                <w:color w:val="auto"/>
              </w:rPr>
            </w:pPr>
            <w:r>
              <w:rPr>
                <w:rFonts w:ascii="Times New Roman" w:cs="Times New Roman" w:eastAsia="Times New Roman" w:hAnsi="Times New Roman"/>
                <w:sz w:val="18"/>
                <w:szCs w:val="18"/>
                <w:color w:val="auto"/>
              </w:rPr>
              <w:t>S-8</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99.1</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July 8, 2005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2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10.11</w:t>
            </w:r>
          </w:p>
        </w:tc>
        <w:tc>
          <w:tcPr>
            <w:tcW w:w="4380" w:type="dxa"/>
            <w:vAlign w:val="bottom"/>
            <w:tcBorders>
              <w:bottom w:val="single" w:sz="8" w:color="0000FF"/>
            </w:tcBorders>
            <w:gridSpan w:val="14"/>
            <w:shd w:val="clear" w:color="auto" w:fill="CCEEFF"/>
          </w:tcPr>
          <w:p>
            <w:pPr>
              <w:spacing w:after="0" w:line="188"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Form of Indemnification Agreement of AngioDynamics, Inc.</w:t>
              </w:r>
            </w:hyperlink>
          </w:p>
        </w:tc>
        <w:tc>
          <w:tcPr>
            <w:tcW w:w="1580" w:type="dxa"/>
            <w:vAlign w:val="bottom"/>
            <w:tcBorders>
              <w:bottom w:val="single" w:sz="8" w:color="CCEEFF"/>
            </w:tcBorders>
            <w:gridSpan w:val="11"/>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Borders>
              <w:bottom w:val="single" w:sz="8" w:color="CCEEFF"/>
            </w:tcBorders>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tcBorders>
              <w:bottom w:val="single" w:sz="8" w:color="CCEEFF"/>
            </w:tcBorders>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May 12, 2006</w:t>
            </w: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10.11.1</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Employment Agreement, dated April 1, 2016, between AngioDynamics, Inc. and</w:t>
              </w:r>
            </w:hyperlink>
          </w:p>
        </w:tc>
        <w:tc>
          <w:tcPr>
            <w:tcW w:w="100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James C. Clemmer.</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10.12</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Change in Control Agreement, dated April 1, 2016, between AngioDynamics, Inc.</w:t>
              </w:r>
            </w:hyperlink>
          </w:p>
        </w:tc>
        <w:tc>
          <w:tcPr>
            <w:tcW w:w="100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88"/>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and James C. Clemmer.</w:t>
              </w:r>
            </w:hyperlink>
          </w:p>
        </w:tc>
        <w:tc>
          <w:tcPr>
            <w:tcW w:w="420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10.12.2</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Severance Agreement of AngioDynamics, Inc.</w:t>
              </w:r>
            </w:hyperlink>
          </w:p>
        </w:tc>
        <w:tc>
          <w:tcPr>
            <w:tcW w:w="1000" w:type="dxa"/>
            <w:vAlign w:val="bottom"/>
          </w:tcPr>
          <w:p>
            <w:pPr>
              <w:jc w:val="center"/>
              <w:ind w:left="13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9"/>
              </w:rPr>
              <w:t>10.12.2</w:t>
            </w: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10, 2020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Change in Control Agreement.</w:t>
              </w:r>
            </w:hyperlink>
          </w:p>
        </w:tc>
        <w:tc>
          <w:tcPr>
            <w:tcW w:w="1000" w:type="dxa"/>
            <w:vAlign w:val="bottom"/>
            <w:shd w:val="clear" w:color="auto" w:fill="CCEEFF"/>
          </w:tcPr>
          <w:p>
            <w:pPr>
              <w:jc w:val="center"/>
              <w:ind w:left="131"/>
              <w:spacing w:after="0" w:line="188" w:lineRule="exact"/>
              <w:rPr>
                <w:sz w:val="20"/>
                <w:szCs w:val="20"/>
                <w:color w:val="auto"/>
              </w:rPr>
            </w:pPr>
            <w:r>
              <w:rPr>
                <w:rFonts w:ascii="Times New Roman" w:cs="Times New Roman" w:eastAsia="Times New Roman" w:hAnsi="Times New Roman"/>
                <w:sz w:val="18"/>
                <w:szCs w:val="18"/>
                <w:color w:val="auto"/>
                <w:w w:val="98"/>
              </w:rPr>
              <w:t>10-K/A</w:t>
            </w:r>
          </w:p>
        </w:tc>
        <w:tc>
          <w:tcPr>
            <w:tcW w:w="1480" w:type="dxa"/>
            <w:vAlign w:val="bottom"/>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16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January 12, 2015</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10.14</w:t>
            </w:r>
          </w:p>
        </w:tc>
        <w:tc>
          <w:tcPr>
            <w:tcW w:w="5960" w:type="dxa"/>
            <w:vAlign w:val="bottom"/>
            <w:gridSpan w:val="25"/>
          </w:tcPr>
          <w:p>
            <w:pPr>
              <w:spacing w:after="0" w:line="188"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Performance Share Award Agreement, with a grant date of April 4, 2016, between</w:t>
              </w:r>
            </w:hyperlink>
          </w:p>
        </w:tc>
        <w:tc>
          <w:tcPr>
            <w:tcW w:w="100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AngioDynamics, Inc. and James C. Clemmer.</w:t>
              </w:r>
            </w:hyperlink>
          </w:p>
        </w:tc>
        <w:tc>
          <w:tcPr>
            <w:tcW w:w="8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10.15</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AngioDynamics, Inc. Total Shareholder Return Performance Share Award</w:t>
              </w:r>
            </w:hyperlink>
          </w:p>
        </w:tc>
        <w:tc>
          <w:tcPr>
            <w:tcW w:w="100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10.4</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88"/>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3540" w:type="dxa"/>
            <w:vAlign w:val="bottom"/>
            <w:tcBorders>
              <w:top w:val="single" w:sz="8" w:color="0000FF"/>
              <w:bottom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Program - Performance Period Ending July 2019.</w:t>
              </w:r>
            </w:hyperlink>
          </w:p>
        </w:tc>
        <w:tc>
          <w:tcPr>
            <w:tcW w:w="17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10.16</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Stock Option Award Agreement, with a grant date of April 4, 2016, between</w:t>
              </w:r>
            </w:hyperlink>
          </w:p>
        </w:tc>
        <w:tc>
          <w:tcPr>
            <w:tcW w:w="100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10.5</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4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AngioDynamics, Inc. and James C. Clemmer.</w:t>
              </w:r>
            </w:hyperlink>
          </w:p>
        </w:tc>
        <w:tc>
          <w:tcPr>
            <w:tcW w:w="5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10.17</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Restricted Stock Unit Award Agreement, with a grant date of April 4, 2016,</w:t>
              </w:r>
            </w:hyperlink>
          </w:p>
        </w:tc>
        <w:tc>
          <w:tcPr>
            <w:tcW w:w="100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10.6</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between AngioDynamics, Inc. and James C. Clemmer.</w:t>
              </w:r>
            </w:hyperlink>
          </w:p>
        </w:tc>
        <w:tc>
          <w:tcPr>
            <w:tcW w:w="540" w:type="dxa"/>
            <w:vAlign w:val="bottom"/>
            <w:tcBorders>
              <w:top w:val="single" w:sz="8" w:color="CCEEFF"/>
            </w:tcBorders>
            <w:gridSpan w:val="6"/>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10.18</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Separation Agreement and General Release, dated April 22, 2016, between</w:t>
              </w:r>
            </w:hyperlink>
          </w:p>
        </w:tc>
        <w:tc>
          <w:tcPr>
            <w:tcW w:w="100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April 27, 2016</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3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AngioDynamics, Inc. and Joseph M. DeVivo.</w:t>
              </w:r>
            </w:hyperlink>
          </w:p>
        </w:tc>
        <w:tc>
          <w:tcPr>
            <w:tcW w:w="60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10.19</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Amended and Restated Change in Control Agreement, by and between</w:t>
              </w:r>
            </w:hyperlink>
          </w:p>
        </w:tc>
        <w:tc>
          <w:tcPr>
            <w:tcW w:w="100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6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February 3, 2021</w:t>
            </w:r>
          </w:p>
        </w:tc>
        <w:tc>
          <w:tcPr>
            <w:tcW w:w="0" w:type="dxa"/>
            <w:vAlign w:val="bottom"/>
          </w:tcPr>
          <w:p>
            <w:pPr>
              <w:spacing w:after="0"/>
              <w:rPr>
                <w:sz w:val="1"/>
                <w:szCs w:val="1"/>
                <w:color w:val="auto"/>
              </w:rPr>
            </w:pPr>
          </w:p>
        </w:tc>
      </w:tr>
      <w:tr>
        <w:trPr>
          <w:trHeight w:val="154"/>
        </w:trPr>
        <w:tc>
          <w:tcPr>
            <w:tcW w:w="1120" w:type="dxa"/>
            <w:vAlign w:val="bottom"/>
            <w:tcBorders>
              <w:top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AngioDynamics, Inc. and James C. Clemmer.</w:t>
              </w:r>
            </w:hyperlink>
          </w:p>
        </w:tc>
        <w:tc>
          <w:tcPr>
            <w:tcW w:w="900" w:type="dxa"/>
            <w:vAlign w:val="bottom"/>
            <w:tcBorders>
              <w:top w:val="single" w:sz="8" w:color="CCEEFF"/>
            </w:tcBorders>
            <w:gridSpan w:val="9"/>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960" w:type="dxa"/>
            <w:vAlign w:val="bottom"/>
            <w:gridSpan w:val="25"/>
          </w:tcPr>
          <w:p>
            <w:pPr>
              <w:spacing w:after="0" w:line="18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Amended and Restated Change in Control Agreement with</w:t>
              </w:r>
            </w:hyperlink>
          </w:p>
        </w:tc>
        <w:tc>
          <w:tcPr>
            <w:tcW w:w="100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6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February 3, 2021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84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AngioDynamics, Inc.</w:t>
              </w:r>
            </w:hyperlink>
          </w:p>
        </w:tc>
        <w:tc>
          <w:tcPr>
            <w:tcW w:w="1120" w:type="dxa"/>
            <w:vAlign w:val="bottom"/>
            <w:gridSpan w:val="10"/>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14</w:t>
            </w:r>
          </w:p>
        </w:tc>
        <w:tc>
          <w:tcPr>
            <w:tcW w:w="5960" w:type="dxa"/>
            <w:vAlign w:val="bottom"/>
            <w:gridSpan w:val="25"/>
            <w:shd w:val="clear" w:color="auto" w:fill="CCEEFF"/>
          </w:tcPr>
          <w:p>
            <w:pPr>
              <w:spacing w:after="0" w:line="188"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Code of Ethics.</w:t>
              </w:r>
            </w:hyperlink>
          </w:p>
        </w:tc>
        <w:tc>
          <w:tcPr>
            <w:tcW w:w="100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9"/>
              </w:rPr>
              <w:t>14</w:t>
            </w:r>
          </w:p>
        </w:tc>
        <w:tc>
          <w:tcPr>
            <w:tcW w:w="16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May 21, 2006</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20" w:hanging="653"/>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16445"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16445" cy="144780"/>
                    </a:xfrm>
                    <a:prstGeom prst="rect">
                      <a:avLst/>
                    </a:prstGeom>
                    <a:noFill/>
                  </pic:spPr>
                </pic:pic>
              </a:graphicData>
            </a:graphic>
          </wp:anchor>
        </w:drawing>
      </w:r>
    </w:p>
    <w:p>
      <w:pPr>
        <w:spacing w:after="0" w:line="1" w:lineRule="exact"/>
        <w:rPr>
          <w:sz w:val="20"/>
          <w:szCs w:val="20"/>
          <w:color w:val="auto"/>
        </w:rPr>
      </w:pPr>
    </w:p>
    <w:p>
      <w:pPr>
        <w:ind w:left="1120" w:hanging="653"/>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Deloitte &amp; Touche LLP, an independent registered public accounting firm.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0000FF"/>
                <w:w w:val="99"/>
              </w:rPr>
              <w:t>Certification by the Chief Executive Officer Pursuant to 18 U.S.C. Section 1350, as Adopted Pursuant to Section 906 of the Sarbanes-Oxley</w:t>
            </w:r>
          </w:p>
        </w:tc>
      </w:tr>
      <w:tr>
        <w:trPr>
          <w:trHeight w:val="154"/>
        </w:trPr>
        <w:tc>
          <w:tcPr>
            <w:tcW w:w="1120" w:type="dxa"/>
            <w:vAlign w:val="bottom"/>
          </w:tcPr>
          <w:p>
            <w:pPr>
              <w:spacing w:after="0"/>
              <w:rPr>
                <w:sz w:val="13"/>
                <w:szCs w:val="13"/>
                <w:color w:val="auto"/>
              </w:rPr>
            </w:pPr>
          </w:p>
        </w:tc>
        <w:tc>
          <w:tcPr>
            <w:tcW w:w="10020" w:type="dxa"/>
            <w:vAlign w:val="bottom"/>
            <w:tcBorders>
              <w:top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80" w:type="dxa"/>
            <w:vAlign w:val="bottom"/>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6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7"/>
        </w:trPr>
        <w:tc>
          <w:tcPr>
            <w:tcW w:w="112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by the Chief Financial Officer Pursuant to 18 U.S.C. Section 1350, as Adopted Pursuant to Section 906 of the Sarbanes-Oxley</w:t>
            </w:r>
          </w:p>
        </w:tc>
      </w:tr>
      <w:tr>
        <w:trPr>
          <w:trHeight w:val="188"/>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0000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90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8"/>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r>
      <w:tr>
        <w:trPr>
          <w:trHeight w:val="228"/>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r>
      <w:tr>
        <w:trPr>
          <w:trHeight w:val="228"/>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24" w:right="359" w:bottom="1440" w:gutter="0" w:footer="0" w:header="0"/>
        </w:sectPr>
      </w:pPr>
    </w:p>
    <w:bookmarkStart w:id="86" w:name="page87"/>
    <w:bookmarkEnd w:id="8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9" w:lineRule="exact"/>
        <w:rPr>
          <w:sz w:val="20"/>
          <w:szCs w:val="20"/>
          <w:color w:val="auto"/>
        </w:rPr>
      </w:pPr>
    </w:p>
    <w:p>
      <w:pPr>
        <w:ind w:firstLine="4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30" w:lineRule="exact"/>
        <w:rPr>
          <w:sz w:val="20"/>
          <w:szCs w:val="20"/>
          <w:color w:val="auto"/>
        </w:rPr>
      </w:pPr>
    </w:p>
    <w:p>
      <w:pPr>
        <w:ind w:left="20"/>
        <w:spacing w:after="0"/>
        <w:tabs>
          <w:tab w:leader="none" w:pos="720" w:val="left"/>
          <w:tab w:leader="none" w:pos="5600" w:val="left"/>
          <w:tab w:leader="none" w:pos="7540" w:val="left"/>
          <w:tab w:leader="none" w:pos="7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21590</wp:posOffset>
            </wp:positionV>
            <wp:extent cx="3128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49" w:lineRule="exact"/>
        <w:rPr>
          <w:sz w:val="20"/>
          <w:szCs w:val="20"/>
          <w:color w:val="auto"/>
        </w:rPr>
      </w:pPr>
    </w:p>
    <w:p>
      <w:pPr>
        <w:ind w:right="260" w:firstLine="4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60"/>
          </w:cols>
          <w:pgMar w:left="320" w:top="880" w:right="519" w:bottom="1440" w:gutter="0" w:footer="0" w:header="0"/>
        </w:sectPr>
      </w:pPr>
    </w:p>
    <w:p>
      <w:pPr>
        <w:spacing w:after="0" w:line="17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22, 2022</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0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C. C</w:t>
      </w:r>
      <w:r>
        <w:rPr>
          <w:rFonts w:ascii="Times New Roman" w:cs="Times New Roman" w:eastAsia="Times New Roman" w:hAnsi="Times New Roman"/>
          <w:sz w:val="14"/>
          <w:szCs w:val="14"/>
          <w:color w:val="auto"/>
        </w:rPr>
        <w:t>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James C. Clemmer,</w:t>
      </w:r>
    </w:p>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President, Chief Executive Officer</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68"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4"/>
          <w:szCs w:val="14"/>
          <w:color w:val="auto"/>
        </w:rPr>
        <w: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Stephen A. Trowbridge,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68" w:lineRule="exact"/>
        <w:rPr>
          <w:sz w:val="20"/>
          <w:szCs w:val="20"/>
          <w:color w:val="auto"/>
        </w:rPr>
      </w:pPr>
    </w:p>
    <w:p>
      <w:pPr>
        <w:ind w:left="240"/>
        <w:spacing w:after="0"/>
        <w:tabs>
          <w:tab w:leader="none" w:pos="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W</w:t>
      </w:r>
      <w:r>
        <w:rPr>
          <w:rFonts w:ascii="Times New Roman" w:cs="Times New Roman" w:eastAsia="Times New Roman" w:hAnsi="Times New Roman"/>
          <w:sz w:val="14"/>
          <w:szCs w:val="14"/>
          <w:color w:val="auto"/>
        </w:rPr>
        <w:t>ESLEY</w:t>
      </w:r>
      <w:r>
        <w:rPr>
          <w:rFonts w:ascii="Times New Roman" w:cs="Times New Roman" w:eastAsia="Times New Roman" w:hAnsi="Times New Roman"/>
          <w:sz w:val="18"/>
          <w:szCs w:val="18"/>
          <w:color w:val="auto"/>
        </w:rPr>
        <w:t xml:space="preserve"> E. J</w:t>
      </w:r>
      <w:r>
        <w:rPr>
          <w:rFonts w:ascii="Times New Roman" w:cs="Times New Roman" w:eastAsia="Times New Roman" w:hAnsi="Times New Roman"/>
          <w:sz w:val="14"/>
          <w:szCs w:val="14"/>
          <w:color w:val="auto"/>
        </w:rPr>
        <w:t>OHNSON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Wesley E. Johnson, Jr.,</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480"/>
        <w:spacing w:after="0"/>
        <w:tabs>
          <w:tab w:leader="none" w:pos="8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D</w:t>
      </w:r>
      <w:r>
        <w:rPr>
          <w:rFonts w:ascii="Times New Roman" w:cs="Times New Roman" w:eastAsia="Times New Roman" w:hAnsi="Times New Roman"/>
          <w:sz w:val="14"/>
          <w:szCs w:val="14"/>
          <w:color w:val="auto"/>
        </w:rPr>
        <w:t>ENNIS</w:t>
      </w:r>
      <w:r>
        <w:rPr>
          <w:rFonts w:ascii="Times New Roman" w:cs="Times New Roman" w:eastAsia="Times New Roman" w:hAnsi="Times New Roman"/>
          <w:sz w:val="18"/>
          <w:szCs w:val="18"/>
          <w:color w:val="auto"/>
        </w:rPr>
        <w:t xml:space="preserve"> S. M</w:t>
      </w:r>
      <w:r>
        <w:rPr>
          <w:rFonts w:ascii="Times New Roman" w:cs="Times New Roman" w:eastAsia="Times New Roman" w:hAnsi="Times New Roman"/>
          <w:sz w:val="14"/>
          <w:szCs w:val="14"/>
          <w:color w:val="auto"/>
        </w:rPr>
        <w:t>ETENY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Dennis S. Meteny,</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jc w:val="center"/>
        <w:ind w:right="11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S. R</w:t>
      </w:r>
      <w:r>
        <w:rPr>
          <w:rFonts w:ascii="Times New Roman" w:cs="Times New Roman" w:eastAsia="Times New Roman" w:hAnsi="Times New Roman"/>
          <w:sz w:val="14"/>
          <w:szCs w:val="14"/>
          <w:color w:val="auto"/>
        </w:rPr>
        <w: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Jan S. Reed,</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72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E</w:t>
      </w:r>
      <w:r>
        <w:rPr>
          <w:rFonts w:ascii="Times New Roman" w:cs="Times New Roman" w:eastAsia="Times New Roman" w:hAnsi="Times New Roman"/>
          <w:sz w:val="14"/>
          <w:szCs w:val="14"/>
          <w:color w:val="auto"/>
        </w:rPr>
        <w:t>ILEEN</w:t>
      </w:r>
      <w:r>
        <w:rPr>
          <w:rFonts w:ascii="Times New Roman" w:cs="Times New Roman" w:eastAsia="Times New Roman" w:hAnsi="Times New Roman"/>
          <w:sz w:val="18"/>
          <w:szCs w:val="18"/>
          <w:color w:val="auto"/>
        </w:rPr>
        <w:t xml:space="preserve"> O. A</w:t>
      </w:r>
      <w:r>
        <w:rPr>
          <w:rFonts w:ascii="Times New Roman" w:cs="Times New Roman" w:eastAsia="Times New Roman" w:hAnsi="Times New Roman"/>
          <w:sz w:val="14"/>
          <w:szCs w:val="14"/>
          <w:color w:val="auto"/>
        </w:rPr>
        <w:t>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Eileen O. Auen,</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K</w:t>
      </w:r>
      <w:r>
        <w:rPr>
          <w:rFonts w:ascii="Times New Roman" w:cs="Times New Roman" w:eastAsia="Times New Roman" w:hAnsi="Times New Roman"/>
          <w:sz w:val="14"/>
          <w:szCs w:val="14"/>
          <w:color w:val="auto"/>
        </w:rPr>
        <w:t>AREN</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Karen A. Licitra,</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E. T</w:t>
      </w:r>
      <w:r>
        <w:rPr>
          <w:rFonts w:ascii="Times New Roman" w:cs="Times New Roman" w:eastAsia="Times New Roman" w:hAnsi="Times New Roman"/>
          <w:sz w:val="14"/>
          <w:szCs w:val="14"/>
          <w:color w:val="auto"/>
        </w:rPr>
        <w:t>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Michael E. Tarnoff,</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ectPr>
          <w:pgSz w:w="11900" w:h="16838" w:orient="portrait"/>
          <w:cols w:equalWidth="0" w:num="2">
            <w:col w:w="6200" w:space="720"/>
            <w:col w:w="4140"/>
          </w:cols>
          <w:pgMar w:left="320" w:top="8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60"/>
          </w:cols>
          <w:pgMar w:left="320" w:top="880" w:right="519" w:bottom="1440" w:gutter="0" w:footer="0" w:header="0"/>
          <w:type w:val="continuous"/>
        </w:sectPr>
      </w:pPr>
    </w:p>
    <w:bookmarkStart w:id="87" w:name="page88"/>
    <w:bookmarkEnd w:id="87"/>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State of Incorporation or Organization</w:t>
            </w:r>
          </w:p>
        </w:tc>
      </w:tr>
      <w:tr>
        <w:trPr>
          <w:trHeight w:val="107"/>
        </w:trPr>
        <w:tc>
          <w:tcPr>
            <w:tcW w:w="5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Vortex Medical, Inc.</w:t>
            </w:r>
          </w:p>
        </w:tc>
        <w:tc>
          <w:tcPr>
            <w:tcW w:w="2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 Holding Company, Inc.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Navilyst Medical Holdings, Inc.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Navilyst Medical, Inc.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UK Limited</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Netherlands B. V.</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RITA Medical Systems,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France, SARL</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Canada Inc.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Medical Brasil Servicos de Marketing Ltda.</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RadiaDyne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Eximo Medical, Ltd.</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3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VA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40" w:right="339" w:bottom="1440" w:gutter="0" w:footer="0" w:header="0"/>
        </w:sectPr>
      </w:pPr>
    </w:p>
    <w:bookmarkStart w:id="88" w:name="page89"/>
    <w:bookmarkEnd w:id="88"/>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333-120057, 333-138456, 333-140627, 333-161355, 333-162844, 333-170619, 333-190640, 333-203441, 333-229814 and 333-252209 on Form S-8 of our reports dated July 22, 2022, relating to the financial statements of AngioDynamics Inc. and the effectiveness of AngioDynamics Inc.'s internal control over financial reporting appearing in this Annual Report on Form 10-K for the year ended May 31,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74" w:lineRule="exact"/>
        <w:rPr>
          <w:sz w:val="20"/>
          <w:szCs w:val="20"/>
          <w:color w:val="auto"/>
        </w:rPr>
      </w:pPr>
    </w:p>
    <w:p>
      <w:pPr>
        <w:ind w:left="640" w:hanging="575"/>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68" w:lineRule="exact"/>
        <w:rPr>
          <w:rFonts w:ascii="Times New Roman" w:cs="Times New Roman" w:eastAsia="Times New Roman" w:hAnsi="Times New Roman"/>
          <w:sz w:val="18"/>
          <w:szCs w:val="18"/>
          <w:color w:val="auto"/>
        </w:rPr>
      </w:pPr>
    </w:p>
    <w:p>
      <w:pPr>
        <w:jc w:val="both"/>
        <w:ind w:left="640" w:right="220" w:hanging="575"/>
        <w:spacing w:after="0" w:line="229"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Times New Roman" w:cs="Times New Roman" w:eastAsia="Times New Roman" w:hAnsi="Times New Roman"/>
          <w:sz w:val="18"/>
          <w:szCs w:val="18"/>
          <w:color w:val="auto"/>
        </w:rPr>
      </w:pPr>
    </w:p>
    <w:p>
      <w:pPr>
        <w:ind w:left="640" w:right="180" w:hanging="575"/>
        <w:spacing w:after="0" w:line="236"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9" w:lineRule="exact"/>
        <w:rPr>
          <w:rFonts w:ascii="Times New Roman" w:cs="Times New Roman" w:eastAsia="Times New Roman" w:hAnsi="Times New Roman"/>
          <w:sz w:val="18"/>
          <w:szCs w:val="18"/>
          <w:color w:val="auto"/>
        </w:rPr>
      </w:pPr>
    </w:p>
    <w:p>
      <w:pPr>
        <w:ind w:left="640" w:right="220" w:hanging="575"/>
        <w:spacing w:after="0" w:line="224"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ind w:left="820" w:right="300" w:hanging="813"/>
        <w:spacing w:after="0" w:line="300" w:lineRule="auto"/>
        <w:tabs>
          <w:tab w:leader="none" w:pos="8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20" w:right="620" w:hanging="813"/>
        <w:spacing w:after="0" w:line="294" w:lineRule="auto"/>
        <w:tabs>
          <w:tab w:leader="none" w:pos="8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820" w:right="780" w:hanging="813"/>
        <w:spacing w:after="0" w:line="320" w:lineRule="auto"/>
        <w:tabs>
          <w:tab w:leader="none" w:pos="81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0" w:hanging="813"/>
        <w:spacing w:after="0" w:line="310" w:lineRule="auto"/>
        <w:tabs>
          <w:tab w:leader="none" w:pos="8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640" w:right="360" w:hanging="575"/>
        <w:spacing w:after="0" w:line="24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sz w:val="20"/>
          <w:szCs w:val="20"/>
          <w:color w:val="auto"/>
        </w:rPr>
      </w:pPr>
    </w:p>
    <w:p>
      <w:pPr>
        <w:ind w:left="820" w:right="200" w:hanging="813"/>
        <w:spacing w:after="0" w:line="294" w:lineRule="auto"/>
        <w:tabs>
          <w:tab w:leader="none" w:pos="8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820" w:right="180" w:hanging="813"/>
        <w:spacing w:after="0" w:line="325" w:lineRule="auto"/>
        <w:tabs>
          <w:tab w:leader="none" w:pos="8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2022</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164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0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74" w:lineRule="exact"/>
        <w:rPr>
          <w:sz w:val="20"/>
          <w:szCs w:val="20"/>
          <w:color w:val="auto"/>
        </w:rPr>
      </w:pPr>
    </w:p>
    <w:p>
      <w:pPr>
        <w:ind w:left="640" w:hanging="57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68" w:lineRule="exact"/>
        <w:rPr>
          <w:rFonts w:ascii="Times New Roman" w:cs="Times New Roman" w:eastAsia="Times New Roman" w:hAnsi="Times New Roman"/>
          <w:sz w:val="18"/>
          <w:szCs w:val="18"/>
          <w:color w:val="auto"/>
        </w:rPr>
      </w:pPr>
    </w:p>
    <w:p>
      <w:pPr>
        <w:jc w:val="both"/>
        <w:ind w:left="640" w:right="220" w:hanging="575"/>
        <w:spacing w:after="0" w:line="229"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Times New Roman" w:cs="Times New Roman" w:eastAsia="Times New Roman" w:hAnsi="Times New Roman"/>
          <w:sz w:val="18"/>
          <w:szCs w:val="18"/>
          <w:color w:val="auto"/>
        </w:rPr>
      </w:pPr>
    </w:p>
    <w:p>
      <w:pPr>
        <w:ind w:left="640" w:right="180" w:hanging="575"/>
        <w:spacing w:after="0" w:line="23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9" w:lineRule="exact"/>
        <w:rPr>
          <w:rFonts w:ascii="Times New Roman" w:cs="Times New Roman" w:eastAsia="Times New Roman" w:hAnsi="Times New Roman"/>
          <w:sz w:val="18"/>
          <w:szCs w:val="18"/>
          <w:color w:val="auto"/>
        </w:rPr>
      </w:pPr>
    </w:p>
    <w:p>
      <w:pPr>
        <w:ind w:left="640" w:right="220" w:hanging="575"/>
        <w:spacing w:after="0" w:line="22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ind w:left="820" w:right="300" w:hanging="813"/>
        <w:spacing w:after="0" w:line="300" w:lineRule="auto"/>
        <w:tabs>
          <w:tab w:leader="none" w:pos="8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20" w:right="620" w:hanging="813"/>
        <w:spacing w:after="0" w:line="294"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820" w:right="780" w:hanging="813"/>
        <w:spacing w:after="0" w:line="320" w:lineRule="auto"/>
        <w:tabs>
          <w:tab w:leader="none" w:pos="8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0" w:hanging="813"/>
        <w:spacing w:after="0" w:line="310"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640" w:right="360" w:hanging="575"/>
        <w:spacing w:after="0" w:line="247"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sz w:val="20"/>
          <w:szCs w:val="20"/>
          <w:color w:val="auto"/>
        </w:rPr>
      </w:pPr>
    </w:p>
    <w:p>
      <w:pPr>
        <w:ind w:left="820" w:right="200" w:hanging="813"/>
        <w:spacing w:after="0" w:line="294" w:lineRule="auto"/>
        <w:tabs>
          <w:tab w:leader="none" w:pos="8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820" w:right="180" w:hanging="813"/>
        <w:spacing w:after="0" w:line="325" w:lineRule="auto"/>
        <w:tabs>
          <w:tab w:leader="none" w:pos="8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2022</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739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07390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0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 TO TITLE 18,</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 CODE, SECTION 1350, AS ADOPTED PURSUANT TO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C. Clemmer, President, Chief Executive Officer and Director of ANGIODYNAMICS, Inc. (the “Company”), certify, pursuant to Section 906 of the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the best of my knowledge:</w:t>
      </w:r>
    </w:p>
    <w:p>
      <w:pPr>
        <w:spacing w:after="0" w:line="221" w:lineRule="exact"/>
        <w:rPr>
          <w:sz w:val="20"/>
          <w:szCs w:val="20"/>
          <w:color w:val="auto"/>
        </w:rPr>
      </w:pPr>
    </w:p>
    <w:p>
      <w:pPr>
        <w:ind w:left="400" w:right="620" w:hanging="335"/>
        <w:spacing w:after="0" w:line="236"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2022 (the “Report”) fully complies with the requirements of Section 13(a) or 15(d) of the Securities Exchange Act of 1934 (15 U.S.C. 78m or 78o(d)); and</w:t>
      </w:r>
    </w:p>
    <w:p>
      <w:pPr>
        <w:spacing w:after="0" w:line="128" w:lineRule="exact"/>
        <w:rPr>
          <w:rFonts w:ascii="Times New Roman" w:cs="Times New Roman" w:eastAsia="Times New Roman" w:hAnsi="Times New Roman"/>
          <w:sz w:val="18"/>
          <w:szCs w:val="18"/>
          <w:color w:val="auto"/>
        </w:rPr>
      </w:pPr>
    </w:p>
    <w:p>
      <w:pPr>
        <w:ind w:left="400" w:hanging="335"/>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2022</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164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0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line="317"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117"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color w:val="auto"/>
        </w:rPr>
        <w:t>I, Stephen A. Trowbridge, Chief Financial Officer of ANGIODYNAMICS, Inc. (the “Company”), certify, pursuant to Section 906 of the Sarbanes-Oxley Act of 2002, 18 U.S.C. Section 1350, that, to the best of my knowledge:</w:t>
      </w:r>
    </w:p>
    <w:p>
      <w:pPr>
        <w:spacing w:after="0" w:line="1" w:lineRule="exact"/>
        <w:rPr>
          <w:sz w:val="20"/>
          <w:szCs w:val="20"/>
          <w:color w:val="auto"/>
        </w:rPr>
      </w:pPr>
    </w:p>
    <w:p>
      <w:pPr>
        <w:ind w:left="400" w:right="620" w:hanging="335"/>
        <w:spacing w:after="0" w:line="236" w:lineRule="auto"/>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2022 (the “Report”) fully complies with the requirements of Section 13(a) or 15(d) of the Securities Exchange Act of 1934 (15 U.S.C. 78m or 78o(d)); and</w:t>
      </w:r>
    </w:p>
    <w:p>
      <w:pPr>
        <w:spacing w:after="0" w:line="369" w:lineRule="exact"/>
        <w:rPr>
          <w:rFonts w:ascii="Times New Roman" w:cs="Times New Roman" w:eastAsia="Times New Roman" w:hAnsi="Times New Roman"/>
          <w:sz w:val="18"/>
          <w:szCs w:val="18"/>
          <w:color w:val="auto"/>
        </w:rPr>
      </w:pPr>
    </w:p>
    <w:p>
      <w:pPr>
        <w:ind w:right="540" w:firstLine="65"/>
        <w:spacing w:after="0" w:line="721" w:lineRule="auto"/>
        <w:tabs>
          <w:tab w:leader="none" w:pos="3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22, 2022</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164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lvl w:ilvl="1">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lvl w:ilvl="1">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8"/>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5"/>
    </w:lvl>
  </w:abstractNum>
  <w:abstractNum w:abstractNumId="38">
    <w:nsid w:val="2CD89A32"/>
    <w:multiLevelType w:val="hybridMultilevel"/>
    <w:lvl w:ilvl="0">
      <w:lvlJc w:val="left"/>
      <w:lvlText w:val="%1"/>
      <w:numFmt w:val="decimal"/>
      <w:start w:val="21"/>
    </w:lvl>
  </w:abstractNum>
  <w:abstractNum w:abstractNumId="39">
    <w:nsid w:val="57E4CCAF"/>
    <w:multiLevelType w:val="hybridMultilevel"/>
    <w:lvl w:ilvl="0">
      <w:lvlJc w:val="left"/>
      <w:lvlText w:val="%1"/>
      <w:numFmt w:val="decimal"/>
      <w:start w:val="23"/>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7"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07" Type="http://schemas.openxmlformats.org/officeDocument/2006/relationships/hyperlink" Target="http://www.sec.gov/Archives/edgar/data/1275187/000091412112000534/an26859490-ex2_1.htm" TargetMode="External"/><Relationship Id="rId108" Type="http://schemas.openxmlformats.org/officeDocument/2006/relationships/hyperlink" Target="http://www.sec.gov/Archives/edgar/data/1275187/000091412119000934/an53548547-2_1.htm" TargetMode="External"/><Relationship Id="rId109" Type="http://schemas.openxmlformats.org/officeDocument/2006/relationships/hyperlink" Target="http://www.sec.gov/Archives/edgar/data/1275187/000119312505198180/dex31.htm" TargetMode="External"/><Relationship Id="rId110" Type="http://schemas.openxmlformats.org/officeDocument/2006/relationships/hyperlink" Target="http://www.sec.gov/Archives/edgar/data/1275187/000127518715000018/ex31253115.htm" TargetMode="External"/><Relationship Id="rId111" Type="http://schemas.openxmlformats.org/officeDocument/2006/relationships/hyperlink" Target="http://www.sec.gov/Archives/edgar/data/1275187/000091412115000548/an33460072-ex3_1.htm" TargetMode="External"/><Relationship Id="rId112" Type="http://schemas.openxmlformats.org/officeDocument/2006/relationships/hyperlink" Target="http://www.sec.gov/Archives/edgar/data/1275187/000091412119001482/an53830394-10_1.htm" TargetMode="External"/><Relationship Id="rId113" Type="http://schemas.openxmlformats.org/officeDocument/2006/relationships/hyperlink" Target="http://www.sec.gov/Archives/edgar/data/1275187/000127518718000016/angoproxy-53118.htm" TargetMode="External"/><Relationship Id="rId114" Type="http://schemas.openxmlformats.org/officeDocument/2006/relationships/hyperlink" Target="http://www.sec.gov/Archives/edgar/data/1275187/000127518717000034/a83117-exx101.htm" TargetMode="External"/><Relationship Id="rId115" Type="http://schemas.openxmlformats.org/officeDocument/2006/relationships/hyperlink" Target="http://www.sec.gov/Archives/edgar/data/1275187/000127518718000011/ex1017totalshareholderretu.htm" TargetMode="External"/><Relationship Id="rId116" Type="http://schemas.openxmlformats.org/officeDocument/2006/relationships/hyperlink" Target="https://www.sec.gov/Archives/edgar/data/1275187/000127518720000005/psuawardagreement.htm" TargetMode="External"/><Relationship Id="rId117" Type="http://schemas.openxmlformats.org/officeDocument/2006/relationships/hyperlink" Target="https://www.sec.gov/Archives/edgar/data/1275187/000127518720000028/angoproxy-53120.htm" TargetMode="External"/><Relationship Id="rId118" Type="http://schemas.openxmlformats.org/officeDocument/2006/relationships/hyperlink" Target="http://www.sec.gov/Archives/edgar/data/1275187/000119312504169832/dex101.htm" TargetMode="External"/><Relationship Id="rId119" Type="http://schemas.openxmlformats.org/officeDocument/2006/relationships/hyperlink" Target="http://www.sec.gov/Archives/edgar/data/1275187/000127518718000011/ex1031stockoptionagreement.htm" TargetMode="External"/><Relationship Id="rId120" Type="http://schemas.openxmlformats.org/officeDocument/2006/relationships/hyperlink" Target="http://www.sec.gov/Archives/edgar/data/1275187/000127518716000037/ex102-2016psuagreement.htm" TargetMode="External"/><Relationship Id="rId121" Type="http://schemas.openxmlformats.org/officeDocument/2006/relationships/hyperlink" Target="http://www.sec.gov/Archives/edgar/data/1275187/000127518717000034/a83117-exx102.htm" TargetMode="External"/><Relationship Id="rId122" Type="http://schemas.openxmlformats.org/officeDocument/2006/relationships/hyperlink" Target="http://www.sec.gov/Archives/edgar/data/1275187/000127518718000011/ex1045performanceunitaward.htm" TargetMode="External"/><Relationship Id="rId123" Type="http://schemas.openxmlformats.org/officeDocument/2006/relationships/hyperlink" Target="https://www.sec.gov/ix?doc=/Archives/edgar/data/1275187/000127518721000005/ango-20201130.htm" TargetMode="External"/><Relationship Id="rId124" Type="http://schemas.openxmlformats.org/officeDocument/2006/relationships/hyperlink" Target="https://www.sec.gov/ix?doc=/Archives/edgar/data/0001275187/000127518721000023/ango-20210831.htm#ic69966880990446bb6eee699ec835b1f_118" TargetMode="External"/><Relationship Id="rId125" Type="http://schemas.openxmlformats.org/officeDocument/2006/relationships/hyperlink" Target="http://www.sec.gov/Archives/edgar/data/1275187/000116923205002637/d63831_ex10-3.htm" TargetMode="External"/><Relationship Id="rId126" Type="http://schemas.openxmlformats.org/officeDocument/2006/relationships/hyperlink" Target="http://www.sec.gov/Archives/edgar/data/1056421/0001012870-00-002503-index.html" TargetMode="External"/><Relationship Id="rId128" Type="http://schemas.openxmlformats.org/officeDocument/2006/relationships/hyperlink" Target="http://www.sec.gov/Archives/edgar/data/1052958/0000950144-98-001576-index.html" TargetMode="External"/><Relationship Id="rId129" Type="http://schemas.openxmlformats.org/officeDocument/2006/relationships/hyperlink" Target="http://www.sec.gov/Archives/edgar/data/1056421/000101287000003359/0001012870-00-003359-index.htm" TargetMode="External"/><Relationship Id="rId130" Type="http://schemas.openxmlformats.org/officeDocument/2006/relationships/hyperlink" Target="http://www.sec.gov/Archives/edgar/data/1056421/000114420405021015/v021182_ex99-2.htm" TargetMode="External"/><Relationship Id="rId131" Type="http://schemas.openxmlformats.org/officeDocument/2006/relationships/hyperlink" Target="http://www.sec.gov/Archives/edgar/data/1056421/000114420405021015/v021182_ex99-1.htm" TargetMode="External"/><Relationship Id="rId132" Type="http://schemas.openxmlformats.org/officeDocument/2006/relationships/hyperlink" Target="http://www.sec.gov/Archives/edgar/data/1275187/000116923206002370/d68040_ex10-1.htm" TargetMode="External"/><Relationship Id="rId133" Type="http://schemas.openxmlformats.org/officeDocument/2006/relationships/hyperlink" Target="http://www.sec.gov/Archives/edgar/data/1275187/000091412116001069/an35192888-ex10_1.htm" TargetMode="External"/><Relationship Id="rId134" Type="http://schemas.openxmlformats.org/officeDocument/2006/relationships/hyperlink" Target="http://www.sec.gov/Archives/edgar/data/1275187/000091412116001069/an35192888-ex10_2.htm" TargetMode="External"/><Relationship Id="rId135" Type="http://schemas.openxmlformats.org/officeDocument/2006/relationships/hyperlink" Target="https://www.sec.gov/Archives/edgar/data/1275187/000127518720000024/formofseveranceagreeme.htm" TargetMode="External"/><Relationship Id="rId136" Type="http://schemas.openxmlformats.org/officeDocument/2006/relationships/hyperlink" Target="http://www.sec.gov/Archives/edgar/data/1275187/000127518715000011/ex101353114a.htm" TargetMode="External"/><Relationship Id="rId137" Type="http://schemas.openxmlformats.org/officeDocument/2006/relationships/hyperlink" Target="http://www.sec.gov/Archives/edgar/data/1275187/000091412116001069/an35192888-ex10_3.htm" TargetMode="External"/><Relationship Id="rId138" Type="http://schemas.openxmlformats.org/officeDocument/2006/relationships/hyperlink" Target="http://www.sec.gov/Archives/edgar/data/1275187/000091412116001069/an35192888-ex10_4.htm" TargetMode="External"/><Relationship Id="rId139" Type="http://schemas.openxmlformats.org/officeDocument/2006/relationships/hyperlink" Target="http://www.sec.gov/Archives/edgar/data/1275187/000091412116001069/an35192888-ex10_5.htm" TargetMode="External"/><Relationship Id="rId140" Type="http://schemas.openxmlformats.org/officeDocument/2006/relationships/hyperlink" Target="http://www.sec.gov/Archives/edgar/data/1275187/000091412116001069/an35192888-ex10_6.htm" TargetMode="External"/><Relationship Id="rId141" Type="http://schemas.openxmlformats.org/officeDocument/2006/relationships/hyperlink" Target="http://www.sec.gov/Archives/edgar/data/1275187/000091412116001150/an35296029-ex10_1.htm" TargetMode="External"/><Relationship Id="rId142" Type="http://schemas.openxmlformats.org/officeDocument/2006/relationships/hyperlink" Target="https://www.sec.gov/ix?doc=/Archives/edgar/data/1275187/000091412121000581/an55676910-8ki.htm" TargetMode="External"/><Relationship Id="rId143" Type="http://schemas.openxmlformats.org/officeDocument/2006/relationships/hyperlink" Target="http://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2022-07-22T14:06:39Z</dcterms:created>
  <dcterms:modified xsi:type="dcterms:W3CDTF">2022-07-22T14:06:39Z</dcterms:modified>
</cp:coreProperties>
</file>