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AngioDynamics,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3,181,829.00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3,181,829.00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3,181,829.00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3,181,829.00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3,181,829.00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3,181,829.00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3,181,829.00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3,181,829.00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3,181,829.00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AngioDynamics, Inc.</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 Plaza Drive, Latham, NY 12110</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$0.01 per share ("Shares"), of AngioDynamics, Inc. held by Point72 Associates, LLC, an investment fund it manages ("Point72 Associates"); (ii) Point72 Capital Advisors, Inc. ("Point72 Capital Advisors Inc.") with respect to Shares held by Point72 Associates; and (iii) Steven A. Cohen ("Mr. Cohen") with respect to Shares beneficially owned by Point72 Asset Management and Point72 Capital Advisors Inc. Cubist Systematic Strategies, LLC is a relying adviser on the Form ADV of Point72 Asset Management and acts as a sub-advisor with respect to a portion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(g)</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(h)</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(j)</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(k)</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9072" w:type="dxa"/>
            <w:gridSpan w:val="2"/>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March 31, 2026. Point72 Asset Management, Point72 Capital Advisors Inc., and Mr. Cohen own directly no Shares.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891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Point72 Associates has the right to receive or the power to direct the receipt of dividends from, or the proceeds from the sale of, more than 5 percent of the outstanding Shares.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8.</w:t>
            </w:r>
          </w:p>
        </w:tc>
        <w:tc>
          <w:tcPr>
            <w:tcW w:w="891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9.</w:t>
            </w:r>
          </w:p>
        </w:tc>
        <w:tc>
          <w:tcPr>
            <w:tcW w:w="891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1561</Words>
  <Characters>7957</Characters>
  <CharactersWithSpaces>9468</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